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2A51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66E469B" w14:textId="77777777" w:rsidR="006815C9" w:rsidRDefault="004D368F">
      <w:pPr>
        <w:pStyle w:val="Billname"/>
        <w:spacing w:before="700"/>
      </w:pPr>
      <w:r>
        <w:t>Magistrates Court</w:t>
      </w:r>
      <w:r w:rsidR="006815C9">
        <w:t xml:space="preserve"> (</w:t>
      </w:r>
      <w:r>
        <w:t>Heritage Infringement Notices</w:t>
      </w:r>
      <w:r w:rsidR="006815C9">
        <w:t xml:space="preserve">) </w:t>
      </w:r>
      <w:r>
        <w:t>Regulation 20</w:t>
      </w:r>
      <w:r w:rsidR="00AD0CEA">
        <w:t>20</w:t>
      </w:r>
    </w:p>
    <w:p w14:paraId="2F9798B4" w14:textId="16F29231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4D368F">
        <w:rPr>
          <w:rFonts w:ascii="Arial" w:hAnsi="Arial" w:cs="Arial"/>
          <w:b/>
          <w:bCs/>
        </w:rPr>
        <w:t>20</w:t>
      </w:r>
      <w:r w:rsidR="00AD0CEA">
        <w:rPr>
          <w:rFonts w:ascii="Arial" w:hAnsi="Arial" w:cs="Arial"/>
          <w:b/>
          <w:bCs/>
        </w:rPr>
        <w:t>20</w:t>
      </w:r>
      <w:r w:rsidR="006815C9">
        <w:rPr>
          <w:rFonts w:ascii="Arial" w:hAnsi="Arial" w:cs="Arial"/>
          <w:b/>
          <w:bCs/>
        </w:rPr>
        <w:t>–</w:t>
      </w:r>
      <w:r w:rsidR="003F7860">
        <w:rPr>
          <w:rFonts w:ascii="Arial" w:hAnsi="Arial" w:cs="Arial"/>
          <w:b/>
          <w:bCs/>
        </w:rPr>
        <w:t>5</w:t>
      </w:r>
    </w:p>
    <w:p w14:paraId="65C9F68C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10044BCD" w14:textId="77777777" w:rsidR="006815C9" w:rsidRDefault="004D368F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321</w:t>
      </w:r>
      <w:r w:rsidR="006815C9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Regulation-making power</w:t>
      </w:r>
      <w:r w:rsidR="006815C9">
        <w:rPr>
          <w:rFonts w:cs="Arial"/>
          <w:sz w:val="20"/>
        </w:rPr>
        <w:t>)</w:t>
      </w:r>
    </w:p>
    <w:p w14:paraId="0FDCC361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34013CB" w14:textId="77777777" w:rsidR="006815C9" w:rsidRDefault="006815C9">
      <w:pPr>
        <w:pStyle w:val="N-line3"/>
        <w:pBdr>
          <w:bottom w:val="none" w:sz="0" w:space="0" w:color="auto"/>
        </w:pBdr>
      </w:pPr>
    </w:p>
    <w:p w14:paraId="6C440505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8818C74" w14:textId="77777777" w:rsidR="006815C9" w:rsidRDefault="004D368F">
      <w:r>
        <w:t xml:space="preserve">This explanatory statement relates to the </w:t>
      </w:r>
      <w:r w:rsidRPr="004D368F">
        <w:rPr>
          <w:i/>
        </w:rPr>
        <w:t>Magistrates Court (Heritage Infringement Notices) Regulation 20</w:t>
      </w:r>
      <w:r w:rsidR="00AD0CEA">
        <w:rPr>
          <w:i/>
        </w:rPr>
        <w:t>20</w:t>
      </w:r>
      <w:r>
        <w:t xml:space="preserve"> as made by the Executive.  It has been prepared to assist the reader of the regulation.  It does not form part of the regulation.</w:t>
      </w:r>
    </w:p>
    <w:p w14:paraId="6CF5E686" w14:textId="77777777" w:rsidR="004D368F" w:rsidRDefault="004D368F"/>
    <w:p w14:paraId="30999F36" w14:textId="77777777" w:rsidR="004D368F" w:rsidRDefault="004D368F">
      <w:r>
        <w:t xml:space="preserve">This explanatory statement must be read in conjunction with the regulation.  It is not, and not intended to be, </w:t>
      </w:r>
      <w:r w:rsidR="0081191B">
        <w:t>a comprehensive description of the regulation.  What is written about a provision is not to be taken as an authoritative guide to the meaning of a provision, this being a task for the courts</w:t>
      </w:r>
      <w:r w:rsidR="009973D3">
        <w:t>.</w:t>
      </w:r>
    </w:p>
    <w:p w14:paraId="107DB043" w14:textId="77777777" w:rsidR="009973D3" w:rsidRDefault="009973D3"/>
    <w:p w14:paraId="40DFC56B" w14:textId="77777777" w:rsidR="0081191B" w:rsidRDefault="0081191B"/>
    <w:p w14:paraId="63A573DC" w14:textId="77777777" w:rsidR="0081191B" w:rsidRPr="00797A25" w:rsidRDefault="0081191B">
      <w:pPr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t>Outline of provisions of the regulation</w:t>
      </w:r>
    </w:p>
    <w:p w14:paraId="5D5A9E87" w14:textId="77777777" w:rsidR="0081191B" w:rsidRDefault="0081191B"/>
    <w:p w14:paraId="7880988D" w14:textId="77777777" w:rsidR="0081191B" w:rsidRPr="0076584B" w:rsidRDefault="0081191B" w:rsidP="0076584B">
      <w:pPr>
        <w:spacing w:after="120"/>
        <w:rPr>
          <w:rFonts w:ascii="Arial" w:hAnsi="Arial" w:cs="Arial"/>
          <w:b/>
        </w:rPr>
      </w:pPr>
      <w:r w:rsidRPr="0076584B">
        <w:rPr>
          <w:rFonts w:ascii="Arial" w:hAnsi="Arial" w:cs="Arial"/>
          <w:b/>
        </w:rPr>
        <w:t>Clause 1</w:t>
      </w:r>
      <w:r w:rsidRPr="0076584B">
        <w:rPr>
          <w:rFonts w:ascii="Arial" w:hAnsi="Arial" w:cs="Arial"/>
          <w:b/>
        </w:rPr>
        <w:tab/>
        <w:t>Name of regulation</w:t>
      </w:r>
    </w:p>
    <w:p w14:paraId="78694E8F" w14:textId="77777777" w:rsidR="0081191B" w:rsidRDefault="0081191B" w:rsidP="0076584B">
      <w:pPr>
        <w:spacing w:after="240"/>
      </w:pPr>
      <w:r>
        <w:t>This clause provides that the name of the regulation</w:t>
      </w:r>
      <w:r w:rsidR="0076584B">
        <w:t xml:space="preserve"> is the </w:t>
      </w:r>
      <w:r w:rsidR="0076584B" w:rsidRPr="0076584B">
        <w:rPr>
          <w:i/>
        </w:rPr>
        <w:t>Magistrates Court (Heritage Infringement Notices) Regulation 20</w:t>
      </w:r>
      <w:r w:rsidR="00AD0CEA">
        <w:rPr>
          <w:i/>
        </w:rPr>
        <w:t>20</w:t>
      </w:r>
      <w:r w:rsidR="0076584B">
        <w:t>.</w:t>
      </w:r>
    </w:p>
    <w:p w14:paraId="7AF7AF2B" w14:textId="77777777" w:rsidR="0076584B" w:rsidRPr="00797A25" w:rsidRDefault="0076584B" w:rsidP="00797A25">
      <w:pPr>
        <w:spacing w:after="120"/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t>Clause 2</w:t>
      </w:r>
      <w:r w:rsidRPr="00797A25">
        <w:rPr>
          <w:rFonts w:ascii="Arial" w:hAnsi="Arial" w:cs="Arial"/>
          <w:b/>
        </w:rPr>
        <w:tab/>
        <w:t>Commencement</w:t>
      </w:r>
    </w:p>
    <w:p w14:paraId="0B080221" w14:textId="77777777" w:rsidR="0076584B" w:rsidRDefault="0076584B" w:rsidP="00797A25">
      <w:pPr>
        <w:spacing w:after="240"/>
      </w:pPr>
      <w:r>
        <w:t>This clause provides for the commencement of the regulation.  The regulation commences on the day after its notification day.</w:t>
      </w:r>
    </w:p>
    <w:p w14:paraId="4D46690E" w14:textId="77777777" w:rsidR="0076584B" w:rsidRPr="00797A25" w:rsidRDefault="0076584B" w:rsidP="00797A25">
      <w:pPr>
        <w:spacing w:after="120"/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t>Clause 3</w:t>
      </w:r>
      <w:r w:rsidRPr="00797A25">
        <w:rPr>
          <w:rFonts w:ascii="Arial" w:hAnsi="Arial" w:cs="Arial"/>
          <w:b/>
        </w:rPr>
        <w:tab/>
        <w:t>Dictionary</w:t>
      </w:r>
    </w:p>
    <w:p w14:paraId="2139195A" w14:textId="77777777" w:rsidR="0076584B" w:rsidRDefault="0076584B" w:rsidP="00797A25">
      <w:pPr>
        <w:spacing w:after="240"/>
      </w:pPr>
      <w:r>
        <w:t>This clause provides that the dictionary at the end of the regulation is part of the regulation.</w:t>
      </w:r>
    </w:p>
    <w:p w14:paraId="268E4E50" w14:textId="77777777" w:rsidR="0076584B" w:rsidRPr="00797A25" w:rsidRDefault="0076584B" w:rsidP="00797A25">
      <w:pPr>
        <w:spacing w:after="120"/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t>Clause 4</w:t>
      </w:r>
      <w:r w:rsidRPr="00797A25">
        <w:rPr>
          <w:rFonts w:ascii="Arial" w:hAnsi="Arial" w:cs="Arial"/>
          <w:b/>
        </w:rPr>
        <w:tab/>
        <w:t>Notes</w:t>
      </w:r>
    </w:p>
    <w:p w14:paraId="3C5F2AE1" w14:textId="255B17E4" w:rsidR="0076584B" w:rsidRDefault="0076584B" w:rsidP="00797A25">
      <w:pPr>
        <w:spacing w:after="240"/>
      </w:pPr>
      <w:r>
        <w:t xml:space="preserve">This clause </w:t>
      </w:r>
      <w:r w:rsidR="003D6E16">
        <w:t>explains</w:t>
      </w:r>
      <w:r>
        <w:t xml:space="preserve"> the status of notes included in the regulation.</w:t>
      </w:r>
    </w:p>
    <w:p w14:paraId="29FCCF15" w14:textId="77777777" w:rsidR="00797A25" w:rsidRPr="00797A25" w:rsidRDefault="00797A25" w:rsidP="009973D3">
      <w:pPr>
        <w:keepNext/>
        <w:spacing w:after="120"/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t>Clause 5</w:t>
      </w:r>
      <w:r w:rsidRPr="00797A25">
        <w:rPr>
          <w:rFonts w:ascii="Arial" w:hAnsi="Arial" w:cs="Arial"/>
          <w:b/>
        </w:rPr>
        <w:tab/>
        <w:t>Purpose of regulation</w:t>
      </w:r>
    </w:p>
    <w:p w14:paraId="62A12E32" w14:textId="77777777" w:rsidR="00797A25" w:rsidRDefault="00797A25" w:rsidP="00797A25">
      <w:pPr>
        <w:spacing w:after="240"/>
      </w:pPr>
      <w:r>
        <w:t xml:space="preserve">This clause provides that the purpose of the regulation is to create a scheme for infringement notices for certain offences against the </w:t>
      </w:r>
      <w:r w:rsidRPr="00797A25">
        <w:rPr>
          <w:i/>
        </w:rPr>
        <w:t>Heritage Act 2004</w:t>
      </w:r>
      <w:r>
        <w:t>.</w:t>
      </w:r>
    </w:p>
    <w:p w14:paraId="5C761EA3" w14:textId="77777777" w:rsidR="00797A25" w:rsidRPr="00797A25" w:rsidRDefault="00797A25" w:rsidP="00797A25">
      <w:pPr>
        <w:spacing w:after="120"/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lastRenderedPageBreak/>
        <w:t>Clause 6</w:t>
      </w:r>
      <w:r w:rsidRPr="00797A25">
        <w:rPr>
          <w:rFonts w:ascii="Arial" w:hAnsi="Arial" w:cs="Arial"/>
          <w:b/>
        </w:rPr>
        <w:tab/>
        <w:t>Administering authority</w:t>
      </w:r>
    </w:p>
    <w:p w14:paraId="3A823153" w14:textId="77777777" w:rsidR="00797A25" w:rsidRDefault="00797A25" w:rsidP="00797A25">
      <w:pPr>
        <w:spacing w:after="240"/>
      </w:pPr>
      <w:r>
        <w:t xml:space="preserve">This clause provides that the administering authority for an infringement notice offence against the </w:t>
      </w:r>
      <w:r w:rsidRPr="00797A25">
        <w:rPr>
          <w:i/>
        </w:rPr>
        <w:t>Heritage Act 2004</w:t>
      </w:r>
      <w:r>
        <w:t xml:space="preserve"> is the director-general with responsibility for that Act.  The responsibilities of the administering authority are outlined in division 3.8.2 of the </w:t>
      </w:r>
      <w:r w:rsidRPr="00797A25">
        <w:rPr>
          <w:i/>
        </w:rPr>
        <w:t>Magistrates Court Act 1930</w:t>
      </w:r>
      <w:r>
        <w:t>.</w:t>
      </w:r>
    </w:p>
    <w:p w14:paraId="2FAB1C63" w14:textId="77777777" w:rsidR="00797A25" w:rsidRPr="00797A25" w:rsidRDefault="00797A25" w:rsidP="00797A25">
      <w:pPr>
        <w:spacing w:after="120"/>
        <w:rPr>
          <w:rFonts w:ascii="Arial" w:hAnsi="Arial" w:cs="Arial"/>
          <w:b/>
        </w:rPr>
      </w:pPr>
      <w:r w:rsidRPr="00797A25">
        <w:rPr>
          <w:rFonts w:ascii="Arial" w:hAnsi="Arial" w:cs="Arial"/>
          <w:b/>
        </w:rPr>
        <w:t>Clause 7</w:t>
      </w:r>
      <w:r w:rsidRPr="00797A25">
        <w:rPr>
          <w:rFonts w:ascii="Arial" w:hAnsi="Arial" w:cs="Arial"/>
          <w:b/>
        </w:rPr>
        <w:tab/>
        <w:t>Infringement notice offences</w:t>
      </w:r>
    </w:p>
    <w:p w14:paraId="526CD6A2" w14:textId="77777777" w:rsidR="00573B37" w:rsidRDefault="00797A25" w:rsidP="00573B37">
      <w:r>
        <w:t xml:space="preserve">This clause provides that part 3.8 of the </w:t>
      </w:r>
      <w:r w:rsidRPr="00AD0CEA">
        <w:rPr>
          <w:i/>
          <w:iCs/>
        </w:rPr>
        <w:t>Magistrates Court Act 1930</w:t>
      </w:r>
      <w:r>
        <w:t xml:space="preserve"> applies to the offences against the </w:t>
      </w:r>
      <w:r w:rsidRPr="00AD0CEA">
        <w:rPr>
          <w:i/>
          <w:iCs/>
        </w:rPr>
        <w:t>Heritage Act 2004</w:t>
      </w:r>
      <w:r>
        <w:t xml:space="preserve"> that are listed in schedule 1, column 2 of the regulation.  Schedule 1 provides for infringement notice penalties for 2 offences against the Heritage Act:</w:t>
      </w:r>
    </w:p>
    <w:p w14:paraId="3472E86F" w14:textId="77777777" w:rsidR="00797A25" w:rsidRDefault="00573B37" w:rsidP="00573B37">
      <w:pPr>
        <w:pStyle w:val="ListParagraph"/>
        <w:numPr>
          <w:ilvl w:val="0"/>
          <w:numId w:val="10"/>
        </w:numPr>
        <w:spacing w:after="240"/>
      </w:pPr>
      <w:r>
        <w:t>engaging in conduct that diminishes the heritage significance of a place or object (</w:t>
      </w:r>
      <w:r w:rsidR="00797A25">
        <w:t>section 74 (3)</w:t>
      </w:r>
      <w:r>
        <w:t>); and</w:t>
      </w:r>
    </w:p>
    <w:p w14:paraId="374BAD29" w14:textId="77777777" w:rsidR="00573B37" w:rsidRDefault="00573B37" w:rsidP="00573B37">
      <w:pPr>
        <w:pStyle w:val="ListParagraph"/>
        <w:numPr>
          <w:ilvl w:val="0"/>
          <w:numId w:val="10"/>
        </w:numPr>
        <w:spacing w:after="240"/>
      </w:pPr>
      <w:r>
        <w:t>engaging in conduct that causes damage to an Aboriginal place or object (section 75 (3)).</w:t>
      </w:r>
    </w:p>
    <w:p w14:paraId="6D3ED8A1" w14:textId="77777777" w:rsidR="00573B37" w:rsidRPr="0018342E" w:rsidRDefault="00573B37" w:rsidP="0018342E">
      <w:pPr>
        <w:spacing w:after="120"/>
        <w:rPr>
          <w:rFonts w:ascii="Arial" w:hAnsi="Arial" w:cs="Arial"/>
          <w:b/>
        </w:rPr>
      </w:pPr>
      <w:r w:rsidRPr="0018342E">
        <w:rPr>
          <w:rFonts w:ascii="Arial" w:hAnsi="Arial" w:cs="Arial"/>
          <w:b/>
        </w:rPr>
        <w:t>Clause 8</w:t>
      </w:r>
      <w:r w:rsidRPr="0018342E">
        <w:rPr>
          <w:rFonts w:ascii="Arial" w:hAnsi="Arial" w:cs="Arial"/>
          <w:b/>
        </w:rPr>
        <w:tab/>
        <w:t>Infringement notice penalties</w:t>
      </w:r>
    </w:p>
    <w:p w14:paraId="1F09976B" w14:textId="77777777" w:rsidR="00573B37" w:rsidRDefault="00573B37" w:rsidP="00573B37">
      <w:pPr>
        <w:spacing w:after="240"/>
      </w:pPr>
      <w:r>
        <w:t>This clause provides that the penalty payable by an individual for an offence listed in schedule 1, column 2 is the amount listed in schedule 1, column 4.  The penalty</w:t>
      </w:r>
      <w:r w:rsidR="0018342E">
        <w:t xml:space="preserve"> payable by a corporation is 5 times the amount mentioned in schedule 1, column 4 for the offence.</w:t>
      </w:r>
    </w:p>
    <w:p w14:paraId="4E02B252" w14:textId="6F9CCA17" w:rsidR="0018342E" w:rsidRDefault="0018342E" w:rsidP="0018342E">
      <w:pPr>
        <w:spacing w:after="240"/>
      </w:pPr>
      <w:r>
        <w:t xml:space="preserve">Both of the offences listed in schedule 1, column 2 have maximum penalties of 100 penalty units under the Heritage Act, and infringement </w:t>
      </w:r>
      <w:r w:rsidR="00CB509A">
        <w:t xml:space="preserve">notice </w:t>
      </w:r>
      <w:r>
        <w:t>penalties of $1000 for an individual and $5000 for a corporation under the regulation.</w:t>
      </w:r>
    </w:p>
    <w:p w14:paraId="6D01BA8E" w14:textId="7B98BA7E" w:rsidR="005E3F32" w:rsidRPr="005E3F32" w:rsidRDefault="005E3F32" w:rsidP="0018342E">
      <w:pPr>
        <w:spacing w:after="240"/>
      </w:pPr>
      <w:r w:rsidRPr="00CC04E9">
        <w:rPr>
          <w:rStyle w:val="Calibri12"/>
          <w:rFonts w:ascii="Times New Roman" w:hAnsi="Times New Roman"/>
        </w:rPr>
        <w:t xml:space="preserve">This penalty is considerably less than the maximum nominal 20 per cent of the maximum fine permitted by the </w:t>
      </w:r>
      <w:r w:rsidRPr="00CC04E9">
        <w:rPr>
          <w:rStyle w:val="Calibri12"/>
          <w:rFonts w:ascii="Times New Roman" w:hAnsi="Times New Roman"/>
          <w:i/>
          <w:iCs/>
        </w:rPr>
        <w:t xml:space="preserve">Guide for Framing Offences </w:t>
      </w:r>
      <w:r w:rsidRPr="00CC04E9">
        <w:rPr>
          <w:rStyle w:val="Calibri12"/>
          <w:rFonts w:ascii="Times New Roman" w:hAnsi="Times New Roman"/>
        </w:rPr>
        <w:t>(which would equate to $3600</w:t>
      </w:r>
      <w:r w:rsidR="00CC04E9" w:rsidRPr="00CC04E9">
        <w:rPr>
          <w:rStyle w:val="Calibri12"/>
          <w:rFonts w:ascii="Times New Roman" w:hAnsi="Times New Roman"/>
        </w:rPr>
        <w:t xml:space="preserve"> for an individual</w:t>
      </w:r>
      <w:r w:rsidRPr="00CC04E9">
        <w:rPr>
          <w:rStyle w:val="Calibri12"/>
          <w:rFonts w:ascii="Times New Roman" w:hAnsi="Times New Roman"/>
        </w:rPr>
        <w:t>) and has been fixed at a level which is more commensurate with a strict liability offence.</w:t>
      </w:r>
    </w:p>
    <w:p w14:paraId="587FD472" w14:textId="77777777" w:rsidR="0018342E" w:rsidRDefault="0018342E" w:rsidP="0018342E">
      <w:pPr>
        <w:spacing w:after="240"/>
      </w:pPr>
      <w:r>
        <w:t>Clause 3 (3) provides that the cost of serving a reminder notice for an infringement notice offence is $34.</w:t>
      </w:r>
    </w:p>
    <w:p w14:paraId="3B05FF64" w14:textId="77777777" w:rsidR="0018342E" w:rsidRPr="0018342E" w:rsidRDefault="0018342E" w:rsidP="0018342E">
      <w:pPr>
        <w:spacing w:after="120"/>
        <w:ind w:left="1440" w:hanging="1440"/>
        <w:rPr>
          <w:rFonts w:ascii="Arial" w:hAnsi="Arial" w:cs="Arial"/>
          <w:b/>
        </w:rPr>
      </w:pPr>
      <w:r w:rsidRPr="0018342E">
        <w:rPr>
          <w:rFonts w:ascii="Arial" w:hAnsi="Arial" w:cs="Arial"/>
          <w:b/>
        </w:rPr>
        <w:t>Clause 9</w:t>
      </w:r>
      <w:r w:rsidRPr="0018342E">
        <w:rPr>
          <w:rFonts w:ascii="Arial" w:hAnsi="Arial" w:cs="Arial"/>
          <w:b/>
        </w:rPr>
        <w:tab/>
        <w:t>Contents of infringement notices—identifying authorised person</w:t>
      </w:r>
    </w:p>
    <w:p w14:paraId="70238155" w14:textId="77777777" w:rsidR="0018342E" w:rsidRDefault="0018342E" w:rsidP="0034322D">
      <w:r>
        <w:t>This clause provides that an infringement notice served on a person must identify the authorised person who is serving the infringement notice.  The clause provides 2 options for identifying the authorised person:</w:t>
      </w:r>
    </w:p>
    <w:p w14:paraId="1D258A33" w14:textId="77777777" w:rsidR="0018342E" w:rsidRDefault="0018342E" w:rsidP="0018342E">
      <w:pPr>
        <w:pStyle w:val="ListParagraph"/>
        <w:numPr>
          <w:ilvl w:val="0"/>
          <w:numId w:val="11"/>
        </w:numPr>
        <w:spacing w:after="240"/>
      </w:pPr>
      <w:r>
        <w:t>their full name, or surname and initials; or</w:t>
      </w:r>
    </w:p>
    <w:p w14:paraId="443384CB" w14:textId="77777777" w:rsidR="0018342E" w:rsidRDefault="0018342E" w:rsidP="0018342E">
      <w:pPr>
        <w:pStyle w:val="ListParagraph"/>
        <w:numPr>
          <w:ilvl w:val="0"/>
          <w:numId w:val="11"/>
        </w:numPr>
        <w:spacing w:after="240"/>
      </w:pPr>
      <w:r>
        <w:t>any unique number given to the authorised person by the administering authority.</w:t>
      </w:r>
    </w:p>
    <w:p w14:paraId="077A376A" w14:textId="77777777" w:rsidR="0018342E" w:rsidRDefault="0018342E" w:rsidP="00397A47">
      <w:pPr>
        <w:spacing w:after="120"/>
        <w:ind w:left="1440" w:hanging="1440"/>
      </w:pPr>
      <w:r w:rsidRPr="00397A47">
        <w:rPr>
          <w:rFonts w:ascii="Arial" w:hAnsi="Arial" w:cs="Arial"/>
          <w:b/>
        </w:rPr>
        <w:t xml:space="preserve">Clause </w:t>
      </w:r>
      <w:r w:rsidR="00397A47" w:rsidRPr="00397A47">
        <w:rPr>
          <w:rFonts w:ascii="Arial" w:hAnsi="Arial" w:cs="Arial"/>
          <w:b/>
        </w:rPr>
        <w:t>10</w:t>
      </w:r>
      <w:r w:rsidR="00397A47" w:rsidRPr="00397A47">
        <w:rPr>
          <w:rFonts w:ascii="Arial" w:hAnsi="Arial" w:cs="Arial"/>
          <w:b/>
        </w:rPr>
        <w:tab/>
        <w:t>Contents of infringement notices—other information</w:t>
      </w:r>
    </w:p>
    <w:p w14:paraId="76ACA4E9" w14:textId="77777777" w:rsidR="00397A47" w:rsidRDefault="00397A47" w:rsidP="0018342E">
      <w:pPr>
        <w:spacing w:after="240"/>
      </w:pPr>
      <w:r>
        <w:t>This clause provides that an infringement notice served on a company for an infringement notice offence against the Heritage Act must include the company’s ACN.</w:t>
      </w:r>
    </w:p>
    <w:p w14:paraId="583F82D1" w14:textId="77777777" w:rsidR="0018342E" w:rsidRDefault="00397A47" w:rsidP="0034322D">
      <w:pPr>
        <w:keepNext/>
        <w:spacing w:after="120"/>
        <w:ind w:left="1440" w:hanging="1440"/>
      </w:pPr>
      <w:r w:rsidRPr="00397A47">
        <w:rPr>
          <w:rFonts w:ascii="Arial" w:hAnsi="Arial" w:cs="Arial"/>
          <w:b/>
        </w:rPr>
        <w:lastRenderedPageBreak/>
        <w:t>Clause 11</w:t>
      </w:r>
      <w:r w:rsidRPr="00397A47">
        <w:rPr>
          <w:rFonts w:ascii="Arial" w:hAnsi="Arial" w:cs="Arial"/>
          <w:b/>
        </w:rPr>
        <w:tab/>
        <w:t>Contents of reminder notices—identifying authorised person</w:t>
      </w:r>
    </w:p>
    <w:p w14:paraId="178A75A7" w14:textId="77777777" w:rsidR="0034322D" w:rsidRDefault="00397A47" w:rsidP="00AD0CEA">
      <w:pPr>
        <w:keepNext/>
      </w:pPr>
      <w:r>
        <w:t>This clause provides that a reminder notice</w:t>
      </w:r>
      <w:r w:rsidR="0034322D" w:rsidRPr="0034322D">
        <w:t xml:space="preserve"> </w:t>
      </w:r>
      <w:r w:rsidR="0034322D">
        <w:t>served on a person must identify the authorised person who is serving the reminder notice.  The clause provides 2 options for identifying the authorised person:</w:t>
      </w:r>
    </w:p>
    <w:p w14:paraId="35D04675" w14:textId="77777777" w:rsidR="0034322D" w:rsidRDefault="0034322D" w:rsidP="00AD0CEA">
      <w:pPr>
        <w:pStyle w:val="ListParagraph"/>
        <w:keepNext/>
        <w:numPr>
          <w:ilvl w:val="0"/>
          <w:numId w:val="11"/>
        </w:numPr>
        <w:spacing w:after="240"/>
      </w:pPr>
      <w:r>
        <w:t>their full name, or surname and initials; or</w:t>
      </w:r>
    </w:p>
    <w:p w14:paraId="122BD897" w14:textId="77777777" w:rsidR="0034322D" w:rsidRDefault="0034322D" w:rsidP="0034322D">
      <w:pPr>
        <w:pStyle w:val="ListParagraph"/>
        <w:numPr>
          <w:ilvl w:val="0"/>
          <w:numId w:val="11"/>
        </w:numPr>
        <w:spacing w:after="240"/>
      </w:pPr>
      <w:r>
        <w:t>any unique number given to the authorised person by the administering authority.</w:t>
      </w:r>
    </w:p>
    <w:p w14:paraId="3720C36A" w14:textId="77777777" w:rsidR="00397A47" w:rsidRPr="001C1D32" w:rsidRDefault="001C1D32" w:rsidP="001C1D32">
      <w:pPr>
        <w:keepNext/>
        <w:spacing w:after="120"/>
        <w:ind w:left="1440" w:hanging="1440"/>
        <w:rPr>
          <w:rFonts w:ascii="Arial" w:hAnsi="Arial" w:cs="Arial"/>
          <w:b/>
        </w:rPr>
      </w:pPr>
      <w:r w:rsidRPr="001C1D32">
        <w:rPr>
          <w:rFonts w:ascii="Arial" w:hAnsi="Arial" w:cs="Arial"/>
          <w:b/>
        </w:rPr>
        <w:t>Clause 12</w:t>
      </w:r>
      <w:r w:rsidRPr="001C1D32">
        <w:rPr>
          <w:rFonts w:ascii="Arial" w:hAnsi="Arial" w:cs="Arial"/>
          <w:b/>
        </w:rPr>
        <w:tab/>
        <w:t>Authorised people for infringement notice offences</w:t>
      </w:r>
    </w:p>
    <w:p w14:paraId="7EF599F0" w14:textId="77777777" w:rsidR="001C1D32" w:rsidRDefault="001C1D32" w:rsidP="00573B37">
      <w:pPr>
        <w:spacing w:after="240"/>
      </w:pPr>
      <w:r>
        <w:t xml:space="preserve">This clause provides that an authorised person may service an infringement notice or reminder notice for an infringement notice offence against the Heritage Act.  </w:t>
      </w:r>
      <w:r w:rsidRPr="00910A48">
        <w:rPr>
          <w:b/>
          <w:i/>
        </w:rPr>
        <w:t>Authorised person</w:t>
      </w:r>
      <w:r>
        <w:t xml:space="preserve"> is defined in the dictionary of the regulation to have the same meaning as </w:t>
      </w:r>
      <w:r w:rsidRPr="00910A48">
        <w:rPr>
          <w:b/>
          <w:i/>
        </w:rPr>
        <w:t>authorised person</w:t>
      </w:r>
      <w:r>
        <w:t xml:space="preserve"> in the dictionary of the Heritage Act.</w:t>
      </w:r>
    </w:p>
    <w:sectPr w:rsidR="001C1D32" w:rsidSect="001C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03EB" w14:textId="77777777" w:rsidR="004B0234" w:rsidRDefault="004B0234" w:rsidP="006815C9">
      <w:r>
        <w:separator/>
      </w:r>
    </w:p>
  </w:endnote>
  <w:endnote w:type="continuationSeparator" w:id="0">
    <w:p w14:paraId="7C95E22C" w14:textId="77777777" w:rsidR="004B0234" w:rsidRDefault="004B0234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BCC5" w14:textId="77777777" w:rsidR="0031220B" w:rsidRDefault="0031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13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87A0F" w14:textId="0C04AC75" w:rsidR="00091D34" w:rsidRDefault="001C1D32" w:rsidP="009973D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8AE9E" w14:textId="272F9A06" w:rsidR="0031220B" w:rsidRPr="0031220B" w:rsidRDefault="0031220B" w:rsidP="0031220B">
    <w:pPr>
      <w:pStyle w:val="Footer"/>
      <w:jc w:val="center"/>
      <w:rPr>
        <w:rFonts w:cs="Arial"/>
        <w:sz w:val="14"/>
      </w:rPr>
    </w:pPr>
    <w:r w:rsidRPr="003122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F0D0" w14:textId="5E5C0A51" w:rsidR="0031220B" w:rsidRPr="0031220B" w:rsidRDefault="0031220B" w:rsidP="0031220B">
    <w:pPr>
      <w:pStyle w:val="Footer"/>
      <w:jc w:val="center"/>
      <w:rPr>
        <w:rFonts w:cs="Arial"/>
        <w:sz w:val="14"/>
      </w:rPr>
    </w:pPr>
    <w:r w:rsidRPr="0031220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B907" w14:textId="77777777" w:rsidR="004B0234" w:rsidRDefault="004B0234" w:rsidP="006815C9">
      <w:r>
        <w:separator/>
      </w:r>
    </w:p>
  </w:footnote>
  <w:footnote w:type="continuationSeparator" w:id="0">
    <w:p w14:paraId="5D192E34" w14:textId="77777777" w:rsidR="004B0234" w:rsidRDefault="004B0234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8425" w14:textId="77777777" w:rsidR="0031220B" w:rsidRDefault="0031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705E" w14:textId="77777777" w:rsidR="0031220B" w:rsidRDefault="00312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6675" w14:textId="77777777" w:rsidR="0031220B" w:rsidRDefault="0031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E73727"/>
    <w:multiLevelType w:val="hybridMultilevel"/>
    <w:tmpl w:val="2FFA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C42510"/>
    <w:multiLevelType w:val="hybridMultilevel"/>
    <w:tmpl w:val="076AB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91D34"/>
    <w:rsid w:val="0018342E"/>
    <w:rsid w:val="001C1D32"/>
    <w:rsid w:val="0031220B"/>
    <w:rsid w:val="0034322D"/>
    <w:rsid w:val="00347016"/>
    <w:rsid w:val="00397A47"/>
    <w:rsid w:val="003D6E16"/>
    <w:rsid w:val="003F7860"/>
    <w:rsid w:val="004B0234"/>
    <w:rsid w:val="004D368F"/>
    <w:rsid w:val="00573B37"/>
    <w:rsid w:val="005E3F32"/>
    <w:rsid w:val="006815C9"/>
    <w:rsid w:val="006E7046"/>
    <w:rsid w:val="0076584B"/>
    <w:rsid w:val="00797A25"/>
    <w:rsid w:val="0081191B"/>
    <w:rsid w:val="008511EC"/>
    <w:rsid w:val="00910A48"/>
    <w:rsid w:val="009973D3"/>
    <w:rsid w:val="00AD0CEA"/>
    <w:rsid w:val="00B45A83"/>
    <w:rsid w:val="00C1618B"/>
    <w:rsid w:val="00CB509A"/>
    <w:rsid w:val="00CC04E9"/>
    <w:rsid w:val="00D030D2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75FE2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basedOn w:val="Normal"/>
    <w:uiPriority w:val="34"/>
    <w:qFormat/>
    <w:rsid w:val="00573B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1D32"/>
    <w:rPr>
      <w:rFonts w:ascii="Arial" w:hAnsi="Arial"/>
      <w:sz w:val="18"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5E3F32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3923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2020-02-17T00:41:00Z</cp:lastPrinted>
  <dcterms:created xsi:type="dcterms:W3CDTF">2020-02-19T00:11:00Z</dcterms:created>
  <dcterms:modified xsi:type="dcterms:W3CDTF">2020-02-19T00:11:00Z</dcterms:modified>
</cp:coreProperties>
</file>