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76F" w:rsidRDefault="0015076F" w:rsidP="0015076F">
      <w:pPr>
        <w:jc w:val="right"/>
        <w:rPr>
          <w:b/>
          <w:bCs/>
          <w:sz w:val="32"/>
          <w:szCs w:val="32"/>
        </w:rPr>
      </w:pPr>
      <w:bookmarkStart w:id="0" w:name="_GoBack"/>
      <w:bookmarkEnd w:id="0"/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  <w:r w:rsidRPr="002326A1">
        <w:rPr>
          <w:rFonts w:ascii="Arial" w:hAnsi="Arial" w:cs="Arial"/>
          <w:b/>
          <w:bCs/>
        </w:rPr>
        <w:t>20</w:t>
      </w:r>
      <w:r w:rsidR="00C14EEA">
        <w:rPr>
          <w:rFonts w:ascii="Arial" w:hAnsi="Arial" w:cs="Arial"/>
          <w:b/>
          <w:bCs/>
        </w:rPr>
        <w:t>20</w:t>
      </w: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ind w:right="-618" w:hanging="142"/>
        <w:jc w:val="center"/>
        <w:rPr>
          <w:rFonts w:ascii="Arial" w:hAnsi="Arial" w:cs="Arial"/>
          <w:b/>
          <w:bCs/>
        </w:rPr>
      </w:pPr>
      <w:r w:rsidRPr="002326A1">
        <w:rPr>
          <w:rFonts w:ascii="Arial" w:hAnsi="Arial" w:cs="Arial"/>
          <w:b/>
          <w:bCs/>
        </w:rPr>
        <w:t xml:space="preserve">THE LEGISLATIVE ASSEMBLY FOR THE </w:t>
      </w:r>
    </w:p>
    <w:p w:rsidR="0015076F" w:rsidRDefault="0015076F" w:rsidP="0015076F">
      <w:pPr>
        <w:ind w:right="-618" w:hanging="142"/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ind w:right="-618" w:hanging="142"/>
        <w:jc w:val="center"/>
        <w:rPr>
          <w:rFonts w:ascii="Arial" w:hAnsi="Arial" w:cs="Arial"/>
          <w:b/>
          <w:bCs/>
        </w:rPr>
      </w:pPr>
      <w:r w:rsidRPr="002326A1">
        <w:rPr>
          <w:rFonts w:ascii="Arial" w:hAnsi="Arial" w:cs="Arial"/>
          <w:b/>
          <w:bCs/>
        </w:rPr>
        <w:t>AUSTRALIAN CAPITAL TERRITORY</w:t>
      </w: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C14EEA" w:rsidP="0015076F">
      <w:pPr>
        <w:jc w:val="center"/>
        <w:rPr>
          <w:rFonts w:ascii="Arial" w:hAnsi="Arial" w:cs="Arial"/>
          <w:b/>
          <w:bCs/>
        </w:rPr>
      </w:pPr>
      <w:r w:rsidRPr="00C14EEA">
        <w:rPr>
          <w:rFonts w:ascii="Arial" w:hAnsi="Arial" w:cs="Arial"/>
          <w:b/>
          <w:bCs/>
        </w:rPr>
        <w:t>Climate Change and Greenhouse Gas Reduction (Renewable Electricity Target Measurement Method) Determination 2020</w:t>
      </w: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2A7818" w:rsidP="0015076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DI2020-17</w:t>
      </w:r>
    </w:p>
    <w:p w:rsidR="0015076F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  <w:r w:rsidRPr="002326A1">
        <w:rPr>
          <w:rFonts w:ascii="Arial" w:hAnsi="Arial" w:cs="Arial"/>
          <w:b/>
          <w:bCs/>
        </w:rPr>
        <w:t>EXPLANATORY STATEMENT</w:t>
      </w: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Pr="002326A1" w:rsidRDefault="0015076F" w:rsidP="0015076F">
      <w:pPr>
        <w:jc w:val="center"/>
        <w:rPr>
          <w:rFonts w:ascii="Arial" w:hAnsi="Arial" w:cs="Arial"/>
          <w:b/>
          <w:bCs/>
        </w:rPr>
      </w:pPr>
    </w:p>
    <w:p w:rsidR="0015076F" w:rsidRDefault="0015076F" w:rsidP="0015076F">
      <w:pPr>
        <w:jc w:val="center"/>
        <w:rPr>
          <w:b/>
          <w:bCs/>
        </w:rPr>
      </w:pPr>
    </w:p>
    <w:p w:rsidR="0015076F" w:rsidRDefault="0015076F" w:rsidP="0015076F">
      <w:pPr>
        <w:jc w:val="center"/>
        <w:rPr>
          <w:b/>
          <w:bCs/>
        </w:rPr>
      </w:pPr>
    </w:p>
    <w:p w:rsidR="0015076F" w:rsidRDefault="0015076F" w:rsidP="0015076F">
      <w:pPr>
        <w:jc w:val="center"/>
        <w:rPr>
          <w:b/>
          <w:bCs/>
        </w:rPr>
      </w:pPr>
    </w:p>
    <w:p w:rsidR="0015076F" w:rsidRDefault="0015076F" w:rsidP="0015076F">
      <w:pPr>
        <w:jc w:val="center"/>
        <w:rPr>
          <w:b/>
          <w:bCs/>
        </w:rPr>
      </w:pPr>
    </w:p>
    <w:p w:rsidR="0015076F" w:rsidRDefault="0015076F" w:rsidP="0015076F">
      <w:pPr>
        <w:jc w:val="center"/>
        <w:rPr>
          <w:b/>
          <w:bCs/>
        </w:rPr>
      </w:pPr>
    </w:p>
    <w:p w:rsidR="0015076F" w:rsidRDefault="0015076F" w:rsidP="0015076F">
      <w:pPr>
        <w:spacing w:after="160" w:line="259" w:lineRule="auto"/>
        <w:rPr>
          <w:b/>
          <w:bCs/>
        </w:rPr>
      </w:pPr>
    </w:p>
    <w:p w:rsidR="00C14EEA" w:rsidRPr="00D06797" w:rsidRDefault="0015076F" w:rsidP="006866A0">
      <w:pPr>
        <w:spacing w:after="160" w:line="259" w:lineRule="auto"/>
        <w:rPr>
          <w:rFonts w:ascii="Arial" w:hAnsi="Arial" w:cs="Arial"/>
          <w:szCs w:val="24"/>
        </w:rPr>
      </w:pPr>
      <w:r>
        <w:br w:type="page"/>
      </w:r>
    </w:p>
    <w:p w:rsidR="00C14EEA" w:rsidRPr="00D06797" w:rsidRDefault="00C14EEA" w:rsidP="00C14EEA">
      <w:pPr>
        <w:jc w:val="right"/>
        <w:rPr>
          <w:rFonts w:ascii="Arial" w:hAnsi="Arial" w:cs="Arial"/>
          <w:szCs w:val="24"/>
        </w:rPr>
      </w:pPr>
    </w:p>
    <w:p w:rsidR="00C14EEA" w:rsidRPr="002326A1" w:rsidRDefault="00C14EEA" w:rsidP="00C14EEA">
      <w:pPr>
        <w:rPr>
          <w:rFonts w:ascii="Arial" w:hAnsi="Arial" w:cs="Arial"/>
          <w:b/>
          <w:bCs/>
        </w:rPr>
      </w:pPr>
      <w:r w:rsidRPr="00C14EEA">
        <w:rPr>
          <w:rFonts w:ascii="Arial" w:hAnsi="Arial" w:cs="Arial"/>
          <w:b/>
          <w:bCs/>
        </w:rPr>
        <w:t>Climate Change and Greenhouse Gas Reduction (Renewable Electricity Target Measurement Method) Determination 2020</w:t>
      </w:r>
    </w:p>
    <w:p w:rsidR="0015076F" w:rsidRPr="002326A1" w:rsidRDefault="0015076F" w:rsidP="0015076F">
      <w:pPr>
        <w:rPr>
          <w:rFonts w:ascii="Arial" w:hAnsi="Arial" w:cs="Arial"/>
        </w:rPr>
      </w:pPr>
    </w:p>
    <w:p w:rsidR="0015076F" w:rsidRDefault="0015076F" w:rsidP="0015076F">
      <w:pPr>
        <w:keepNext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15076F" w:rsidRDefault="0015076F" w:rsidP="0015076F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explanatory statement relates to the </w:t>
      </w:r>
      <w:r w:rsidR="00C14EEA" w:rsidRPr="00C14EEA">
        <w:rPr>
          <w:rFonts w:ascii="Arial" w:hAnsi="Arial" w:cs="Arial"/>
          <w:i/>
        </w:rPr>
        <w:t xml:space="preserve">Climate Change and Greenhouse Gas Reduction (Renewable Electricity Target Measurement Method) Determination 2020 </w:t>
      </w:r>
      <w:r>
        <w:rPr>
          <w:rFonts w:ascii="Arial" w:hAnsi="Arial" w:cs="Arial"/>
        </w:rPr>
        <w:t xml:space="preserve">(the </w:t>
      </w:r>
      <w:r w:rsidR="00C14EEA">
        <w:rPr>
          <w:rFonts w:ascii="Arial" w:hAnsi="Arial" w:cs="Arial"/>
        </w:rPr>
        <w:t>Instrument</w:t>
      </w:r>
      <w:r>
        <w:rPr>
          <w:rFonts w:ascii="Arial" w:hAnsi="Arial" w:cs="Arial"/>
        </w:rPr>
        <w:t xml:space="preserve">) as presented to the Legislative Assembly. It has been prepared to assist the reader of the </w:t>
      </w:r>
      <w:r w:rsidR="00C14EEA">
        <w:rPr>
          <w:rFonts w:ascii="Arial" w:hAnsi="Arial" w:cs="Arial"/>
        </w:rPr>
        <w:t>Instrument</w:t>
      </w:r>
      <w:r>
        <w:rPr>
          <w:rFonts w:ascii="Arial" w:hAnsi="Arial" w:cs="Arial"/>
        </w:rPr>
        <w:t xml:space="preserve"> and to help inform debate on it. It does not form part of the </w:t>
      </w:r>
      <w:r w:rsidR="00C14EEA">
        <w:rPr>
          <w:rFonts w:ascii="Arial" w:hAnsi="Arial" w:cs="Arial"/>
        </w:rPr>
        <w:t xml:space="preserve">Instrument </w:t>
      </w:r>
      <w:r>
        <w:rPr>
          <w:rFonts w:ascii="Arial" w:hAnsi="Arial" w:cs="Arial"/>
        </w:rPr>
        <w:t>and has not been endorsed by the ACT Legislative Assembly.</w:t>
      </w:r>
    </w:p>
    <w:p w:rsidR="0015076F" w:rsidRDefault="0015076F" w:rsidP="0015076F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explanatory statement must be read in conjunction with the </w:t>
      </w:r>
      <w:r w:rsidR="00C14EEA">
        <w:rPr>
          <w:rFonts w:ascii="Arial" w:hAnsi="Arial" w:cs="Arial"/>
        </w:rPr>
        <w:t>Instrument</w:t>
      </w:r>
      <w:r w:rsidR="0063044F">
        <w:rPr>
          <w:rFonts w:ascii="Arial" w:hAnsi="Arial" w:cs="Arial"/>
        </w:rPr>
        <w:t xml:space="preserve"> (DI2020-17)</w:t>
      </w:r>
      <w:r>
        <w:rPr>
          <w:rFonts w:ascii="Arial" w:hAnsi="Arial" w:cs="Arial"/>
        </w:rPr>
        <w:t xml:space="preserve">. It is not, and is not intended to be, a comprehensive description of the </w:t>
      </w:r>
      <w:r w:rsidR="00C14EEA">
        <w:rPr>
          <w:rFonts w:ascii="Arial" w:hAnsi="Arial" w:cs="Arial"/>
        </w:rPr>
        <w:t>Instrument</w:t>
      </w:r>
      <w:r>
        <w:rPr>
          <w:rFonts w:ascii="Arial" w:hAnsi="Arial" w:cs="Arial"/>
        </w:rPr>
        <w:t>. What is written about a provision is not to be taken as an authoritative statement of the meaning of a provision, this being a responsibility of the Courts.</w:t>
      </w:r>
    </w:p>
    <w:p w:rsidR="0015076F" w:rsidRPr="00332498" w:rsidRDefault="0015076F" w:rsidP="0015076F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</w:t>
      </w:r>
      <w:r w:rsidR="004B691F">
        <w:rPr>
          <w:rFonts w:ascii="Arial" w:hAnsi="Arial" w:cs="Arial"/>
        </w:rPr>
        <w:t>Instrument</w:t>
      </w:r>
      <w:r>
        <w:rPr>
          <w:rFonts w:ascii="Arial" w:hAnsi="Arial" w:cs="Arial"/>
        </w:rPr>
        <w:t xml:space="preserve"> is to </w:t>
      </w:r>
      <w:r w:rsidR="004B691F">
        <w:rPr>
          <w:rFonts w:ascii="Arial" w:hAnsi="Arial" w:cs="Arial"/>
        </w:rPr>
        <w:t xml:space="preserve">determine a method for measuring compliance with the renewable electricity target specified in S 9(1) of the </w:t>
      </w:r>
      <w:r w:rsidR="004B691F" w:rsidRPr="004B691F">
        <w:rPr>
          <w:rFonts w:ascii="Arial" w:hAnsi="Arial" w:cs="Arial"/>
          <w:i/>
          <w:iCs/>
        </w:rPr>
        <w:t>Climate Change and Greenhouse Gas Reduction Act 2010</w:t>
      </w:r>
      <w:r w:rsidR="004B691F">
        <w:rPr>
          <w:rFonts w:ascii="Arial" w:hAnsi="Arial" w:cs="Arial"/>
        </w:rPr>
        <w:t xml:space="preserve"> (the Act), as required under S 10 of the Act.</w:t>
      </w:r>
    </w:p>
    <w:p w:rsidR="0015076F" w:rsidRPr="00B93345" w:rsidRDefault="0015076F" w:rsidP="0015076F">
      <w:pPr>
        <w:spacing w:after="120"/>
        <w:ind w:right="-45"/>
        <w:rPr>
          <w:rStyle w:val="Calibri12"/>
          <w:rFonts w:ascii="Arial" w:hAnsi="Arial" w:cs="Arial"/>
          <w:b/>
        </w:rPr>
      </w:pPr>
      <w:r w:rsidRPr="00B93345">
        <w:rPr>
          <w:rStyle w:val="Calibri12"/>
          <w:rFonts w:ascii="Arial" w:hAnsi="Arial" w:cs="Arial"/>
          <w:b/>
        </w:rPr>
        <w:t xml:space="preserve">Overview of the </w:t>
      </w:r>
      <w:r w:rsidR="0007372A">
        <w:rPr>
          <w:rStyle w:val="Calibri12"/>
          <w:rFonts w:ascii="Arial" w:hAnsi="Arial" w:cs="Arial"/>
          <w:b/>
        </w:rPr>
        <w:t>Instrument</w:t>
      </w:r>
    </w:p>
    <w:p w:rsidR="00105249" w:rsidRDefault="00105249" w:rsidP="005010C2">
      <w:pPr>
        <w:spacing w:after="24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The ACT Government has established a 100 per cent renewable electricity target under the Act. </w:t>
      </w:r>
      <w:r w:rsidR="00184E6B">
        <w:rPr>
          <w:rFonts w:ascii="Arial" w:eastAsia="Calibri" w:hAnsi="Arial" w:cs="Arial"/>
          <w:color w:val="000000"/>
        </w:rPr>
        <w:t>The Act requires the determination of a methodology for measuring compliance with any renewable energy targets under the Act, including the 100 per cent renewable electricity target.</w:t>
      </w:r>
    </w:p>
    <w:p w:rsidR="002C43D3" w:rsidRDefault="002C43D3" w:rsidP="007C38F5">
      <w:pPr>
        <w:spacing w:after="240"/>
        <w:ind w:right="-45"/>
        <w:rPr>
          <w:rStyle w:val="Calibri12"/>
          <w:rFonts w:ascii="Arial" w:hAnsi="Arial" w:cs="Arial"/>
        </w:rPr>
      </w:pPr>
      <w:r>
        <w:rPr>
          <w:rStyle w:val="Calibri12"/>
          <w:rFonts w:ascii="Arial" w:hAnsi="Arial" w:cs="Arial"/>
        </w:rPr>
        <w:t>The 100 per cent renewable electricity target is met, but generators both within the ACT, but in a large part in other locations.</w:t>
      </w:r>
    </w:p>
    <w:p w:rsidR="0015076F" w:rsidRDefault="005010C2" w:rsidP="00195BAB">
      <w:pPr>
        <w:spacing w:after="240"/>
        <w:ind w:right="-45"/>
        <w:rPr>
          <w:rStyle w:val="Calibri12"/>
          <w:rFonts w:ascii="Arial" w:hAnsi="Arial" w:cs="Arial"/>
        </w:rPr>
      </w:pPr>
      <w:r>
        <w:rPr>
          <w:rStyle w:val="Calibri12"/>
          <w:rFonts w:ascii="Arial" w:hAnsi="Arial" w:cs="Arial"/>
        </w:rPr>
        <w:t>The instrument details how the ACT Government will acquit the 100 per cent renewable electricity target, including what sources of renewable electricity will be counted in the target,</w:t>
      </w:r>
      <w:r w:rsidR="00195BAB">
        <w:rPr>
          <w:rStyle w:val="Calibri12"/>
          <w:rFonts w:ascii="Arial" w:hAnsi="Arial" w:cs="Arial"/>
        </w:rPr>
        <w:t xml:space="preserve"> how each component will be measured, and how</w:t>
      </w:r>
      <w:r>
        <w:rPr>
          <w:rStyle w:val="Calibri12"/>
          <w:rFonts w:ascii="Arial" w:hAnsi="Arial" w:cs="Arial"/>
        </w:rPr>
        <w:t xml:space="preserve"> electricity consumption</w:t>
      </w:r>
      <w:r w:rsidR="00195BAB">
        <w:rPr>
          <w:rStyle w:val="Calibri12"/>
          <w:rFonts w:ascii="Arial" w:hAnsi="Arial" w:cs="Arial"/>
        </w:rPr>
        <w:t xml:space="preserve"> will be measured.</w:t>
      </w:r>
    </w:p>
    <w:p w:rsidR="00664F9A" w:rsidRDefault="00664F9A" w:rsidP="00195BAB">
      <w:pPr>
        <w:spacing w:after="240"/>
        <w:ind w:right="-45"/>
        <w:rPr>
          <w:rFonts w:ascii="Arial" w:hAnsi="Arial" w:cs="Arial"/>
        </w:rPr>
      </w:pPr>
      <w:r>
        <w:rPr>
          <w:rFonts w:ascii="Arial" w:hAnsi="Arial" w:cs="Arial"/>
        </w:rPr>
        <w:t>The instrumen</w:t>
      </w:r>
      <w:r w:rsidR="00754DFE">
        <w:rPr>
          <w:rFonts w:ascii="Arial" w:hAnsi="Arial" w:cs="Arial"/>
        </w:rPr>
        <w:t xml:space="preserve">t commences retrospectively. The purpose of retrospective commencement is to make sure that the method for measuring compliance with the renewable energy target </w:t>
      </w:r>
      <w:r w:rsidR="004316C0">
        <w:rPr>
          <w:rFonts w:ascii="Arial" w:hAnsi="Arial" w:cs="Arial"/>
        </w:rPr>
        <w:t>aligns with the date for the target for the use of renewable energy in section 9(1) o</w:t>
      </w:r>
      <w:r w:rsidR="00560EED">
        <w:rPr>
          <w:rFonts w:ascii="Arial" w:hAnsi="Arial" w:cs="Arial"/>
        </w:rPr>
        <w:t>f</w:t>
      </w:r>
      <w:r w:rsidR="004316C0">
        <w:rPr>
          <w:rFonts w:ascii="Arial" w:hAnsi="Arial" w:cs="Arial"/>
        </w:rPr>
        <w:t xml:space="preserve"> the Act. </w:t>
      </w:r>
      <w:r w:rsidR="006866A0">
        <w:rPr>
          <w:rFonts w:ascii="Arial" w:hAnsi="Arial" w:cs="Arial"/>
        </w:rPr>
        <w:t>By ensuring the methodology is in place for the entire duration of the target will remove a potential source of ambiguity about how the target will be measured.</w:t>
      </w:r>
    </w:p>
    <w:p w:rsidR="00560EED" w:rsidRDefault="00560EED" w:rsidP="00195BAB">
      <w:pPr>
        <w:spacing w:after="240"/>
        <w:ind w:right="-45"/>
        <w:rPr>
          <w:rFonts w:ascii="Arial" w:hAnsi="Arial" w:cs="Arial"/>
        </w:rPr>
      </w:pPr>
      <w:r>
        <w:rPr>
          <w:rFonts w:ascii="Arial" w:hAnsi="Arial" w:cs="Arial"/>
        </w:rPr>
        <w:t xml:space="preserve">The instrument applies from 1 January 2020. This retrospectivity does not contravene section 76 of the </w:t>
      </w:r>
      <w:r w:rsidRPr="006866A0">
        <w:rPr>
          <w:rFonts w:ascii="Arial" w:hAnsi="Arial" w:cs="Arial"/>
          <w:i/>
        </w:rPr>
        <w:t>Legislation Act 2001</w:t>
      </w:r>
      <w:r>
        <w:rPr>
          <w:rFonts w:ascii="Arial" w:hAnsi="Arial" w:cs="Arial"/>
        </w:rPr>
        <w:t xml:space="preserve"> because it is non-prejudicial. The instrument does not </w:t>
      </w:r>
      <w:r w:rsidR="00CD2127">
        <w:rPr>
          <w:rFonts w:ascii="Arial" w:hAnsi="Arial" w:cs="Arial"/>
        </w:rPr>
        <w:t xml:space="preserve">adversely affect any person’s rights or impose liabilities on any person. </w:t>
      </w:r>
    </w:p>
    <w:p w:rsidR="00860B6F" w:rsidRPr="006866A0" w:rsidRDefault="00860B6F" w:rsidP="00860B6F">
      <w:pPr>
        <w:spacing w:after="240"/>
        <w:ind w:right="-45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The instrument</w:t>
      </w:r>
      <w:r w:rsidRPr="00860B6F">
        <w:rPr>
          <w:rFonts w:ascii="Arial" w:hAnsi="Arial" w:cs="Arial"/>
        </w:rPr>
        <w:t xml:space="preserve"> is not</w:t>
      </w:r>
      <w:r>
        <w:rPr>
          <w:rFonts w:ascii="Arial" w:hAnsi="Arial" w:cs="Arial"/>
        </w:rPr>
        <w:t xml:space="preserve"> likely to impose a</w:t>
      </w:r>
      <w:r w:rsidRPr="00860B6F">
        <w:rPr>
          <w:rFonts w:ascii="Arial" w:hAnsi="Arial" w:cs="Arial"/>
        </w:rPr>
        <w:t xml:space="preserve">ppreciable costs on the community, or part of the community and for this reason a regulatory impact statement is not required consistent with section 34 of the Legislation Act. In addition, in accordance with s36(1)(b) of the Legislation Act, a regulatory impact statement is unnecessary as the determination provides a tool to </w:t>
      </w:r>
      <w:r>
        <w:rPr>
          <w:rFonts w:ascii="Arial" w:hAnsi="Arial" w:cs="Arial"/>
        </w:rPr>
        <w:t>measure compliance with the ACT’s renewable energy target</w:t>
      </w:r>
      <w:r w:rsidRPr="00860B6F">
        <w:rPr>
          <w:rFonts w:ascii="Arial" w:hAnsi="Arial" w:cs="Arial"/>
        </w:rPr>
        <w:t xml:space="preserve"> and does not adversely affect a person’s rights,</w:t>
      </w:r>
      <w:r w:rsidR="002A5EE7">
        <w:rPr>
          <w:rFonts w:ascii="Arial" w:hAnsi="Arial" w:cs="Arial"/>
        </w:rPr>
        <w:t xml:space="preserve"> </w:t>
      </w:r>
      <w:r w:rsidRPr="00860B6F">
        <w:rPr>
          <w:rFonts w:ascii="Arial" w:hAnsi="Arial" w:cs="Arial"/>
        </w:rPr>
        <w:t>or impose liabilities on anyone. Similarly, as the determination only provi</w:t>
      </w:r>
      <w:r>
        <w:rPr>
          <w:rFonts w:ascii="Arial" w:hAnsi="Arial" w:cs="Arial"/>
        </w:rPr>
        <w:t>des a tool to measure compliance with the renewable energy target</w:t>
      </w:r>
      <w:r w:rsidRPr="00860B6F">
        <w:rPr>
          <w:rFonts w:ascii="Arial" w:hAnsi="Arial" w:cs="Arial"/>
        </w:rPr>
        <w:t xml:space="preserve"> it does not derogate from a right contained in the </w:t>
      </w:r>
      <w:r w:rsidRPr="006866A0">
        <w:rPr>
          <w:rFonts w:ascii="Arial" w:hAnsi="Arial" w:cs="Arial"/>
          <w:i/>
        </w:rPr>
        <w:t>Human Rights Act 2004.</w:t>
      </w:r>
    </w:p>
    <w:p w:rsidR="00860B6F" w:rsidRDefault="00860B6F" w:rsidP="00195BAB">
      <w:pPr>
        <w:spacing w:after="240"/>
        <w:ind w:right="-45"/>
        <w:rPr>
          <w:rFonts w:ascii="Arial" w:hAnsi="Arial" w:cs="Arial"/>
        </w:rPr>
      </w:pPr>
    </w:p>
    <w:p w:rsidR="0015076F" w:rsidRPr="002326A1" w:rsidRDefault="0015076F" w:rsidP="0015076F">
      <w:pPr>
        <w:rPr>
          <w:rFonts w:ascii="Arial" w:hAnsi="Arial" w:cs="Arial"/>
          <w:b/>
          <w:bCs/>
        </w:rPr>
      </w:pPr>
      <w:r w:rsidRPr="002326A1">
        <w:rPr>
          <w:rFonts w:ascii="Arial" w:hAnsi="Arial" w:cs="Arial"/>
          <w:b/>
        </w:rPr>
        <w:t xml:space="preserve">Summary of clauses </w:t>
      </w:r>
    </w:p>
    <w:p w:rsidR="0015076F" w:rsidRPr="002326A1" w:rsidRDefault="0015076F" w:rsidP="0015076F">
      <w:pPr>
        <w:pStyle w:val="Heading3"/>
      </w:pPr>
    </w:p>
    <w:p w:rsidR="0015076F" w:rsidRPr="002326A1" w:rsidRDefault="0015076F" w:rsidP="0015076F">
      <w:pPr>
        <w:rPr>
          <w:rFonts w:ascii="Arial" w:hAnsi="Arial" w:cs="Arial"/>
          <w:b/>
          <w:bCs/>
        </w:rPr>
      </w:pPr>
      <w:r w:rsidRPr="002326A1">
        <w:rPr>
          <w:rFonts w:ascii="Arial" w:hAnsi="Arial" w:cs="Arial"/>
          <w:b/>
          <w:bCs/>
        </w:rPr>
        <w:t>Clause 1</w:t>
      </w:r>
      <w:r w:rsidRPr="002326A1">
        <w:rPr>
          <w:rFonts w:ascii="Arial" w:hAnsi="Arial" w:cs="Arial"/>
        </w:rPr>
        <w:t xml:space="preserve"> -</w:t>
      </w:r>
      <w:r w:rsidRPr="002326A1">
        <w:rPr>
          <w:rFonts w:ascii="Arial" w:hAnsi="Arial" w:cs="Arial"/>
          <w:b/>
          <w:bCs/>
        </w:rPr>
        <w:t xml:space="preserve"> Name of</w:t>
      </w:r>
      <w:r>
        <w:rPr>
          <w:rFonts w:ascii="Arial" w:hAnsi="Arial" w:cs="Arial"/>
          <w:b/>
          <w:bCs/>
        </w:rPr>
        <w:t xml:space="preserve"> </w:t>
      </w:r>
      <w:r w:rsidR="007C38F5">
        <w:rPr>
          <w:rFonts w:ascii="Arial" w:hAnsi="Arial" w:cs="Arial"/>
          <w:b/>
          <w:bCs/>
        </w:rPr>
        <w:t>Instrument</w:t>
      </w:r>
      <w:r>
        <w:rPr>
          <w:rFonts w:ascii="Arial" w:hAnsi="Arial" w:cs="Arial"/>
          <w:b/>
          <w:bCs/>
        </w:rPr>
        <w:t xml:space="preserve"> </w:t>
      </w:r>
      <w:r w:rsidRPr="002326A1">
        <w:rPr>
          <w:rFonts w:ascii="Arial" w:hAnsi="Arial" w:cs="Arial"/>
        </w:rPr>
        <w:t>–</w:t>
      </w:r>
      <w:r w:rsidRPr="002326A1">
        <w:rPr>
          <w:rFonts w:ascii="Arial" w:hAnsi="Arial" w:cs="Arial"/>
          <w:b/>
          <w:bCs/>
        </w:rPr>
        <w:t xml:space="preserve"> </w:t>
      </w:r>
      <w:r w:rsidRPr="002326A1">
        <w:rPr>
          <w:rFonts w:ascii="Arial" w:hAnsi="Arial" w:cs="Arial"/>
        </w:rPr>
        <w:t xml:space="preserve">provides that the name of the </w:t>
      </w:r>
      <w:r w:rsidR="007C38F5">
        <w:rPr>
          <w:rFonts w:ascii="Arial" w:hAnsi="Arial" w:cs="Arial"/>
        </w:rPr>
        <w:t>Instrument</w:t>
      </w:r>
      <w:r>
        <w:rPr>
          <w:rFonts w:ascii="Arial" w:hAnsi="Arial" w:cs="Arial"/>
        </w:rPr>
        <w:t xml:space="preserve"> </w:t>
      </w:r>
      <w:r w:rsidRPr="002326A1">
        <w:rPr>
          <w:rFonts w:ascii="Arial" w:hAnsi="Arial" w:cs="Arial"/>
        </w:rPr>
        <w:t xml:space="preserve">is the </w:t>
      </w:r>
      <w:r w:rsidR="007C38F5" w:rsidRPr="007C38F5">
        <w:rPr>
          <w:rFonts w:ascii="Arial" w:hAnsi="Arial" w:cs="Arial"/>
          <w:bCs/>
          <w:iCs/>
        </w:rPr>
        <w:t>Climate Change and Greenhouse Gas Reduction (Renewable Electricity Target Measurement Method) Determination 2020.</w:t>
      </w:r>
    </w:p>
    <w:p w:rsidR="0015076F" w:rsidRPr="002326A1" w:rsidRDefault="0015076F" w:rsidP="0015076F">
      <w:pPr>
        <w:rPr>
          <w:rFonts w:ascii="Arial" w:hAnsi="Arial" w:cs="Arial"/>
        </w:rPr>
      </w:pPr>
    </w:p>
    <w:p w:rsidR="0015076F" w:rsidRPr="00177DEE" w:rsidRDefault="0015076F" w:rsidP="0015076F">
      <w:pPr>
        <w:rPr>
          <w:rFonts w:ascii="Arial" w:hAnsi="Arial" w:cs="Arial"/>
          <w:vertAlign w:val="subscript"/>
        </w:rPr>
      </w:pPr>
      <w:r w:rsidRPr="002326A1">
        <w:rPr>
          <w:rFonts w:ascii="Arial" w:hAnsi="Arial" w:cs="Arial"/>
          <w:b/>
          <w:bCs/>
        </w:rPr>
        <w:t>Clause 2</w:t>
      </w:r>
      <w:r w:rsidRPr="002326A1">
        <w:rPr>
          <w:rFonts w:ascii="Arial" w:hAnsi="Arial" w:cs="Arial"/>
        </w:rPr>
        <w:t xml:space="preserve"> -</w:t>
      </w:r>
      <w:r w:rsidRPr="002326A1">
        <w:rPr>
          <w:rFonts w:ascii="Arial" w:hAnsi="Arial" w:cs="Arial"/>
          <w:b/>
          <w:bCs/>
        </w:rPr>
        <w:t xml:space="preserve"> Commencement</w:t>
      </w:r>
      <w:r w:rsidRPr="002326A1">
        <w:rPr>
          <w:rFonts w:ascii="Arial" w:hAnsi="Arial" w:cs="Arial"/>
        </w:rPr>
        <w:t xml:space="preserve"> – provides that </w:t>
      </w:r>
      <w:r>
        <w:rPr>
          <w:rFonts w:ascii="Arial" w:hAnsi="Arial" w:cs="Arial"/>
        </w:rPr>
        <w:t xml:space="preserve">the </w:t>
      </w:r>
      <w:r w:rsidR="00664F9A">
        <w:rPr>
          <w:rFonts w:ascii="Arial" w:hAnsi="Arial" w:cs="Arial"/>
        </w:rPr>
        <w:t xml:space="preserve">instrument is taken to have commenced on 1 January 2020. </w:t>
      </w:r>
    </w:p>
    <w:p w:rsidR="0015076F" w:rsidRPr="002326A1" w:rsidRDefault="0015076F" w:rsidP="0015076F">
      <w:pPr>
        <w:rPr>
          <w:rFonts w:ascii="Arial" w:hAnsi="Arial" w:cs="Arial"/>
        </w:rPr>
      </w:pPr>
    </w:p>
    <w:p w:rsidR="0015076F" w:rsidRPr="002326A1" w:rsidRDefault="0015076F" w:rsidP="0015076F">
      <w:pPr>
        <w:rPr>
          <w:rFonts w:ascii="Arial" w:hAnsi="Arial" w:cs="Arial"/>
        </w:rPr>
      </w:pPr>
      <w:r w:rsidRPr="002326A1">
        <w:rPr>
          <w:rFonts w:ascii="Arial" w:hAnsi="Arial" w:cs="Arial"/>
          <w:b/>
          <w:bCs/>
        </w:rPr>
        <w:t xml:space="preserve">Clause 3 </w:t>
      </w:r>
      <w:r w:rsidRPr="002326A1">
        <w:rPr>
          <w:rFonts w:ascii="Arial" w:hAnsi="Arial" w:cs="Arial"/>
        </w:rPr>
        <w:t>-</w:t>
      </w:r>
      <w:r w:rsidRPr="002326A1">
        <w:rPr>
          <w:rFonts w:ascii="Arial" w:hAnsi="Arial" w:cs="Arial"/>
          <w:b/>
          <w:bCs/>
        </w:rPr>
        <w:t xml:space="preserve"> </w:t>
      </w:r>
      <w:r w:rsidR="007C38F5" w:rsidRPr="007C38F5">
        <w:rPr>
          <w:rFonts w:ascii="Arial" w:hAnsi="Arial" w:cs="Arial"/>
          <w:b/>
        </w:rPr>
        <w:t xml:space="preserve">Renewable Energy Target Compliance Measurement Method </w:t>
      </w:r>
      <w:r>
        <w:rPr>
          <w:rFonts w:ascii="Arial" w:hAnsi="Arial" w:cs="Arial"/>
        </w:rPr>
        <w:t>–</w:t>
      </w:r>
      <w:r w:rsidR="006866A0">
        <w:rPr>
          <w:rFonts w:ascii="Arial" w:hAnsi="Arial" w:cs="Arial"/>
        </w:rPr>
        <w:t xml:space="preserve">determines that the method in the schedule to the Instrument is the </w:t>
      </w:r>
      <w:r w:rsidR="007C38F5">
        <w:rPr>
          <w:rFonts w:ascii="Arial" w:hAnsi="Arial" w:cs="Arial"/>
        </w:rPr>
        <w:t>method for measuring compliance with the 100 per cent renewable electricity target</w:t>
      </w:r>
      <w:r w:rsidR="006866A0">
        <w:rPr>
          <w:rFonts w:ascii="Arial" w:hAnsi="Arial" w:cs="Arial"/>
        </w:rPr>
        <w:t>.</w:t>
      </w:r>
    </w:p>
    <w:p w:rsidR="0015076F" w:rsidRPr="002326A1" w:rsidRDefault="0015076F" w:rsidP="0015076F">
      <w:pPr>
        <w:rPr>
          <w:rFonts w:ascii="Arial" w:hAnsi="Arial" w:cs="Arial"/>
          <w:b/>
          <w:bCs/>
        </w:rPr>
      </w:pPr>
    </w:p>
    <w:p w:rsidR="0015076F" w:rsidRDefault="0015076F" w:rsidP="0015076F">
      <w:pPr>
        <w:rPr>
          <w:rFonts w:ascii="Arial" w:hAnsi="Arial" w:cs="Arial"/>
          <w:bCs/>
        </w:rPr>
      </w:pPr>
    </w:p>
    <w:p w:rsidR="0015076F" w:rsidRPr="00177DEE" w:rsidRDefault="0015076F" w:rsidP="0015076F">
      <w:pPr>
        <w:rPr>
          <w:rFonts w:ascii="Arial" w:hAnsi="Arial" w:cs="Arial"/>
          <w:bCs/>
        </w:rPr>
      </w:pPr>
    </w:p>
    <w:p w:rsidR="00A10EC8" w:rsidRPr="0015076F" w:rsidRDefault="00A10EC8" w:rsidP="0015076F"/>
    <w:sectPr w:rsidR="00A10EC8" w:rsidRPr="0015076F" w:rsidSect="004455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83C" w:rsidRDefault="0099783C">
      <w:r>
        <w:separator/>
      </w:r>
    </w:p>
  </w:endnote>
  <w:endnote w:type="continuationSeparator" w:id="0">
    <w:p w:rsidR="0099783C" w:rsidRDefault="0099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F58" w:rsidRDefault="00CF2F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DD" w:rsidRPr="00510286" w:rsidRDefault="00510286" w:rsidP="00510286">
    <w:pPr>
      <w:pStyle w:val="Footer"/>
      <w:spacing w:before="0" w:after="0" w:line="240" w:lineRule="auto"/>
      <w:jc w:val="center"/>
      <w:rPr>
        <w:rFonts w:cs="Arial"/>
        <w:sz w:val="14"/>
      </w:rPr>
    </w:pPr>
    <w:r w:rsidRPr="0051028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F58" w:rsidRDefault="00CF2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83C" w:rsidRDefault="0099783C">
      <w:r>
        <w:separator/>
      </w:r>
    </w:p>
  </w:footnote>
  <w:footnote w:type="continuationSeparator" w:id="0">
    <w:p w:rsidR="0099783C" w:rsidRDefault="0099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F58" w:rsidRDefault="00CF2F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F58" w:rsidRDefault="00CF2F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F58" w:rsidRDefault="00CF2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337925"/>
    <w:multiLevelType w:val="multilevel"/>
    <w:tmpl w:val="969EB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E981145"/>
    <w:multiLevelType w:val="hybridMultilevel"/>
    <w:tmpl w:val="8A66D212"/>
    <w:lvl w:ilvl="0" w:tplc="3D2E65D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4E62065"/>
    <w:multiLevelType w:val="hybridMultilevel"/>
    <w:tmpl w:val="EC0877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7A3747"/>
    <w:multiLevelType w:val="hybridMultilevel"/>
    <w:tmpl w:val="8BB04B4E"/>
    <w:lvl w:ilvl="0" w:tplc="1B92096A">
      <w:start w:val="14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551A20EE"/>
    <w:multiLevelType w:val="hybridMultilevel"/>
    <w:tmpl w:val="023A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54979"/>
    <w:multiLevelType w:val="hybridMultilevel"/>
    <w:tmpl w:val="C9A2066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13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  <w:num w:numId="11">
    <w:abstractNumId w:val="8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82D"/>
    <w:rsid w:val="000163D8"/>
    <w:rsid w:val="0002543E"/>
    <w:rsid w:val="000378BF"/>
    <w:rsid w:val="0007372A"/>
    <w:rsid w:val="000A7001"/>
    <w:rsid w:val="000B36FC"/>
    <w:rsid w:val="000C0017"/>
    <w:rsid w:val="000C4D4A"/>
    <w:rsid w:val="000E0690"/>
    <w:rsid w:val="00102FEA"/>
    <w:rsid w:val="00105249"/>
    <w:rsid w:val="00131CEC"/>
    <w:rsid w:val="0015076F"/>
    <w:rsid w:val="0015708F"/>
    <w:rsid w:val="001610B6"/>
    <w:rsid w:val="00170499"/>
    <w:rsid w:val="00170730"/>
    <w:rsid w:val="00171E37"/>
    <w:rsid w:val="0017536C"/>
    <w:rsid w:val="00176589"/>
    <w:rsid w:val="00184E6B"/>
    <w:rsid w:val="00195BAB"/>
    <w:rsid w:val="001A07E8"/>
    <w:rsid w:val="001C43FD"/>
    <w:rsid w:val="001F6DB1"/>
    <w:rsid w:val="00203410"/>
    <w:rsid w:val="00205365"/>
    <w:rsid w:val="00221599"/>
    <w:rsid w:val="00224572"/>
    <w:rsid w:val="00225A48"/>
    <w:rsid w:val="00226869"/>
    <w:rsid w:val="0023254C"/>
    <w:rsid w:val="002A3554"/>
    <w:rsid w:val="002A5EE7"/>
    <w:rsid w:val="002A7818"/>
    <w:rsid w:val="002C43D3"/>
    <w:rsid w:val="002E1119"/>
    <w:rsid w:val="002E486C"/>
    <w:rsid w:val="00301D00"/>
    <w:rsid w:val="00321FAE"/>
    <w:rsid w:val="00326FC7"/>
    <w:rsid w:val="0034271F"/>
    <w:rsid w:val="00351B40"/>
    <w:rsid w:val="00360F3B"/>
    <w:rsid w:val="003815A3"/>
    <w:rsid w:val="00394616"/>
    <w:rsid w:val="003C466B"/>
    <w:rsid w:val="003C73B1"/>
    <w:rsid w:val="003C7C59"/>
    <w:rsid w:val="003E6000"/>
    <w:rsid w:val="00403A43"/>
    <w:rsid w:val="004316C0"/>
    <w:rsid w:val="004455DD"/>
    <w:rsid w:val="004561BE"/>
    <w:rsid w:val="00467573"/>
    <w:rsid w:val="004706CF"/>
    <w:rsid w:val="00487579"/>
    <w:rsid w:val="00492460"/>
    <w:rsid w:val="004B691F"/>
    <w:rsid w:val="004B7768"/>
    <w:rsid w:val="004C1667"/>
    <w:rsid w:val="004D4ED2"/>
    <w:rsid w:val="004E678C"/>
    <w:rsid w:val="005010C2"/>
    <w:rsid w:val="00510286"/>
    <w:rsid w:val="00557816"/>
    <w:rsid w:val="00560EED"/>
    <w:rsid w:val="00564050"/>
    <w:rsid w:val="00575ED3"/>
    <w:rsid w:val="00584086"/>
    <w:rsid w:val="005967E8"/>
    <w:rsid w:val="005C60A0"/>
    <w:rsid w:val="005F7F70"/>
    <w:rsid w:val="006123C8"/>
    <w:rsid w:val="0063044F"/>
    <w:rsid w:val="00635548"/>
    <w:rsid w:val="00642CD4"/>
    <w:rsid w:val="0064711F"/>
    <w:rsid w:val="00664F9A"/>
    <w:rsid w:val="006817AF"/>
    <w:rsid w:val="006866A0"/>
    <w:rsid w:val="006C0A6A"/>
    <w:rsid w:val="006F7A8D"/>
    <w:rsid w:val="007120EC"/>
    <w:rsid w:val="0072072C"/>
    <w:rsid w:val="007216AA"/>
    <w:rsid w:val="00732E1E"/>
    <w:rsid w:val="00745EE5"/>
    <w:rsid w:val="007534BC"/>
    <w:rsid w:val="00754DFE"/>
    <w:rsid w:val="0077231A"/>
    <w:rsid w:val="007830FA"/>
    <w:rsid w:val="0078428A"/>
    <w:rsid w:val="007B3A1E"/>
    <w:rsid w:val="007C38F5"/>
    <w:rsid w:val="007D3715"/>
    <w:rsid w:val="007E73E8"/>
    <w:rsid w:val="00806905"/>
    <w:rsid w:val="0080694B"/>
    <w:rsid w:val="00812239"/>
    <w:rsid w:val="008131C3"/>
    <w:rsid w:val="00821BC3"/>
    <w:rsid w:val="0085312F"/>
    <w:rsid w:val="00860B6F"/>
    <w:rsid w:val="00863D1B"/>
    <w:rsid w:val="008A060A"/>
    <w:rsid w:val="008B041E"/>
    <w:rsid w:val="008B0476"/>
    <w:rsid w:val="008B3123"/>
    <w:rsid w:val="008F3EEA"/>
    <w:rsid w:val="008F6A5E"/>
    <w:rsid w:val="00904201"/>
    <w:rsid w:val="00905068"/>
    <w:rsid w:val="00907898"/>
    <w:rsid w:val="0091614E"/>
    <w:rsid w:val="00952B28"/>
    <w:rsid w:val="009804D3"/>
    <w:rsid w:val="00981C2A"/>
    <w:rsid w:val="009829F7"/>
    <w:rsid w:val="00995380"/>
    <w:rsid w:val="009971CF"/>
    <w:rsid w:val="0099783C"/>
    <w:rsid w:val="009B5280"/>
    <w:rsid w:val="009C0109"/>
    <w:rsid w:val="009C0206"/>
    <w:rsid w:val="009E0A0A"/>
    <w:rsid w:val="00A05D9E"/>
    <w:rsid w:val="00A10EC8"/>
    <w:rsid w:val="00A2581F"/>
    <w:rsid w:val="00A37B2E"/>
    <w:rsid w:val="00A54310"/>
    <w:rsid w:val="00A708F8"/>
    <w:rsid w:val="00AD364B"/>
    <w:rsid w:val="00B26FF6"/>
    <w:rsid w:val="00B72D6F"/>
    <w:rsid w:val="00BB57B6"/>
    <w:rsid w:val="00BD1EFB"/>
    <w:rsid w:val="00BD6C26"/>
    <w:rsid w:val="00BF0A10"/>
    <w:rsid w:val="00C008E4"/>
    <w:rsid w:val="00C127F1"/>
    <w:rsid w:val="00C14EEA"/>
    <w:rsid w:val="00C32B9F"/>
    <w:rsid w:val="00C40CD5"/>
    <w:rsid w:val="00C62A04"/>
    <w:rsid w:val="00C76A4C"/>
    <w:rsid w:val="00C80375"/>
    <w:rsid w:val="00C92832"/>
    <w:rsid w:val="00CA682D"/>
    <w:rsid w:val="00CA7864"/>
    <w:rsid w:val="00CB4474"/>
    <w:rsid w:val="00CD2127"/>
    <w:rsid w:val="00CD59B5"/>
    <w:rsid w:val="00CF2F58"/>
    <w:rsid w:val="00D06797"/>
    <w:rsid w:val="00D10C15"/>
    <w:rsid w:val="00D13D83"/>
    <w:rsid w:val="00D42F71"/>
    <w:rsid w:val="00D81122"/>
    <w:rsid w:val="00D8618D"/>
    <w:rsid w:val="00DC7166"/>
    <w:rsid w:val="00DC79B9"/>
    <w:rsid w:val="00DD0407"/>
    <w:rsid w:val="00E02DB6"/>
    <w:rsid w:val="00E12295"/>
    <w:rsid w:val="00E33C89"/>
    <w:rsid w:val="00E356CE"/>
    <w:rsid w:val="00E71620"/>
    <w:rsid w:val="00E806A5"/>
    <w:rsid w:val="00E86939"/>
    <w:rsid w:val="00ED4E13"/>
    <w:rsid w:val="00ED6F23"/>
    <w:rsid w:val="00EE1333"/>
    <w:rsid w:val="00F05433"/>
    <w:rsid w:val="00F26F0E"/>
    <w:rsid w:val="00F2734D"/>
    <w:rsid w:val="00F34575"/>
    <w:rsid w:val="00F843BF"/>
    <w:rsid w:val="00F92317"/>
    <w:rsid w:val="00FB2A87"/>
    <w:rsid w:val="00FB7412"/>
    <w:rsid w:val="00FD7873"/>
    <w:rsid w:val="00FE58BC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5AEEF22-D6D5-462D-BCB2-F1C1C883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9078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898"/>
    <w:rPr>
      <w:sz w:val="20"/>
    </w:rPr>
  </w:style>
  <w:style w:type="character" w:customStyle="1" w:styleId="CommentTextChar">
    <w:name w:val="Comment Text Char"/>
    <w:link w:val="CommentText"/>
    <w:rsid w:val="009078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7898"/>
    <w:rPr>
      <w:b/>
      <w:bCs/>
    </w:rPr>
  </w:style>
  <w:style w:type="character" w:customStyle="1" w:styleId="CommentSubjectChar">
    <w:name w:val="Comment Subject Char"/>
    <w:link w:val="CommentSubject"/>
    <w:rsid w:val="00907898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9078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789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10EC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17536C"/>
    <w:rPr>
      <w:rFonts w:ascii="Arial" w:hAnsi="Arial"/>
      <w:b/>
      <w:sz w:val="40"/>
      <w:lang w:eastAsia="en-US"/>
    </w:rPr>
  </w:style>
  <w:style w:type="paragraph" w:styleId="BodyText2">
    <w:name w:val="Body Text 2"/>
    <w:basedOn w:val="Normal"/>
    <w:link w:val="BodyText2Char"/>
    <w:rsid w:val="0015076F"/>
    <w:pPr>
      <w:spacing w:after="120" w:line="480" w:lineRule="auto"/>
    </w:pPr>
  </w:style>
  <w:style w:type="character" w:customStyle="1" w:styleId="BodyText2Char">
    <w:name w:val="Body Text 2 Char"/>
    <w:link w:val="BodyText2"/>
    <w:rsid w:val="0015076F"/>
    <w:rPr>
      <w:sz w:val="24"/>
      <w:lang w:eastAsia="en-US"/>
    </w:rPr>
  </w:style>
  <w:style w:type="character" w:customStyle="1" w:styleId="Calibri12">
    <w:name w:val="Calibri 12"/>
    <w:uiPriority w:val="1"/>
    <w:qFormat/>
    <w:rsid w:val="0015076F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121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5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9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10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50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29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4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28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33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0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0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7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43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2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3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4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6B25D5F726E4A88FE2B57891DE3DE" ma:contentTypeVersion="61" ma:contentTypeDescription="Create a new document." ma:contentTypeScope="" ma:versionID="083f8d0847ab16737f89be6deab6a5d1">
  <xsd:schema xmlns:xsd="http://www.w3.org/2001/XMLSchema" xmlns:xs="http://www.w3.org/2001/XMLSchema" xmlns:p="http://schemas.microsoft.com/office/2006/metadata/properties" xmlns:ns1="http://schemas.microsoft.com/sharepoint/v3" xmlns:ns2="2cc1f1bd-1e1d-463f-8fcc-cae38e6c0533" xmlns:ns3="http://schemas.microsoft.com/sharepoint/v4" xmlns:ns4="9373c7a8-43b7-4a21-b918-9a6f8159393d" targetNamespace="http://schemas.microsoft.com/office/2006/metadata/properties" ma:root="true" ma:fieldsID="231246091b1c3b5b5d7ef9a506e6e182" ns1:_="" ns2:_="" ns3:_="" ns4:_="">
    <xsd:import namespace="http://schemas.microsoft.com/sharepoint/v3"/>
    <xsd:import namespace="2cc1f1bd-1e1d-463f-8fcc-cae38e6c0533"/>
    <xsd:import namespace="http://schemas.microsoft.com/sharepoint/v4"/>
    <xsd:import namespace="9373c7a8-43b7-4a21-b918-9a6f8159393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2:Users" minOccurs="0"/>
                <xsd:element ref="ns2:MediaServiceMetadata" minOccurs="0"/>
                <xsd:element ref="ns2:MediaServiceFastMetadata" minOccurs="0"/>
                <xsd:element ref="ns3:IconOverlay" minOccurs="0"/>
                <xsd:element ref="ns4:SharedWithUsers" minOccurs="0"/>
                <xsd:element ref="ns4:SharedWithDetails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f1bd-1e1d-463f-8fcc-cae38e6c0533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Applies_x0020_to" ma:index="3" nillable="true" ma:displayName="Applies to" ma:format="Dropdown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y Renewal Authority"/>
                    <xsd:enumeration value="Environment, Planning and Sustainable Development Directorate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aec47689-5193-47b1-b4ce-b4ce1412582d}" ma:internalName="Document_x0020_owner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bcd10d4a-fa49-49f6-8bcf-38252aa6944c}" ma:internalName="Document_x0020_topic" ma:readOnly="false" ma:showField="Title">
      <xsd:simpleType>
        <xsd:restriction base="dms:Lookup"/>
      </xsd:simpleType>
    </xsd:element>
    <xsd:element name="Document_x0020_type" ma:index="6" nillable="true" ma:displayName="Document type" ma:list="{306b9746-2f3c-41fc-873a-39b99ba3a8a9}" ma:internalName="Document_x0020_type" ma:readOnly="false" ma:showField="Title">
      <xsd:simpleType>
        <xsd:restriction base="dms:Lookup"/>
      </xsd:simpleType>
    </xsd:element>
    <xsd:element name="Objective_x0020_ID" ma:index="7" nillable="true" ma:displayName="Objective ID" ma:internalName="Objective_x0020_ID" ma:readOnly="false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 ma:readOnly="false">
      <xsd:simpleType>
        <xsd:restriction base="dms:DateTime"/>
      </xsd:simpleType>
    </xsd:element>
    <xsd:element name="Approved_x0020_by" ma:index="9" nillable="true" ma:displayName="Approved by" ma:internalName="Approved_x0020_by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 ma:readOnly="false">
      <xsd:simpleType>
        <xsd:restriction base="dms:DateTime"/>
      </xsd:simpleType>
    </xsd:element>
    <xsd:element name="Publish_x0020_to_x0020_web_x0020_under_x0020_OAIS" ma:index="15" nillable="true" ma:displayName="Publish to web under OAIS" ma:default="0" ma:internalName="Publish_x0020_to_x0020_web_x0020_under_x0020_OAIS" ma:readOnly="false">
      <xsd:simpleType>
        <xsd:restriction base="dms:Boolean"/>
      </xsd:simpleType>
    </xsd:element>
    <xsd:element name="Users" ma:index="16" nillable="true" ma:displayName="Users" ma:list="{4e343f2a-3c41-46a6-933d-15dfb75efa22}" ma:internalName="Users" ma:readOnly="false" ma:showField="Title">
      <xsd:simpleType>
        <xsd:restriction base="dms:Lookup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3c7a8-43b7-4a21-b918-9a6f8159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354c6ff-e285-48d8-8c87-05c79ed9e998}" ma:internalName="TaxCatchAll" ma:showField="CatchAllData" ma:web="9373c7a8-43b7-4a21-b918-9a6f81593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19378F-9F25-4633-8F55-A4582ED23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c1f1bd-1e1d-463f-8fcc-cae38e6c0533"/>
    <ds:schemaRef ds:uri="http://schemas.microsoft.com/sharepoint/v4"/>
    <ds:schemaRef ds:uri="9373c7a8-43b7-4a21-b918-9a6f8159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4FBF2-24D1-4888-A228-A212F92C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3319</Characters>
  <Application>Microsoft Office Word</Application>
  <DocSecurity>0</DocSecurity>
  <Lines>117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>2</cp:keywords>
  <cp:lastModifiedBy>PCODCS</cp:lastModifiedBy>
  <cp:revision>4</cp:revision>
  <cp:lastPrinted>2004-04-05T00:37:00Z</cp:lastPrinted>
  <dcterms:created xsi:type="dcterms:W3CDTF">2020-02-19T05:59:00Z</dcterms:created>
  <dcterms:modified xsi:type="dcterms:W3CDTF">2020-02-19T05:59:00Z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escription0">
    <vt:lpwstr/>
  </property>
  <property fmtid="{D5CDD505-2E9C-101B-9397-08002B2CF9AE}" pid="5" name="Doc Type">
    <vt:lpwstr>Template</vt:lpwstr>
  </property>
  <property fmtid="{D5CDD505-2E9C-101B-9397-08002B2CF9AE}" pid="6" name="Document type">
    <vt:lpwstr/>
  </property>
  <property fmtid="{D5CDD505-2E9C-101B-9397-08002B2CF9AE}" pid="7" name="Applies to">
    <vt:lpwstr>;#Environment, Planning and Sustainable Development Directorate;#</vt:lpwstr>
  </property>
  <property fmtid="{D5CDD505-2E9C-101B-9397-08002B2CF9AE}" pid="8" name="Document owner">
    <vt:lpwstr>161;#</vt:lpwstr>
  </property>
  <property fmtid="{D5CDD505-2E9C-101B-9397-08002B2CF9AE}" pid="9" name="Document topic">
    <vt:lpwstr/>
  </property>
  <property fmtid="{D5CDD505-2E9C-101B-9397-08002B2CF9AE}" pid="10" name="Users">
    <vt:lpwstr/>
  </property>
  <property fmtid="{D5CDD505-2E9C-101B-9397-08002B2CF9AE}" pid="11" name="Objective ID">
    <vt:lpwstr/>
  </property>
  <property fmtid="{D5CDD505-2E9C-101B-9397-08002B2CF9AE}" pid="12" name="display_urn:schemas-microsoft-com:office:office#Editor">
    <vt:lpwstr>McPhan, Nicola</vt:lpwstr>
  </property>
  <property fmtid="{D5CDD505-2E9C-101B-9397-08002B2CF9AE}" pid="13" name="Approved by">
    <vt:lpwstr/>
  </property>
  <property fmtid="{D5CDD505-2E9C-101B-9397-08002B2CF9AE}" pid="14" name="display_urn:schemas-microsoft-com:office:office#Author">
    <vt:lpwstr>Kavanagh_A, Stephen</vt:lpwstr>
  </property>
  <property fmtid="{D5CDD505-2E9C-101B-9397-08002B2CF9AE}" pid="15" name="URL">
    <vt:lpwstr/>
  </property>
  <property fmtid="{D5CDD505-2E9C-101B-9397-08002B2CF9AE}" pid="16" name="Review date">
    <vt:lpwstr/>
  </property>
  <property fmtid="{D5CDD505-2E9C-101B-9397-08002B2CF9AE}" pid="17" name="Date approved">
    <vt:lpwstr/>
  </property>
  <property fmtid="{D5CDD505-2E9C-101B-9397-08002B2CF9AE}" pid="18" name="IconOverlay">
    <vt:lpwstr/>
  </property>
  <property fmtid="{D5CDD505-2E9C-101B-9397-08002B2CF9AE}" pid="19" name="TaxCatchAll">
    <vt:lpwstr/>
  </property>
  <property fmtid="{D5CDD505-2E9C-101B-9397-08002B2CF9AE}" pid="20" name="PublishingExpirationDate">
    <vt:lpwstr/>
  </property>
  <property fmtid="{D5CDD505-2E9C-101B-9397-08002B2CF9AE}" pid="21" name="PublishingStartDate">
    <vt:lpwstr/>
  </property>
  <property fmtid="{D5CDD505-2E9C-101B-9397-08002B2CF9AE}" pid="22" name="Publish to web under OAIS">
    <vt:lpwstr>0</vt:lpwstr>
  </property>
  <property fmtid="{D5CDD505-2E9C-101B-9397-08002B2CF9AE}" pid="23" name="Objective-Id">
    <vt:lpwstr>A24579746</vt:lpwstr>
  </property>
  <property fmtid="{D5CDD505-2E9C-101B-9397-08002B2CF9AE}" pid="24" name="Objective-Title">
    <vt:lpwstr>methodology explanatory statement</vt:lpwstr>
  </property>
  <property fmtid="{D5CDD505-2E9C-101B-9397-08002B2CF9AE}" pid="25" name="Objective-Comment">
    <vt:lpwstr/>
  </property>
  <property fmtid="{D5CDD505-2E9C-101B-9397-08002B2CF9AE}" pid="26" name="Objective-CreationStamp">
    <vt:filetime>2020-01-21T01:04:48Z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2020-02-19T05:13:11Z</vt:filetime>
  </property>
  <property fmtid="{D5CDD505-2E9C-101B-9397-08002B2CF9AE}" pid="30" name="Objective-ModificationStamp">
    <vt:filetime>2020-02-19T05:13:11Z</vt:filetime>
  </property>
  <property fmtid="{D5CDD505-2E9C-101B-9397-08002B2CF9AE}" pid="31" name="Objective-Owner">
    <vt:lpwstr>Scott Bales</vt:lpwstr>
  </property>
  <property fmtid="{D5CDD505-2E9C-101B-9397-08002B2CF9AE}" pid="32" name="Objective-Path">
    <vt:lpwstr>Whole of ACT Government:EPSDD - Environment Planning and Sustainable Development Directorate:DIVISION - Climate Change and Sustainability:BRANCH - Energy Markets and Renewables:08. Programs and/or Projects:Renewables:Renewable Energy Target Modelling:Acqu</vt:lpwstr>
  </property>
  <property fmtid="{D5CDD505-2E9C-101B-9397-08002B2CF9AE}" pid="33" name="Objective-Parent">
    <vt:lpwstr>Acquittal Methodology</vt:lpwstr>
  </property>
  <property fmtid="{D5CDD505-2E9C-101B-9397-08002B2CF9AE}" pid="34" name="Objective-State">
    <vt:lpwstr>Published</vt:lpwstr>
  </property>
  <property fmtid="{D5CDD505-2E9C-101B-9397-08002B2CF9AE}" pid="35" name="Objective-Version">
    <vt:lpwstr>8.0</vt:lpwstr>
  </property>
  <property fmtid="{D5CDD505-2E9C-101B-9397-08002B2CF9AE}" pid="36" name="Objective-VersionNumber">
    <vt:r8>10</vt:r8>
  </property>
  <property fmtid="{D5CDD505-2E9C-101B-9397-08002B2CF9AE}" pid="37" name="Objective-VersionComment">
    <vt:lpwstr/>
  </property>
  <property fmtid="{D5CDD505-2E9C-101B-9397-08002B2CF9AE}" pid="38" name="Objective-FileNumber">
    <vt:lpwstr/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 [system]">
    <vt:lpwstr>EPSDD</vt:lpwstr>
  </property>
  <property fmtid="{D5CDD505-2E9C-101B-9397-08002B2CF9AE}" pid="42" name="Objective-Document Type [system]">
    <vt:lpwstr>0-Document</vt:lpwstr>
  </property>
  <property fmtid="{D5CDD505-2E9C-101B-9397-08002B2CF9AE}" pid="43" name="Objective-Language [system]">
    <vt:lpwstr>English (en)</vt:lpwstr>
  </property>
  <property fmtid="{D5CDD505-2E9C-101B-9397-08002B2CF9AE}" pid="44" name="Objective-Jurisdiction [system]">
    <vt:lpwstr>ACT</vt:lpwstr>
  </property>
  <property fmtid="{D5CDD505-2E9C-101B-9397-08002B2CF9AE}" pid="45" name="Objective-Customers [system]">
    <vt:lpwstr/>
  </property>
  <property fmtid="{D5CDD505-2E9C-101B-9397-08002B2CF9AE}" pid="46" name="Objective-Places [system]">
    <vt:lpwstr/>
  </property>
  <property fmtid="{D5CDD505-2E9C-101B-9397-08002B2CF9AE}" pid="47" name="Objective-Transaction Reference [system]">
    <vt:lpwstr/>
  </property>
  <property fmtid="{D5CDD505-2E9C-101B-9397-08002B2CF9AE}" pid="48" name="Objective-Document Created By [system]">
    <vt:lpwstr/>
  </property>
  <property fmtid="{D5CDD505-2E9C-101B-9397-08002B2CF9AE}" pid="49" name="Objective-Document Created On [system]">
    <vt:lpwstr/>
  </property>
  <property fmtid="{D5CDD505-2E9C-101B-9397-08002B2CF9AE}" pid="50" name="Objective-Covers Period From [system]">
    <vt:lpwstr/>
  </property>
  <property fmtid="{D5CDD505-2E9C-101B-9397-08002B2CF9AE}" pid="51" name="Objective-Covers Period To [system]">
    <vt:lpwstr/>
  </property>
  <property fmtid="{D5CDD505-2E9C-101B-9397-08002B2CF9AE}" pid="52" name="DMSID">
    <vt:lpwstr>1152505</vt:lpwstr>
  </property>
  <property fmtid="{D5CDD505-2E9C-101B-9397-08002B2CF9AE}" pid="53" name="CHECKEDOUTFROMJMS">
    <vt:lpwstr/>
  </property>
  <property fmtid="{D5CDD505-2E9C-101B-9397-08002B2CF9AE}" pid="54" name="JMSREQUIREDCHECKIN">
    <vt:lpwstr/>
  </property>
</Properties>
</file>