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2E0D" w14:textId="5F02800D" w:rsidR="00AB1588" w:rsidRPr="00AB1588" w:rsidRDefault="00AB1588" w:rsidP="00AB1588">
      <w:pPr>
        <w:pStyle w:val="Billname"/>
        <w:spacing w:before="700"/>
        <w:rPr>
          <w:rFonts w:cs="Times New Roman"/>
          <w:bCs w:val="0"/>
          <w:szCs w:val="20"/>
        </w:rPr>
      </w:pPr>
      <w:bookmarkStart w:id="0" w:name="_GoBack"/>
      <w:bookmarkEnd w:id="0"/>
      <w:r>
        <w:rPr>
          <w:rFonts w:cs="Times New Roman"/>
          <w:bCs w:val="0"/>
          <w:szCs w:val="20"/>
        </w:rPr>
        <w:t xml:space="preserve">Liquor Amendment Regulation </w:t>
      </w:r>
      <w:r>
        <w:t>2020</w:t>
      </w:r>
      <w:r w:rsidR="00945D80">
        <w:t xml:space="preserve"> </w:t>
      </w:r>
      <w:r w:rsidR="009B00A3">
        <w:t>(No 1)</w:t>
      </w:r>
    </w:p>
    <w:p w14:paraId="6B2AACA2" w14:textId="4376F157" w:rsidR="00AB1588" w:rsidRDefault="00AB1588" w:rsidP="00AB1588">
      <w:pPr>
        <w:spacing w:before="340"/>
        <w:rPr>
          <w:rFonts w:ascii="Arial" w:hAnsi="Arial" w:cs="Arial"/>
          <w:b/>
          <w:bCs/>
        </w:rPr>
      </w:pPr>
      <w:r>
        <w:rPr>
          <w:rFonts w:ascii="Arial" w:hAnsi="Arial" w:cs="Arial"/>
          <w:b/>
          <w:bCs/>
        </w:rPr>
        <w:t>Subordinate law SL2020–</w:t>
      </w:r>
      <w:r w:rsidR="000A4393">
        <w:rPr>
          <w:rFonts w:ascii="Arial" w:hAnsi="Arial" w:cs="Arial"/>
          <w:b/>
          <w:bCs/>
        </w:rPr>
        <w:t>15</w:t>
      </w:r>
    </w:p>
    <w:p w14:paraId="365A31BF" w14:textId="77777777" w:rsidR="00AB1588" w:rsidRDefault="00AB1588" w:rsidP="00AB1588">
      <w:pPr>
        <w:pStyle w:val="madeunder"/>
        <w:spacing w:before="300" w:after="0"/>
      </w:pPr>
      <w:r>
        <w:t xml:space="preserve">made under the  </w:t>
      </w:r>
    </w:p>
    <w:p w14:paraId="42DEFAB1" w14:textId="50852569" w:rsidR="00AB1588" w:rsidRDefault="00AB1588" w:rsidP="00AB1588">
      <w:pPr>
        <w:pStyle w:val="CoverActName"/>
        <w:spacing w:after="0"/>
        <w:rPr>
          <w:sz w:val="20"/>
          <w:szCs w:val="20"/>
        </w:rPr>
      </w:pPr>
      <w:r>
        <w:rPr>
          <w:iCs/>
          <w:sz w:val="20"/>
          <w:szCs w:val="20"/>
        </w:rPr>
        <w:t>Liquor Act 2010</w:t>
      </w:r>
      <w:bookmarkStart w:id="1" w:name="_Hlk36287000"/>
      <w:r w:rsidR="00C83839">
        <w:rPr>
          <w:sz w:val="20"/>
          <w:szCs w:val="20"/>
        </w:rPr>
        <w:t>, s 229</w:t>
      </w:r>
      <w:bookmarkEnd w:id="1"/>
      <w:r w:rsidR="00C83839">
        <w:rPr>
          <w:sz w:val="20"/>
          <w:szCs w:val="20"/>
        </w:rPr>
        <w:t xml:space="preserve"> (Regulation-making power)</w:t>
      </w:r>
    </w:p>
    <w:p w14:paraId="733C6F30" w14:textId="77777777" w:rsidR="00AB1588" w:rsidRDefault="00AB1588" w:rsidP="00AB1588">
      <w:pPr>
        <w:spacing w:before="360"/>
        <w:ind w:right="565"/>
        <w:rPr>
          <w:rFonts w:ascii="Arial" w:hAnsi="Arial" w:cs="Arial"/>
          <w:b/>
          <w:bCs/>
          <w:sz w:val="28"/>
          <w:szCs w:val="28"/>
        </w:rPr>
      </w:pPr>
      <w:r>
        <w:rPr>
          <w:rFonts w:ascii="Arial" w:hAnsi="Arial" w:cs="Arial"/>
          <w:b/>
          <w:bCs/>
          <w:sz w:val="28"/>
          <w:szCs w:val="28"/>
        </w:rPr>
        <w:t>EXPLANATORY STATEMENT</w:t>
      </w:r>
    </w:p>
    <w:p w14:paraId="70827919" w14:textId="77777777" w:rsidR="00AB1588" w:rsidRDefault="00AB1588" w:rsidP="00AB1588">
      <w:pPr>
        <w:pStyle w:val="N-line3"/>
        <w:pBdr>
          <w:bottom w:val="none" w:sz="0" w:space="0" w:color="auto"/>
        </w:pBdr>
      </w:pPr>
    </w:p>
    <w:p w14:paraId="586CAD3D" w14:textId="77777777" w:rsidR="00AB1588" w:rsidRDefault="00AB1588" w:rsidP="00AB1588">
      <w:pPr>
        <w:pStyle w:val="N-line3"/>
        <w:pBdr>
          <w:top w:val="single" w:sz="12" w:space="1" w:color="auto"/>
          <w:bottom w:val="none" w:sz="0" w:space="0" w:color="auto"/>
        </w:pBdr>
      </w:pPr>
    </w:p>
    <w:p w14:paraId="5C3EF26C" w14:textId="77777777" w:rsidR="00AB1588" w:rsidRDefault="00AB1588" w:rsidP="00AB1588"/>
    <w:p w14:paraId="5065FF15" w14:textId="77777777" w:rsidR="007D7ED1" w:rsidRPr="007D7ED1" w:rsidRDefault="007D7ED1" w:rsidP="005D4866">
      <w:pPr>
        <w:spacing w:after="0"/>
        <w:jc w:val="both"/>
        <w:rPr>
          <w:rFonts w:ascii="Arial" w:hAnsi="Arial" w:cs="Arial"/>
          <w:sz w:val="24"/>
          <w:szCs w:val="24"/>
          <w:lang w:eastAsia="en-AU"/>
        </w:rPr>
      </w:pPr>
      <w:r w:rsidRPr="007D7ED1">
        <w:rPr>
          <w:rFonts w:ascii="Arial" w:hAnsi="Arial" w:cs="Arial"/>
          <w:sz w:val="24"/>
          <w:szCs w:val="24"/>
          <w:lang w:eastAsia="en-AU"/>
        </w:rPr>
        <w:t xml:space="preserve">The </w:t>
      </w:r>
      <w:r w:rsidRPr="007D7ED1">
        <w:rPr>
          <w:rFonts w:ascii="Arial" w:hAnsi="Arial" w:cs="Arial"/>
          <w:i/>
          <w:iCs/>
          <w:sz w:val="24"/>
          <w:szCs w:val="24"/>
          <w:lang w:eastAsia="en-AU"/>
        </w:rPr>
        <w:t>Liquor Act 2010</w:t>
      </w:r>
      <w:r w:rsidRPr="007D7ED1">
        <w:rPr>
          <w:rFonts w:ascii="Arial" w:hAnsi="Arial" w:cs="Arial"/>
          <w:sz w:val="24"/>
          <w:szCs w:val="24"/>
          <w:lang w:eastAsia="en-AU"/>
        </w:rPr>
        <w:t xml:space="preserve"> (the Act) regulates the supply of liquor in the ACT. </w:t>
      </w:r>
    </w:p>
    <w:p w14:paraId="73F7AA1C" w14:textId="77777777" w:rsidR="007D7ED1" w:rsidRPr="007D7ED1" w:rsidRDefault="007D7ED1" w:rsidP="005D4866">
      <w:pPr>
        <w:spacing w:after="0"/>
        <w:jc w:val="both"/>
        <w:rPr>
          <w:rFonts w:ascii="Arial" w:hAnsi="Arial" w:cs="Arial"/>
          <w:sz w:val="24"/>
          <w:szCs w:val="24"/>
          <w:lang w:eastAsia="en-AU"/>
        </w:rPr>
      </w:pPr>
    </w:p>
    <w:p w14:paraId="7F45DA12" w14:textId="77777777" w:rsidR="007D7ED1" w:rsidRPr="007D7ED1" w:rsidRDefault="007D7ED1" w:rsidP="005D4866">
      <w:pPr>
        <w:spacing w:after="0"/>
        <w:jc w:val="both"/>
        <w:rPr>
          <w:rFonts w:ascii="Arial" w:hAnsi="Arial" w:cs="Arial"/>
          <w:sz w:val="24"/>
          <w:szCs w:val="24"/>
          <w:lang w:eastAsia="en-AU"/>
        </w:rPr>
      </w:pPr>
      <w:r w:rsidRPr="007D7ED1">
        <w:rPr>
          <w:rFonts w:ascii="Arial" w:hAnsi="Arial" w:cs="Arial"/>
          <w:sz w:val="24"/>
          <w:szCs w:val="24"/>
          <w:lang w:eastAsia="en-AU"/>
        </w:rPr>
        <w:t xml:space="preserve">Fees for liquor licences and permits are determined by the Minister under section 227 of the Act. Fees determined by the Minister for each licence or permit category are listed in the </w:t>
      </w:r>
      <w:r w:rsidRPr="007D7ED1">
        <w:rPr>
          <w:rFonts w:ascii="Arial" w:hAnsi="Arial" w:cs="Arial"/>
          <w:i/>
          <w:iCs/>
          <w:sz w:val="24"/>
          <w:szCs w:val="24"/>
          <w:lang w:eastAsia="en-AU"/>
        </w:rPr>
        <w:t>Liquor (Fees) Determination 2019</w:t>
      </w:r>
      <w:r w:rsidRPr="007D7ED1">
        <w:rPr>
          <w:rFonts w:ascii="Arial" w:hAnsi="Arial" w:cs="Arial"/>
          <w:sz w:val="24"/>
          <w:szCs w:val="24"/>
          <w:lang w:eastAsia="en-AU"/>
        </w:rPr>
        <w:t xml:space="preserve"> [DI2019-159] (the Fees Determination). </w:t>
      </w:r>
    </w:p>
    <w:p w14:paraId="35CBE5F1" w14:textId="77777777" w:rsidR="007D7ED1" w:rsidRPr="007D7ED1" w:rsidRDefault="007D7ED1" w:rsidP="005D4866">
      <w:pPr>
        <w:spacing w:after="0"/>
        <w:jc w:val="both"/>
        <w:rPr>
          <w:rFonts w:ascii="Arial" w:hAnsi="Arial" w:cs="Arial"/>
          <w:sz w:val="24"/>
          <w:szCs w:val="24"/>
          <w:lang w:eastAsia="en-AU"/>
        </w:rPr>
      </w:pPr>
    </w:p>
    <w:p w14:paraId="6A411CB3" w14:textId="2FFBC34E" w:rsidR="007D7ED1" w:rsidRPr="007D7ED1" w:rsidRDefault="007D7ED1" w:rsidP="005D4866">
      <w:pPr>
        <w:spacing w:after="0"/>
        <w:jc w:val="both"/>
        <w:rPr>
          <w:rFonts w:ascii="Arial" w:hAnsi="Arial" w:cs="Arial"/>
          <w:sz w:val="24"/>
          <w:szCs w:val="24"/>
          <w:lang w:eastAsia="en-AU"/>
        </w:rPr>
      </w:pPr>
      <w:r w:rsidRPr="007D7ED1">
        <w:rPr>
          <w:rFonts w:ascii="Arial" w:hAnsi="Arial" w:cs="Arial"/>
          <w:sz w:val="24"/>
          <w:szCs w:val="24"/>
          <w:lang w:eastAsia="en-AU"/>
        </w:rPr>
        <w:t xml:space="preserve">Section 229 of the Act provides that the Executive may make regulations for the Act. </w:t>
      </w:r>
      <w:r w:rsidR="00BD1C61">
        <w:rPr>
          <w:rFonts w:ascii="Arial" w:hAnsi="Arial" w:cs="Arial"/>
          <w:sz w:val="24"/>
          <w:szCs w:val="24"/>
          <w:lang w:eastAsia="en-AU"/>
        </w:rPr>
        <w:t>S</w:t>
      </w:r>
      <w:r w:rsidRPr="007D7ED1">
        <w:rPr>
          <w:rFonts w:ascii="Arial" w:hAnsi="Arial" w:cs="Arial"/>
          <w:sz w:val="24"/>
          <w:szCs w:val="24"/>
          <w:lang w:eastAsia="en-AU"/>
        </w:rPr>
        <w:t>ection 229</w:t>
      </w:r>
      <w:r w:rsidR="00BD1C61">
        <w:rPr>
          <w:rFonts w:ascii="Arial" w:hAnsi="Arial" w:cs="Arial"/>
          <w:sz w:val="24"/>
          <w:szCs w:val="24"/>
          <w:lang w:eastAsia="en-AU"/>
        </w:rPr>
        <w:t xml:space="preserve"> </w:t>
      </w:r>
      <w:r w:rsidRPr="007D7ED1">
        <w:rPr>
          <w:rFonts w:ascii="Arial" w:hAnsi="Arial" w:cs="Arial"/>
          <w:sz w:val="24"/>
          <w:szCs w:val="24"/>
          <w:lang w:eastAsia="en-AU"/>
        </w:rPr>
        <w:t>(2)</w:t>
      </w:r>
      <w:r w:rsidR="00BD1C61">
        <w:rPr>
          <w:rFonts w:ascii="Arial" w:hAnsi="Arial" w:cs="Arial"/>
          <w:sz w:val="24"/>
          <w:szCs w:val="24"/>
          <w:lang w:eastAsia="en-AU"/>
        </w:rPr>
        <w:t xml:space="preserve"> </w:t>
      </w:r>
      <w:r w:rsidRPr="007D7ED1">
        <w:rPr>
          <w:rFonts w:ascii="Arial" w:hAnsi="Arial" w:cs="Arial"/>
          <w:sz w:val="24"/>
          <w:szCs w:val="24"/>
          <w:lang w:eastAsia="en-AU"/>
        </w:rPr>
        <w:t>(d)</w:t>
      </w:r>
      <w:r w:rsidR="00BD1C61">
        <w:rPr>
          <w:rFonts w:ascii="Arial" w:hAnsi="Arial" w:cs="Arial"/>
          <w:sz w:val="24"/>
          <w:szCs w:val="24"/>
          <w:lang w:eastAsia="en-AU"/>
        </w:rPr>
        <w:t xml:space="preserve"> of the Act provides that a</w:t>
      </w:r>
      <w:r w:rsidRPr="007D7ED1">
        <w:rPr>
          <w:rFonts w:ascii="Arial" w:hAnsi="Arial" w:cs="Arial"/>
          <w:sz w:val="24"/>
          <w:szCs w:val="24"/>
          <w:lang w:eastAsia="en-AU"/>
        </w:rPr>
        <w:t xml:space="preserve"> regulation may make provision in relation to the circumstances in which the</w:t>
      </w:r>
      <w:r w:rsidR="00C32D41">
        <w:rPr>
          <w:rFonts w:ascii="Arial" w:hAnsi="Arial" w:cs="Arial"/>
          <w:sz w:val="24"/>
          <w:szCs w:val="24"/>
          <w:lang w:eastAsia="en-AU"/>
        </w:rPr>
        <w:t xml:space="preserve"> Commissioner for Fair Trading (the</w:t>
      </w:r>
      <w:r w:rsidRPr="007D7ED1">
        <w:rPr>
          <w:rFonts w:ascii="Arial" w:hAnsi="Arial" w:cs="Arial"/>
          <w:sz w:val="24"/>
          <w:szCs w:val="24"/>
          <w:lang w:eastAsia="en-AU"/>
        </w:rPr>
        <w:t xml:space="preserve"> commissioner</w:t>
      </w:r>
      <w:r w:rsidR="00C32D41">
        <w:rPr>
          <w:rFonts w:ascii="Arial" w:hAnsi="Arial" w:cs="Arial"/>
          <w:sz w:val="24"/>
          <w:szCs w:val="24"/>
          <w:lang w:eastAsia="en-AU"/>
        </w:rPr>
        <w:t>)</w:t>
      </w:r>
      <w:r w:rsidRPr="007D7ED1">
        <w:rPr>
          <w:rFonts w:ascii="Arial" w:hAnsi="Arial" w:cs="Arial"/>
          <w:sz w:val="24"/>
          <w:szCs w:val="24"/>
          <w:lang w:eastAsia="en-AU"/>
        </w:rPr>
        <w:t xml:space="preserve"> may waive or reduce fees.</w:t>
      </w:r>
    </w:p>
    <w:p w14:paraId="5EF6EA2C" w14:textId="77777777" w:rsidR="007D7ED1" w:rsidRPr="007D7ED1" w:rsidRDefault="007D7ED1" w:rsidP="005D4866">
      <w:pPr>
        <w:spacing w:after="0"/>
        <w:jc w:val="both"/>
        <w:rPr>
          <w:rFonts w:ascii="Arial" w:hAnsi="Arial" w:cs="Arial"/>
          <w:sz w:val="24"/>
          <w:szCs w:val="24"/>
          <w:lang w:eastAsia="en-AU"/>
        </w:rPr>
      </w:pPr>
    </w:p>
    <w:p w14:paraId="41829072" w14:textId="30A3DDAD" w:rsidR="007D7ED1" w:rsidRPr="007D7ED1" w:rsidRDefault="007D7ED1" w:rsidP="005D4866">
      <w:pPr>
        <w:spacing w:after="0"/>
        <w:jc w:val="both"/>
        <w:rPr>
          <w:rFonts w:ascii="Arial" w:hAnsi="Arial" w:cs="Arial"/>
          <w:sz w:val="24"/>
          <w:szCs w:val="24"/>
          <w:lang w:eastAsia="en-AU"/>
        </w:rPr>
      </w:pPr>
      <w:r w:rsidRPr="007D7ED1">
        <w:rPr>
          <w:rFonts w:ascii="Arial" w:hAnsi="Arial" w:cs="Arial"/>
          <w:sz w:val="24"/>
          <w:szCs w:val="24"/>
          <w:lang w:eastAsia="en-AU"/>
        </w:rPr>
        <w:t xml:space="preserve">This </w:t>
      </w:r>
      <w:r w:rsidR="00BD1C61">
        <w:rPr>
          <w:rFonts w:ascii="Arial" w:hAnsi="Arial" w:cs="Arial"/>
          <w:sz w:val="24"/>
          <w:szCs w:val="24"/>
          <w:lang w:eastAsia="en-AU"/>
        </w:rPr>
        <w:t xml:space="preserve">amendment </w:t>
      </w:r>
      <w:r w:rsidR="008D3B12">
        <w:rPr>
          <w:rFonts w:ascii="Arial" w:hAnsi="Arial" w:cs="Arial"/>
          <w:sz w:val="24"/>
          <w:szCs w:val="24"/>
          <w:lang w:eastAsia="en-AU"/>
        </w:rPr>
        <w:t>r</w:t>
      </w:r>
      <w:r w:rsidRPr="007D7ED1">
        <w:rPr>
          <w:rFonts w:ascii="Arial" w:hAnsi="Arial" w:cs="Arial"/>
          <w:sz w:val="24"/>
          <w:szCs w:val="24"/>
          <w:lang w:eastAsia="en-AU"/>
        </w:rPr>
        <w:t>egulation provides that the commissioner may waive a fee payable in relation to a licence or permit if—</w:t>
      </w:r>
    </w:p>
    <w:p w14:paraId="48EC45EC" w14:textId="0811553C" w:rsidR="007D7ED1" w:rsidRPr="008D3B12" w:rsidRDefault="007D7ED1" w:rsidP="005D4866">
      <w:pPr>
        <w:pStyle w:val="ListParagraph"/>
        <w:numPr>
          <w:ilvl w:val="0"/>
          <w:numId w:val="15"/>
        </w:numPr>
        <w:spacing w:after="0"/>
        <w:jc w:val="both"/>
        <w:rPr>
          <w:rFonts w:ascii="Arial" w:hAnsi="Arial" w:cs="Arial"/>
          <w:sz w:val="24"/>
          <w:szCs w:val="24"/>
          <w:lang w:eastAsia="en-AU"/>
        </w:rPr>
      </w:pPr>
      <w:r w:rsidRPr="008D3B12">
        <w:rPr>
          <w:rFonts w:ascii="Arial" w:hAnsi="Arial" w:cs="Arial"/>
          <w:sz w:val="24"/>
          <w:szCs w:val="24"/>
          <w:lang w:eastAsia="en-AU"/>
        </w:rPr>
        <w:t xml:space="preserve">an emergency declaration under the </w:t>
      </w:r>
      <w:r w:rsidRPr="008D3B12">
        <w:rPr>
          <w:rFonts w:ascii="Arial" w:hAnsi="Arial" w:cs="Arial"/>
          <w:i/>
          <w:iCs/>
          <w:sz w:val="24"/>
          <w:szCs w:val="24"/>
          <w:lang w:eastAsia="en-AU"/>
        </w:rPr>
        <w:t>Public Health Act 1997</w:t>
      </w:r>
      <w:r w:rsidRPr="008D3B12">
        <w:rPr>
          <w:rFonts w:ascii="Arial" w:hAnsi="Arial" w:cs="Arial"/>
          <w:sz w:val="24"/>
          <w:szCs w:val="24"/>
          <w:lang w:eastAsia="en-AU"/>
        </w:rPr>
        <w:t>, section 1</w:t>
      </w:r>
      <w:r w:rsidR="00C32D41">
        <w:rPr>
          <w:rFonts w:ascii="Arial" w:hAnsi="Arial" w:cs="Arial"/>
          <w:sz w:val="24"/>
          <w:szCs w:val="24"/>
          <w:lang w:eastAsia="en-AU"/>
        </w:rPr>
        <w:t>1</w:t>
      </w:r>
      <w:r w:rsidRPr="008D3B12">
        <w:rPr>
          <w:rFonts w:ascii="Arial" w:hAnsi="Arial" w:cs="Arial"/>
          <w:sz w:val="24"/>
          <w:szCs w:val="24"/>
          <w:lang w:eastAsia="en-AU"/>
        </w:rPr>
        <w:t>9 (Emergency declarations)</w:t>
      </w:r>
      <w:r w:rsidR="00BD1C61">
        <w:rPr>
          <w:rFonts w:ascii="Arial" w:hAnsi="Arial" w:cs="Arial"/>
          <w:sz w:val="24"/>
          <w:szCs w:val="24"/>
          <w:lang w:eastAsia="en-AU"/>
        </w:rPr>
        <w:t>:</w:t>
      </w:r>
    </w:p>
    <w:p w14:paraId="2B4346C7" w14:textId="77777777" w:rsidR="007D7ED1" w:rsidRPr="008D3B12" w:rsidRDefault="007D7ED1" w:rsidP="005D4866">
      <w:pPr>
        <w:pStyle w:val="ListParagraph"/>
        <w:numPr>
          <w:ilvl w:val="0"/>
          <w:numId w:val="14"/>
        </w:numPr>
        <w:spacing w:before="120" w:after="0"/>
        <w:ind w:left="1417" w:hanging="425"/>
        <w:jc w:val="both"/>
        <w:rPr>
          <w:rFonts w:ascii="Arial" w:hAnsi="Arial" w:cs="Arial"/>
          <w:sz w:val="24"/>
          <w:szCs w:val="24"/>
          <w:lang w:eastAsia="en-AU"/>
        </w:rPr>
      </w:pPr>
      <w:r w:rsidRPr="008D3B12">
        <w:rPr>
          <w:rFonts w:ascii="Arial" w:hAnsi="Arial" w:cs="Arial"/>
          <w:sz w:val="24"/>
          <w:szCs w:val="24"/>
          <w:lang w:eastAsia="en-AU"/>
        </w:rPr>
        <w:t>is in force; or</w:t>
      </w:r>
    </w:p>
    <w:p w14:paraId="4EFF042D" w14:textId="1532AE72" w:rsidR="007D7ED1" w:rsidRDefault="007D7ED1" w:rsidP="005D4866">
      <w:pPr>
        <w:pStyle w:val="ListParagraph"/>
        <w:numPr>
          <w:ilvl w:val="0"/>
          <w:numId w:val="14"/>
        </w:numPr>
        <w:spacing w:after="0"/>
        <w:ind w:left="1418" w:hanging="425"/>
        <w:jc w:val="both"/>
        <w:rPr>
          <w:rFonts w:ascii="Arial" w:hAnsi="Arial" w:cs="Arial"/>
          <w:sz w:val="24"/>
          <w:szCs w:val="24"/>
          <w:lang w:eastAsia="en-AU"/>
        </w:rPr>
      </w:pPr>
      <w:r w:rsidRPr="008D3B12">
        <w:rPr>
          <w:rFonts w:ascii="Arial" w:hAnsi="Arial" w:cs="Arial"/>
          <w:sz w:val="24"/>
          <w:szCs w:val="24"/>
          <w:lang w:eastAsia="en-AU"/>
        </w:rPr>
        <w:t>was in force at any time during the preceding 12 months; and</w:t>
      </w:r>
    </w:p>
    <w:p w14:paraId="545B12AC" w14:textId="77777777" w:rsidR="008D3B12" w:rsidRPr="008D3B12" w:rsidRDefault="008D3B12" w:rsidP="005D4866">
      <w:pPr>
        <w:pStyle w:val="ListParagraph"/>
        <w:spacing w:after="0"/>
        <w:ind w:left="1418"/>
        <w:jc w:val="both"/>
        <w:rPr>
          <w:rFonts w:ascii="Arial" w:hAnsi="Arial" w:cs="Arial"/>
          <w:sz w:val="24"/>
          <w:szCs w:val="24"/>
          <w:lang w:eastAsia="en-AU"/>
        </w:rPr>
      </w:pPr>
    </w:p>
    <w:p w14:paraId="285021EB" w14:textId="77777777" w:rsidR="007D7ED1" w:rsidRPr="007D7ED1" w:rsidRDefault="007D7ED1" w:rsidP="005D4866">
      <w:pPr>
        <w:pStyle w:val="ListParagraph"/>
        <w:numPr>
          <w:ilvl w:val="0"/>
          <w:numId w:val="15"/>
        </w:numPr>
        <w:spacing w:after="0"/>
        <w:jc w:val="both"/>
        <w:rPr>
          <w:rFonts w:ascii="Arial" w:hAnsi="Arial" w:cs="Arial"/>
          <w:sz w:val="24"/>
          <w:szCs w:val="24"/>
          <w:lang w:eastAsia="en-AU"/>
        </w:rPr>
      </w:pPr>
      <w:r w:rsidRPr="007D7ED1">
        <w:rPr>
          <w:rFonts w:ascii="Arial" w:hAnsi="Arial" w:cs="Arial"/>
          <w:sz w:val="24"/>
          <w:szCs w:val="24"/>
          <w:lang w:eastAsia="en-AU"/>
        </w:rPr>
        <w:t>the commissioner considers the waiver is appropriate because of the financial impact of the emergency declaration on the business carried on under the licence or permit.</w:t>
      </w:r>
    </w:p>
    <w:p w14:paraId="2531F99B" w14:textId="77777777" w:rsidR="007D7ED1" w:rsidRPr="007D7ED1" w:rsidRDefault="007D7ED1" w:rsidP="005D4866">
      <w:pPr>
        <w:spacing w:after="0"/>
        <w:jc w:val="both"/>
        <w:rPr>
          <w:rFonts w:ascii="Arial" w:hAnsi="Arial" w:cs="Arial"/>
          <w:sz w:val="24"/>
          <w:szCs w:val="24"/>
          <w:lang w:eastAsia="en-AU"/>
        </w:rPr>
      </w:pPr>
    </w:p>
    <w:p w14:paraId="094182DB" w14:textId="0B428A29" w:rsidR="007D7ED1" w:rsidRPr="007D7ED1" w:rsidRDefault="007D7ED1" w:rsidP="005D4866">
      <w:pPr>
        <w:spacing w:after="0"/>
        <w:jc w:val="both"/>
        <w:rPr>
          <w:rFonts w:ascii="Arial" w:hAnsi="Arial" w:cs="Arial"/>
          <w:sz w:val="24"/>
          <w:szCs w:val="24"/>
          <w:lang w:eastAsia="en-AU"/>
        </w:rPr>
      </w:pPr>
      <w:r w:rsidRPr="007D7ED1">
        <w:rPr>
          <w:rFonts w:ascii="Arial" w:hAnsi="Arial" w:cs="Arial"/>
          <w:sz w:val="24"/>
          <w:szCs w:val="24"/>
          <w:lang w:eastAsia="en-AU"/>
        </w:rPr>
        <w:t xml:space="preserve">The </w:t>
      </w:r>
      <w:r w:rsidRPr="008D3B12">
        <w:rPr>
          <w:rFonts w:ascii="Arial" w:hAnsi="Arial" w:cs="Arial"/>
          <w:i/>
          <w:iCs/>
          <w:sz w:val="24"/>
          <w:szCs w:val="24"/>
          <w:lang w:eastAsia="en-AU"/>
        </w:rPr>
        <w:t>Public Health (Closure of Non</w:t>
      </w:r>
      <w:r w:rsidR="00BD1C61">
        <w:rPr>
          <w:rFonts w:ascii="Arial" w:hAnsi="Arial" w:cs="Arial"/>
          <w:i/>
          <w:iCs/>
          <w:sz w:val="24"/>
          <w:szCs w:val="24"/>
          <w:lang w:eastAsia="en-AU"/>
        </w:rPr>
        <w:noBreakHyphen/>
      </w:r>
      <w:r w:rsidRPr="008D3B12">
        <w:rPr>
          <w:rFonts w:ascii="Arial" w:hAnsi="Arial" w:cs="Arial"/>
          <w:i/>
          <w:iCs/>
          <w:sz w:val="24"/>
          <w:szCs w:val="24"/>
          <w:lang w:eastAsia="en-AU"/>
        </w:rPr>
        <w:t>Essential Business or Undertaking) Emergency Direction 2020</w:t>
      </w:r>
      <w:r w:rsidRPr="007D7ED1">
        <w:rPr>
          <w:rFonts w:ascii="Arial" w:hAnsi="Arial" w:cs="Arial"/>
          <w:sz w:val="24"/>
          <w:szCs w:val="24"/>
          <w:lang w:eastAsia="en-AU"/>
        </w:rPr>
        <w:t xml:space="preserve"> </w:t>
      </w:r>
      <w:bookmarkStart w:id="2" w:name="_Hlk36387423"/>
      <w:r w:rsidRPr="007D7ED1">
        <w:rPr>
          <w:rFonts w:ascii="Arial" w:hAnsi="Arial" w:cs="Arial"/>
          <w:sz w:val="24"/>
          <w:szCs w:val="24"/>
          <w:lang w:eastAsia="en-AU"/>
        </w:rPr>
        <w:t>[NI2020</w:t>
      </w:r>
      <w:r w:rsidR="008D3B12">
        <w:rPr>
          <w:rFonts w:ascii="Arial" w:hAnsi="Arial" w:cs="Arial"/>
          <w:sz w:val="24"/>
          <w:szCs w:val="24"/>
          <w:lang w:eastAsia="en-AU"/>
        </w:rPr>
        <w:noBreakHyphen/>
      </w:r>
      <w:r w:rsidRPr="007D7ED1">
        <w:rPr>
          <w:rFonts w:ascii="Arial" w:hAnsi="Arial" w:cs="Arial"/>
          <w:sz w:val="24"/>
          <w:szCs w:val="24"/>
          <w:lang w:eastAsia="en-AU"/>
        </w:rPr>
        <w:t>181]</w:t>
      </w:r>
      <w:bookmarkEnd w:id="2"/>
      <w:r w:rsidR="00BD1C61" w:rsidRPr="00BD1C61">
        <w:rPr>
          <w:rFonts w:ascii="Arial" w:hAnsi="Arial" w:cs="Arial"/>
          <w:sz w:val="24"/>
          <w:szCs w:val="24"/>
          <w:lang w:eastAsia="en-AU"/>
        </w:rPr>
        <w:t xml:space="preserve"> </w:t>
      </w:r>
      <w:r w:rsidR="00BD1C61" w:rsidRPr="007D7ED1">
        <w:rPr>
          <w:rFonts w:ascii="Arial" w:hAnsi="Arial" w:cs="Arial"/>
          <w:sz w:val="24"/>
          <w:szCs w:val="24"/>
          <w:lang w:eastAsia="en-AU"/>
        </w:rPr>
        <w:t>(the</w:t>
      </w:r>
      <w:r w:rsidR="00BD1C61">
        <w:rPr>
          <w:rFonts w:ascii="Arial" w:hAnsi="Arial" w:cs="Arial"/>
          <w:sz w:val="24"/>
          <w:szCs w:val="24"/>
          <w:lang w:eastAsia="en-AU"/>
        </w:rPr>
        <w:t> </w:t>
      </w:r>
      <w:r w:rsidR="00BD1C61" w:rsidRPr="007D7ED1">
        <w:rPr>
          <w:rFonts w:ascii="Arial" w:hAnsi="Arial" w:cs="Arial"/>
          <w:sz w:val="24"/>
          <w:szCs w:val="24"/>
          <w:lang w:eastAsia="en-AU"/>
        </w:rPr>
        <w:t>closure direction)</w:t>
      </w:r>
      <w:r w:rsidR="008D3B12">
        <w:rPr>
          <w:rFonts w:ascii="Arial" w:hAnsi="Arial" w:cs="Arial"/>
          <w:sz w:val="24"/>
          <w:szCs w:val="24"/>
          <w:lang w:eastAsia="en-AU"/>
        </w:rPr>
        <w:t xml:space="preserve"> </w:t>
      </w:r>
      <w:r w:rsidRPr="007D7ED1">
        <w:rPr>
          <w:rFonts w:ascii="Arial" w:hAnsi="Arial" w:cs="Arial"/>
          <w:sz w:val="24"/>
          <w:szCs w:val="24"/>
          <w:lang w:eastAsia="en-AU"/>
        </w:rPr>
        <w:t>on 23 March 2020 directed the closure of:</w:t>
      </w:r>
    </w:p>
    <w:p w14:paraId="3145D357" w14:textId="54872207" w:rsidR="007D7ED1" w:rsidRPr="008D3B12" w:rsidRDefault="007D7ED1" w:rsidP="005D4866">
      <w:pPr>
        <w:pStyle w:val="ListParagraph"/>
        <w:numPr>
          <w:ilvl w:val="0"/>
          <w:numId w:val="16"/>
        </w:numPr>
        <w:spacing w:after="0"/>
        <w:jc w:val="both"/>
        <w:rPr>
          <w:rFonts w:ascii="Arial" w:hAnsi="Arial" w:cs="Arial"/>
          <w:sz w:val="24"/>
          <w:szCs w:val="24"/>
          <w:lang w:eastAsia="en-AU"/>
        </w:rPr>
      </w:pPr>
      <w:r w:rsidRPr="008D3B12">
        <w:rPr>
          <w:rFonts w:ascii="Arial" w:hAnsi="Arial" w:cs="Arial"/>
          <w:sz w:val="24"/>
          <w:szCs w:val="24"/>
          <w:lang w:eastAsia="en-AU"/>
        </w:rPr>
        <w:t>Businesses that supply liquor for consumption ON the premises but not including any part of those businesses that sell liquor for consumption OFF the premises as defined by the Liquor Act;</w:t>
      </w:r>
    </w:p>
    <w:p w14:paraId="5EC98AE4" w14:textId="77777777" w:rsidR="007D7ED1" w:rsidRPr="008D3B12" w:rsidRDefault="007D7ED1" w:rsidP="005D4866">
      <w:pPr>
        <w:pStyle w:val="ListParagraph"/>
        <w:numPr>
          <w:ilvl w:val="0"/>
          <w:numId w:val="16"/>
        </w:numPr>
        <w:spacing w:after="0"/>
        <w:jc w:val="both"/>
        <w:rPr>
          <w:rFonts w:ascii="Arial" w:hAnsi="Arial" w:cs="Arial"/>
          <w:sz w:val="24"/>
          <w:szCs w:val="24"/>
          <w:lang w:eastAsia="en-AU"/>
        </w:rPr>
      </w:pPr>
      <w:r w:rsidRPr="008D3B12">
        <w:rPr>
          <w:rFonts w:ascii="Arial" w:hAnsi="Arial" w:cs="Arial"/>
          <w:sz w:val="24"/>
          <w:szCs w:val="24"/>
          <w:lang w:eastAsia="en-AU"/>
        </w:rPr>
        <w:t>hotels, whether licensed or unlicensed, but not to the extent that they provide accommodation, takeaway meals or a meal delivery service, or a bottleshop;</w:t>
      </w:r>
    </w:p>
    <w:p w14:paraId="74E2484F" w14:textId="77777777" w:rsidR="007D7ED1" w:rsidRPr="008D3B12" w:rsidRDefault="007D7ED1" w:rsidP="005D4866">
      <w:pPr>
        <w:pStyle w:val="ListParagraph"/>
        <w:numPr>
          <w:ilvl w:val="0"/>
          <w:numId w:val="16"/>
        </w:numPr>
        <w:spacing w:after="0"/>
        <w:jc w:val="both"/>
        <w:rPr>
          <w:rFonts w:ascii="Arial" w:hAnsi="Arial" w:cs="Arial"/>
          <w:sz w:val="24"/>
          <w:szCs w:val="24"/>
          <w:lang w:eastAsia="en-AU"/>
        </w:rPr>
      </w:pPr>
      <w:r w:rsidRPr="008D3B12">
        <w:rPr>
          <w:rFonts w:ascii="Arial" w:hAnsi="Arial" w:cs="Arial"/>
          <w:sz w:val="24"/>
          <w:szCs w:val="24"/>
          <w:lang w:eastAsia="en-AU"/>
        </w:rPr>
        <w:t>a casino;</w:t>
      </w:r>
    </w:p>
    <w:p w14:paraId="27FCE5BA" w14:textId="77777777" w:rsidR="007D7ED1" w:rsidRPr="008D3B12" w:rsidRDefault="007D7ED1" w:rsidP="005D4866">
      <w:pPr>
        <w:pStyle w:val="ListParagraph"/>
        <w:numPr>
          <w:ilvl w:val="0"/>
          <w:numId w:val="16"/>
        </w:numPr>
        <w:spacing w:after="0"/>
        <w:jc w:val="both"/>
        <w:rPr>
          <w:rFonts w:ascii="Arial" w:hAnsi="Arial" w:cs="Arial"/>
          <w:sz w:val="24"/>
          <w:szCs w:val="24"/>
          <w:lang w:eastAsia="en-AU"/>
        </w:rPr>
      </w:pPr>
      <w:r w:rsidRPr="008D3B12">
        <w:rPr>
          <w:rFonts w:ascii="Arial" w:hAnsi="Arial" w:cs="Arial"/>
          <w:sz w:val="24"/>
          <w:szCs w:val="24"/>
          <w:lang w:eastAsia="en-AU"/>
        </w:rPr>
        <w:lastRenderedPageBreak/>
        <w:t>cinemas, nightclubs or entertainment venues of any kind;</w:t>
      </w:r>
    </w:p>
    <w:p w14:paraId="2C05E11F" w14:textId="77777777" w:rsidR="007D7ED1" w:rsidRPr="008D3B12" w:rsidRDefault="007D7ED1" w:rsidP="005D4866">
      <w:pPr>
        <w:pStyle w:val="ListParagraph"/>
        <w:numPr>
          <w:ilvl w:val="0"/>
          <w:numId w:val="16"/>
        </w:numPr>
        <w:spacing w:after="0"/>
        <w:jc w:val="both"/>
        <w:rPr>
          <w:rFonts w:ascii="Arial" w:hAnsi="Arial" w:cs="Arial"/>
          <w:sz w:val="24"/>
          <w:szCs w:val="24"/>
          <w:lang w:eastAsia="en-AU"/>
        </w:rPr>
      </w:pPr>
      <w:r w:rsidRPr="008D3B12">
        <w:rPr>
          <w:rFonts w:ascii="Arial" w:hAnsi="Arial" w:cs="Arial"/>
          <w:sz w:val="24"/>
          <w:szCs w:val="24"/>
          <w:lang w:eastAsia="en-AU"/>
        </w:rPr>
        <w:t>restaurants or cafes, other to than to the extent that they provide takeaway meals or a meal delivery services.</w:t>
      </w:r>
    </w:p>
    <w:p w14:paraId="789A1FDA" w14:textId="77777777" w:rsidR="007D7ED1" w:rsidRPr="007D7ED1" w:rsidRDefault="007D7ED1" w:rsidP="005D4866">
      <w:pPr>
        <w:spacing w:after="0"/>
        <w:jc w:val="both"/>
        <w:rPr>
          <w:rFonts w:ascii="Arial" w:hAnsi="Arial" w:cs="Arial"/>
          <w:sz w:val="24"/>
          <w:szCs w:val="24"/>
          <w:lang w:eastAsia="en-AU"/>
        </w:rPr>
      </w:pPr>
    </w:p>
    <w:p w14:paraId="4BC4D3DF" w14:textId="135A543B" w:rsidR="007D7ED1" w:rsidRPr="007D7ED1" w:rsidRDefault="007D7ED1" w:rsidP="005D4866">
      <w:pPr>
        <w:spacing w:after="0"/>
        <w:jc w:val="both"/>
        <w:rPr>
          <w:rFonts w:ascii="Arial" w:hAnsi="Arial" w:cs="Arial"/>
          <w:sz w:val="24"/>
          <w:szCs w:val="24"/>
          <w:lang w:eastAsia="en-AU"/>
        </w:rPr>
      </w:pPr>
      <w:r w:rsidRPr="007D7ED1">
        <w:rPr>
          <w:rFonts w:ascii="Arial" w:hAnsi="Arial" w:cs="Arial"/>
          <w:sz w:val="24"/>
          <w:szCs w:val="24"/>
          <w:lang w:eastAsia="en-AU"/>
        </w:rPr>
        <w:t xml:space="preserve">The direction followed and was made in relation to the </w:t>
      </w:r>
      <w:r w:rsidRPr="008D3B12">
        <w:rPr>
          <w:rFonts w:ascii="Arial" w:hAnsi="Arial" w:cs="Arial"/>
          <w:i/>
          <w:iCs/>
          <w:sz w:val="24"/>
          <w:szCs w:val="24"/>
          <w:lang w:eastAsia="en-AU"/>
        </w:rPr>
        <w:t>Public Health (Emergency) Declaration 2020</w:t>
      </w:r>
      <w:r w:rsidRPr="007D7ED1">
        <w:rPr>
          <w:rFonts w:ascii="Arial" w:hAnsi="Arial" w:cs="Arial"/>
          <w:sz w:val="24"/>
          <w:szCs w:val="24"/>
          <w:lang w:eastAsia="en-AU"/>
        </w:rPr>
        <w:t xml:space="preserve"> (No 1) [NI2020-153]</w:t>
      </w:r>
      <w:r w:rsidR="00C110E3">
        <w:rPr>
          <w:rFonts w:ascii="Arial" w:hAnsi="Arial" w:cs="Arial"/>
          <w:sz w:val="24"/>
          <w:szCs w:val="24"/>
          <w:lang w:eastAsia="en-AU"/>
        </w:rPr>
        <w:t>,</w:t>
      </w:r>
      <w:r w:rsidRPr="007D7ED1">
        <w:rPr>
          <w:rFonts w:ascii="Arial" w:hAnsi="Arial" w:cs="Arial"/>
          <w:sz w:val="24"/>
          <w:szCs w:val="24"/>
          <w:lang w:eastAsia="en-AU"/>
        </w:rPr>
        <w:t xml:space="preserve"> to prohibit the operation of non-essential business and undertakings to limit the spread of Novel Coronavirus 2019 (2019</w:t>
      </w:r>
      <w:r w:rsidR="008D3B12">
        <w:rPr>
          <w:rFonts w:ascii="Arial" w:hAnsi="Arial" w:cs="Arial"/>
          <w:sz w:val="24"/>
          <w:szCs w:val="24"/>
          <w:lang w:eastAsia="en-AU"/>
        </w:rPr>
        <w:noBreakHyphen/>
      </w:r>
      <w:r w:rsidRPr="007D7ED1">
        <w:rPr>
          <w:rFonts w:ascii="Arial" w:hAnsi="Arial" w:cs="Arial"/>
          <w:sz w:val="24"/>
          <w:szCs w:val="24"/>
          <w:lang w:eastAsia="en-AU"/>
        </w:rPr>
        <w:t>nCoV).</w:t>
      </w:r>
    </w:p>
    <w:p w14:paraId="531AF5F7" w14:textId="77777777" w:rsidR="007D7ED1" w:rsidRDefault="007D7ED1" w:rsidP="005D4866">
      <w:pPr>
        <w:spacing w:after="0"/>
        <w:jc w:val="both"/>
        <w:rPr>
          <w:rFonts w:ascii="Arial" w:hAnsi="Arial" w:cs="Arial"/>
          <w:sz w:val="24"/>
          <w:szCs w:val="24"/>
        </w:rPr>
      </w:pPr>
    </w:p>
    <w:p w14:paraId="673A52CA" w14:textId="14154EF3" w:rsidR="00C32D41" w:rsidRDefault="008D3B12" w:rsidP="005D4866">
      <w:pPr>
        <w:spacing w:after="0"/>
        <w:jc w:val="both"/>
        <w:rPr>
          <w:rFonts w:ascii="Arial" w:hAnsi="Arial" w:cs="Arial"/>
          <w:sz w:val="24"/>
          <w:szCs w:val="24"/>
          <w:lang w:eastAsia="en-AU"/>
        </w:rPr>
      </w:pPr>
      <w:r w:rsidRPr="008D3B12">
        <w:rPr>
          <w:rFonts w:ascii="Arial" w:hAnsi="Arial" w:cs="Arial"/>
          <w:sz w:val="24"/>
          <w:szCs w:val="24"/>
          <w:lang w:eastAsia="en-AU"/>
        </w:rPr>
        <w:t xml:space="preserve">In order to slow the spread of </w:t>
      </w:r>
      <w:r w:rsidRPr="007D7ED1">
        <w:rPr>
          <w:rFonts w:ascii="Arial" w:hAnsi="Arial" w:cs="Arial"/>
          <w:sz w:val="24"/>
          <w:szCs w:val="24"/>
          <w:lang w:eastAsia="en-AU"/>
        </w:rPr>
        <w:t>2019</w:t>
      </w:r>
      <w:r>
        <w:rPr>
          <w:rFonts w:ascii="Arial" w:hAnsi="Arial" w:cs="Arial"/>
          <w:sz w:val="24"/>
          <w:szCs w:val="24"/>
          <w:lang w:eastAsia="en-AU"/>
        </w:rPr>
        <w:noBreakHyphen/>
      </w:r>
      <w:r w:rsidRPr="007D7ED1">
        <w:rPr>
          <w:rFonts w:ascii="Arial" w:hAnsi="Arial" w:cs="Arial"/>
          <w:sz w:val="24"/>
          <w:szCs w:val="24"/>
          <w:lang w:eastAsia="en-AU"/>
        </w:rPr>
        <w:t>nCoV</w:t>
      </w:r>
      <w:r w:rsidRPr="008D3B12">
        <w:rPr>
          <w:rFonts w:ascii="Arial" w:hAnsi="Arial" w:cs="Arial"/>
          <w:sz w:val="24"/>
          <w:szCs w:val="24"/>
          <w:lang w:eastAsia="en-AU"/>
        </w:rPr>
        <w:t xml:space="preserve">, clubs </w:t>
      </w:r>
      <w:r w:rsidR="00BC4AB7">
        <w:rPr>
          <w:rFonts w:ascii="Arial" w:hAnsi="Arial" w:cs="Arial"/>
          <w:sz w:val="24"/>
          <w:szCs w:val="24"/>
          <w:lang w:eastAsia="en-AU"/>
        </w:rPr>
        <w:t xml:space="preserve">and other licensed premises </w:t>
      </w:r>
      <w:r w:rsidRPr="008D3B12">
        <w:rPr>
          <w:rFonts w:ascii="Arial" w:hAnsi="Arial" w:cs="Arial"/>
          <w:sz w:val="24"/>
          <w:szCs w:val="24"/>
          <w:lang w:eastAsia="en-AU"/>
        </w:rPr>
        <w:t>will not be able to open and provide their normal services to the community. While this is necessary from a public health perspective, it will have a financial impact on the club industry</w:t>
      </w:r>
      <w:r w:rsidR="00C110E3">
        <w:rPr>
          <w:rFonts w:ascii="Arial" w:hAnsi="Arial" w:cs="Arial"/>
          <w:sz w:val="24"/>
          <w:szCs w:val="24"/>
          <w:lang w:eastAsia="en-AU"/>
        </w:rPr>
        <w:t xml:space="preserve"> and other licensed businesses</w:t>
      </w:r>
      <w:r w:rsidRPr="008D3B12">
        <w:rPr>
          <w:rFonts w:ascii="Arial" w:hAnsi="Arial" w:cs="Arial"/>
          <w:sz w:val="24"/>
          <w:szCs w:val="24"/>
          <w:lang w:eastAsia="en-AU"/>
        </w:rPr>
        <w:t>.</w:t>
      </w:r>
    </w:p>
    <w:p w14:paraId="2E066F55" w14:textId="77777777" w:rsidR="00C32D41" w:rsidRDefault="00C32D41" w:rsidP="005D4866">
      <w:pPr>
        <w:spacing w:after="0"/>
        <w:jc w:val="both"/>
        <w:rPr>
          <w:rFonts w:ascii="Arial" w:hAnsi="Arial" w:cs="Arial"/>
          <w:sz w:val="24"/>
          <w:szCs w:val="24"/>
          <w:lang w:eastAsia="en-AU"/>
        </w:rPr>
      </w:pPr>
    </w:p>
    <w:p w14:paraId="59C2CD88" w14:textId="7C8AE543" w:rsidR="008D3B12" w:rsidRPr="008D3B12" w:rsidRDefault="008D3B12" w:rsidP="005D4866">
      <w:pPr>
        <w:spacing w:after="0"/>
        <w:jc w:val="both"/>
        <w:rPr>
          <w:rFonts w:ascii="Arial" w:hAnsi="Arial" w:cs="Arial"/>
          <w:sz w:val="24"/>
          <w:szCs w:val="24"/>
          <w:lang w:eastAsia="en-AU"/>
        </w:rPr>
      </w:pPr>
      <w:r w:rsidRPr="008D3B12">
        <w:rPr>
          <w:rFonts w:ascii="Arial" w:hAnsi="Arial" w:cs="Arial"/>
          <w:sz w:val="24"/>
          <w:szCs w:val="24"/>
          <w:lang w:eastAsia="en-AU"/>
        </w:rPr>
        <w:t>Th</w:t>
      </w:r>
      <w:r w:rsidR="00827AB8">
        <w:rPr>
          <w:rFonts w:ascii="Arial" w:hAnsi="Arial" w:cs="Arial"/>
          <w:sz w:val="24"/>
          <w:szCs w:val="24"/>
          <w:lang w:eastAsia="en-AU"/>
        </w:rPr>
        <w:t>is amendment</w:t>
      </w:r>
      <w:r w:rsidRPr="008D3B12">
        <w:rPr>
          <w:rFonts w:ascii="Arial" w:hAnsi="Arial" w:cs="Arial"/>
          <w:sz w:val="24"/>
          <w:szCs w:val="24"/>
          <w:lang w:eastAsia="en-AU"/>
        </w:rPr>
        <w:t xml:space="preserve"> </w:t>
      </w:r>
      <w:r w:rsidR="00827AB8">
        <w:rPr>
          <w:rFonts w:ascii="Arial" w:hAnsi="Arial" w:cs="Arial"/>
          <w:sz w:val="24"/>
          <w:szCs w:val="24"/>
          <w:lang w:eastAsia="en-AU"/>
        </w:rPr>
        <w:t>r</w:t>
      </w:r>
      <w:r w:rsidRPr="008D3B12">
        <w:rPr>
          <w:rFonts w:ascii="Arial" w:hAnsi="Arial" w:cs="Arial"/>
          <w:sz w:val="24"/>
          <w:szCs w:val="24"/>
          <w:lang w:eastAsia="en-AU"/>
        </w:rPr>
        <w:t xml:space="preserve">egulation </w:t>
      </w:r>
      <w:r w:rsidR="00C32D41">
        <w:rPr>
          <w:rFonts w:ascii="Arial" w:hAnsi="Arial" w:cs="Arial"/>
          <w:sz w:val="24"/>
          <w:szCs w:val="24"/>
          <w:lang w:eastAsia="en-AU"/>
        </w:rPr>
        <w:t>supports the ability of the Gover</w:t>
      </w:r>
      <w:r w:rsidR="00236DD3">
        <w:rPr>
          <w:rFonts w:ascii="Arial" w:hAnsi="Arial" w:cs="Arial"/>
          <w:sz w:val="24"/>
          <w:szCs w:val="24"/>
          <w:lang w:eastAsia="en-AU"/>
        </w:rPr>
        <w:t>n</w:t>
      </w:r>
      <w:r w:rsidR="00C32D41">
        <w:rPr>
          <w:rFonts w:ascii="Arial" w:hAnsi="Arial" w:cs="Arial"/>
          <w:sz w:val="24"/>
          <w:szCs w:val="24"/>
          <w:lang w:eastAsia="en-AU"/>
        </w:rPr>
        <w:t>ment to implement a fee waiver to assist in</w:t>
      </w:r>
      <w:r w:rsidR="00236DD3">
        <w:rPr>
          <w:rFonts w:ascii="Arial" w:hAnsi="Arial" w:cs="Arial"/>
          <w:sz w:val="24"/>
          <w:szCs w:val="24"/>
          <w:lang w:eastAsia="en-AU"/>
        </w:rPr>
        <w:t xml:space="preserve"> </w:t>
      </w:r>
      <w:r w:rsidRPr="008D3B12">
        <w:rPr>
          <w:rFonts w:ascii="Arial" w:hAnsi="Arial" w:cs="Arial"/>
          <w:sz w:val="24"/>
          <w:szCs w:val="24"/>
          <w:lang w:eastAsia="en-AU"/>
        </w:rPr>
        <w:t>mitigat</w:t>
      </w:r>
      <w:r w:rsidR="00C32D41">
        <w:rPr>
          <w:rFonts w:ascii="Arial" w:hAnsi="Arial" w:cs="Arial"/>
          <w:sz w:val="24"/>
          <w:szCs w:val="24"/>
          <w:lang w:eastAsia="en-AU"/>
        </w:rPr>
        <w:t>ing</w:t>
      </w:r>
      <w:r w:rsidRPr="008D3B12">
        <w:rPr>
          <w:rFonts w:ascii="Arial" w:hAnsi="Arial" w:cs="Arial"/>
          <w:sz w:val="24"/>
          <w:szCs w:val="24"/>
          <w:lang w:eastAsia="en-AU"/>
        </w:rPr>
        <w:t xml:space="preserve"> those impacts.</w:t>
      </w:r>
    </w:p>
    <w:p w14:paraId="14ECA42D" w14:textId="77777777" w:rsidR="00C83839" w:rsidRDefault="00C83839" w:rsidP="005D4866">
      <w:pPr>
        <w:jc w:val="both"/>
        <w:rPr>
          <w:rFonts w:ascii="Arial" w:hAnsi="Arial" w:cs="Arial"/>
          <w:b/>
          <w:sz w:val="24"/>
          <w:szCs w:val="24"/>
        </w:rPr>
      </w:pPr>
    </w:p>
    <w:p w14:paraId="5559A424" w14:textId="15345D51" w:rsidR="007D7ED1" w:rsidRPr="007D580B" w:rsidRDefault="007D7ED1" w:rsidP="005D4866">
      <w:pPr>
        <w:jc w:val="both"/>
        <w:rPr>
          <w:rFonts w:ascii="Arial" w:hAnsi="Arial" w:cs="Arial"/>
          <w:b/>
          <w:sz w:val="24"/>
          <w:szCs w:val="24"/>
        </w:rPr>
      </w:pPr>
      <w:r w:rsidRPr="007D580B">
        <w:rPr>
          <w:rFonts w:ascii="Arial" w:hAnsi="Arial" w:cs="Arial"/>
          <w:b/>
          <w:sz w:val="24"/>
          <w:szCs w:val="24"/>
        </w:rPr>
        <w:t>HUMAN RIGHTS IMPLICATIONS</w:t>
      </w:r>
    </w:p>
    <w:p w14:paraId="6AFADD68" w14:textId="24645657" w:rsidR="007D7ED1" w:rsidRDefault="007D7ED1" w:rsidP="005D4866">
      <w:pPr>
        <w:spacing w:after="0"/>
        <w:jc w:val="both"/>
        <w:rPr>
          <w:rFonts w:ascii="Arial" w:hAnsi="Arial" w:cs="Arial"/>
          <w:sz w:val="24"/>
          <w:szCs w:val="24"/>
          <w:lang w:eastAsia="en-AU"/>
        </w:rPr>
      </w:pPr>
      <w:r w:rsidRPr="007D580B">
        <w:rPr>
          <w:rFonts w:ascii="Arial" w:hAnsi="Arial" w:cs="Arial"/>
          <w:sz w:val="24"/>
          <w:szCs w:val="24"/>
          <w:lang w:eastAsia="en-AU"/>
        </w:rPr>
        <w:t xml:space="preserve">The Regulation does not engage any human rights set out in the </w:t>
      </w:r>
      <w:r w:rsidRPr="007D580B">
        <w:rPr>
          <w:rFonts w:ascii="Arial" w:hAnsi="Arial" w:cs="Arial"/>
          <w:i/>
          <w:sz w:val="24"/>
          <w:szCs w:val="24"/>
          <w:lang w:eastAsia="en-AU"/>
        </w:rPr>
        <w:t>Human</w:t>
      </w:r>
      <w:r w:rsidR="00BD1C61">
        <w:rPr>
          <w:rFonts w:ascii="Arial" w:hAnsi="Arial" w:cs="Arial"/>
          <w:i/>
          <w:sz w:val="24"/>
          <w:szCs w:val="24"/>
          <w:lang w:eastAsia="en-AU"/>
        </w:rPr>
        <w:t> </w:t>
      </w:r>
      <w:r w:rsidRPr="007D580B">
        <w:rPr>
          <w:rFonts w:ascii="Arial" w:hAnsi="Arial" w:cs="Arial"/>
          <w:i/>
          <w:sz w:val="24"/>
          <w:szCs w:val="24"/>
          <w:lang w:eastAsia="en-AU"/>
        </w:rPr>
        <w:t>Rights</w:t>
      </w:r>
      <w:r w:rsidR="00BD1C61">
        <w:rPr>
          <w:rFonts w:ascii="Arial" w:hAnsi="Arial" w:cs="Arial"/>
          <w:i/>
          <w:sz w:val="24"/>
          <w:szCs w:val="24"/>
          <w:lang w:eastAsia="en-AU"/>
        </w:rPr>
        <w:t> </w:t>
      </w:r>
      <w:r w:rsidRPr="007D580B">
        <w:rPr>
          <w:rFonts w:ascii="Arial" w:hAnsi="Arial" w:cs="Arial"/>
          <w:i/>
          <w:sz w:val="24"/>
          <w:szCs w:val="24"/>
          <w:lang w:eastAsia="en-AU"/>
        </w:rPr>
        <w:t>Act</w:t>
      </w:r>
      <w:r w:rsidR="00BD1C61">
        <w:rPr>
          <w:rFonts w:ascii="Arial" w:hAnsi="Arial" w:cs="Arial"/>
          <w:i/>
          <w:sz w:val="24"/>
          <w:szCs w:val="24"/>
          <w:lang w:eastAsia="en-AU"/>
        </w:rPr>
        <w:t> </w:t>
      </w:r>
      <w:r w:rsidRPr="007D580B">
        <w:rPr>
          <w:rFonts w:ascii="Arial" w:hAnsi="Arial" w:cs="Arial"/>
          <w:i/>
          <w:sz w:val="24"/>
          <w:szCs w:val="24"/>
          <w:lang w:eastAsia="en-AU"/>
        </w:rPr>
        <w:t>2004</w:t>
      </w:r>
      <w:r w:rsidRPr="007D580B">
        <w:rPr>
          <w:rFonts w:ascii="Arial" w:hAnsi="Arial" w:cs="Arial"/>
          <w:sz w:val="24"/>
          <w:szCs w:val="24"/>
          <w:lang w:eastAsia="en-AU"/>
        </w:rPr>
        <w:t>.</w:t>
      </w:r>
    </w:p>
    <w:p w14:paraId="1BE534E8" w14:textId="77777777" w:rsidR="00BC4AB7" w:rsidRDefault="00BC4AB7" w:rsidP="005D4866">
      <w:pPr>
        <w:spacing w:after="0"/>
        <w:jc w:val="both"/>
        <w:rPr>
          <w:rFonts w:ascii="Arial" w:hAnsi="Arial" w:cs="Arial"/>
          <w:sz w:val="24"/>
          <w:szCs w:val="24"/>
          <w:lang w:eastAsia="en-AU"/>
        </w:rPr>
      </w:pPr>
    </w:p>
    <w:p w14:paraId="350CC0F0" w14:textId="77777777" w:rsidR="007D7ED1" w:rsidRPr="00A216D1" w:rsidRDefault="007D7ED1" w:rsidP="005D4866">
      <w:pPr>
        <w:keepNext/>
        <w:jc w:val="both"/>
        <w:rPr>
          <w:rFonts w:ascii="Arial" w:hAnsi="Arial" w:cs="Arial"/>
          <w:b/>
          <w:sz w:val="24"/>
          <w:szCs w:val="24"/>
        </w:rPr>
      </w:pPr>
      <w:r w:rsidRPr="00A216D1">
        <w:rPr>
          <w:rFonts w:ascii="Arial" w:hAnsi="Arial" w:cs="Arial"/>
          <w:b/>
          <w:sz w:val="24"/>
          <w:szCs w:val="24"/>
        </w:rPr>
        <w:t>REGULATORY IMPACT STATEMENT</w:t>
      </w:r>
    </w:p>
    <w:p w14:paraId="45528F3A" w14:textId="77777777" w:rsidR="007D7ED1" w:rsidRPr="00A216D1" w:rsidRDefault="007D7ED1" w:rsidP="005D4866">
      <w:pPr>
        <w:spacing w:after="0"/>
        <w:jc w:val="both"/>
        <w:rPr>
          <w:rFonts w:ascii="Arial" w:hAnsi="Arial" w:cs="Arial"/>
          <w:sz w:val="24"/>
          <w:szCs w:val="24"/>
          <w:lang w:eastAsia="en-AU"/>
        </w:rPr>
      </w:pPr>
      <w:r w:rsidRPr="00A216D1">
        <w:rPr>
          <w:rFonts w:ascii="Arial" w:hAnsi="Arial" w:cs="Arial"/>
          <w:sz w:val="24"/>
          <w:szCs w:val="24"/>
          <w:lang w:eastAsia="en-AU"/>
        </w:rPr>
        <w:t xml:space="preserve">Section 34 of the </w:t>
      </w:r>
      <w:r w:rsidRPr="00A216D1">
        <w:rPr>
          <w:rFonts w:ascii="Arial" w:hAnsi="Arial" w:cs="Arial"/>
          <w:i/>
          <w:sz w:val="24"/>
          <w:szCs w:val="24"/>
          <w:lang w:eastAsia="en-AU"/>
        </w:rPr>
        <w:t>Legislation Act 2001</w:t>
      </w:r>
      <w:r w:rsidRPr="00A216D1">
        <w:rPr>
          <w:rFonts w:ascii="Arial" w:hAnsi="Arial" w:cs="Arial"/>
          <w:sz w:val="24"/>
          <w:szCs w:val="24"/>
          <w:lang w:eastAsia="en-AU"/>
        </w:rPr>
        <w:t xml:space="preserve"> requires the preparation of a Regulatory Impact Statement where a subordinate law is likely to impose appreciable costs on the community, or a part of the community.</w:t>
      </w:r>
    </w:p>
    <w:p w14:paraId="0B4D8E52" w14:textId="77777777" w:rsidR="007D7ED1" w:rsidRPr="00A216D1" w:rsidRDefault="007D7ED1" w:rsidP="005D4866">
      <w:pPr>
        <w:spacing w:after="0"/>
        <w:jc w:val="both"/>
        <w:rPr>
          <w:rFonts w:ascii="Arial" w:hAnsi="Arial" w:cs="Arial"/>
          <w:sz w:val="24"/>
          <w:szCs w:val="24"/>
          <w:lang w:eastAsia="en-AU"/>
        </w:rPr>
      </w:pPr>
    </w:p>
    <w:p w14:paraId="3959A8FF" w14:textId="4BA9BA68" w:rsidR="007D7ED1" w:rsidRPr="00A216D1" w:rsidRDefault="007D7ED1" w:rsidP="005D4866">
      <w:pPr>
        <w:spacing w:after="0"/>
        <w:jc w:val="both"/>
        <w:rPr>
          <w:rFonts w:ascii="Arial" w:hAnsi="Arial" w:cs="Arial"/>
          <w:sz w:val="24"/>
          <w:szCs w:val="24"/>
          <w:lang w:eastAsia="en-AU"/>
        </w:rPr>
      </w:pPr>
      <w:r>
        <w:rPr>
          <w:rFonts w:ascii="Arial" w:hAnsi="Arial" w:cs="Arial"/>
          <w:sz w:val="24"/>
          <w:szCs w:val="24"/>
          <w:lang w:eastAsia="en-AU"/>
        </w:rPr>
        <w:t>Since this</w:t>
      </w:r>
      <w:r w:rsidRPr="00A216D1">
        <w:rPr>
          <w:rFonts w:ascii="Arial" w:hAnsi="Arial" w:cs="Arial"/>
          <w:sz w:val="24"/>
          <w:szCs w:val="24"/>
          <w:lang w:eastAsia="en-AU"/>
        </w:rPr>
        <w:t xml:space="preserve"> Regulation </w:t>
      </w:r>
      <w:r w:rsidR="00BC4AB7">
        <w:rPr>
          <w:rFonts w:ascii="Arial" w:hAnsi="Arial" w:cs="Arial"/>
          <w:sz w:val="24"/>
          <w:szCs w:val="24"/>
          <w:lang w:eastAsia="en-AU"/>
        </w:rPr>
        <w:t>provides a mechanism for the commissioner to waive licence and permit fees</w:t>
      </w:r>
      <w:r w:rsidRPr="00A216D1">
        <w:rPr>
          <w:rFonts w:ascii="Arial" w:hAnsi="Arial" w:cs="Arial"/>
          <w:sz w:val="24"/>
          <w:szCs w:val="24"/>
          <w:lang w:eastAsia="en-AU"/>
        </w:rPr>
        <w:t>, a regulatory impact statement has not been prepared.</w:t>
      </w:r>
    </w:p>
    <w:p w14:paraId="3FB503DF" w14:textId="77777777" w:rsidR="007D7ED1" w:rsidRDefault="007D7ED1" w:rsidP="005D4866">
      <w:pPr>
        <w:spacing w:after="0"/>
        <w:jc w:val="both"/>
        <w:rPr>
          <w:rFonts w:ascii="Arial" w:hAnsi="Arial" w:cs="Arial"/>
          <w:sz w:val="24"/>
          <w:szCs w:val="24"/>
        </w:rPr>
      </w:pPr>
    </w:p>
    <w:p w14:paraId="1E62558F" w14:textId="77777777" w:rsidR="007D7ED1" w:rsidRPr="007D580B" w:rsidRDefault="007D7ED1" w:rsidP="005D4866">
      <w:pPr>
        <w:spacing w:after="0"/>
        <w:jc w:val="both"/>
        <w:rPr>
          <w:rFonts w:ascii="Arial" w:hAnsi="Arial" w:cs="Arial"/>
          <w:sz w:val="24"/>
          <w:szCs w:val="24"/>
        </w:rPr>
      </w:pPr>
    </w:p>
    <w:p w14:paraId="3D7916BB" w14:textId="77777777" w:rsidR="007D7ED1" w:rsidRPr="007D580B" w:rsidRDefault="007D7ED1" w:rsidP="005D4866">
      <w:pPr>
        <w:keepNext/>
        <w:spacing w:after="0"/>
        <w:jc w:val="both"/>
        <w:rPr>
          <w:rFonts w:ascii="Arial" w:hAnsi="Arial" w:cs="Arial"/>
          <w:sz w:val="24"/>
          <w:szCs w:val="24"/>
        </w:rPr>
      </w:pPr>
      <w:r w:rsidRPr="007D580B">
        <w:rPr>
          <w:rFonts w:ascii="Arial" w:hAnsi="Arial" w:cs="Arial"/>
          <w:b/>
          <w:sz w:val="24"/>
          <w:szCs w:val="24"/>
        </w:rPr>
        <w:t>NOTES</w:t>
      </w:r>
      <w:r>
        <w:rPr>
          <w:rFonts w:ascii="Arial" w:hAnsi="Arial" w:cs="Arial"/>
          <w:b/>
          <w:sz w:val="24"/>
          <w:szCs w:val="24"/>
        </w:rPr>
        <w:t xml:space="preserve"> ON CLAUSES</w:t>
      </w:r>
    </w:p>
    <w:p w14:paraId="6969DE38" w14:textId="77777777" w:rsidR="007D7ED1" w:rsidRPr="007D580B" w:rsidRDefault="007D7ED1" w:rsidP="005D4866">
      <w:pPr>
        <w:keepNext/>
        <w:spacing w:after="0"/>
        <w:jc w:val="both"/>
        <w:rPr>
          <w:rFonts w:ascii="Arial" w:hAnsi="Arial" w:cs="Arial"/>
          <w:sz w:val="24"/>
          <w:szCs w:val="24"/>
        </w:rPr>
      </w:pPr>
    </w:p>
    <w:p w14:paraId="1D7F05D4" w14:textId="77777777" w:rsidR="007D7ED1" w:rsidRPr="007D580B" w:rsidRDefault="007D7ED1" w:rsidP="005D4866">
      <w:pPr>
        <w:keepNext/>
        <w:spacing w:after="120"/>
        <w:jc w:val="both"/>
        <w:rPr>
          <w:rFonts w:ascii="Arial" w:hAnsi="Arial" w:cs="Arial"/>
          <w:b/>
          <w:sz w:val="24"/>
          <w:szCs w:val="24"/>
        </w:rPr>
      </w:pPr>
      <w:r w:rsidRPr="007D580B">
        <w:rPr>
          <w:rFonts w:ascii="Arial" w:hAnsi="Arial" w:cs="Arial"/>
          <w:b/>
          <w:sz w:val="24"/>
          <w:szCs w:val="24"/>
        </w:rPr>
        <w:t>Clause 1</w:t>
      </w:r>
      <w:r w:rsidRPr="007D580B">
        <w:rPr>
          <w:rFonts w:ascii="Arial" w:hAnsi="Arial" w:cs="Arial"/>
          <w:b/>
          <w:sz w:val="24"/>
          <w:szCs w:val="24"/>
        </w:rPr>
        <w:tab/>
        <w:t>Name of regulation</w:t>
      </w:r>
    </w:p>
    <w:p w14:paraId="2D0F56AE" w14:textId="4ACCD20F" w:rsidR="007D7ED1" w:rsidRPr="007D580B" w:rsidRDefault="007D7ED1" w:rsidP="005D4866">
      <w:pPr>
        <w:spacing w:after="0"/>
        <w:jc w:val="both"/>
        <w:rPr>
          <w:rFonts w:ascii="Arial" w:hAnsi="Arial" w:cs="Arial"/>
          <w:sz w:val="24"/>
          <w:szCs w:val="24"/>
        </w:rPr>
      </w:pPr>
      <w:r>
        <w:rPr>
          <w:rFonts w:ascii="Arial" w:hAnsi="Arial" w:cs="Arial"/>
          <w:sz w:val="24"/>
          <w:szCs w:val="24"/>
        </w:rPr>
        <w:t>Clause 1</w:t>
      </w:r>
      <w:r w:rsidRPr="007D580B">
        <w:rPr>
          <w:rFonts w:ascii="Arial" w:hAnsi="Arial" w:cs="Arial"/>
          <w:sz w:val="24"/>
          <w:szCs w:val="24"/>
        </w:rPr>
        <w:t xml:space="preserve"> is a formal provision setting out the name of the Regulation as the </w:t>
      </w:r>
      <w:r w:rsidR="00BC4AB7">
        <w:rPr>
          <w:rFonts w:ascii="Arial" w:hAnsi="Arial" w:cs="Arial"/>
          <w:i/>
          <w:sz w:val="24"/>
          <w:szCs w:val="24"/>
        </w:rPr>
        <w:t>Liquor Amendment Regulation 2020</w:t>
      </w:r>
      <w:r w:rsidR="009B00A3">
        <w:rPr>
          <w:rFonts w:ascii="Arial" w:hAnsi="Arial" w:cs="Arial"/>
          <w:i/>
          <w:sz w:val="24"/>
          <w:szCs w:val="24"/>
        </w:rPr>
        <w:t xml:space="preserve"> (No 1)</w:t>
      </w:r>
      <w:r w:rsidRPr="007D580B">
        <w:rPr>
          <w:rFonts w:ascii="Arial" w:hAnsi="Arial" w:cs="Arial"/>
          <w:sz w:val="24"/>
          <w:szCs w:val="24"/>
        </w:rPr>
        <w:t>.</w:t>
      </w:r>
    </w:p>
    <w:p w14:paraId="407D21AF" w14:textId="77777777" w:rsidR="007D7ED1" w:rsidRPr="007D580B" w:rsidRDefault="007D7ED1" w:rsidP="005D4866">
      <w:pPr>
        <w:spacing w:after="0"/>
        <w:jc w:val="both"/>
        <w:rPr>
          <w:rFonts w:ascii="Arial" w:hAnsi="Arial" w:cs="Arial"/>
          <w:sz w:val="24"/>
          <w:szCs w:val="24"/>
        </w:rPr>
      </w:pPr>
    </w:p>
    <w:p w14:paraId="1B821390" w14:textId="77777777" w:rsidR="007D7ED1" w:rsidRPr="007D580B" w:rsidRDefault="007D7ED1" w:rsidP="005D4866">
      <w:pPr>
        <w:keepNext/>
        <w:spacing w:after="120"/>
        <w:jc w:val="both"/>
        <w:rPr>
          <w:rFonts w:ascii="Arial" w:hAnsi="Arial" w:cs="Arial"/>
          <w:b/>
          <w:sz w:val="24"/>
          <w:szCs w:val="24"/>
        </w:rPr>
      </w:pPr>
      <w:r w:rsidRPr="007D580B">
        <w:rPr>
          <w:rFonts w:ascii="Arial" w:hAnsi="Arial" w:cs="Arial"/>
          <w:b/>
          <w:sz w:val="24"/>
          <w:szCs w:val="24"/>
        </w:rPr>
        <w:t>Clause 2</w:t>
      </w:r>
      <w:r w:rsidRPr="007D580B">
        <w:rPr>
          <w:rFonts w:ascii="Arial" w:hAnsi="Arial" w:cs="Arial"/>
          <w:b/>
          <w:sz w:val="24"/>
          <w:szCs w:val="24"/>
        </w:rPr>
        <w:tab/>
        <w:t>Commencement</w:t>
      </w:r>
    </w:p>
    <w:p w14:paraId="68353EBF" w14:textId="152907F8" w:rsidR="007D7ED1" w:rsidRDefault="007D7ED1" w:rsidP="005D4866">
      <w:pPr>
        <w:spacing w:after="0"/>
        <w:jc w:val="both"/>
        <w:rPr>
          <w:rFonts w:ascii="Arial" w:hAnsi="Arial" w:cs="Arial"/>
          <w:sz w:val="24"/>
          <w:szCs w:val="24"/>
        </w:rPr>
      </w:pPr>
      <w:r w:rsidRPr="007D580B">
        <w:rPr>
          <w:rFonts w:ascii="Arial" w:hAnsi="Arial" w:cs="Arial"/>
          <w:sz w:val="24"/>
          <w:szCs w:val="24"/>
        </w:rPr>
        <w:t xml:space="preserve">Clause </w:t>
      </w:r>
      <w:r w:rsidR="00BC4AB7">
        <w:rPr>
          <w:rFonts w:ascii="Arial" w:hAnsi="Arial" w:cs="Arial"/>
          <w:sz w:val="24"/>
          <w:szCs w:val="24"/>
        </w:rPr>
        <w:t>2</w:t>
      </w:r>
      <w:r w:rsidRPr="007D580B">
        <w:rPr>
          <w:rFonts w:ascii="Arial" w:hAnsi="Arial" w:cs="Arial"/>
          <w:sz w:val="24"/>
          <w:szCs w:val="24"/>
        </w:rPr>
        <w:t xml:space="preserve"> provides the commencement date for the Regulation.</w:t>
      </w:r>
      <w:r>
        <w:rPr>
          <w:rFonts w:ascii="Arial" w:hAnsi="Arial" w:cs="Arial"/>
          <w:sz w:val="24"/>
          <w:szCs w:val="24"/>
        </w:rPr>
        <w:t xml:space="preserve"> </w:t>
      </w:r>
      <w:r w:rsidRPr="007D580B">
        <w:rPr>
          <w:rFonts w:ascii="Arial" w:hAnsi="Arial" w:cs="Arial"/>
          <w:sz w:val="24"/>
          <w:szCs w:val="24"/>
        </w:rPr>
        <w:t xml:space="preserve">The Regulation is taken to have commenced on </w:t>
      </w:r>
      <w:r>
        <w:rPr>
          <w:rFonts w:ascii="Arial" w:hAnsi="Arial" w:cs="Arial"/>
          <w:sz w:val="24"/>
          <w:szCs w:val="24"/>
        </w:rPr>
        <w:t>25 March 2020</w:t>
      </w:r>
      <w:r w:rsidRPr="007D580B">
        <w:rPr>
          <w:rFonts w:ascii="Arial" w:hAnsi="Arial" w:cs="Arial"/>
          <w:sz w:val="24"/>
          <w:szCs w:val="24"/>
        </w:rPr>
        <w:t>.</w:t>
      </w:r>
      <w:r w:rsidR="00BC4AB7">
        <w:rPr>
          <w:rFonts w:ascii="Arial" w:hAnsi="Arial" w:cs="Arial"/>
          <w:sz w:val="24"/>
          <w:szCs w:val="24"/>
        </w:rPr>
        <w:t xml:space="preserve"> </w:t>
      </w:r>
    </w:p>
    <w:p w14:paraId="5DB51182" w14:textId="77777777" w:rsidR="007D7ED1" w:rsidRPr="007D580B" w:rsidRDefault="007D7ED1" w:rsidP="005D4866">
      <w:pPr>
        <w:spacing w:after="0"/>
        <w:jc w:val="both"/>
        <w:rPr>
          <w:rFonts w:ascii="Arial" w:hAnsi="Arial" w:cs="Arial"/>
          <w:sz w:val="24"/>
          <w:szCs w:val="24"/>
        </w:rPr>
      </w:pPr>
    </w:p>
    <w:p w14:paraId="02C83A9A" w14:textId="425AAD4E" w:rsidR="007D7ED1" w:rsidRDefault="007D7ED1" w:rsidP="005D4866">
      <w:pPr>
        <w:spacing w:after="0"/>
        <w:jc w:val="both"/>
        <w:rPr>
          <w:rStyle w:val="Calibri12"/>
          <w:rFonts w:ascii="Arial" w:hAnsi="Arial" w:cs="Arial"/>
        </w:rPr>
      </w:pPr>
      <w:r w:rsidRPr="007D580B">
        <w:rPr>
          <w:rFonts w:ascii="Arial" w:hAnsi="Arial" w:cs="Arial"/>
          <w:sz w:val="24"/>
          <w:szCs w:val="24"/>
        </w:rPr>
        <w:t>Th</w:t>
      </w:r>
      <w:r>
        <w:rPr>
          <w:rFonts w:ascii="Arial" w:hAnsi="Arial" w:cs="Arial"/>
          <w:sz w:val="24"/>
          <w:szCs w:val="24"/>
        </w:rPr>
        <w:t xml:space="preserve">e </w:t>
      </w:r>
      <w:r w:rsidRPr="007D580B">
        <w:rPr>
          <w:rFonts w:ascii="Arial" w:hAnsi="Arial" w:cs="Arial"/>
          <w:sz w:val="24"/>
          <w:szCs w:val="24"/>
        </w:rPr>
        <w:t xml:space="preserve">retrospective commencement </w:t>
      </w:r>
      <w:r>
        <w:rPr>
          <w:rFonts w:ascii="Arial" w:hAnsi="Arial" w:cs="Arial"/>
          <w:sz w:val="24"/>
          <w:szCs w:val="24"/>
        </w:rPr>
        <w:t xml:space="preserve">of this Regulation </w:t>
      </w:r>
      <w:r w:rsidRPr="007D580B">
        <w:rPr>
          <w:rFonts w:ascii="Arial" w:hAnsi="Arial" w:cs="Arial"/>
          <w:sz w:val="24"/>
          <w:szCs w:val="24"/>
        </w:rPr>
        <w:t xml:space="preserve">is non-prejudicial and </w:t>
      </w:r>
      <w:r w:rsidRPr="007D580B">
        <w:rPr>
          <w:rStyle w:val="Calibri12"/>
          <w:rFonts w:ascii="Arial" w:hAnsi="Arial" w:cs="Arial"/>
        </w:rPr>
        <w:t xml:space="preserve">is necessary to </w:t>
      </w:r>
      <w:r>
        <w:rPr>
          <w:rStyle w:val="Calibri12"/>
          <w:rFonts w:ascii="Arial" w:hAnsi="Arial" w:cs="Arial"/>
        </w:rPr>
        <w:t xml:space="preserve">mitigate the adverse financial impacts of the </w:t>
      </w:r>
      <w:r w:rsidR="005D4866">
        <w:rPr>
          <w:rStyle w:val="Calibri12"/>
          <w:rFonts w:ascii="Arial" w:hAnsi="Arial" w:cs="Arial"/>
        </w:rPr>
        <w:t xml:space="preserve">closure direction on </w:t>
      </w:r>
      <w:r w:rsidR="00945D80" w:rsidRPr="00945D80">
        <w:rPr>
          <w:rStyle w:val="Calibri12"/>
          <w:rFonts w:ascii="Arial" w:hAnsi="Arial" w:cs="Arial"/>
        </w:rPr>
        <w:t>businesses carried on under the licence or permit.</w:t>
      </w:r>
    </w:p>
    <w:p w14:paraId="2BB76AD2" w14:textId="77777777" w:rsidR="00232E82" w:rsidRPr="00945D80" w:rsidRDefault="00232E82" w:rsidP="005D4866">
      <w:pPr>
        <w:spacing w:after="0"/>
        <w:jc w:val="both"/>
        <w:rPr>
          <w:rStyle w:val="Calibri12"/>
          <w:rFonts w:ascii="Arial" w:hAnsi="Arial"/>
        </w:rPr>
      </w:pPr>
    </w:p>
    <w:p w14:paraId="567CD466" w14:textId="58328311" w:rsidR="007D7ED1" w:rsidRPr="007D580B" w:rsidRDefault="007D7ED1" w:rsidP="005D4866">
      <w:pPr>
        <w:keepNext/>
        <w:spacing w:after="120"/>
        <w:jc w:val="both"/>
        <w:rPr>
          <w:rFonts w:ascii="Arial" w:hAnsi="Arial" w:cs="Arial"/>
          <w:b/>
          <w:sz w:val="24"/>
          <w:szCs w:val="24"/>
        </w:rPr>
      </w:pPr>
      <w:r w:rsidRPr="007D580B">
        <w:rPr>
          <w:rFonts w:ascii="Arial" w:hAnsi="Arial" w:cs="Arial"/>
          <w:b/>
          <w:sz w:val="24"/>
          <w:szCs w:val="24"/>
        </w:rPr>
        <w:lastRenderedPageBreak/>
        <w:t>Clause 3</w:t>
      </w:r>
      <w:r w:rsidRPr="007D580B">
        <w:rPr>
          <w:rFonts w:ascii="Arial" w:hAnsi="Arial" w:cs="Arial"/>
          <w:b/>
          <w:sz w:val="24"/>
          <w:szCs w:val="24"/>
        </w:rPr>
        <w:tab/>
      </w:r>
      <w:r w:rsidR="005D4866">
        <w:rPr>
          <w:rFonts w:ascii="Arial" w:hAnsi="Arial" w:cs="Arial"/>
          <w:b/>
          <w:sz w:val="24"/>
          <w:szCs w:val="24"/>
        </w:rPr>
        <w:t>Legislation amended</w:t>
      </w:r>
    </w:p>
    <w:p w14:paraId="0DED3E94" w14:textId="73360BAB" w:rsidR="007D7ED1" w:rsidRPr="007D580B" w:rsidRDefault="007D7ED1" w:rsidP="005D4866">
      <w:pPr>
        <w:spacing w:after="0"/>
        <w:jc w:val="both"/>
        <w:rPr>
          <w:rFonts w:ascii="Arial" w:hAnsi="Arial" w:cs="Arial"/>
          <w:sz w:val="24"/>
          <w:szCs w:val="24"/>
        </w:rPr>
      </w:pPr>
      <w:r w:rsidRPr="007D580B">
        <w:rPr>
          <w:rFonts w:ascii="Arial" w:hAnsi="Arial" w:cs="Arial"/>
          <w:sz w:val="24"/>
          <w:szCs w:val="24"/>
        </w:rPr>
        <w:t xml:space="preserve">Clause 3 provides that </w:t>
      </w:r>
      <w:r w:rsidR="005D4866">
        <w:rPr>
          <w:rFonts w:ascii="Arial" w:hAnsi="Arial" w:cs="Arial"/>
          <w:sz w:val="24"/>
          <w:szCs w:val="24"/>
        </w:rPr>
        <w:t xml:space="preserve">this regulation amends the </w:t>
      </w:r>
      <w:r w:rsidR="005D4866" w:rsidRPr="005D4866">
        <w:rPr>
          <w:rFonts w:ascii="Arial" w:hAnsi="Arial" w:cs="Arial"/>
          <w:i/>
          <w:iCs/>
          <w:sz w:val="24"/>
          <w:szCs w:val="24"/>
        </w:rPr>
        <w:t>Liquor Regulation 2010</w:t>
      </w:r>
      <w:r w:rsidRPr="00836152">
        <w:rPr>
          <w:rFonts w:ascii="Arial" w:hAnsi="Arial" w:cs="Arial"/>
          <w:sz w:val="24"/>
          <w:szCs w:val="24"/>
        </w:rPr>
        <w:t>.</w:t>
      </w:r>
    </w:p>
    <w:p w14:paraId="61865EFF" w14:textId="77777777" w:rsidR="007D7ED1" w:rsidRPr="007D580B" w:rsidRDefault="007D7ED1" w:rsidP="007D7ED1">
      <w:pPr>
        <w:spacing w:after="0"/>
        <w:rPr>
          <w:rFonts w:ascii="Arial" w:hAnsi="Arial" w:cs="Arial"/>
          <w:sz w:val="24"/>
          <w:szCs w:val="24"/>
          <w:u w:val="single"/>
        </w:rPr>
      </w:pPr>
    </w:p>
    <w:p w14:paraId="7AF7556B" w14:textId="473D71AA" w:rsidR="007D7ED1" w:rsidRDefault="007D7ED1" w:rsidP="007D7ED1">
      <w:pPr>
        <w:keepNext/>
        <w:spacing w:after="120"/>
        <w:ind w:left="1440" w:hanging="1440"/>
        <w:rPr>
          <w:rFonts w:ascii="Arial" w:hAnsi="Arial" w:cs="Arial"/>
          <w:b/>
          <w:sz w:val="24"/>
          <w:szCs w:val="24"/>
        </w:rPr>
      </w:pPr>
      <w:r w:rsidRPr="007D580B">
        <w:rPr>
          <w:rFonts w:ascii="Arial" w:hAnsi="Arial" w:cs="Arial"/>
          <w:b/>
          <w:sz w:val="24"/>
          <w:szCs w:val="24"/>
        </w:rPr>
        <w:t>Clause 4</w:t>
      </w:r>
      <w:r w:rsidRPr="007D580B">
        <w:rPr>
          <w:rFonts w:ascii="Arial" w:hAnsi="Arial" w:cs="Arial"/>
          <w:b/>
          <w:sz w:val="24"/>
          <w:szCs w:val="24"/>
        </w:rPr>
        <w:tab/>
      </w:r>
      <w:r w:rsidR="005D4866">
        <w:rPr>
          <w:rFonts w:ascii="Arial" w:hAnsi="Arial" w:cs="Arial"/>
          <w:b/>
          <w:sz w:val="24"/>
          <w:szCs w:val="24"/>
        </w:rPr>
        <w:t>New section 35</w:t>
      </w:r>
    </w:p>
    <w:p w14:paraId="1B3E6099" w14:textId="38077633" w:rsidR="005D4866" w:rsidRDefault="005D4866" w:rsidP="005D4866">
      <w:pPr>
        <w:spacing w:after="0"/>
        <w:jc w:val="both"/>
        <w:rPr>
          <w:rFonts w:ascii="Arial" w:hAnsi="Arial" w:cs="Arial"/>
          <w:sz w:val="24"/>
          <w:szCs w:val="24"/>
        </w:rPr>
      </w:pPr>
      <w:r w:rsidRPr="008E405E">
        <w:rPr>
          <w:rFonts w:ascii="Arial" w:hAnsi="Arial" w:cs="Arial"/>
          <w:sz w:val="24"/>
          <w:szCs w:val="24"/>
        </w:rPr>
        <w:t>Clause 4 inserts new section 35—Waiver of licence and permit fees—public health emergency</w:t>
      </w:r>
      <w:r w:rsidR="008E405E" w:rsidRPr="008E405E">
        <w:rPr>
          <w:rFonts w:ascii="Arial" w:hAnsi="Arial" w:cs="Arial"/>
          <w:sz w:val="24"/>
          <w:szCs w:val="24"/>
        </w:rPr>
        <w:t>—Act, s 229 (2) (d) to provide the circumstances in which the commissioner may make a declaration waiving a fee payable in relation to a licence or permit.</w:t>
      </w:r>
    </w:p>
    <w:p w14:paraId="114E4E6F" w14:textId="0423ABE1" w:rsidR="008E405E" w:rsidRDefault="008E405E" w:rsidP="005D4866">
      <w:pPr>
        <w:spacing w:after="0"/>
        <w:jc w:val="both"/>
        <w:rPr>
          <w:rFonts w:ascii="Arial" w:hAnsi="Arial" w:cs="Arial"/>
          <w:sz w:val="24"/>
          <w:szCs w:val="24"/>
        </w:rPr>
      </w:pPr>
    </w:p>
    <w:p w14:paraId="5BD5E56E" w14:textId="025B99B8" w:rsidR="00A54285" w:rsidRDefault="008E405E" w:rsidP="005D4866">
      <w:pPr>
        <w:spacing w:after="0"/>
        <w:jc w:val="both"/>
        <w:rPr>
          <w:rFonts w:ascii="Arial" w:hAnsi="Arial" w:cs="Arial"/>
          <w:sz w:val="24"/>
          <w:szCs w:val="24"/>
        </w:rPr>
      </w:pPr>
      <w:r>
        <w:rPr>
          <w:rFonts w:ascii="Arial" w:hAnsi="Arial" w:cs="Arial"/>
          <w:sz w:val="24"/>
          <w:szCs w:val="24"/>
        </w:rPr>
        <w:t xml:space="preserve">Section 35 (1) requires </w:t>
      </w:r>
      <w:r w:rsidR="00BD1C61">
        <w:rPr>
          <w:rFonts w:ascii="Arial" w:hAnsi="Arial" w:cs="Arial"/>
          <w:sz w:val="24"/>
          <w:szCs w:val="24"/>
        </w:rPr>
        <w:t xml:space="preserve">that </w:t>
      </w:r>
      <w:r w:rsidRPr="008E405E">
        <w:rPr>
          <w:rFonts w:ascii="Arial" w:hAnsi="Arial" w:cs="Arial"/>
          <w:i/>
          <w:iCs/>
          <w:sz w:val="24"/>
          <w:szCs w:val="24"/>
        </w:rPr>
        <w:t>either</w:t>
      </w:r>
      <w:r w:rsidR="00A54285">
        <w:rPr>
          <w:rFonts w:ascii="Arial" w:hAnsi="Arial" w:cs="Arial"/>
          <w:sz w:val="24"/>
          <w:szCs w:val="24"/>
        </w:rPr>
        <w:t>:</w:t>
      </w:r>
      <w:r>
        <w:rPr>
          <w:rFonts w:ascii="Arial" w:hAnsi="Arial" w:cs="Arial"/>
          <w:sz w:val="24"/>
          <w:szCs w:val="24"/>
        </w:rPr>
        <w:t xml:space="preserve"> </w:t>
      </w:r>
    </w:p>
    <w:p w14:paraId="5A722335" w14:textId="54A3BB45" w:rsidR="00A54285" w:rsidRPr="00A54285" w:rsidRDefault="008E405E" w:rsidP="00A54285">
      <w:pPr>
        <w:pStyle w:val="ListParagraph"/>
        <w:numPr>
          <w:ilvl w:val="0"/>
          <w:numId w:val="18"/>
        </w:numPr>
        <w:spacing w:after="0"/>
        <w:ind w:left="709" w:hanging="720"/>
        <w:jc w:val="both"/>
        <w:rPr>
          <w:rFonts w:ascii="Arial" w:hAnsi="Arial" w:cs="Arial"/>
          <w:sz w:val="24"/>
          <w:szCs w:val="24"/>
        </w:rPr>
      </w:pPr>
      <w:r w:rsidRPr="00A54285">
        <w:rPr>
          <w:rFonts w:ascii="Arial" w:hAnsi="Arial" w:cs="Arial"/>
          <w:sz w:val="24"/>
          <w:szCs w:val="24"/>
        </w:rPr>
        <w:t xml:space="preserve">an emergency declaration under the </w:t>
      </w:r>
      <w:r w:rsidRPr="00A54285">
        <w:rPr>
          <w:rFonts w:ascii="Arial" w:hAnsi="Arial" w:cs="Arial"/>
          <w:i/>
          <w:iCs/>
          <w:sz w:val="24"/>
          <w:szCs w:val="24"/>
        </w:rPr>
        <w:t>Public</w:t>
      </w:r>
      <w:r w:rsidR="00A54285" w:rsidRPr="00A54285">
        <w:rPr>
          <w:rFonts w:ascii="Arial" w:hAnsi="Arial" w:cs="Arial"/>
          <w:i/>
          <w:iCs/>
          <w:sz w:val="24"/>
          <w:szCs w:val="24"/>
        </w:rPr>
        <w:t> </w:t>
      </w:r>
      <w:r w:rsidRPr="00A54285">
        <w:rPr>
          <w:rFonts w:ascii="Arial" w:hAnsi="Arial" w:cs="Arial"/>
          <w:i/>
          <w:iCs/>
          <w:sz w:val="24"/>
          <w:szCs w:val="24"/>
        </w:rPr>
        <w:t>Health</w:t>
      </w:r>
      <w:r w:rsidR="00A54285" w:rsidRPr="00A54285">
        <w:rPr>
          <w:rFonts w:ascii="Arial" w:hAnsi="Arial" w:cs="Arial"/>
          <w:i/>
          <w:iCs/>
          <w:sz w:val="24"/>
          <w:szCs w:val="24"/>
        </w:rPr>
        <w:t> </w:t>
      </w:r>
      <w:r w:rsidRPr="00A54285">
        <w:rPr>
          <w:rFonts w:ascii="Arial" w:hAnsi="Arial" w:cs="Arial"/>
          <w:i/>
          <w:iCs/>
          <w:sz w:val="24"/>
          <w:szCs w:val="24"/>
        </w:rPr>
        <w:t>Act 1997</w:t>
      </w:r>
      <w:r w:rsidRPr="00A54285">
        <w:rPr>
          <w:rFonts w:ascii="Arial" w:hAnsi="Arial" w:cs="Arial"/>
          <w:sz w:val="24"/>
          <w:szCs w:val="24"/>
        </w:rPr>
        <w:t xml:space="preserve"> </w:t>
      </w:r>
      <w:r w:rsidR="00A54285" w:rsidRPr="00A54285">
        <w:rPr>
          <w:rFonts w:ascii="Arial" w:hAnsi="Arial" w:cs="Arial"/>
          <w:sz w:val="24"/>
          <w:szCs w:val="24"/>
        </w:rPr>
        <w:t xml:space="preserve">(emergency declaration) </w:t>
      </w:r>
      <w:r w:rsidRPr="00A54285">
        <w:rPr>
          <w:rFonts w:ascii="Arial" w:hAnsi="Arial" w:cs="Arial"/>
          <w:sz w:val="24"/>
          <w:szCs w:val="24"/>
        </w:rPr>
        <w:t>is in force</w:t>
      </w:r>
      <w:r w:rsidR="00A54285" w:rsidRPr="00A54285">
        <w:rPr>
          <w:rFonts w:ascii="Arial" w:hAnsi="Arial" w:cs="Arial"/>
          <w:sz w:val="24"/>
          <w:szCs w:val="24"/>
        </w:rPr>
        <w:t>;</w:t>
      </w:r>
      <w:r w:rsidRPr="00A54285">
        <w:rPr>
          <w:rFonts w:ascii="Arial" w:hAnsi="Arial" w:cs="Arial"/>
          <w:sz w:val="24"/>
          <w:szCs w:val="24"/>
        </w:rPr>
        <w:t xml:space="preserve"> </w:t>
      </w:r>
      <w:r w:rsidR="00A54285" w:rsidRPr="00A54285">
        <w:rPr>
          <w:rFonts w:ascii="Arial" w:hAnsi="Arial" w:cs="Arial"/>
          <w:i/>
          <w:iCs/>
          <w:sz w:val="24"/>
          <w:szCs w:val="24"/>
        </w:rPr>
        <w:t>or</w:t>
      </w:r>
    </w:p>
    <w:p w14:paraId="7EF74C8E" w14:textId="250F4855" w:rsidR="00A54285" w:rsidRPr="00A54285" w:rsidRDefault="00BD1C61" w:rsidP="00A54285">
      <w:pPr>
        <w:pStyle w:val="ListParagraph"/>
        <w:numPr>
          <w:ilvl w:val="0"/>
          <w:numId w:val="18"/>
        </w:numPr>
        <w:spacing w:after="0"/>
        <w:ind w:left="709" w:hanging="720"/>
        <w:jc w:val="both"/>
        <w:rPr>
          <w:rFonts w:ascii="Arial" w:hAnsi="Arial" w:cs="Arial"/>
          <w:sz w:val="24"/>
          <w:szCs w:val="24"/>
        </w:rPr>
      </w:pPr>
      <w:r>
        <w:rPr>
          <w:rFonts w:ascii="Arial" w:hAnsi="Arial" w:cs="Arial"/>
          <w:sz w:val="24"/>
          <w:szCs w:val="24"/>
        </w:rPr>
        <w:t>an</w:t>
      </w:r>
      <w:r w:rsidR="00A54285" w:rsidRPr="00A54285">
        <w:rPr>
          <w:rFonts w:ascii="Arial" w:hAnsi="Arial" w:cs="Arial"/>
          <w:sz w:val="24"/>
          <w:szCs w:val="24"/>
        </w:rPr>
        <w:t xml:space="preserve"> emergency declaration </w:t>
      </w:r>
      <w:r w:rsidR="008E405E" w:rsidRPr="00A54285">
        <w:rPr>
          <w:rFonts w:ascii="Arial" w:hAnsi="Arial" w:cs="Arial"/>
          <w:sz w:val="24"/>
          <w:szCs w:val="24"/>
        </w:rPr>
        <w:t>was in force at any time during the preceding 12</w:t>
      </w:r>
      <w:r>
        <w:rPr>
          <w:rFonts w:ascii="Arial" w:hAnsi="Arial" w:cs="Arial"/>
          <w:sz w:val="24"/>
          <w:szCs w:val="24"/>
        </w:rPr>
        <w:t> </w:t>
      </w:r>
      <w:r w:rsidR="008E405E" w:rsidRPr="00A54285">
        <w:rPr>
          <w:rFonts w:ascii="Arial" w:hAnsi="Arial" w:cs="Arial"/>
          <w:sz w:val="24"/>
          <w:szCs w:val="24"/>
        </w:rPr>
        <w:t>months</w:t>
      </w:r>
      <w:r w:rsidR="00A54285" w:rsidRPr="00A54285">
        <w:rPr>
          <w:rFonts w:ascii="Arial" w:hAnsi="Arial" w:cs="Arial"/>
          <w:sz w:val="24"/>
          <w:szCs w:val="24"/>
        </w:rPr>
        <w:t>;</w:t>
      </w:r>
      <w:r w:rsidR="008E405E" w:rsidRPr="00A54285">
        <w:rPr>
          <w:rFonts w:ascii="Arial" w:hAnsi="Arial" w:cs="Arial"/>
          <w:sz w:val="24"/>
          <w:szCs w:val="24"/>
        </w:rPr>
        <w:t xml:space="preserve"> </w:t>
      </w:r>
      <w:r w:rsidR="00A54285" w:rsidRPr="00A54285">
        <w:rPr>
          <w:rFonts w:ascii="Arial" w:hAnsi="Arial" w:cs="Arial"/>
          <w:i/>
          <w:iCs/>
          <w:sz w:val="24"/>
          <w:szCs w:val="24"/>
        </w:rPr>
        <w:t>and</w:t>
      </w:r>
    </w:p>
    <w:p w14:paraId="412498C0" w14:textId="77777777" w:rsidR="00BD1C61" w:rsidRDefault="008E405E" w:rsidP="00A54285">
      <w:pPr>
        <w:pStyle w:val="ListParagraph"/>
        <w:numPr>
          <w:ilvl w:val="0"/>
          <w:numId w:val="18"/>
        </w:numPr>
        <w:spacing w:after="0"/>
        <w:ind w:left="709" w:hanging="720"/>
        <w:jc w:val="both"/>
        <w:rPr>
          <w:rFonts w:ascii="Arial" w:hAnsi="Arial" w:cs="Arial"/>
          <w:sz w:val="24"/>
          <w:szCs w:val="24"/>
        </w:rPr>
      </w:pPr>
      <w:r w:rsidRPr="00A54285">
        <w:rPr>
          <w:rFonts w:ascii="Arial" w:hAnsi="Arial" w:cs="Arial"/>
          <w:sz w:val="24"/>
          <w:szCs w:val="24"/>
        </w:rPr>
        <w:t xml:space="preserve">the commissioner considers the waiver is appropriate because of the financial impact of the emergency declaration the business carried on under the licence or permit. </w:t>
      </w:r>
    </w:p>
    <w:p w14:paraId="67858903" w14:textId="4D808DD9" w:rsidR="008E405E" w:rsidRPr="00BD1C61" w:rsidRDefault="008E405E" w:rsidP="00BD1C61">
      <w:pPr>
        <w:spacing w:after="0"/>
        <w:ind w:left="-11"/>
        <w:jc w:val="both"/>
        <w:rPr>
          <w:rFonts w:ascii="Arial" w:hAnsi="Arial" w:cs="Arial"/>
          <w:sz w:val="24"/>
          <w:szCs w:val="24"/>
        </w:rPr>
      </w:pPr>
    </w:p>
    <w:p w14:paraId="72223E55" w14:textId="26BE464E" w:rsidR="008E405E" w:rsidRDefault="008E405E" w:rsidP="005D4866">
      <w:pPr>
        <w:spacing w:after="0"/>
        <w:jc w:val="both"/>
        <w:rPr>
          <w:rFonts w:ascii="Arial" w:hAnsi="Arial" w:cs="Arial"/>
          <w:sz w:val="24"/>
          <w:szCs w:val="24"/>
        </w:rPr>
      </w:pPr>
    </w:p>
    <w:p w14:paraId="6251C87C" w14:textId="47EE85DD" w:rsidR="00F9751E" w:rsidRDefault="008E405E" w:rsidP="005D4866">
      <w:pPr>
        <w:spacing w:after="0"/>
        <w:jc w:val="both"/>
        <w:rPr>
          <w:rFonts w:ascii="Arial" w:hAnsi="Arial" w:cs="Arial"/>
          <w:sz w:val="24"/>
          <w:szCs w:val="24"/>
        </w:rPr>
      </w:pPr>
      <w:r>
        <w:rPr>
          <w:rFonts w:ascii="Arial" w:hAnsi="Arial" w:cs="Arial"/>
          <w:sz w:val="24"/>
          <w:szCs w:val="24"/>
        </w:rPr>
        <w:t xml:space="preserve">Section 35 (2) </w:t>
      </w:r>
      <w:r w:rsidR="00A54285">
        <w:rPr>
          <w:rFonts w:ascii="Arial" w:hAnsi="Arial" w:cs="Arial"/>
          <w:sz w:val="24"/>
          <w:szCs w:val="24"/>
        </w:rPr>
        <w:t>lists</w:t>
      </w:r>
      <w:r>
        <w:rPr>
          <w:rFonts w:ascii="Arial" w:hAnsi="Arial" w:cs="Arial"/>
          <w:sz w:val="24"/>
          <w:szCs w:val="24"/>
        </w:rPr>
        <w:t xml:space="preserve"> the </w:t>
      </w:r>
      <w:r w:rsidR="00F9751E">
        <w:rPr>
          <w:rFonts w:ascii="Arial" w:hAnsi="Arial" w:cs="Arial"/>
          <w:sz w:val="24"/>
          <w:szCs w:val="24"/>
        </w:rPr>
        <w:t>3 things</w:t>
      </w:r>
      <w:r>
        <w:rPr>
          <w:rFonts w:ascii="Arial" w:hAnsi="Arial" w:cs="Arial"/>
          <w:sz w:val="24"/>
          <w:szCs w:val="24"/>
        </w:rPr>
        <w:t xml:space="preserve"> that must </w:t>
      </w:r>
      <w:r w:rsidR="00365414">
        <w:rPr>
          <w:rFonts w:ascii="Arial" w:hAnsi="Arial" w:cs="Arial"/>
          <w:sz w:val="24"/>
          <w:szCs w:val="24"/>
        </w:rPr>
        <w:t>b</w:t>
      </w:r>
      <w:r>
        <w:rPr>
          <w:rFonts w:ascii="Arial" w:hAnsi="Arial" w:cs="Arial"/>
          <w:sz w:val="24"/>
          <w:szCs w:val="24"/>
        </w:rPr>
        <w:t xml:space="preserve">e stated in </w:t>
      </w:r>
      <w:r w:rsidR="00DD05F2">
        <w:rPr>
          <w:rFonts w:ascii="Arial" w:hAnsi="Arial" w:cs="Arial"/>
          <w:sz w:val="24"/>
          <w:szCs w:val="24"/>
        </w:rPr>
        <w:t>a</w:t>
      </w:r>
      <w:r>
        <w:rPr>
          <w:rFonts w:ascii="Arial" w:hAnsi="Arial" w:cs="Arial"/>
          <w:sz w:val="24"/>
          <w:szCs w:val="24"/>
        </w:rPr>
        <w:t xml:space="preserve"> </w:t>
      </w:r>
      <w:r w:rsidR="00365414">
        <w:rPr>
          <w:rFonts w:ascii="Arial" w:hAnsi="Arial" w:cs="Arial"/>
          <w:sz w:val="24"/>
          <w:szCs w:val="24"/>
        </w:rPr>
        <w:t>declaration</w:t>
      </w:r>
      <w:r w:rsidR="00F9751E">
        <w:rPr>
          <w:rFonts w:ascii="Arial" w:hAnsi="Arial" w:cs="Arial"/>
          <w:sz w:val="24"/>
          <w:szCs w:val="24"/>
        </w:rPr>
        <w:t>:</w:t>
      </w:r>
    </w:p>
    <w:p w14:paraId="2619482F" w14:textId="238BC462" w:rsidR="00365414" w:rsidRPr="00DD05F2" w:rsidRDefault="00DD05F2" w:rsidP="00DD05F2">
      <w:pPr>
        <w:pStyle w:val="ListParagraph"/>
        <w:numPr>
          <w:ilvl w:val="0"/>
          <w:numId w:val="17"/>
        </w:numPr>
        <w:spacing w:after="0"/>
        <w:ind w:left="709" w:hanging="720"/>
        <w:jc w:val="both"/>
        <w:rPr>
          <w:rFonts w:ascii="Arial" w:hAnsi="Arial" w:cs="Arial"/>
          <w:sz w:val="24"/>
          <w:szCs w:val="24"/>
        </w:rPr>
      </w:pPr>
      <w:r w:rsidRPr="00DD05F2">
        <w:rPr>
          <w:rFonts w:ascii="Arial" w:hAnsi="Arial" w:cs="Arial"/>
          <w:sz w:val="24"/>
          <w:szCs w:val="24"/>
        </w:rPr>
        <w:t>the</w:t>
      </w:r>
      <w:r w:rsidR="00F9751E" w:rsidRPr="00DD05F2">
        <w:rPr>
          <w:rFonts w:ascii="Arial" w:hAnsi="Arial" w:cs="Arial"/>
          <w:sz w:val="24"/>
          <w:szCs w:val="24"/>
        </w:rPr>
        <w:t xml:space="preserve"> fee that is waived;</w:t>
      </w:r>
      <w:r w:rsidRPr="00DD05F2">
        <w:rPr>
          <w:rFonts w:ascii="Arial" w:hAnsi="Arial" w:cs="Arial"/>
          <w:sz w:val="24"/>
          <w:szCs w:val="24"/>
        </w:rPr>
        <w:t xml:space="preserve"> and</w:t>
      </w:r>
    </w:p>
    <w:p w14:paraId="5FDA93FE" w14:textId="5D169E8B" w:rsidR="00F9751E" w:rsidRPr="00DD05F2" w:rsidRDefault="00DD05F2" w:rsidP="00DD05F2">
      <w:pPr>
        <w:pStyle w:val="ListParagraph"/>
        <w:numPr>
          <w:ilvl w:val="0"/>
          <w:numId w:val="17"/>
        </w:numPr>
        <w:spacing w:after="0"/>
        <w:ind w:left="709" w:hanging="720"/>
        <w:jc w:val="both"/>
        <w:rPr>
          <w:rFonts w:ascii="Arial" w:hAnsi="Arial" w:cs="Arial"/>
          <w:sz w:val="24"/>
          <w:szCs w:val="24"/>
        </w:rPr>
      </w:pPr>
      <w:r w:rsidRPr="00DD05F2">
        <w:rPr>
          <w:rFonts w:ascii="Arial" w:hAnsi="Arial" w:cs="Arial"/>
          <w:sz w:val="24"/>
          <w:szCs w:val="24"/>
        </w:rPr>
        <w:t>the</w:t>
      </w:r>
      <w:r w:rsidR="00F9751E" w:rsidRPr="00DD05F2">
        <w:rPr>
          <w:rFonts w:ascii="Arial" w:hAnsi="Arial" w:cs="Arial"/>
          <w:sz w:val="24"/>
          <w:szCs w:val="24"/>
        </w:rPr>
        <w:t xml:space="preserve"> period during which the waiver operates; and</w:t>
      </w:r>
    </w:p>
    <w:p w14:paraId="7B047E22" w14:textId="2332C62A" w:rsidR="00F9751E" w:rsidRPr="00DD05F2" w:rsidRDefault="00DD05F2" w:rsidP="00DD05F2">
      <w:pPr>
        <w:pStyle w:val="ListParagraph"/>
        <w:numPr>
          <w:ilvl w:val="0"/>
          <w:numId w:val="17"/>
        </w:numPr>
        <w:spacing w:after="0"/>
        <w:ind w:left="709" w:hanging="720"/>
        <w:jc w:val="both"/>
        <w:rPr>
          <w:rFonts w:ascii="Arial" w:hAnsi="Arial" w:cs="Arial"/>
          <w:sz w:val="24"/>
          <w:szCs w:val="24"/>
        </w:rPr>
      </w:pPr>
      <w:r w:rsidRPr="00DD05F2">
        <w:rPr>
          <w:rFonts w:ascii="Arial" w:hAnsi="Arial" w:cs="Arial"/>
          <w:sz w:val="24"/>
          <w:szCs w:val="24"/>
        </w:rPr>
        <w:t>any</w:t>
      </w:r>
      <w:r w:rsidR="00F9751E" w:rsidRPr="00DD05F2">
        <w:rPr>
          <w:rFonts w:ascii="Arial" w:hAnsi="Arial" w:cs="Arial"/>
          <w:sz w:val="24"/>
          <w:szCs w:val="24"/>
        </w:rPr>
        <w:t xml:space="preserve"> </w:t>
      </w:r>
      <w:r w:rsidRPr="00DD05F2">
        <w:rPr>
          <w:rFonts w:ascii="Arial" w:hAnsi="Arial" w:cs="Arial"/>
          <w:sz w:val="24"/>
          <w:szCs w:val="24"/>
        </w:rPr>
        <w:t>condition</w:t>
      </w:r>
      <w:r w:rsidR="00F9751E" w:rsidRPr="00DD05F2">
        <w:rPr>
          <w:rFonts w:ascii="Arial" w:hAnsi="Arial" w:cs="Arial"/>
          <w:sz w:val="24"/>
          <w:szCs w:val="24"/>
        </w:rPr>
        <w:t xml:space="preserve"> on the waiver.</w:t>
      </w:r>
    </w:p>
    <w:p w14:paraId="304EE9AC" w14:textId="77777777" w:rsidR="00365414" w:rsidRDefault="00365414" w:rsidP="005D4866">
      <w:pPr>
        <w:spacing w:after="0"/>
        <w:jc w:val="both"/>
        <w:rPr>
          <w:rFonts w:ascii="Arial" w:hAnsi="Arial" w:cs="Arial"/>
          <w:sz w:val="24"/>
          <w:szCs w:val="24"/>
        </w:rPr>
      </w:pPr>
    </w:p>
    <w:p w14:paraId="2106E24B" w14:textId="47FF6995" w:rsidR="00365414" w:rsidRDefault="00365414" w:rsidP="005D4866">
      <w:pPr>
        <w:spacing w:after="0"/>
        <w:jc w:val="both"/>
        <w:rPr>
          <w:rFonts w:ascii="Arial" w:hAnsi="Arial" w:cs="Arial"/>
          <w:sz w:val="24"/>
          <w:szCs w:val="24"/>
        </w:rPr>
      </w:pPr>
      <w:r>
        <w:rPr>
          <w:rFonts w:ascii="Arial" w:hAnsi="Arial" w:cs="Arial"/>
          <w:sz w:val="24"/>
          <w:szCs w:val="24"/>
        </w:rPr>
        <w:t xml:space="preserve">Section 35 (3) clarifies that a declaration made under section 35 will have effect despite any </w:t>
      </w:r>
      <w:r w:rsidR="000C6AC7">
        <w:rPr>
          <w:rFonts w:ascii="Arial" w:hAnsi="Arial" w:cs="Arial"/>
          <w:sz w:val="24"/>
          <w:szCs w:val="24"/>
        </w:rPr>
        <w:t xml:space="preserve">determination </w:t>
      </w:r>
      <w:r>
        <w:rPr>
          <w:rFonts w:ascii="Arial" w:hAnsi="Arial" w:cs="Arial"/>
          <w:sz w:val="24"/>
          <w:szCs w:val="24"/>
        </w:rPr>
        <w:t xml:space="preserve">in force under </w:t>
      </w:r>
      <w:r w:rsidR="00DD05F2">
        <w:rPr>
          <w:rFonts w:ascii="Arial" w:hAnsi="Arial" w:cs="Arial"/>
          <w:sz w:val="24"/>
          <w:szCs w:val="24"/>
        </w:rPr>
        <w:t xml:space="preserve">the Act, </w:t>
      </w:r>
      <w:r>
        <w:rPr>
          <w:rFonts w:ascii="Arial" w:hAnsi="Arial" w:cs="Arial"/>
          <w:sz w:val="24"/>
          <w:szCs w:val="24"/>
        </w:rPr>
        <w:t xml:space="preserve">section 227 </w:t>
      </w:r>
      <w:r w:rsidR="00DD05F2">
        <w:rPr>
          <w:rFonts w:ascii="Arial" w:hAnsi="Arial" w:cs="Arial"/>
          <w:sz w:val="24"/>
          <w:szCs w:val="24"/>
        </w:rPr>
        <w:t>(D</w:t>
      </w:r>
      <w:r>
        <w:rPr>
          <w:rFonts w:ascii="Arial" w:hAnsi="Arial" w:cs="Arial"/>
          <w:sz w:val="24"/>
          <w:szCs w:val="24"/>
        </w:rPr>
        <w:t>etermination of fees).</w:t>
      </w:r>
    </w:p>
    <w:p w14:paraId="21A24E0C" w14:textId="77777777" w:rsidR="00365414" w:rsidRDefault="00365414" w:rsidP="005D4866">
      <w:pPr>
        <w:spacing w:after="0"/>
        <w:jc w:val="both"/>
        <w:rPr>
          <w:rFonts w:ascii="Arial" w:hAnsi="Arial" w:cs="Arial"/>
          <w:sz w:val="24"/>
          <w:szCs w:val="24"/>
        </w:rPr>
      </w:pPr>
    </w:p>
    <w:p w14:paraId="6C9BE8E3" w14:textId="7E14A88B" w:rsidR="008E405E" w:rsidRDefault="00365414" w:rsidP="005D4866">
      <w:pPr>
        <w:spacing w:after="0"/>
        <w:jc w:val="both"/>
        <w:rPr>
          <w:rFonts w:ascii="Arial" w:hAnsi="Arial" w:cs="Arial"/>
          <w:sz w:val="24"/>
          <w:szCs w:val="24"/>
        </w:rPr>
      </w:pPr>
      <w:r>
        <w:rPr>
          <w:rFonts w:ascii="Arial" w:hAnsi="Arial" w:cs="Arial"/>
          <w:sz w:val="24"/>
          <w:szCs w:val="24"/>
        </w:rPr>
        <w:t>Section 35 (4) provides that</w:t>
      </w:r>
      <w:r w:rsidR="00CD647B">
        <w:rPr>
          <w:rFonts w:ascii="Arial" w:hAnsi="Arial" w:cs="Arial"/>
          <w:sz w:val="24"/>
          <w:szCs w:val="24"/>
        </w:rPr>
        <w:t xml:space="preserve"> a declaration expires 1 year after the day it commences or, if an earlier date is stated in the declaration, the earlier day.</w:t>
      </w:r>
      <w:r w:rsidR="008E405E">
        <w:rPr>
          <w:rFonts w:ascii="Arial" w:hAnsi="Arial" w:cs="Arial"/>
          <w:sz w:val="24"/>
          <w:szCs w:val="24"/>
        </w:rPr>
        <w:t xml:space="preserve"> </w:t>
      </w:r>
    </w:p>
    <w:p w14:paraId="6B42F0B1" w14:textId="0218B11D" w:rsidR="00CD647B" w:rsidRDefault="00CD647B" w:rsidP="005D4866">
      <w:pPr>
        <w:spacing w:after="0"/>
        <w:jc w:val="both"/>
        <w:rPr>
          <w:rFonts w:ascii="Arial" w:hAnsi="Arial" w:cs="Arial"/>
          <w:sz w:val="24"/>
          <w:szCs w:val="24"/>
        </w:rPr>
      </w:pPr>
    </w:p>
    <w:p w14:paraId="084F4DED" w14:textId="7992EB02" w:rsidR="00CD647B" w:rsidRPr="008E405E" w:rsidRDefault="00CD647B" w:rsidP="005D4866">
      <w:pPr>
        <w:spacing w:after="0"/>
        <w:jc w:val="both"/>
        <w:rPr>
          <w:rFonts w:ascii="Arial" w:hAnsi="Arial" w:cs="Arial"/>
          <w:sz w:val="24"/>
          <w:szCs w:val="24"/>
        </w:rPr>
      </w:pPr>
      <w:r>
        <w:rPr>
          <w:rFonts w:ascii="Arial" w:hAnsi="Arial" w:cs="Arial"/>
          <w:sz w:val="24"/>
          <w:szCs w:val="24"/>
        </w:rPr>
        <w:t>Section 35 (5) provides that a declaration is a disallowable instrument.</w:t>
      </w:r>
    </w:p>
    <w:sectPr w:rsidR="00CD647B" w:rsidRPr="008E40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3211" w14:textId="77777777" w:rsidR="002214FF" w:rsidRDefault="002214FF" w:rsidP="00AD1133">
      <w:pPr>
        <w:spacing w:after="0" w:line="240" w:lineRule="auto"/>
      </w:pPr>
      <w:r>
        <w:separator/>
      </w:r>
    </w:p>
  </w:endnote>
  <w:endnote w:type="continuationSeparator" w:id="0">
    <w:p w14:paraId="61CF4ACA" w14:textId="77777777" w:rsidR="002214FF" w:rsidRDefault="002214FF"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6722" w14:textId="77777777" w:rsidR="00DF54AE" w:rsidRDefault="00DF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02322"/>
      <w:docPartObj>
        <w:docPartGallery w:val="Page Numbers (Bottom of Page)"/>
        <w:docPartUnique/>
      </w:docPartObj>
    </w:sdtPr>
    <w:sdtEndPr>
      <w:rPr>
        <w:noProof/>
      </w:rPr>
    </w:sdtEndPr>
    <w:sdtContent>
      <w:p w14:paraId="1C842B17" w14:textId="658DC8B3" w:rsidR="00C67A6C" w:rsidRDefault="00C67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F67A9" w14:textId="0B1C235E" w:rsidR="00C67A6C" w:rsidRPr="005F0F9C" w:rsidRDefault="005F0F9C" w:rsidP="005F0F9C">
    <w:pPr>
      <w:pStyle w:val="Footer"/>
      <w:jc w:val="center"/>
      <w:rPr>
        <w:rFonts w:ascii="Arial" w:hAnsi="Arial" w:cs="Arial"/>
        <w:sz w:val="14"/>
      </w:rPr>
    </w:pPr>
    <w:r w:rsidRPr="005F0F9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91B" w14:textId="77777777" w:rsidR="00DF54AE" w:rsidRDefault="00DF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8A86" w14:textId="77777777" w:rsidR="002214FF" w:rsidRDefault="002214FF" w:rsidP="00AD1133">
      <w:pPr>
        <w:spacing w:after="0" w:line="240" w:lineRule="auto"/>
      </w:pPr>
      <w:r>
        <w:separator/>
      </w:r>
    </w:p>
  </w:footnote>
  <w:footnote w:type="continuationSeparator" w:id="0">
    <w:p w14:paraId="001DBB72" w14:textId="77777777" w:rsidR="002214FF" w:rsidRDefault="002214FF" w:rsidP="00AD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3C28" w14:textId="77777777" w:rsidR="00DF54AE" w:rsidRDefault="00DF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A670" w14:textId="77777777" w:rsidR="00DF54AE" w:rsidRDefault="00DF5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BABC" w14:textId="77777777" w:rsidR="00DF54AE" w:rsidRDefault="00DF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DF5"/>
    <w:multiLevelType w:val="hybridMultilevel"/>
    <w:tmpl w:val="579423EA"/>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55930"/>
    <w:multiLevelType w:val="multilevel"/>
    <w:tmpl w:val="0C09001D"/>
    <w:numStyleLink w:val="Style1"/>
  </w:abstractNum>
  <w:abstractNum w:abstractNumId="2" w15:restartNumberingAfterBreak="0">
    <w:nsid w:val="104D7C89"/>
    <w:multiLevelType w:val="hybridMultilevel"/>
    <w:tmpl w:val="5AF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F2AA2"/>
    <w:multiLevelType w:val="hybridMultilevel"/>
    <w:tmpl w:val="BFEAECF0"/>
    <w:lvl w:ilvl="0" w:tplc="538EC0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E3B04DC"/>
    <w:multiLevelType w:val="hybridMultilevel"/>
    <w:tmpl w:val="2E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C30A0"/>
    <w:multiLevelType w:val="hybridMultilevel"/>
    <w:tmpl w:val="396AE476"/>
    <w:lvl w:ilvl="0" w:tplc="4DEE092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A648F9"/>
    <w:multiLevelType w:val="multilevel"/>
    <w:tmpl w:val="9C8640BE"/>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D56E85"/>
    <w:multiLevelType w:val="hybridMultilevel"/>
    <w:tmpl w:val="516060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750B88"/>
    <w:multiLevelType w:val="hybridMultilevel"/>
    <w:tmpl w:val="4228748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906E16"/>
    <w:multiLevelType w:val="hybridMultilevel"/>
    <w:tmpl w:val="085C0B28"/>
    <w:lvl w:ilvl="0" w:tplc="4DEE09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EA4098"/>
    <w:multiLevelType w:val="hybridMultilevel"/>
    <w:tmpl w:val="AA02B5B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373DA0"/>
    <w:multiLevelType w:val="hybridMultilevel"/>
    <w:tmpl w:val="A334A554"/>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FE4CAF"/>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491FF6"/>
    <w:multiLevelType w:val="hybridMultilevel"/>
    <w:tmpl w:val="CB38BE50"/>
    <w:lvl w:ilvl="0" w:tplc="83D4C4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1"/>
  </w:num>
  <w:num w:numId="5">
    <w:abstractNumId w:val="14"/>
  </w:num>
  <w:num w:numId="6">
    <w:abstractNumId w:val="15"/>
  </w:num>
  <w:num w:numId="7">
    <w:abstractNumId w:val="1"/>
  </w:num>
  <w:num w:numId="8">
    <w:abstractNumId w:val="6"/>
  </w:num>
  <w:num w:numId="9">
    <w:abstractNumId w:val="2"/>
  </w:num>
  <w:num w:numId="10">
    <w:abstractNumId w:val="3"/>
  </w:num>
  <w:num w:numId="11">
    <w:abstractNumId w:val="10"/>
  </w:num>
  <w:num w:numId="12">
    <w:abstractNumId w:val="17"/>
  </w:num>
  <w:num w:numId="13">
    <w:abstractNumId w:val="7"/>
  </w:num>
  <w:num w:numId="14">
    <w:abstractNumId w:val="5"/>
  </w:num>
  <w:num w:numId="15">
    <w:abstractNumId w:val="0"/>
  </w:num>
  <w:num w:numId="16">
    <w:abstractNumId w:val="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75DC"/>
    <w:rsid w:val="00011DE7"/>
    <w:rsid w:val="0001675E"/>
    <w:rsid w:val="000172F6"/>
    <w:rsid w:val="000330D9"/>
    <w:rsid w:val="000A4393"/>
    <w:rsid w:val="000C6AC7"/>
    <w:rsid w:val="000D69FA"/>
    <w:rsid w:val="001026A8"/>
    <w:rsid w:val="001177F4"/>
    <w:rsid w:val="00125898"/>
    <w:rsid w:val="00150350"/>
    <w:rsid w:val="0016631D"/>
    <w:rsid w:val="00185BC2"/>
    <w:rsid w:val="00196A6A"/>
    <w:rsid w:val="00196FE2"/>
    <w:rsid w:val="001B515B"/>
    <w:rsid w:val="001C237A"/>
    <w:rsid w:val="001E211C"/>
    <w:rsid w:val="001E6085"/>
    <w:rsid w:val="001F1885"/>
    <w:rsid w:val="002066DD"/>
    <w:rsid w:val="00206E9F"/>
    <w:rsid w:val="002214FF"/>
    <w:rsid w:val="0023164A"/>
    <w:rsid w:val="00232E82"/>
    <w:rsid w:val="0023410E"/>
    <w:rsid w:val="00236DD3"/>
    <w:rsid w:val="00267945"/>
    <w:rsid w:val="00281F7B"/>
    <w:rsid w:val="002823F1"/>
    <w:rsid w:val="002C421F"/>
    <w:rsid w:val="002F44D4"/>
    <w:rsid w:val="00337FDA"/>
    <w:rsid w:val="00365414"/>
    <w:rsid w:val="00373732"/>
    <w:rsid w:val="00376FD2"/>
    <w:rsid w:val="003B14F0"/>
    <w:rsid w:val="00417A21"/>
    <w:rsid w:val="00431C43"/>
    <w:rsid w:val="00444EC7"/>
    <w:rsid w:val="00465D5A"/>
    <w:rsid w:val="00466FB5"/>
    <w:rsid w:val="004A3595"/>
    <w:rsid w:val="004D3E12"/>
    <w:rsid w:val="004E40DC"/>
    <w:rsid w:val="00523760"/>
    <w:rsid w:val="00550074"/>
    <w:rsid w:val="005658AE"/>
    <w:rsid w:val="00585535"/>
    <w:rsid w:val="005A1311"/>
    <w:rsid w:val="005A7466"/>
    <w:rsid w:val="005D4866"/>
    <w:rsid w:val="005E2B40"/>
    <w:rsid w:val="005F0F9C"/>
    <w:rsid w:val="006233C7"/>
    <w:rsid w:val="006242A3"/>
    <w:rsid w:val="006902B6"/>
    <w:rsid w:val="006B3E3D"/>
    <w:rsid w:val="006D130A"/>
    <w:rsid w:val="00707CCD"/>
    <w:rsid w:val="0071708D"/>
    <w:rsid w:val="007325CA"/>
    <w:rsid w:val="00766E77"/>
    <w:rsid w:val="007814AA"/>
    <w:rsid w:val="00785351"/>
    <w:rsid w:val="007C3FB1"/>
    <w:rsid w:val="007C659F"/>
    <w:rsid w:val="007D7ED1"/>
    <w:rsid w:val="007F052B"/>
    <w:rsid w:val="00827AB8"/>
    <w:rsid w:val="00893059"/>
    <w:rsid w:val="008D3B12"/>
    <w:rsid w:val="008E405E"/>
    <w:rsid w:val="008E578B"/>
    <w:rsid w:val="008F1273"/>
    <w:rsid w:val="00930F47"/>
    <w:rsid w:val="00945D80"/>
    <w:rsid w:val="0095329C"/>
    <w:rsid w:val="00961C4F"/>
    <w:rsid w:val="009A6BD5"/>
    <w:rsid w:val="009B00A3"/>
    <w:rsid w:val="00A37CDA"/>
    <w:rsid w:val="00A5200D"/>
    <w:rsid w:val="00A54285"/>
    <w:rsid w:val="00A60E69"/>
    <w:rsid w:val="00A70573"/>
    <w:rsid w:val="00A859D1"/>
    <w:rsid w:val="00AA5B2D"/>
    <w:rsid w:val="00AB1588"/>
    <w:rsid w:val="00AB3B11"/>
    <w:rsid w:val="00AC609F"/>
    <w:rsid w:val="00AD1133"/>
    <w:rsid w:val="00AF4CF9"/>
    <w:rsid w:val="00B32902"/>
    <w:rsid w:val="00B416D6"/>
    <w:rsid w:val="00B41854"/>
    <w:rsid w:val="00B51841"/>
    <w:rsid w:val="00B54819"/>
    <w:rsid w:val="00B84F50"/>
    <w:rsid w:val="00BB049B"/>
    <w:rsid w:val="00BC4AB7"/>
    <w:rsid w:val="00BD1C61"/>
    <w:rsid w:val="00BE5479"/>
    <w:rsid w:val="00C110E3"/>
    <w:rsid w:val="00C32D41"/>
    <w:rsid w:val="00C67A6C"/>
    <w:rsid w:val="00C83839"/>
    <w:rsid w:val="00C86C0D"/>
    <w:rsid w:val="00C960DA"/>
    <w:rsid w:val="00CC35BB"/>
    <w:rsid w:val="00CD0695"/>
    <w:rsid w:val="00CD647B"/>
    <w:rsid w:val="00CE297A"/>
    <w:rsid w:val="00D1313D"/>
    <w:rsid w:val="00D34311"/>
    <w:rsid w:val="00D41299"/>
    <w:rsid w:val="00D51452"/>
    <w:rsid w:val="00D57D79"/>
    <w:rsid w:val="00D75D26"/>
    <w:rsid w:val="00D86CC1"/>
    <w:rsid w:val="00DD05F2"/>
    <w:rsid w:val="00DF1E57"/>
    <w:rsid w:val="00DF54AE"/>
    <w:rsid w:val="00E02D39"/>
    <w:rsid w:val="00E128EE"/>
    <w:rsid w:val="00E23F4A"/>
    <w:rsid w:val="00E35365"/>
    <w:rsid w:val="00E3613B"/>
    <w:rsid w:val="00EB4011"/>
    <w:rsid w:val="00ED6720"/>
    <w:rsid w:val="00ED7F9E"/>
    <w:rsid w:val="00EF535E"/>
    <w:rsid w:val="00F04F62"/>
    <w:rsid w:val="00F16E54"/>
    <w:rsid w:val="00F36316"/>
    <w:rsid w:val="00F53A37"/>
    <w:rsid w:val="00F563AA"/>
    <w:rsid w:val="00F9751E"/>
    <w:rsid w:val="00FC25BE"/>
    <w:rsid w:val="00FD08D1"/>
    <w:rsid w:val="00FF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44E08E31-A40C-4C6A-8125-0037FE7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semiHidden/>
    <w:unhideWhenUsed/>
    <w:qFormat/>
    <w:rsid w:val="00A520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
    <w:basedOn w:val="Normal"/>
    <w:link w:val="ListParagraphChar"/>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semiHidden/>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semiHidden/>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 w:type="numbering" w:customStyle="1" w:styleId="Style1">
    <w:name w:val="Style1"/>
    <w:uiPriority w:val="99"/>
    <w:rsid w:val="005E2B40"/>
    <w:pPr>
      <w:numPr>
        <w:numId w:val="6"/>
      </w:numPr>
    </w:pPr>
  </w:style>
  <w:style w:type="paragraph" w:styleId="BodyText">
    <w:name w:val="Body Text"/>
    <w:basedOn w:val="Normal"/>
    <w:link w:val="BodyTextChar"/>
    <w:unhideWhenUsed/>
    <w:rsid w:val="00BB049B"/>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B049B"/>
    <w:rPr>
      <w:rFonts w:ascii="Calibri" w:eastAsia="Calibri" w:hAnsi="Calibri" w:cs="Times New Roman"/>
    </w:rPr>
  </w:style>
  <w:style w:type="character" w:customStyle="1" w:styleId="Heading8Char">
    <w:name w:val="Heading 8 Char"/>
    <w:basedOn w:val="DefaultParagraphFont"/>
    <w:link w:val="Heading8"/>
    <w:uiPriority w:val="9"/>
    <w:semiHidden/>
    <w:rsid w:val="00A5200D"/>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7D7ED1"/>
  </w:style>
  <w:style w:type="character" w:customStyle="1" w:styleId="Calibri12">
    <w:name w:val="Calibri 12"/>
    <w:uiPriority w:val="1"/>
    <w:qFormat/>
    <w:rsid w:val="007D7ED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F66D-7D1A-4056-9A4E-C56D2D54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4183</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2019-10-02T21:16:00Z</cp:lastPrinted>
  <dcterms:created xsi:type="dcterms:W3CDTF">2020-04-16T06:23:00Z</dcterms:created>
  <dcterms:modified xsi:type="dcterms:W3CDTF">2020-04-16T06:23:00Z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1175134</vt:lpwstr>
  </property>
  <property fmtid="{D5CDD505-2E9C-101B-9397-08002B2CF9AE}" pid="3" name="CHECKEDOUTFROMJMS">
    <vt:lpwstr/>
  </property>
  <property fmtid="{D5CDD505-2E9C-101B-9397-08002B2CF9AE}" pid="4" name="JMSREQUIREDCHECKIN">
    <vt:lpwstr/>
  </property>
</Properties>
</file>