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B1DB" w14:textId="77777777" w:rsidR="00F02286" w:rsidRDefault="00BC5584">
      <w:pPr>
        <w:rPr>
          <w:rFonts w:ascii="Arial" w:hAnsi="Arial"/>
          <w:snapToGrid w:val="0"/>
          <w:color w:val="000000"/>
          <w:sz w:val="23"/>
        </w:rPr>
      </w:pPr>
      <w:bookmarkStart w:id="0" w:name="_GoBack"/>
      <w:bookmarkEnd w:id="0"/>
      <w:smartTag w:uri="urn:schemas-microsoft-com:office:smarttags" w:element="State">
        <w:smartTag w:uri="urn:schemas-microsoft-com:office:smarttags" w:element="place">
          <w:r>
            <w:rPr>
              <w:rFonts w:ascii="Arial" w:hAnsi="Arial"/>
              <w:snapToGrid w:val="0"/>
              <w:color w:val="000000"/>
              <w:sz w:val="23"/>
            </w:rPr>
            <w:t>Australian Capital Territory</w:t>
          </w:r>
        </w:smartTag>
      </w:smartTag>
    </w:p>
    <w:p w14:paraId="4309C9DE" w14:textId="77777777" w:rsidR="00F02286" w:rsidRDefault="00F02286">
      <w:pPr>
        <w:rPr>
          <w:rFonts w:ascii="Arial" w:hAnsi="Arial"/>
          <w:snapToGrid w:val="0"/>
          <w:color w:val="000000"/>
          <w:sz w:val="23"/>
        </w:rPr>
      </w:pPr>
    </w:p>
    <w:p w14:paraId="69922309" w14:textId="10D46CE1" w:rsidR="00E51F19" w:rsidRPr="00611FD0" w:rsidRDefault="00E51F19" w:rsidP="00E51F19">
      <w:pPr>
        <w:tabs>
          <w:tab w:val="left" w:pos="2400"/>
          <w:tab w:val="left" w:pos="2880"/>
        </w:tabs>
        <w:spacing w:before="700" w:after="100"/>
        <w:rPr>
          <w:rFonts w:ascii="Arial" w:hAnsi="Arial" w:cs="Arial"/>
          <w:b/>
          <w:bCs/>
          <w:sz w:val="40"/>
          <w:szCs w:val="40"/>
        </w:rPr>
      </w:pPr>
      <w:r w:rsidRPr="00611FD0">
        <w:rPr>
          <w:rFonts w:ascii="Arial" w:hAnsi="Arial" w:cs="Arial"/>
          <w:b/>
          <w:bCs/>
          <w:sz w:val="40"/>
          <w:szCs w:val="40"/>
        </w:rPr>
        <w:t xml:space="preserve">Utilities (Electricity </w:t>
      </w:r>
      <w:r>
        <w:rPr>
          <w:rFonts w:ascii="Arial" w:hAnsi="Arial" w:cs="Arial"/>
          <w:b/>
          <w:bCs/>
          <w:sz w:val="40"/>
          <w:szCs w:val="40"/>
        </w:rPr>
        <w:t>Feed-in Code) Determination 20</w:t>
      </w:r>
      <w:r w:rsidR="00190821">
        <w:rPr>
          <w:rFonts w:ascii="Arial" w:hAnsi="Arial" w:cs="Arial"/>
          <w:b/>
          <w:bCs/>
          <w:sz w:val="40"/>
          <w:szCs w:val="40"/>
        </w:rPr>
        <w:t>20</w:t>
      </w:r>
      <w:r w:rsidRPr="00611FD0">
        <w:rPr>
          <w:rFonts w:ascii="Arial" w:hAnsi="Arial" w:cs="Arial"/>
          <w:b/>
          <w:bCs/>
          <w:sz w:val="40"/>
          <w:szCs w:val="40"/>
        </w:rPr>
        <w:t xml:space="preserve"> </w:t>
      </w:r>
    </w:p>
    <w:p w14:paraId="26571053" w14:textId="2088BB31" w:rsidR="00E51F19" w:rsidRPr="00611FD0" w:rsidRDefault="00E51F19" w:rsidP="00E51F19">
      <w:pPr>
        <w:spacing w:before="240" w:after="60"/>
        <w:rPr>
          <w:rFonts w:ascii="Arial" w:hAnsi="Arial" w:cs="Arial"/>
          <w:b/>
          <w:bCs/>
          <w:sz w:val="22"/>
          <w:szCs w:val="22"/>
          <w:vertAlign w:val="superscript"/>
        </w:rPr>
      </w:pPr>
      <w:r>
        <w:rPr>
          <w:rFonts w:ascii="Arial" w:hAnsi="Arial" w:cs="Arial"/>
          <w:b/>
          <w:bCs/>
          <w:szCs w:val="24"/>
        </w:rPr>
        <w:t>Disallowable instrument DI20</w:t>
      </w:r>
      <w:r w:rsidR="00190821">
        <w:rPr>
          <w:rFonts w:ascii="Arial" w:hAnsi="Arial" w:cs="Arial"/>
          <w:b/>
          <w:bCs/>
          <w:szCs w:val="24"/>
        </w:rPr>
        <w:t>20</w:t>
      </w:r>
      <w:r w:rsidRPr="00611FD0">
        <w:rPr>
          <w:rFonts w:ascii="Arial" w:hAnsi="Arial" w:cs="Arial"/>
          <w:b/>
          <w:bCs/>
          <w:szCs w:val="24"/>
        </w:rPr>
        <w:t>–</w:t>
      </w:r>
      <w:r w:rsidR="001671C7">
        <w:rPr>
          <w:rFonts w:ascii="Arial" w:hAnsi="Arial" w:cs="Arial"/>
          <w:b/>
          <w:bCs/>
          <w:szCs w:val="24"/>
        </w:rPr>
        <w:t>86</w:t>
      </w:r>
    </w:p>
    <w:p w14:paraId="751A03E2" w14:textId="77777777" w:rsidR="00E51F19" w:rsidRPr="00611FD0" w:rsidRDefault="00E51F19" w:rsidP="00E51F19">
      <w:pPr>
        <w:spacing w:before="240" w:after="120"/>
        <w:jc w:val="both"/>
        <w:rPr>
          <w:rFonts w:ascii="Arial" w:hAnsi="Arial" w:cs="Arial"/>
          <w:szCs w:val="24"/>
        </w:rPr>
      </w:pPr>
      <w:r w:rsidRPr="00611FD0">
        <w:rPr>
          <w:rFonts w:ascii="Arial" w:hAnsi="Arial" w:cs="Arial"/>
          <w:szCs w:val="24"/>
        </w:rPr>
        <w:t xml:space="preserve">made under the  </w:t>
      </w:r>
    </w:p>
    <w:p w14:paraId="1014EB5D" w14:textId="77777777" w:rsidR="00190821" w:rsidRPr="00BD1285" w:rsidRDefault="00190821" w:rsidP="00190821">
      <w:pPr>
        <w:tabs>
          <w:tab w:val="left" w:pos="2600"/>
        </w:tabs>
        <w:spacing w:before="200" w:after="60"/>
        <w:jc w:val="both"/>
        <w:rPr>
          <w:rFonts w:ascii="Arial" w:hAnsi="Arial" w:cs="Arial"/>
          <w:b/>
          <w:bCs/>
        </w:rPr>
      </w:pPr>
      <w:r w:rsidRPr="00BD1285">
        <w:rPr>
          <w:rFonts w:ascii="Arial" w:hAnsi="Arial" w:cs="Arial"/>
          <w:b/>
          <w:bCs/>
        </w:rPr>
        <w:t>Utilities Act 2000, s 59 (Determined codes) and s 63 (Public access)</w:t>
      </w:r>
    </w:p>
    <w:p w14:paraId="53E175A2" w14:textId="77777777" w:rsidR="00B920AB" w:rsidRDefault="00B920AB" w:rsidP="00B920AB">
      <w:pPr>
        <w:spacing w:before="360"/>
        <w:ind w:right="565"/>
        <w:rPr>
          <w:rFonts w:ascii="Arial" w:hAnsi="Arial" w:cs="Arial"/>
          <w:b/>
          <w:bCs/>
          <w:sz w:val="28"/>
          <w:szCs w:val="28"/>
        </w:rPr>
      </w:pPr>
      <w:r>
        <w:rPr>
          <w:rFonts w:ascii="Arial" w:hAnsi="Arial" w:cs="Arial"/>
          <w:b/>
          <w:bCs/>
          <w:sz w:val="28"/>
          <w:szCs w:val="28"/>
        </w:rPr>
        <w:t>EXPLANATORY STATEMENT</w:t>
      </w:r>
    </w:p>
    <w:p w14:paraId="0B6AA19F" w14:textId="77777777" w:rsidR="00B920AB" w:rsidRDefault="00B920AB" w:rsidP="00B920AB">
      <w:pPr>
        <w:pStyle w:val="N-line3"/>
        <w:pBdr>
          <w:bottom w:val="none" w:sz="0" w:space="0" w:color="auto"/>
        </w:pBdr>
      </w:pPr>
    </w:p>
    <w:p w14:paraId="14C70C1C" w14:textId="77777777" w:rsidR="00B920AB" w:rsidRDefault="00B920AB" w:rsidP="00B920AB">
      <w:pPr>
        <w:pStyle w:val="N-line3"/>
        <w:pBdr>
          <w:top w:val="single" w:sz="12" w:space="1" w:color="auto"/>
          <w:bottom w:val="none" w:sz="0" w:space="0" w:color="auto"/>
        </w:pBdr>
      </w:pPr>
    </w:p>
    <w:p w14:paraId="2C1D7CE2" w14:textId="77777777" w:rsidR="00190821" w:rsidRDefault="00190821" w:rsidP="00E51F19">
      <w:pPr>
        <w:spacing w:before="80" w:after="60"/>
        <w:rPr>
          <w:rFonts w:ascii="Arial" w:eastAsia="SimSun" w:hAnsi="Arial" w:cs="Arial"/>
          <w:szCs w:val="24"/>
        </w:rPr>
      </w:pPr>
    </w:p>
    <w:p w14:paraId="33283C41" w14:textId="2E97BF6F" w:rsidR="00E51F19" w:rsidRDefault="00E51F19" w:rsidP="00E51F19">
      <w:pPr>
        <w:spacing w:before="80" w:after="60"/>
        <w:rPr>
          <w:rFonts w:ascii="Arial" w:eastAsia="SimSun" w:hAnsi="Arial" w:cs="Arial"/>
          <w:sz w:val="22"/>
          <w:szCs w:val="22"/>
        </w:rPr>
      </w:pPr>
      <w:r w:rsidRPr="00D50C68">
        <w:rPr>
          <w:rFonts w:ascii="Arial" w:eastAsia="SimSun" w:hAnsi="Arial" w:cs="Arial"/>
          <w:sz w:val="22"/>
          <w:szCs w:val="22"/>
        </w:rPr>
        <w:t>The Independent Competition and Regulator</w:t>
      </w:r>
      <w:r w:rsidR="005C3264">
        <w:rPr>
          <w:rFonts w:ascii="Arial" w:eastAsia="SimSun" w:hAnsi="Arial" w:cs="Arial"/>
          <w:sz w:val="22"/>
          <w:szCs w:val="22"/>
        </w:rPr>
        <w:t>y</w:t>
      </w:r>
      <w:r w:rsidRPr="00D50C68">
        <w:rPr>
          <w:rFonts w:ascii="Arial" w:eastAsia="SimSun" w:hAnsi="Arial" w:cs="Arial"/>
          <w:sz w:val="22"/>
          <w:szCs w:val="22"/>
        </w:rPr>
        <w:t xml:space="preserve"> Commission</w:t>
      </w:r>
      <w:r w:rsidR="00CF3678" w:rsidRPr="00D50C68">
        <w:rPr>
          <w:rFonts w:ascii="Arial" w:eastAsia="SimSun" w:hAnsi="Arial" w:cs="Arial"/>
          <w:sz w:val="22"/>
          <w:szCs w:val="22"/>
        </w:rPr>
        <w:t xml:space="preserve"> (</w:t>
      </w:r>
      <w:r w:rsidR="000C6F32" w:rsidRPr="00D50C68">
        <w:rPr>
          <w:rFonts w:ascii="Arial" w:eastAsia="SimSun" w:hAnsi="Arial" w:cs="Arial"/>
          <w:sz w:val="22"/>
          <w:szCs w:val="22"/>
        </w:rPr>
        <w:t>ICRC</w:t>
      </w:r>
      <w:r w:rsidR="00CF3678" w:rsidRPr="00D50C68">
        <w:rPr>
          <w:rFonts w:ascii="Arial" w:eastAsia="SimSun" w:hAnsi="Arial" w:cs="Arial"/>
          <w:sz w:val="22"/>
          <w:szCs w:val="22"/>
        </w:rPr>
        <w:t>)</w:t>
      </w:r>
      <w:r w:rsidRPr="00D50C68">
        <w:rPr>
          <w:rFonts w:ascii="Arial" w:eastAsia="SimSun" w:hAnsi="Arial" w:cs="Arial"/>
          <w:sz w:val="22"/>
          <w:szCs w:val="22"/>
        </w:rPr>
        <w:t xml:space="preserve"> has </w:t>
      </w:r>
      <w:r w:rsidR="00190821" w:rsidRPr="00D50C68">
        <w:rPr>
          <w:rFonts w:ascii="Arial" w:eastAsia="SimSun" w:hAnsi="Arial" w:cs="Arial"/>
          <w:sz w:val="22"/>
          <w:szCs w:val="22"/>
        </w:rPr>
        <w:t xml:space="preserve">determined a new </w:t>
      </w:r>
      <w:r w:rsidRPr="00D50C68">
        <w:rPr>
          <w:rFonts w:ascii="Arial" w:eastAsia="SimSun" w:hAnsi="Arial" w:cs="Arial"/>
          <w:iCs/>
          <w:sz w:val="22"/>
          <w:szCs w:val="22"/>
        </w:rPr>
        <w:t>Electricity Feed-in Code</w:t>
      </w:r>
      <w:r w:rsidR="00225338" w:rsidRPr="00D50C68">
        <w:rPr>
          <w:rFonts w:ascii="Arial" w:eastAsia="SimSun" w:hAnsi="Arial" w:cs="Arial"/>
          <w:iCs/>
          <w:sz w:val="22"/>
          <w:szCs w:val="22"/>
        </w:rPr>
        <w:t xml:space="preserve"> (Code)</w:t>
      </w:r>
      <w:r w:rsidRPr="00D50C68">
        <w:rPr>
          <w:rFonts w:ascii="Arial" w:eastAsia="SimSun" w:hAnsi="Arial" w:cs="Arial"/>
          <w:sz w:val="22"/>
          <w:szCs w:val="22"/>
        </w:rPr>
        <w:t xml:space="preserve">. </w:t>
      </w:r>
    </w:p>
    <w:p w14:paraId="3D9816A6" w14:textId="77777777" w:rsidR="000A2844" w:rsidRPr="00D50C68" w:rsidRDefault="000A2844" w:rsidP="000A2844">
      <w:pPr>
        <w:pStyle w:val="Heading1"/>
        <w:spacing w:before="180" w:beforeAutospacing="0"/>
        <w:rPr>
          <w:rFonts w:ascii="Arial" w:eastAsia="SimSun" w:hAnsi="Arial" w:cs="Arial"/>
          <w:b w:val="0"/>
          <w:bCs w:val="0"/>
          <w:i/>
          <w:iCs/>
          <w:kern w:val="0"/>
          <w:sz w:val="22"/>
          <w:szCs w:val="22"/>
          <w:lang w:eastAsia="en-US"/>
        </w:rPr>
      </w:pPr>
      <w:r w:rsidRPr="00D50C68">
        <w:rPr>
          <w:rFonts w:ascii="Arial" w:eastAsia="SimSun" w:hAnsi="Arial" w:cs="Arial"/>
          <w:b w:val="0"/>
          <w:bCs w:val="0"/>
          <w:i/>
          <w:iCs/>
          <w:kern w:val="0"/>
          <w:sz w:val="22"/>
          <w:szCs w:val="22"/>
          <w:lang w:eastAsia="en-US"/>
        </w:rPr>
        <w:t>Purpose of Electricity Feed-in Code</w:t>
      </w:r>
    </w:p>
    <w:p w14:paraId="0EA9B6CC" w14:textId="78342C38" w:rsidR="000A2844" w:rsidRPr="00D50C68" w:rsidRDefault="000A2844" w:rsidP="000A2844">
      <w:pPr>
        <w:tabs>
          <w:tab w:val="left" w:pos="828"/>
          <w:tab w:val="left" w:pos="1394"/>
          <w:tab w:val="left" w:pos="1962"/>
          <w:tab w:val="left" w:pos="2528"/>
          <w:tab w:val="left" w:pos="3094"/>
        </w:tabs>
        <w:spacing w:afterLines="120" w:after="288"/>
        <w:rPr>
          <w:rFonts w:ascii="Arial" w:hAnsi="Arial" w:cs="Arial"/>
          <w:sz w:val="22"/>
          <w:szCs w:val="22"/>
        </w:rPr>
      </w:pPr>
      <w:r w:rsidRPr="00D50C68">
        <w:rPr>
          <w:rFonts w:ascii="Arial" w:hAnsi="Arial" w:cs="Arial"/>
          <w:sz w:val="22"/>
          <w:szCs w:val="22"/>
        </w:rPr>
        <w:t xml:space="preserve">The Code is an industry code determined by the ICRC under the </w:t>
      </w:r>
      <w:r w:rsidRPr="00D50C68">
        <w:rPr>
          <w:rFonts w:ascii="Arial" w:hAnsi="Arial" w:cs="Arial"/>
          <w:i/>
          <w:sz w:val="22"/>
          <w:szCs w:val="22"/>
        </w:rPr>
        <w:t xml:space="preserve">Utilities Act 2000 </w:t>
      </w:r>
      <w:r w:rsidRPr="00D50C68">
        <w:rPr>
          <w:rFonts w:ascii="Arial" w:hAnsi="Arial" w:cs="Arial"/>
          <w:sz w:val="22"/>
          <w:szCs w:val="22"/>
        </w:rPr>
        <w:t xml:space="preserve">(Utilities Act). </w:t>
      </w:r>
    </w:p>
    <w:p w14:paraId="1FD67772" w14:textId="77777777" w:rsidR="000A2844" w:rsidRPr="00D50C68" w:rsidRDefault="000A2844" w:rsidP="000A2844">
      <w:pPr>
        <w:tabs>
          <w:tab w:val="left" w:pos="828"/>
          <w:tab w:val="left" w:pos="1394"/>
          <w:tab w:val="left" w:pos="1962"/>
          <w:tab w:val="left" w:pos="2528"/>
          <w:tab w:val="left" w:pos="3094"/>
        </w:tabs>
        <w:spacing w:afterLines="120" w:after="288"/>
        <w:rPr>
          <w:rFonts w:ascii="Arial" w:hAnsi="Arial" w:cs="Arial"/>
          <w:sz w:val="22"/>
          <w:szCs w:val="22"/>
        </w:rPr>
      </w:pPr>
      <w:r w:rsidRPr="00D50C68">
        <w:rPr>
          <w:rFonts w:ascii="Arial" w:hAnsi="Arial" w:cs="Arial"/>
          <w:sz w:val="22"/>
          <w:szCs w:val="22"/>
        </w:rPr>
        <w:t xml:space="preserve">The purpose of the Code is to set out practices and standards for the operation of the scheme for feed-in from renewable energy generators to the electricity network established under the </w:t>
      </w:r>
      <w:r w:rsidRPr="00D50C68">
        <w:rPr>
          <w:rFonts w:ascii="Arial" w:hAnsi="Arial" w:cs="Arial"/>
          <w:i/>
          <w:iCs/>
          <w:sz w:val="22"/>
          <w:szCs w:val="22"/>
        </w:rPr>
        <w:t>Electricity Feed-in (Renewable Energy Premium) Act 2008</w:t>
      </w:r>
      <w:r w:rsidRPr="00D50C68">
        <w:rPr>
          <w:rFonts w:ascii="Arial" w:hAnsi="Arial" w:cs="Arial"/>
          <w:sz w:val="22"/>
          <w:szCs w:val="22"/>
        </w:rPr>
        <w:t xml:space="preserve"> (Feed-in Act). The Code establishes dispute resolution procedures between electricity distributors and retailers, as well as setting out specific consumer protections relating to the Feed-in Act. The Code applies only to premises accessing the premium feed-in tariff, through the Feed-in Act.</w:t>
      </w:r>
    </w:p>
    <w:p w14:paraId="01B100E6" w14:textId="77777777" w:rsidR="000A2844" w:rsidRPr="00D50C68" w:rsidRDefault="000A2844" w:rsidP="000A2844">
      <w:pPr>
        <w:tabs>
          <w:tab w:val="left" w:pos="828"/>
          <w:tab w:val="left" w:pos="1394"/>
          <w:tab w:val="left" w:pos="1962"/>
          <w:tab w:val="left" w:pos="2528"/>
          <w:tab w:val="left" w:pos="3094"/>
        </w:tabs>
        <w:spacing w:afterLines="120" w:after="288"/>
        <w:rPr>
          <w:rFonts w:ascii="Arial" w:hAnsi="Arial" w:cs="Arial"/>
          <w:bCs/>
          <w:sz w:val="22"/>
          <w:szCs w:val="22"/>
        </w:rPr>
      </w:pPr>
      <w:r w:rsidRPr="00D50C68">
        <w:rPr>
          <w:rFonts w:ascii="Arial" w:hAnsi="Arial" w:cs="Arial"/>
          <w:bCs/>
          <w:sz w:val="22"/>
          <w:szCs w:val="22"/>
        </w:rPr>
        <w:t xml:space="preserve">The Code applies to electricity utilities licensed under the Utilities Act, and to electricity retailers authorised under the National Energy Retail Law. </w:t>
      </w:r>
    </w:p>
    <w:p w14:paraId="7E7C18AB" w14:textId="77777777" w:rsidR="000A2844" w:rsidRPr="00D50C68" w:rsidRDefault="000A2844" w:rsidP="000A2844">
      <w:pPr>
        <w:tabs>
          <w:tab w:val="left" w:pos="828"/>
          <w:tab w:val="left" w:pos="1394"/>
          <w:tab w:val="left" w:pos="1962"/>
          <w:tab w:val="left" w:pos="2528"/>
          <w:tab w:val="left" w:pos="3094"/>
        </w:tabs>
        <w:spacing w:afterLines="120" w:after="288"/>
        <w:rPr>
          <w:rFonts w:ascii="Arial" w:hAnsi="Arial" w:cs="Arial"/>
          <w:bCs/>
          <w:sz w:val="22"/>
          <w:szCs w:val="22"/>
        </w:rPr>
      </w:pPr>
      <w:r w:rsidRPr="00D50C68">
        <w:rPr>
          <w:rFonts w:ascii="Arial" w:hAnsi="Arial" w:cs="Arial"/>
          <w:bCs/>
          <w:sz w:val="22"/>
          <w:szCs w:val="22"/>
        </w:rPr>
        <w:t xml:space="preserve">The Code is enforceable under the </w:t>
      </w:r>
      <w:r w:rsidRPr="00D50C68">
        <w:rPr>
          <w:rFonts w:ascii="Arial" w:hAnsi="Arial" w:cs="Arial"/>
          <w:sz w:val="22"/>
          <w:szCs w:val="22"/>
        </w:rPr>
        <w:t>Utilities Act</w:t>
      </w:r>
      <w:r w:rsidRPr="00D50C68">
        <w:rPr>
          <w:rFonts w:ascii="Arial" w:hAnsi="Arial" w:cs="Arial"/>
          <w:bCs/>
          <w:sz w:val="22"/>
          <w:szCs w:val="22"/>
        </w:rPr>
        <w:t>. The ICRC is responsible for monitoring the compliance of utilities with industry codes.</w:t>
      </w:r>
    </w:p>
    <w:p w14:paraId="1727C095" w14:textId="77777777" w:rsidR="000C6F32" w:rsidRPr="00D50C68" w:rsidRDefault="000C6F32" w:rsidP="00D50C68">
      <w:pPr>
        <w:pStyle w:val="Heading1"/>
        <w:spacing w:before="180" w:beforeAutospacing="0"/>
        <w:rPr>
          <w:rFonts w:ascii="Arial" w:eastAsia="SimSun" w:hAnsi="Arial" w:cs="Arial"/>
          <w:b w:val="0"/>
          <w:bCs w:val="0"/>
          <w:i/>
          <w:iCs/>
          <w:kern w:val="0"/>
          <w:sz w:val="22"/>
          <w:szCs w:val="22"/>
          <w:lang w:eastAsia="en-US"/>
        </w:rPr>
      </w:pPr>
      <w:r w:rsidRPr="00D50C68">
        <w:rPr>
          <w:rFonts w:ascii="Arial" w:eastAsia="SimSun" w:hAnsi="Arial" w:cs="Arial"/>
          <w:b w:val="0"/>
          <w:bCs w:val="0"/>
          <w:i/>
          <w:iCs/>
          <w:kern w:val="0"/>
          <w:sz w:val="22"/>
          <w:szCs w:val="22"/>
          <w:lang w:eastAsia="en-US"/>
        </w:rPr>
        <w:t>Revocation and remaking of Code</w:t>
      </w:r>
    </w:p>
    <w:p w14:paraId="6B13CCC6" w14:textId="61C61000" w:rsidR="000C6F32" w:rsidRPr="00D50C68" w:rsidRDefault="000C6F32" w:rsidP="000C6F32">
      <w:pPr>
        <w:spacing w:afterLines="120" w:after="288"/>
        <w:rPr>
          <w:rFonts w:ascii="Arial" w:hAnsi="Arial" w:cs="Arial"/>
          <w:sz w:val="22"/>
          <w:szCs w:val="22"/>
        </w:rPr>
      </w:pPr>
      <w:r w:rsidRPr="00D50C68">
        <w:rPr>
          <w:rFonts w:ascii="Arial" w:hAnsi="Arial" w:cs="Arial"/>
          <w:iCs/>
          <w:sz w:val="22"/>
          <w:szCs w:val="22"/>
        </w:rPr>
        <w:t xml:space="preserve">This Disallowable Instrument revokes the Code determined by the ICRC under the </w:t>
      </w:r>
      <w:r w:rsidRPr="00D50C68">
        <w:rPr>
          <w:rFonts w:ascii="Arial" w:hAnsi="Arial" w:cs="Arial"/>
          <w:i/>
          <w:iCs/>
          <w:sz w:val="22"/>
          <w:szCs w:val="22"/>
        </w:rPr>
        <w:t>Utilities (Electricity Feed-in Code) Determination 2015</w:t>
      </w:r>
      <w:r w:rsidRPr="00D50C68">
        <w:rPr>
          <w:rFonts w:ascii="Arial" w:hAnsi="Arial" w:cs="Arial"/>
          <w:iCs/>
          <w:sz w:val="22"/>
          <w:szCs w:val="22"/>
        </w:rPr>
        <w:t xml:space="preserve">, DI2015-256 and determines a new Code as set out in the </w:t>
      </w:r>
      <w:r w:rsidR="00D50C68">
        <w:rPr>
          <w:rFonts w:ascii="Arial" w:hAnsi="Arial" w:cs="Arial"/>
          <w:iCs/>
          <w:sz w:val="22"/>
          <w:szCs w:val="22"/>
        </w:rPr>
        <w:t>a</w:t>
      </w:r>
      <w:r w:rsidRPr="00D50C68">
        <w:rPr>
          <w:rFonts w:ascii="Arial" w:hAnsi="Arial" w:cs="Arial"/>
          <w:iCs/>
          <w:sz w:val="22"/>
          <w:szCs w:val="22"/>
        </w:rPr>
        <w:t>ttachment to the Disallowable Instrument</w:t>
      </w:r>
      <w:r w:rsidRPr="00D50C68">
        <w:rPr>
          <w:rFonts w:ascii="Arial" w:hAnsi="Arial" w:cs="Arial"/>
          <w:sz w:val="22"/>
          <w:szCs w:val="22"/>
        </w:rPr>
        <w:t xml:space="preserve">. </w:t>
      </w:r>
    </w:p>
    <w:p w14:paraId="2EBFE696" w14:textId="59FAD43A" w:rsidR="00225338" w:rsidRDefault="00190821" w:rsidP="005A6C45">
      <w:pPr>
        <w:pStyle w:val="Heading1"/>
        <w:spacing w:before="180" w:beforeAutospacing="0"/>
        <w:rPr>
          <w:rFonts w:ascii="Arial" w:eastAsia="SimSun" w:hAnsi="Arial" w:cs="Arial"/>
          <w:b w:val="0"/>
          <w:bCs w:val="0"/>
          <w:kern w:val="0"/>
          <w:sz w:val="22"/>
          <w:szCs w:val="22"/>
          <w:lang w:eastAsia="en-US"/>
        </w:rPr>
      </w:pPr>
      <w:r w:rsidRPr="00D50C68">
        <w:rPr>
          <w:rFonts w:ascii="Arial" w:eastAsia="SimSun" w:hAnsi="Arial" w:cs="Arial"/>
          <w:b w:val="0"/>
          <w:bCs w:val="0"/>
          <w:kern w:val="0"/>
          <w:sz w:val="22"/>
          <w:szCs w:val="22"/>
          <w:lang w:eastAsia="en-US"/>
        </w:rPr>
        <w:t xml:space="preserve">The new </w:t>
      </w:r>
      <w:r w:rsidR="00225338" w:rsidRPr="00D50C68">
        <w:rPr>
          <w:rFonts w:ascii="Arial" w:eastAsia="SimSun" w:hAnsi="Arial" w:cs="Arial"/>
          <w:b w:val="0"/>
          <w:bCs w:val="0"/>
          <w:kern w:val="0"/>
          <w:sz w:val="22"/>
          <w:szCs w:val="22"/>
          <w:lang w:eastAsia="en-US"/>
        </w:rPr>
        <w:t>C</w:t>
      </w:r>
      <w:r w:rsidRPr="00D50C68">
        <w:rPr>
          <w:rFonts w:ascii="Arial" w:eastAsia="SimSun" w:hAnsi="Arial" w:cs="Arial"/>
          <w:b w:val="0"/>
          <w:bCs w:val="0"/>
          <w:kern w:val="0"/>
          <w:sz w:val="22"/>
          <w:szCs w:val="22"/>
          <w:lang w:eastAsia="en-US"/>
        </w:rPr>
        <w:t>ode align</w:t>
      </w:r>
      <w:r w:rsidR="000C6F32" w:rsidRPr="00D50C68">
        <w:rPr>
          <w:rFonts w:ascii="Arial" w:eastAsia="SimSun" w:hAnsi="Arial" w:cs="Arial"/>
          <w:b w:val="0"/>
          <w:bCs w:val="0"/>
          <w:kern w:val="0"/>
          <w:sz w:val="22"/>
          <w:szCs w:val="22"/>
          <w:lang w:eastAsia="en-US"/>
        </w:rPr>
        <w:t>s</w:t>
      </w:r>
      <w:r w:rsidRPr="00D50C68">
        <w:rPr>
          <w:rFonts w:ascii="Arial" w:eastAsia="SimSun" w:hAnsi="Arial" w:cs="Arial"/>
          <w:b w:val="0"/>
          <w:bCs w:val="0"/>
          <w:kern w:val="0"/>
          <w:sz w:val="22"/>
          <w:szCs w:val="22"/>
          <w:lang w:eastAsia="en-US"/>
        </w:rPr>
        <w:t xml:space="preserve"> consumer protection provisions with the</w:t>
      </w:r>
      <w:r w:rsidR="00225338" w:rsidRPr="00D50C68">
        <w:rPr>
          <w:rFonts w:ascii="Arial" w:eastAsia="SimSun" w:hAnsi="Arial" w:cs="Arial"/>
          <w:b w:val="0"/>
          <w:bCs w:val="0"/>
          <w:kern w:val="0"/>
          <w:sz w:val="22"/>
          <w:szCs w:val="22"/>
          <w:lang w:eastAsia="en-US"/>
        </w:rPr>
        <w:t xml:space="preserve"> Consumer Protection Code (DI2020-6) that was determined by the Commission in January 2020. </w:t>
      </w:r>
    </w:p>
    <w:p w14:paraId="06AC883F" w14:textId="6627240A" w:rsidR="000A2844" w:rsidRDefault="001662B9" w:rsidP="005A6C45">
      <w:pPr>
        <w:pStyle w:val="Heading1"/>
        <w:spacing w:before="180" w:beforeAutospacing="0"/>
        <w:rPr>
          <w:rFonts w:ascii="Arial" w:eastAsia="SimSun" w:hAnsi="Arial" w:cs="Arial"/>
          <w:b w:val="0"/>
          <w:bCs w:val="0"/>
          <w:kern w:val="0"/>
          <w:sz w:val="22"/>
          <w:szCs w:val="22"/>
          <w:lang w:eastAsia="en-US"/>
        </w:rPr>
      </w:pPr>
      <w:r>
        <w:rPr>
          <w:rFonts w:ascii="Arial" w:eastAsia="SimSun" w:hAnsi="Arial" w:cs="Arial"/>
          <w:b w:val="0"/>
          <w:bCs w:val="0"/>
          <w:kern w:val="0"/>
          <w:sz w:val="22"/>
          <w:szCs w:val="22"/>
          <w:lang w:eastAsia="en-US"/>
        </w:rPr>
        <w:lastRenderedPageBreak/>
        <w:t>T</w:t>
      </w:r>
      <w:r w:rsidR="000A2844">
        <w:rPr>
          <w:rFonts w:ascii="Arial" w:eastAsia="SimSun" w:hAnsi="Arial" w:cs="Arial"/>
          <w:b w:val="0"/>
          <w:bCs w:val="0"/>
          <w:kern w:val="0"/>
          <w:sz w:val="22"/>
          <w:szCs w:val="22"/>
          <w:lang w:eastAsia="en-US"/>
        </w:rPr>
        <w:t xml:space="preserve">he </w:t>
      </w:r>
      <w:r>
        <w:rPr>
          <w:rFonts w:ascii="Arial" w:eastAsia="SimSun" w:hAnsi="Arial" w:cs="Arial"/>
          <w:b w:val="0"/>
          <w:bCs w:val="0"/>
          <w:kern w:val="0"/>
          <w:sz w:val="22"/>
          <w:szCs w:val="22"/>
          <w:lang w:eastAsia="en-US"/>
        </w:rPr>
        <w:t xml:space="preserve">differences between the 2015 determination (DI2015-256) and this Disallowable Instrument </w:t>
      </w:r>
      <w:r w:rsidR="000A2844">
        <w:rPr>
          <w:rFonts w:ascii="Arial" w:eastAsia="SimSun" w:hAnsi="Arial" w:cs="Arial"/>
          <w:b w:val="0"/>
          <w:bCs w:val="0"/>
          <w:kern w:val="0"/>
          <w:sz w:val="22"/>
          <w:szCs w:val="22"/>
          <w:lang w:eastAsia="en-US"/>
        </w:rPr>
        <w:t xml:space="preserve">are outlined in the table below. </w:t>
      </w:r>
      <w:r>
        <w:rPr>
          <w:rFonts w:ascii="Arial" w:eastAsia="SimSun" w:hAnsi="Arial" w:cs="Arial"/>
          <w:b w:val="0"/>
          <w:bCs w:val="0"/>
          <w:kern w:val="0"/>
          <w:sz w:val="22"/>
          <w:szCs w:val="22"/>
          <w:lang w:eastAsia="en-US"/>
        </w:rPr>
        <w:t>These are outlined in the ICRC’s consultation report and final decision, which are available from the ICRC.</w:t>
      </w:r>
    </w:p>
    <w:tbl>
      <w:tblPr>
        <w:tblStyle w:val="TableGrid"/>
        <w:tblW w:w="8642" w:type="dxa"/>
        <w:tblLook w:val="04A0" w:firstRow="1" w:lastRow="0" w:firstColumn="1" w:lastColumn="0" w:noHBand="0" w:noVBand="1"/>
      </w:tblPr>
      <w:tblGrid>
        <w:gridCol w:w="704"/>
        <w:gridCol w:w="3301"/>
        <w:gridCol w:w="4637"/>
      </w:tblGrid>
      <w:tr w:rsidR="000A2844" w:rsidRPr="001662B9" w14:paraId="29243B5C" w14:textId="77777777" w:rsidTr="00126995">
        <w:trPr>
          <w:tblHeader/>
        </w:trPr>
        <w:tc>
          <w:tcPr>
            <w:tcW w:w="704" w:type="dxa"/>
          </w:tcPr>
          <w:p w14:paraId="4CB3CBBD" w14:textId="77777777" w:rsidR="000A2844" w:rsidRPr="001662B9" w:rsidRDefault="000A2844" w:rsidP="00B01CA5">
            <w:pPr>
              <w:rPr>
                <w:rFonts w:ascii="Arial" w:hAnsi="Arial" w:cs="Arial"/>
                <w:b/>
                <w:bCs/>
                <w:color w:val="000000" w:themeColor="text1"/>
                <w:sz w:val="22"/>
                <w:szCs w:val="22"/>
              </w:rPr>
            </w:pPr>
          </w:p>
        </w:tc>
        <w:tc>
          <w:tcPr>
            <w:tcW w:w="3301" w:type="dxa"/>
          </w:tcPr>
          <w:p w14:paraId="289BEAD4" w14:textId="77777777" w:rsidR="000A2844" w:rsidRPr="001662B9" w:rsidRDefault="000A2844" w:rsidP="00B01CA5">
            <w:pPr>
              <w:rPr>
                <w:rFonts w:ascii="Arial" w:hAnsi="Arial" w:cs="Arial"/>
                <w:b/>
                <w:bCs/>
                <w:color w:val="000000" w:themeColor="text1"/>
                <w:sz w:val="22"/>
                <w:szCs w:val="22"/>
              </w:rPr>
            </w:pPr>
            <w:r w:rsidRPr="001662B9">
              <w:rPr>
                <w:rFonts w:ascii="Arial" w:hAnsi="Arial" w:cs="Arial"/>
                <w:b/>
                <w:bCs/>
                <w:color w:val="000000" w:themeColor="text1"/>
                <w:sz w:val="22"/>
                <w:szCs w:val="22"/>
              </w:rPr>
              <w:t>Clause</w:t>
            </w:r>
          </w:p>
        </w:tc>
        <w:tc>
          <w:tcPr>
            <w:tcW w:w="4637" w:type="dxa"/>
          </w:tcPr>
          <w:p w14:paraId="008C8057" w14:textId="77777777" w:rsidR="000A2844" w:rsidRPr="001662B9" w:rsidRDefault="000A2844" w:rsidP="00B01CA5">
            <w:pPr>
              <w:rPr>
                <w:rFonts w:ascii="Arial" w:hAnsi="Arial" w:cs="Arial"/>
                <w:b/>
                <w:bCs/>
                <w:color w:val="000000" w:themeColor="text1"/>
                <w:sz w:val="22"/>
                <w:szCs w:val="22"/>
              </w:rPr>
            </w:pPr>
            <w:r w:rsidRPr="001662B9">
              <w:rPr>
                <w:rFonts w:ascii="Arial" w:hAnsi="Arial" w:cs="Arial"/>
                <w:b/>
                <w:bCs/>
                <w:color w:val="000000" w:themeColor="text1"/>
                <w:sz w:val="22"/>
                <w:szCs w:val="22"/>
              </w:rPr>
              <w:t>Outline of change</w:t>
            </w:r>
          </w:p>
        </w:tc>
      </w:tr>
      <w:tr w:rsidR="000A2844" w:rsidRPr="001662B9" w14:paraId="77643494" w14:textId="77777777" w:rsidTr="00126995">
        <w:tc>
          <w:tcPr>
            <w:tcW w:w="704" w:type="dxa"/>
          </w:tcPr>
          <w:p w14:paraId="6E060346"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77B88B60" w14:textId="77777777" w:rsidR="000A2844" w:rsidRPr="001662B9" w:rsidRDefault="000A2844" w:rsidP="00B01CA5">
            <w:pPr>
              <w:pStyle w:val="NoSpacing"/>
              <w:rPr>
                <w:rFonts w:ascii="Arial" w:hAnsi="Arial" w:cs="Arial"/>
                <w:szCs w:val="22"/>
              </w:rPr>
            </w:pPr>
            <w:r w:rsidRPr="001662B9">
              <w:rPr>
                <w:rFonts w:ascii="Arial" w:hAnsi="Arial" w:cs="Arial"/>
                <w:szCs w:val="22"/>
              </w:rPr>
              <w:t>4.1(b) Distributor to detail arrangements to NERL retailer</w:t>
            </w:r>
          </w:p>
        </w:tc>
        <w:tc>
          <w:tcPr>
            <w:tcW w:w="4637" w:type="dxa"/>
          </w:tcPr>
          <w:p w14:paraId="7DC7DC87" w14:textId="77777777" w:rsidR="000A2844" w:rsidRPr="001662B9" w:rsidRDefault="000A2844" w:rsidP="00B01CA5">
            <w:pPr>
              <w:pStyle w:val="NoSpacing"/>
              <w:rPr>
                <w:rFonts w:ascii="Arial" w:hAnsi="Arial" w:cs="Arial"/>
                <w:szCs w:val="22"/>
              </w:rPr>
            </w:pPr>
            <w:r w:rsidRPr="001662B9">
              <w:rPr>
                <w:rFonts w:ascii="Arial" w:hAnsi="Arial" w:cs="Arial"/>
                <w:szCs w:val="22"/>
              </w:rPr>
              <w:t xml:space="preserve">Removed the word ‘negotiated’ before contract. The term ‘negotiated’ stems from Utilities Act terminology relating to negotiated customer contracts (currently only relevant to water and sewerage services). Electricity contracts are regulated under the National Energy Customer Framework. </w:t>
            </w:r>
          </w:p>
        </w:tc>
      </w:tr>
      <w:tr w:rsidR="000A2844" w:rsidRPr="001662B9" w14:paraId="7EC03B52" w14:textId="77777777" w:rsidTr="00126995">
        <w:tc>
          <w:tcPr>
            <w:tcW w:w="704" w:type="dxa"/>
          </w:tcPr>
          <w:p w14:paraId="5A42169D"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346A60D3" w14:textId="77777777" w:rsidR="000A2844" w:rsidRPr="001662B9" w:rsidRDefault="000A2844" w:rsidP="00B01CA5">
            <w:pPr>
              <w:pStyle w:val="NoSpacing"/>
              <w:rPr>
                <w:rFonts w:ascii="Arial" w:hAnsi="Arial" w:cs="Arial"/>
                <w:szCs w:val="22"/>
              </w:rPr>
            </w:pPr>
            <w:r w:rsidRPr="001662B9">
              <w:rPr>
                <w:rFonts w:ascii="Arial" w:hAnsi="Arial" w:cs="Arial"/>
                <w:szCs w:val="22"/>
              </w:rPr>
              <w:t>4.4 Dispute resolution -occupier disputes</w:t>
            </w:r>
          </w:p>
        </w:tc>
        <w:tc>
          <w:tcPr>
            <w:tcW w:w="4637" w:type="dxa"/>
          </w:tcPr>
          <w:p w14:paraId="701145AF" w14:textId="78F346AA" w:rsidR="000A2844" w:rsidRPr="001662B9" w:rsidRDefault="000A2844" w:rsidP="00B01CA5">
            <w:pPr>
              <w:pStyle w:val="NoSpacing"/>
              <w:rPr>
                <w:rFonts w:ascii="Arial" w:hAnsi="Arial" w:cs="Arial"/>
                <w:szCs w:val="22"/>
              </w:rPr>
            </w:pPr>
            <w:r w:rsidRPr="001662B9">
              <w:rPr>
                <w:rFonts w:ascii="Arial" w:hAnsi="Arial" w:cs="Arial"/>
                <w:szCs w:val="22"/>
              </w:rPr>
              <w:t xml:space="preserve">Deleted subsections that quoted complaints provisions that are outlined in </w:t>
            </w:r>
            <w:r w:rsidR="001662B9" w:rsidRPr="001662B9">
              <w:rPr>
                <w:rFonts w:ascii="Arial" w:hAnsi="Arial" w:cs="Arial"/>
                <w:szCs w:val="22"/>
              </w:rPr>
              <w:t xml:space="preserve">the </w:t>
            </w:r>
            <w:r w:rsidRPr="001662B9">
              <w:rPr>
                <w:rFonts w:ascii="Arial" w:hAnsi="Arial" w:cs="Arial"/>
                <w:szCs w:val="22"/>
              </w:rPr>
              <w:t>Consumer Protection Code. The provision has been updated to require occupier disputes to be handled in accordance with the new Consumer Protection Code.</w:t>
            </w:r>
          </w:p>
          <w:p w14:paraId="61AB2BE8" w14:textId="77777777" w:rsidR="000A2844" w:rsidRPr="001662B9" w:rsidRDefault="000A2844" w:rsidP="00B01CA5">
            <w:pPr>
              <w:pStyle w:val="NoSpacing"/>
              <w:rPr>
                <w:rFonts w:ascii="Arial" w:hAnsi="Arial" w:cs="Arial"/>
                <w:szCs w:val="22"/>
              </w:rPr>
            </w:pPr>
            <w:r w:rsidRPr="001662B9">
              <w:rPr>
                <w:rFonts w:ascii="Arial" w:hAnsi="Arial" w:cs="Arial"/>
                <w:szCs w:val="22"/>
              </w:rPr>
              <w:t>A notation advising occupiers that they may have rights to refer a dispute to the ACAT under the Utilities Act has been added.</w:t>
            </w:r>
          </w:p>
        </w:tc>
      </w:tr>
      <w:tr w:rsidR="000A2844" w:rsidRPr="001662B9" w14:paraId="4CB650EE" w14:textId="77777777" w:rsidTr="00126995">
        <w:tc>
          <w:tcPr>
            <w:tcW w:w="704" w:type="dxa"/>
          </w:tcPr>
          <w:p w14:paraId="2FB0A30A"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266B7FFD" w14:textId="77777777" w:rsidR="000A2844" w:rsidRPr="001662B9" w:rsidRDefault="000A2844" w:rsidP="00B01CA5">
            <w:pPr>
              <w:pStyle w:val="NoSpacing"/>
              <w:rPr>
                <w:rFonts w:ascii="Arial" w:hAnsi="Arial" w:cs="Arial"/>
                <w:szCs w:val="22"/>
              </w:rPr>
            </w:pPr>
            <w:r w:rsidRPr="001662B9">
              <w:rPr>
                <w:rFonts w:ascii="Arial" w:hAnsi="Arial" w:cs="Arial"/>
                <w:szCs w:val="22"/>
              </w:rPr>
              <w:t>5.1 NERL retailer to detail arrangements with occupier</w:t>
            </w:r>
          </w:p>
        </w:tc>
        <w:tc>
          <w:tcPr>
            <w:tcW w:w="4637" w:type="dxa"/>
          </w:tcPr>
          <w:p w14:paraId="0519E016" w14:textId="77777777" w:rsidR="000A2844" w:rsidRPr="001662B9" w:rsidRDefault="000A2844" w:rsidP="00B01CA5">
            <w:pPr>
              <w:pStyle w:val="NoSpacing"/>
              <w:rPr>
                <w:rFonts w:ascii="Arial" w:hAnsi="Arial" w:cs="Arial"/>
                <w:szCs w:val="22"/>
              </w:rPr>
            </w:pPr>
            <w:r w:rsidRPr="001662B9">
              <w:rPr>
                <w:rFonts w:ascii="Arial" w:hAnsi="Arial" w:cs="Arial"/>
                <w:szCs w:val="22"/>
              </w:rPr>
              <w:t>Deleted references to contracts. Electricity contracts are regulated under the National Energy Customer Framework.  The requirement has been updated to reflect that NERL retailers must provide occupiers with a statement of the terms upon which it will perform the supplier actions under the Feed-in Act.</w:t>
            </w:r>
          </w:p>
        </w:tc>
      </w:tr>
      <w:tr w:rsidR="000A2844" w:rsidRPr="001662B9" w14:paraId="4E5FC340" w14:textId="77777777" w:rsidTr="00126995">
        <w:tc>
          <w:tcPr>
            <w:tcW w:w="704" w:type="dxa"/>
          </w:tcPr>
          <w:p w14:paraId="094BA95C"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36ACDB4E" w14:textId="77777777" w:rsidR="000A2844" w:rsidRPr="001662B9" w:rsidRDefault="000A2844" w:rsidP="00B01CA5">
            <w:pPr>
              <w:pStyle w:val="NoSpacing"/>
              <w:rPr>
                <w:rFonts w:ascii="Arial" w:hAnsi="Arial" w:cs="Arial"/>
                <w:szCs w:val="22"/>
              </w:rPr>
            </w:pPr>
            <w:r w:rsidRPr="001662B9">
              <w:rPr>
                <w:rFonts w:ascii="Arial" w:hAnsi="Arial" w:cs="Arial"/>
                <w:szCs w:val="22"/>
              </w:rPr>
              <w:t>5.3 Dispute resolution – occupier disputes</w:t>
            </w:r>
          </w:p>
        </w:tc>
        <w:tc>
          <w:tcPr>
            <w:tcW w:w="4637" w:type="dxa"/>
          </w:tcPr>
          <w:p w14:paraId="2066119C" w14:textId="77777777" w:rsidR="000A2844" w:rsidRPr="001662B9" w:rsidRDefault="000A2844" w:rsidP="00B01CA5">
            <w:pPr>
              <w:pStyle w:val="NoSpacing"/>
              <w:rPr>
                <w:rFonts w:ascii="Arial" w:hAnsi="Arial" w:cs="Arial"/>
                <w:szCs w:val="22"/>
              </w:rPr>
            </w:pPr>
            <w:r w:rsidRPr="001662B9">
              <w:rPr>
                <w:rFonts w:ascii="Arial" w:hAnsi="Arial" w:cs="Arial"/>
                <w:szCs w:val="22"/>
              </w:rPr>
              <w:t>Deleted subsections that quoted complaints provisions that are outlined in the Consumer Protection Code. The provision has been updated to require occupier disputes to be handled in accordance with the new Consumer Protection Code.</w:t>
            </w:r>
          </w:p>
          <w:p w14:paraId="06BE5216" w14:textId="77777777" w:rsidR="000A2844" w:rsidRPr="001662B9" w:rsidRDefault="000A2844" w:rsidP="00B01CA5">
            <w:pPr>
              <w:pStyle w:val="NoSpacing"/>
              <w:rPr>
                <w:rFonts w:ascii="Arial" w:hAnsi="Arial" w:cs="Arial"/>
                <w:szCs w:val="22"/>
              </w:rPr>
            </w:pPr>
            <w:r w:rsidRPr="001662B9">
              <w:rPr>
                <w:rFonts w:ascii="Arial" w:hAnsi="Arial" w:cs="Arial"/>
                <w:szCs w:val="22"/>
              </w:rPr>
              <w:t>A notation advising occupiers that they may have rights to refer a dispute to the ACAT under the Utilities Act has been added.</w:t>
            </w:r>
          </w:p>
        </w:tc>
      </w:tr>
      <w:tr w:rsidR="000A2844" w:rsidRPr="001662B9" w14:paraId="2B713E1E" w14:textId="77777777" w:rsidTr="00126995">
        <w:tc>
          <w:tcPr>
            <w:tcW w:w="704" w:type="dxa"/>
          </w:tcPr>
          <w:p w14:paraId="4AD23D00"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7E7AFF2A" w14:textId="77777777" w:rsidR="000A2844" w:rsidRPr="001662B9" w:rsidRDefault="000A2844" w:rsidP="00B01CA5">
            <w:pPr>
              <w:pStyle w:val="NoSpacing"/>
              <w:rPr>
                <w:rFonts w:ascii="Arial" w:hAnsi="Arial" w:cs="Arial"/>
                <w:szCs w:val="22"/>
              </w:rPr>
            </w:pPr>
            <w:r w:rsidRPr="001662B9">
              <w:rPr>
                <w:rFonts w:ascii="Arial" w:hAnsi="Arial" w:cs="Arial"/>
                <w:szCs w:val="22"/>
              </w:rPr>
              <w:t>6.1 Applicability of consumer protection code</w:t>
            </w:r>
          </w:p>
        </w:tc>
        <w:tc>
          <w:tcPr>
            <w:tcW w:w="4637" w:type="dxa"/>
          </w:tcPr>
          <w:p w14:paraId="4F9BEA1D" w14:textId="77777777" w:rsidR="000A2844" w:rsidRPr="001662B9" w:rsidRDefault="000A2844" w:rsidP="00B01CA5">
            <w:pPr>
              <w:pStyle w:val="NoSpacing"/>
              <w:rPr>
                <w:rFonts w:ascii="Arial" w:hAnsi="Arial" w:cs="Arial"/>
                <w:szCs w:val="22"/>
              </w:rPr>
            </w:pPr>
            <w:r w:rsidRPr="001662B9">
              <w:rPr>
                <w:rFonts w:ascii="Arial" w:hAnsi="Arial" w:cs="Arial"/>
                <w:szCs w:val="22"/>
              </w:rPr>
              <w:t>Removed reference to schedule 3 and referred directly to the new Consumer Protection Code</w:t>
            </w:r>
          </w:p>
        </w:tc>
      </w:tr>
      <w:tr w:rsidR="000A2844" w:rsidRPr="001662B9" w14:paraId="3D800F31" w14:textId="77777777" w:rsidTr="00126995">
        <w:tc>
          <w:tcPr>
            <w:tcW w:w="704" w:type="dxa"/>
          </w:tcPr>
          <w:p w14:paraId="3268C7BC"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78C35208" w14:textId="77777777" w:rsidR="000A2844" w:rsidRPr="001662B9" w:rsidRDefault="000A2844" w:rsidP="00B01CA5">
            <w:pPr>
              <w:pStyle w:val="NoSpacing"/>
              <w:rPr>
                <w:rFonts w:ascii="Arial" w:hAnsi="Arial" w:cs="Arial"/>
                <w:szCs w:val="22"/>
              </w:rPr>
            </w:pPr>
            <w:r w:rsidRPr="001662B9">
              <w:rPr>
                <w:rFonts w:ascii="Arial" w:hAnsi="Arial" w:cs="Arial"/>
                <w:szCs w:val="22"/>
              </w:rPr>
              <w:t>6.2 Extended definition of utility service</w:t>
            </w:r>
          </w:p>
        </w:tc>
        <w:tc>
          <w:tcPr>
            <w:tcW w:w="4637" w:type="dxa"/>
          </w:tcPr>
          <w:p w14:paraId="782EFBD5" w14:textId="77777777" w:rsidR="000A2844" w:rsidRPr="001662B9" w:rsidRDefault="000A2844" w:rsidP="00B01CA5">
            <w:pPr>
              <w:pStyle w:val="NoSpacing"/>
              <w:rPr>
                <w:rFonts w:ascii="Arial" w:hAnsi="Arial" w:cs="Arial"/>
                <w:szCs w:val="22"/>
              </w:rPr>
            </w:pPr>
            <w:r w:rsidRPr="001662B9">
              <w:rPr>
                <w:rFonts w:ascii="Arial" w:hAnsi="Arial" w:cs="Arial"/>
                <w:szCs w:val="22"/>
              </w:rPr>
              <w:t>Removed reference to schedule and referred directly to the new Consumer Protection Code</w:t>
            </w:r>
          </w:p>
        </w:tc>
      </w:tr>
      <w:tr w:rsidR="000A2844" w:rsidRPr="001662B9" w14:paraId="098E2547" w14:textId="77777777" w:rsidTr="00126995">
        <w:tc>
          <w:tcPr>
            <w:tcW w:w="704" w:type="dxa"/>
          </w:tcPr>
          <w:p w14:paraId="74D3AB88" w14:textId="77777777" w:rsidR="000A2844" w:rsidRPr="001662B9" w:rsidRDefault="000A2844" w:rsidP="000A2844">
            <w:pPr>
              <w:pStyle w:val="NoSpacing"/>
              <w:numPr>
                <w:ilvl w:val="0"/>
                <w:numId w:val="4"/>
              </w:numPr>
              <w:spacing w:after="220" w:line="280" w:lineRule="atLeast"/>
              <w:ind w:left="447"/>
              <w:rPr>
                <w:rFonts w:ascii="Arial" w:hAnsi="Arial" w:cs="Arial"/>
                <w:szCs w:val="22"/>
              </w:rPr>
            </w:pPr>
          </w:p>
        </w:tc>
        <w:tc>
          <w:tcPr>
            <w:tcW w:w="3301" w:type="dxa"/>
          </w:tcPr>
          <w:p w14:paraId="77686D59" w14:textId="77777777" w:rsidR="000A2844" w:rsidRPr="001662B9" w:rsidRDefault="000A2844" w:rsidP="00B01CA5">
            <w:pPr>
              <w:pStyle w:val="NoSpacing"/>
              <w:rPr>
                <w:rFonts w:ascii="Arial" w:hAnsi="Arial" w:cs="Arial"/>
                <w:szCs w:val="22"/>
              </w:rPr>
            </w:pPr>
            <w:r w:rsidRPr="001662B9">
              <w:rPr>
                <w:rFonts w:ascii="Arial" w:hAnsi="Arial" w:cs="Arial"/>
                <w:szCs w:val="22"/>
              </w:rPr>
              <w:t>Schedule 3: Applicability of Consumer Protection Code</w:t>
            </w:r>
          </w:p>
        </w:tc>
        <w:tc>
          <w:tcPr>
            <w:tcW w:w="4637" w:type="dxa"/>
          </w:tcPr>
          <w:p w14:paraId="7C37F3BA" w14:textId="77777777" w:rsidR="000A2844" w:rsidRPr="001662B9" w:rsidRDefault="000A2844" w:rsidP="00B01CA5">
            <w:pPr>
              <w:pStyle w:val="NoSpacing"/>
              <w:rPr>
                <w:rFonts w:ascii="Arial" w:hAnsi="Arial" w:cs="Arial"/>
                <w:szCs w:val="22"/>
              </w:rPr>
            </w:pPr>
            <w:r w:rsidRPr="001662B9">
              <w:rPr>
                <w:rFonts w:ascii="Arial" w:hAnsi="Arial" w:cs="Arial"/>
                <w:szCs w:val="22"/>
              </w:rPr>
              <w:t>Removed Schedule. The schedule quotes a previous version of the Consumer Protection Code. Clause 6.1 and 6.2 have been updated to refer directly to the new Consumer Protection Code. This ensures that all NERL retailer customers receive the same protections under the new Consumer Protection Code.</w:t>
            </w:r>
          </w:p>
        </w:tc>
      </w:tr>
    </w:tbl>
    <w:p w14:paraId="0BB0B82E" w14:textId="77777777" w:rsidR="00190821" w:rsidRPr="00D50C68" w:rsidRDefault="00190821" w:rsidP="00D50C68">
      <w:pPr>
        <w:pStyle w:val="Heading1"/>
        <w:spacing w:before="180" w:beforeAutospacing="0"/>
        <w:rPr>
          <w:rFonts w:ascii="Arial" w:eastAsia="SimSun" w:hAnsi="Arial" w:cs="Arial"/>
          <w:b w:val="0"/>
          <w:bCs w:val="0"/>
          <w:i/>
          <w:iCs/>
          <w:kern w:val="0"/>
          <w:sz w:val="22"/>
          <w:szCs w:val="22"/>
          <w:lang w:eastAsia="en-US"/>
        </w:rPr>
      </w:pPr>
      <w:r w:rsidRPr="00D50C68">
        <w:rPr>
          <w:rFonts w:ascii="Arial" w:eastAsia="SimSun" w:hAnsi="Arial" w:cs="Arial"/>
          <w:b w:val="0"/>
          <w:bCs w:val="0"/>
          <w:i/>
          <w:iCs/>
          <w:kern w:val="0"/>
          <w:sz w:val="22"/>
          <w:szCs w:val="22"/>
          <w:lang w:eastAsia="en-US"/>
        </w:rPr>
        <w:lastRenderedPageBreak/>
        <w:t>Consultation on the new Code</w:t>
      </w:r>
    </w:p>
    <w:p w14:paraId="15968399" w14:textId="43386C18" w:rsidR="00190821" w:rsidRPr="00D50C68" w:rsidRDefault="00190821" w:rsidP="00190821">
      <w:pPr>
        <w:spacing w:after="100" w:afterAutospacing="1"/>
        <w:rPr>
          <w:rFonts w:ascii="Arial" w:hAnsi="Arial" w:cs="Arial"/>
          <w:bCs/>
          <w:sz w:val="22"/>
          <w:szCs w:val="22"/>
          <w:lang w:eastAsia="en-AU"/>
        </w:rPr>
      </w:pPr>
      <w:r w:rsidRPr="00D50C68">
        <w:rPr>
          <w:rFonts w:ascii="Arial" w:hAnsi="Arial" w:cs="Arial"/>
          <w:bCs/>
          <w:sz w:val="22"/>
          <w:szCs w:val="22"/>
          <w:lang w:eastAsia="en-AU"/>
        </w:rPr>
        <w:t>In accordance with the Utilities Act, the ICRC has consulted with relevant parties on the drafting o</w:t>
      </w:r>
      <w:r w:rsidR="00D50C68">
        <w:rPr>
          <w:rFonts w:ascii="Arial" w:hAnsi="Arial" w:cs="Arial"/>
          <w:bCs/>
          <w:sz w:val="22"/>
          <w:szCs w:val="22"/>
          <w:lang w:eastAsia="en-AU"/>
        </w:rPr>
        <w:t>f</w:t>
      </w:r>
      <w:r w:rsidRPr="00D50C68">
        <w:rPr>
          <w:rFonts w:ascii="Arial" w:hAnsi="Arial" w:cs="Arial"/>
          <w:bCs/>
          <w:sz w:val="22"/>
          <w:szCs w:val="22"/>
          <w:lang w:eastAsia="en-AU"/>
        </w:rPr>
        <w:t xml:space="preserve"> the new Code. A notice was published in the Canberra Times and on the ICRC’s website inviting comments. The submissions received and the outcomes of the consultations are </w:t>
      </w:r>
      <w:r w:rsidR="000C6F32" w:rsidRPr="00D50C68">
        <w:rPr>
          <w:rFonts w:ascii="Arial" w:hAnsi="Arial" w:cs="Arial"/>
          <w:bCs/>
          <w:sz w:val="22"/>
          <w:szCs w:val="22"/>
          <w:lang w:eastAsia="en-AU"/>
        </w:rPr>
        <w:t xml:space="preserve">detailed in the </w:t>
      </w:r>
      <w:r w:rsidRPr="00D50C68">
        <w:rPr>
          <w:rFonts w:ascii="Arial" w:hAnsi="Arial" w:cs="Arial"/>
          <w:bCs/>
          <w:sz w:val="22"/>
          <w:szCs w:val="22"/>
          <w:lang w:eastAsia="en-AU"/>
        </w:rPr>
        <w:t xml:space="preserve">final decision on the </w:t>
      </w:r>
      <w:r w:rsidR="000C6F32" w:rsidRPr="00D50C68">
        <w:rPr>
          <w:rFonts w:ascii="Arial" w:hAnsi="Arial" w:cs="Arial"/>
          <w:bCs/>
          <w:sz w:val="22"/>
          <w:szCs w:val="22"/>
          <w:lang w:eastAsia="en-AU"/>
        </w:rPr>
        <w:t xml:space="preserve">Electricity Feed-in Code </w:t>
      </w:r>
      <w:r w:rsidRPr="00D50C68">
        <w:rPr>
          <w:rFonts w:ascii="Arial" w:hAnsi="Arial" w:cs="Arial"/>
          <w:bCs/>
          <w:sz w:val="22"/>
          <w:szCs w:val="22"/>
          <w:lang w:eastAsia="en-AU"/>
        </w:rPr>
        <w:t>review</w:t>
      </w:r>
      <w:r w:rsidR="000C6F32" w:rsidRPr="00D50C68">
        <w:rPr>
          <w:rFonts w:ascii="Arial" w:hAnsi="Arial" w:cs="Arial"/>
          <w:bCs/>
          <w:sz w:val="22"/>
          <w:szCs w:val="22"/>
          <w:lang w:eastAsia="en-AU"/>
        </w:rPr>
        <w:t xml:space="preserve">. The Consultation report and final decision </w:t>
      </w:r>
      <w:r w:rsidRPr="00D50C68">
        <w:rPr>
          <w:rFonts w:ascii="Arial" w:hAnsi="Arial" w:cs="Arial"/>
          <w:bCs/>
          <w:sz w:val="22"/>
          <w:szCs w:val="22"/>
          <w:lang w:eastAsia="en-AU"/>
        </w:rPr>
        <w:t xml:space="preserve">are available on the Commission’s website </w:t>
      </w:r>
      <w:r w:rsidRPr="00D50C68">
        <w:rPr>
          <w:rFonts w:ascii="Arial" w:hAnsi="Arial" w:cs="Arial"/>
          <w:color w:val="000000"/>
          <w:sz w:val="22"/>
          <w:szCs w:val="22"/>
          <w:lang w:val="en-US"/>
        </w:rPr>
        <w:t>(</w:t>
      </w:r>
      <w:hyperlink r:id="rId8" w:history="1">
        <w:r w:rsidRPr="00D50C68">
          <w:rPr>
            <w:rStyle w:val="Hyperlink"/>
            <w:rFonts w:ascii="Arial" w:hAnsi="Arial" w:cs="Arial"/>
            <w:sz w:val="22"/>
            <w:szCs w:val="22"/>
            <w:lang w:val="en-US"/>
          </w:rPr>
          <w:t>www.icrc.act.gov.au</w:t>
        </w:r>
      </w:hyperlink>
      <w:r w:rsidRPr="00D50C68">
        <w:rPr>
          <w:rFonts w:ascii="Arial" w:hAnsi="Arial" w:cs="Arial"/>
          <w:color w:val="000000"/>
          <w:sz w:val="22"/>
          <w:szCs w:val="22"/>
          <w:lang w:val="en-US"/>
        </w:rPr>
        <w:t>)</w:t>
      </w:r>
      <w:r w:rsidRPr="00D50C68">
        <w:rPr>
          <w:rFonts w:ascii="Arial" w:hAnsi="Arial" w:cs="Arial"/>
          <w:bCs/>
          <w:sz w:val="22"/>
          <w:szCs w:val="22"/>
          <w:lang w:eastAsia="en-AU"/>
        </w:rPr>
        <w:t xml:space="preserve">. </w:t>
      </w:r>
    </w:p>
    <w:p w14:paraId="4A43319D" w14:textId="77777777" w:rsidR="00190821" w:rsidRPr="00D50C68" w:rsidRDefault="00190821" w:rsidP="00190821">
      <w:pPr>
        <w:spacing w:before="100" w:beforeAutospacing="1" w:after="100" w:afterAutospacing="1"/>
        <w:rPr>
          <w:rFonts w:ascii="Arial" w:hAnsi="Arial" w:cs="Arial"/>
          <w:sz w:val="22"/>
          <w:szCs w:val="22"/>
        </w:rPr>
      </w:pPr>
      <w:r w:rsidRPr="00D50C68">
        <w:rPr>
          <w:rFonts w:ascii="Arial" w:hAnsi="Arial" w:cs="Arial"/>
          <w:bCs/>
          <w:sz w:val="22"/>
          <w:szCs w:val="22"/>
          <w:lang w:eastAsia="en-AU"/>
        </w:rPr>
        <w:t xml:space="preserve">In accordance with the requirements of the Utilities Act, the ICRC consulted with the Minister and the Minister responsible for technical regulation </w:t>
      </w:r>
      <w:r w:rsidRPr="00D50C68">
        <w:rPr>
          <w:rFonts w:ascii="Arial" w:hAnsi="Arial" w:cs="Arial"/>
          <w:sz w:val="22"/>
          <w:szCs w:val="22"/>
        </w:rPr>
        <w:t>and is satisfied that the Code is not inconsistent in material respects with another industry code or a technical code and it is necessary to determine the Code.</w:t>
      </w:r>
    </w:p>
    <w:p w14:paraId="0ED3343F" w14:textId="77777777" w:rsidR="00190821" w:rsidRPr="00D50C68" w:rsidRDefault="00190821" w:rsidP="00190821">
      <w:pPr>
        <w:spacing w:before="100" w:beforeAutospacing="1" w:after="100" w:afterAutospacing="1"/>
        <w:rPr>
          <w:rFonts w:ascii="Arial" w:hAnsi="Arial" w:cs="Arial"/>
          <w:bCs/>
          <w:sz w:val="22"/>
          <w:szCs w:val="22"/>
          <w:lang w:eastAsia="en-AU"/>
        </w:rPr>
      </w:pPr>
      <w:r w:rsidRPr="00D50C68">
        <w:rPr>
          <w:rFonts w:ascii="Arial" w:hAnsi="Arial" w:cs="Arial"/>
          <w:bCs/>
          <w:sz w:val="22"/>
          <w:szCs w:val="22"/>
        </w:rPr>
        <w:t>The ICRC has had due regard to the submissions received in response to the consultation process.</w:t>
      </w:r>
    </w:p>
    <w:p w14:paraId="5788110E" w14:textId="77777777" w:rsidR="00190821" w:rsidRPr="00D50C68" w:rsidRDefault="00190821" w:rsidP="00D50C68">
      <w:pPr>
        <w:pStyle w:val="Heading1"/>
        <w:spacing w:before="180" w:beforeAutospacing="0"/>
        <w:rPr>
          <w:rFonts w:ascii="Arial" w:eastAsia="SimSun" w:hAnsi="Arial" w:cs="Arial"/>
          <w:b w:val="0"/>
          <w:bCs w:val="0"/>
          <w:i/>
          <w:iCs/>
          <w:kern w:val="0"/>
          <w:sz w:val="22"/>
          <w:szCs w:val="22"/>
          <w:lang w:eastAsia="en-US"/>
        </w:rPr>
      </w:pPr>
      <w:r w:rsidRPr="00D50C68">
        <w:rPr>
          <w:rFonts w:ascii="Arial" w:eastAsia="SimSun" w:hAnsi="Arial" w:cs="Arial"/>
          <w:b w:val="0"/>
          <w:bCs w:val="0"/>
          <w:i/>
          <w:iCs/>
          <w:kern w:val="0"/>
          <w:sz w:val="22"/>
          <w:szCs w:val="22"/>
          <w:lang w:eastAsia="en-US"/>
        </w:rPr>
        <w:t>Public access to the Code</w:t>
      </w:r>
    </w:p>
    <w:p w14:paraId="1A031A75" w14:textId="402A8327" w:rsidR="00190821" w:rsidRPr="00D50C68" w:rsidRDefault="00190821" w:rsidP="00190821">
      <w:pPr>
        <w:spacing w:after="100" w:afterAutospacing="1"/>
        <w:rPr>
          <w:rFonts w:ascii="Arial" w:hAnsi="Arial" w:cs="Arial"/>
          <w:bCs/>
          <w:sz w:val="22"/>
          <w:szCs w:val="22"/>
          <w:lang w:eastAsia="en-AU"/>
        </w:rPr>
      </w:pPr>
      <w:r w:rsidRPr="00D50C68">
        <w:rPr>
          <w:rFonts w:ascii="Arial" w:hAnsi="Arial" w:cs="Arial"/>
          <w:color w:val="000000"/>
          <w:sz w:val="22"/>
          <w:szCs w:val="22"/>
          <w:lang w:val="en-US"/>
        </w:rPr>
        <w:t xml:space="preserve">Copies of the </w:t>
      </w:r>
      <w:r w:rsidR="000C6F32" w:rsidRPr="00D50C68">
        <w:rPr>
          <w:rFonts w:ascii="Arial" w:hAnsi="Arial" w:cs="Arial"/>
          <w:sz w:val="22"/>
          <w:szCs w:val="22"/>
        </w:rPr>
        <w:t xml:space="preserve">Electricity Feed-in Code </w:t>
      </w:r>
      <w:r w:rsidRPr="00D50C68">
        <w:rPr>
          <w:rFonts w:ascii="Arial" w:hAnsi="Arial" w:cs="Arial"/>
          <w:color w:val="000000"/>
          <w:sz w:val="22"/>
          <w:szCs w:val="22"/>
          <w:lang w:val="en-US"/>
        </w:rPr>
        <w:t>and the ICRC’s decision to determine the code are available on the Commission’s website (</w:t>
      </w:r>
      <w:hyperlink r:id="rId9" w:history="1">
        <w:r w:rsidRPr="00D50C68">
          <w:rPr>
            <w:rStyle w:val="Hyperlink"/>
            <w:rFonts w:ascii="Arial" w:hAnsi="Arial" w:cs="Arial"/>
            <w:sz w:val="22"/>
            <w:szCs w:val="22"/>
            <w:lang w:val="en-US"/>
          </w:rPr>
          <w:t>www.icrc.act.gov.au</w:t>
        </w:r>
      </w:hyperlink>
      <w:r w:rsidRPr="00D50C68">
        <w:rPr>
          <w:rFonts w:ascii="Arial" w:hAnsi="Arial" w:cs="Arial"/>
          <w:color w:val="000000"/>
          <w:sz w:val="22"/>
          <w:szCs w:val="22"/>
          <w:lang w:val="en-US"/>
        </w:rPr>
        <w:t xml:space="preserve">). These documents are also available for inspection by members of the public between 9:00 am and 5:00 pm, Monday to Friday, at the ICRC’s offices at Level 8, 221 London Circuit, Canberra City ACT. Hard copies can be made available on request.  </w:t>
      </w:r>
    </w:p>
    <w:p w14:paraId="511F1EA7" w14:textId="77777777" w:rsidR="00855F53" w:rsidRPr="00D50C68" w:rsidRDefault="00855F53" w:rsidP="00B84CFA">
      <w:pPr>
        <w:rPr>
          <w:rFonts w:ascii="Arial" w:eastAsia="SimSun" w:hAnsi="Arial" w:cs="Arial"/>
          <w:sz w:val="22"/>
          <w:szCs w:val="22"/>
        </w:rPr>
      </w:pPr>
    </w:p>
    <w:sectPr w:rsidR="00855F53" w:rsidRPr="00D50C68" w:rsidSect="00F02286">
      <w:headerReference w:type="even" r:id="rId10"/>
      <w:headerReference w:type="default" r:id="rId11"/>
      <w:footerReference w:type="even" r:id="rId12"/>
      <w:footerReference w:type="default" r:id="rId13"/>
      <w:headerReference w:type="first" r:id="rId14"/>
      <w:footerReference w:type="first" r:id="rId15"/>
      <w:pgSz w:w="12240" w:h="15840"/>
      <w:pgMar w:top="1418" w:right="1800" w:bottom="99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C912" w14:textId="77777777" w:rsidR="00923E94" w:rsidRDefault="00923E94" w:rsidP="002C72F6">
      <w:r>
        <w:separator/>
      </w:r>
    </w:p>
  </w:endnote>
  <w:endnote w:type="continuationSeparator" w:id="0">
    <w:p w14:paraId="58A64C5D" w14:textId="77777777" w:rsidR="00923E94" w:rsidRDefault="00923E94" w:rsidP="002C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B187" w14:textId="77777777" w:rsidR="001D2D06" w:rsidRDefault="001D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FF95" w14:textId="73C43048" w:rsidR="001D2D06" w:rsidRPr="001D2D06" w:rsidRDefault="001D2D06" w:rsidP="001D2D06">
    <w:pPr>
      <w:pStyle w:val="Footer"/>
      <w:jc w:val="center"/>
      <w:rPr>
        <w:rFonts w:ascii="Arial" w:hAnsi="Arial" w:cs="Arial"/>
        <w:sz w:val="14"/>
      </w:rPr>
    </w:pPr>
    <w:r w:rsidRPr="001D2D0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DBDA" w14:textId="77777777" w:rsidR="001D2D06" w:rsidRDefault="001D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D5BD" w14:textId="77777777" w:rsidR="00923E94" w:rsidRDefault="00923E94" w:rsidP="002C72F6">
      <w:r>
        <w:separator/>
      </w:r>
    </w:p>
  </w:footnote>
  <w:footnote w:type="continuationSeparator" w:id="0">
    <w:p w14:paraId="7141F4A9" w14:textId="77777777" w:rsidR="00923E94" w:rsidRDefault="00923E94" w:rsidP="002C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F5EB" w14:textId="77777777" w:rsidR="001D2D06" w:rsidRDefault="001D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552C" w14:textId="77777777" w:rsidR="001D2D06" w:rsidRDefault="001D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C5DF" w14:textId="77777777" w:rsidR="001D2D06" w:rsidRDefault="001D2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0537D"/>
    <w:multiLevelType w:val="hybridMultilevel"/>
    <w:tmpl w:val="557A877C"/>
    <w:lvl w:ilvl="0" w:tplc="9E6AB30C">
      <w:start w:val="3"/>
      <w:numFmt w:val="lowerLetter"/>
      <w:lvlText w:val="(%1)"/>
      <w:lvlJc w:val="left"/>
      <w:pPr>
        <w:tabs>
          <w:tab w:val="num" w:pos="928"/>
        </w:tabs>
        <w:ind w:left="928" w:hanging="360"/>
      </w:pPr>
      <w:rPr>
        <w:rFonts w:cs="Times New Roman" w:hint="default"/>
      </w:rPr>
    </w:lvl>
    <w:lvl w:ilvl="1" w:tplc="0C090019" w:tentative="1">
      <w:start w:val="1"/>
      <w:numFmt w:val="lowerLetter"/>
      <w:lvlText w:val="%2."/>
      <w:lvlJc w:val="left"/>
      <w:pPr>
        <w:tabs>
          <w:tab w:val="num" w:pos="1648"/>
        </w:tabs>
        <w:ind w:left="1648" w:hanging="360"/>
      </w:pPr>
      <w:rPr>
        <w:rFonts w:cs="Times New Roman"/>
      </w:rPr>
    </w:lvl>
    <w:lvl w:ilvl="2" w:tplc="0C09001B" w:tentative="1">
      <w:start w:val="1"/>
      <w:numFmt w:val="lowerRoman"/>
      <w:lvlText w:val="%3."/>
      <w:lvlJc w:val="right"/>
      <w:pPr>
        <w:tabs>
          <w:tab w:val="num" w:pos="2368"/>
        </w:tabs>
        <w:ind w:left="2368" w:hanging="180"/>
      </w:pPr>
      <w:rPr>
        <w:rFonts w:cs="Times New Roman"/>
      </w:rPr>
    </w:lvl>
    <w:lvl w:ilvl="3" w:tplc="0C09000F" w:tentative="1">
      <w:start w:val="1"/>
      <w:numFmt w:val="decimal"/>
      <w:lvlText w:val="%4."/>
      <w:lvlJc w:val="left"/>
      <w:pPr>
        <w:tabs>
          <w:tab w:val="num" w:pos="3088"/>
        </w:tabs>
        <w:ind w:left="3088" w:hanging="360"/>
      </w:pPr>
      <w:rPr>
        <w:rFonts w:cs="Times New Roman"/>
      </w:rPr>
    </w:lvl>
    <w:lvl w:ilvl="4" w:tplc="0C090019" w:tentative="1">
      <w:start w:val="1"/>
      <w:numFmt w:val="lowerLetter"/>
      <w:lvlText w:val="%5."/>
      <w:lvlJc w:val="left"/>
      <w:pPr>
        <w:tabs>
          <w:tab w:val="num" w:pos="3808"/>
        </w:tabs>
        <w:ind w:left="3808" w:hanging="360"/>
      </w:pPr>
      <w:rPr>
        <w:rFonts w:cs="Times New Roman"/>
      </w:rPr>
    </w:lvl>
    <w:lvl w:ilvl="5" w:tplc="0C09001B" w:tentative="1">
      <w:start w:val="1"/>
      <w:numFmt w:val="lowerRoman"/>
      <w:lvlText w:val="%6."/>
      <w:lvlJc w:val="right"/>
      <w:pPr>
        <w:tabs>
          <w:tab w:val="num" w:pos="4528"/>
        </w:tabs>
        <w:ind w:left="4528" w:hanging="180"/>
      </w:pPr>
      <w:rPr>
        <w:rFonts w:cs="Times New Roman"/>
      </w:rPr>
    </w:lvl>
    <w:lvl w:ilvl="6" w:tplc="0C09000F" w:tentative="1">
      <w:start w:val="1"/>
      <w:numFmt w:val="decimal"/>
      <w:lvlText w:val="%7."/>
      <w:lvlJc w:val="left"/>
      <w:pPr>
        <w:tabs>
          <w:tab w:val="num" w:pos="5248"/>
        </w:tabs>
        <w:ind w:left="5248" w:hanging="360"/>
      </w:pPr>
      <w:rPr>
        <w:rFonts w:cs="Times New Roman"/>
      </w:rPr>
    </w:lvl>
    <w:lvl w:ilvl="7" w:tplc="0C090019" w:tentative="1">
      <w:start w:val="1"/>
      <w:numFmt w:val="lowerLetter"/>
      <w:lvlText w:val="%8."/>
      <w:lvlJc w:val="left"/>
      <w:pPr>
        <w:tabs>
          <w:tab w:val="num" w:pos="5968"/>
        </w:tabs>
        <w:ind w:left="5968" w:hanging="360"/>
      </w:pPr>
      <w:rPr>
        <w:rFonts w:cs="Times New Roman"/>
      </w:rPr>
    </w:lvl>
    <w:lvl w:ilvl="8" w:tplc="0C09001B" w:tentative="1">
      <w:start w:val="1"/>
      <w:numFmt w:val="lowerRoman"/>
      <w:lvlText w:val="%9."/>
      <w:lvlJc w:val="right"/>
      <w:pPr>
        <w:tabs>
          <w:tab w:val="num" w:pos="6688"/>
        </w:tabs>
        <w:ind w:left="6688" w:hanging="180"/>
      </w:pPr>
      <w:rPr>
        <w:rFonts w:cs="Times New Roman"/>
      </w:rPr>
    </w:lvl>
  </w:abstractNum>
  <w:abstractNum w:abstractNumId="1" w15:restartNumberingAfterBreak="0">
    <w:nsid w:val="3FEC0CDE"/>
    <w:multiLevelType w:val="hybridMultilevel"/>
    <w:tmpl w:val="954A9B40"/>
    <w:lvl w:ilvl="0" w:tplc="8E76C1A0">
      <w:start w:val="1"/>
      <w:numFmt w:val="lowerLetter"/>
      <w:lvlText w:val="(%1)"/>
      <w:lvlJc w:val="left"/>
      <w:pPr>
        <w:tabs>
          <w:tab w:val="num" w:pos="928"/>
        </w:tabs>
        <w:ind w:left="928"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648B754C"/>
    <w:multiLevelType w:val="hybridMultilevel"/>
    <w:tmpl w:val="8CF6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DC5B11"/>
    <w:multiLevelType w:val="hybridMultilevel"/>
    <w:tmpl w:val="BE58B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84"/>
    <w:rsid w:val="00021691"/>
    <w:rsid w:val="00077C8D"/>
    <w:rsid w:val="000A2844"/>
    <w:rsid w:val="000B58A6"/>
    <w:rsid w:val="000C6F32"/>
    <w:rsid w:val="00126995"/>
    <w:rsid w:val="001646D7"/>
    <w:rsid w:val="00165B88"/>
    <w:rsid w:val="001662B9"/>
    <w:rsid w:val="001671C7"/>
    <w:rsid w:val="00190821"/>
    <w:rsid w:val="00196461"/>
    <w:rsid w:val="001A12E2"/>
    <w:rsid w:val="001A4537"/>
    <w:rsid w:val="001D2D06"/>
    <w:rsid w:val="001D5F01"/>
    <w:rsid w:val="00225338"/>
    <w:rsid w:val="00263E7E"/>
    <w:rsid w:val="00296D24"/>
    <w:rsid w:val="002B21FC"/>
    <w:rsid w:val="002C72F6"/>
    <w:rsid w:val="003065EA"/>
    <w:rsid w:val="0031690F"/>
    <w:rsid w:val="00352C38"/>
    <w:rsid w:val="003A28D6"/>
    <w:rsid w:val="003E37AA"/>
    <w:rsid w:val="00402987"/>
    <w:rsid w:val="00417409"/>
    <w:rsid w:val="004639CF"/>
    <w:rsid w:val="004F445B"/>
    <w:rsid w:val="005059C8"/>
    <w:rsid w:val="00530F4B"/>
    <w:rsid w:val="00597E1D"/>
    <w:rsid w:val="005A6C45"/>
    <w:rsid w:val="005C3264"/>
    <w:rsid w:val="005D3D04"/>
    <w:rsid w:val="005F1232"/>
    <w:rsid w:val="00611FD0"/>
    <w:rsid w:val="0063777C"/>
    <w:rsid w:val="0066333B"/>
    <w:rsid w:val="006A7B8A"/>
    <w:rsid w:val="006B697B"/>
    <w:rsid w:val="00700293"/>
    <w:rsid w:val="007165CA"/>
    <w:rsid w:val="007211D3"/>
    <w:rsid w:val="00724788"/>
    <w:rsid w:val="007353CA"/>
    <w:rsid w:val="007803AF"/>
    <w:rsid w:val="00791874"/>
    <w:rsid w:val="007B4DB2"/>
    <w:rsid w:val="007D7F85"/>
    <w:rsid w:val="0084074B"/>
    <w:rsid w:val="00851DE8"/>
    <w:rsid w:val="00855F53"/>
    <w:rsid w:val="0086787F"/>
    <w:rsid w:val="008F4FBE"/>
    <w:rsid w:val="009147D2"/>
    <w:rsid w:val="00923E94"/>
    <w:rsid w:val="00935E11"/>
    <w:rsid w:val="00956382"/>
    <w:rsid w:val="009929E4"/>
    <w:rsid w:val="00995DF2"/>
    <w:rsid w:val="009E0AC2"/>
    <w:rsid w:val="00A84BB2"/>
    <w:rsid w:val="00B16855"/>
    <w:rsid w:val="00B567ED"/>
    <w:rsid w:val="00B84CFA"/>
    <w:rsid w:val="00B920AB"/>
    <w:rsid w:val="00BC5584"/>
    <w:rsid w:val="00BD1117"/>
    <w:rsid w:val="00C11783"/>
    <w:rsid w:val="00C300B4"/>
    <w:rsid w:val="00C423DF"/>
    <w:rsid w:val="00C62E70"/>
    <w:rsid w:val="00C86DA3"/>
    <w:rsid w:val="00CA712D"/>
    <w:rsid w:val="00CB7D66"/>
    <w:rsid w:val="00CC7995"/>
    <w:rsid w:val="00CF3678"/>
    <w:rsid w:val="00D34111"/>
    <w:rsid w:val="00D50C68"/>
    <w:rsid w:val="00E01F48"/>
    <w:rsid w:val="00E115F0"/>
    <w:rsid w:val="00E51F19"/>
    <w:rsid w:val="00E55B28"/>
    <w:rsid w:val="00E5666F"/>
    <w:rsid w:val="00E7741A"/>
    <w:rsid w:val="00EF3E1E"/>
    <w:rsid w:val="00EF4D23"/>
    <w:rsid w:val="00F02286"/>
    <w:rsid w:val="00F66B25"/>
    <w:rsid w:val="00FA5C1C"/>
    <w:rsid w:val="00FB74F0"/>
    <w:rsid w:val="00FC73B4"/>
    <w:rsid w:val="00FD4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66B3B4"/>
  <w14:defaultImageDpi w14:val="0"/>
  <w15:docId w15:val="{9D157DCD-D825-4CB4-ACE4-0ACA2D23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86"/>
    <w:rPr>
      <w:sz w:val="24"/>
      <w:lang w:eastAsia="en-US"/>
    </w:rPr>
  </w:style>
  <w:style w:type="paragraph" w:styleId="Heading1">
    <w:name w:val="heading 1"/>
    <w:basedOn w:val="Normal"/>
    <w:link w:val="Heading1Char"/>
    <w:uiPriority w:val="9"/>
    <w:qFormat/>
    <w:rsid w:val="005A6C45"/>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semiHidden/>
    <w:unhideWhenUsed/>
    <w:qFormat/>
    <w:rsid w:val="001908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6C45"/>
    <w:rPr>
      <w:rFonts w:cs="Times New Roman"/>
      <w:b/>
      <w:bCs/>
      <w:kern w:val="36"/>
      <w:sz w:val="48"/>
      <w:szCs w:val="48"/>
    </w:rPr>
  </w:style>
  <w:style w:type="paragraph" w:styleId="BodyText">
    <w:name w:val="Body Text"/>
    <w:basedOn w:val="Normal"/>
    <w:link w:val="BodyTextChar"/>
    <w:uiPriority w:val="99"/>
    <w:rsid w:val="00F02286"/>
    <w:rPr>
      <w:rFonts w:ascii="Arial" w:hAnsi="Arial"/>
      <w:color w:val="000000"/>
    </w:rPr>
  </w:style>
  <w:style w:type="character" w:customStyle="1" w:styleId="BodyTextChar">
    <w:name w:val="Body Text Char"/>
    <w:basedOn w:val="DefaultParagraphFont"/>
    <w:link w:val="BodyText"/>
    <w:uiPriority w:val="99"/>
    <w:semiHidden/>
    <w:rPr>
      <w:sz w:val="24"/>
      <w:lang w:eastAsia="en-US"/>
    </w:rPr>
  </w:style>
  <w:style w:type="paragraph" w:customStyle="1" w:styleId="CoverActName">
    <w:name w:val="CoverActName"/>
    <w:basedOn w:val="Normal"/>
    <w:rsid w:val="00F02286"/>
    <w:pPr>
      <w:tabs>
        <w:tab w:val="left" w:pos="2600"/>
      </w:tabs>
      <w:spacing w:before="200" w:after="60"/>
      <w:jc w:val="both"/>
    </w:pPr>
    <w:rPr>
      <w:rFonts w:ascii="Arial" w:hAnsi="Arial"/>
      <w:b/>
    </w:rPr>
  </w:style>
  <w:style w:type="table" w:styleId="TableGrid">
    <w:name w:val="Table Grid"/>
    <w:basedOn w:val="TableNormal"/>
    <w:uiPriority w:val="99"/>
    <w:rsid w:val="00F0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228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402987"/>
    <w:pPr>
      <w:ind w:left="720"/>
      <w:contextualSpacing/>
    </w:pPr>
  </w:style>
  <w:style w:type="paragraph" w:customStyle="1" w:styleId="N-line3">
    <w:name w:val="N-line3"/>
    <w:basedOn w:val="Normal"/>
    <w:next w:val="Normal"/>
    <w:rsid w:val="00B920AB"/>
    <w:pPr>
      <w:pBdr>
        <w:bottom w:val="single" w:sz="12" w:space="1" w:color="auto"/>
      </w:pBdr>
      <w:jc w:val="both"/>
    </w:pPr>
  </w:style>
  <w:style w:type="paragraph" w:styleId="Header">
    <w:name w:val="header"/>
    <w:basedOn w:val="Normal"/>
    <w:link w:val="HeaderChar"/>
    <w:uiPriority w:val="99"/>
    <w:rsid w:val="002C72F6"/>
    <w:pPr>
      <w:tabs>
        <w:tab w:val="center" w:pos="4513"/>
        <w:tab w:val="right" w:pos="9026"/>
      </w:tabs>
    </w:pPr>
  </w:style>
  <w:style w:type="character" w:customStyle="1" w:styleId="HeaderChar">
    <w:name w:val="Header Char"/>
    <w:basedOn w:val="DefaultParagraphFont"/>
    <w:link w:val="Header"/>
    <w:uiPriority w:val="99"/>
    <w:locked/>
    <w:rsid w:val="002C72F6"/>
    <w:rPr>
      <w:rFonts w:cs="Times New Roman"/>
      <w:sz w:val="24"/>
      <w:lang w:val="x-none" w:eastAsia="en-US"/>
    </w:rPr>
  </w:style>
  <w:style w:type="paragraph" w:styleId="Footer">
    <w:name w:val="footer"/>
    <w:basedOn w:val="Normal"/>
    <w:link w:val="FooterChar"/>
    <w:uiPriority w:val="99"/>
    <w:rsid w:val="002C72F6"/>
    <w:pPr>
      <w:tabs>
        <w:tab w:val="center" w:pos="4513"/>
        <w:tab w:val="right" w:pos="9026"/>
      </w:tabs>
    </w:pPr>
  </w:style>
  <w:style w:type="character" w:customStyle="1" w:styleId="FooterChar">
    <w:name w:val="Footer Char"/>
    <w:basedOn w:val="DefaultParagraphFont"/>
    <w:link w:val="Footer"/>
    <w:uiPriority w:val="99"/>
    <w:locked/>
    <w:rsid w:val="002C72F6"/>
    <w:rPr>
      <w:rFonts w:cs="Times New Roman"/>
      <w:sz w:val="24"/>
      <w:lang w:val="x-none" w:eastAsia="en-US"/>
    </w:rPr>
  </w:style>
  <w:style w:type="character" w:customStyle="1" w:styleId="Heading2Char">
    <w:name w:val="Heading 2 Char"/>
    <w:basedOn w:val="DefaultParagraphFont"/>
    <w:link w:val="Heading2"/>
    <w:semiHidden/>
    <w:rsid w:val="00190821"/>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rsid w:val="00190821"/>
    <w:rPr>
      <w:rFonts w:cs="Times New Roman"/>
      <w:color w:val="0000FF"/>
      <w:u w:val="single"/>
    </w:rPr>
  </w:style>
  <w:style w:type="paragraph" w:styleId="NoSpacing">
    <w:name w:val="No Spacing"/>
    <w:uiPriority w:val="1"/>
    <w:qFormat/>
    <w:rsid w:val="000A2844"/>
    <w:rPr>
      <w:rFonts w:ascii="Calibri" w:hAnsi="Calibri"/>
      <w:sz w:val="22"/>
      <w:lang w:val="en-GB" w:eastAsia="en-US"/>
    </w:rPr>
  </w:style>
  <w:style w:type="character" w:styleId="CommentReference">
    <w:name w:val="annotation reference"/>
    <w:basedOn w:val="DefaultParagraphFont"/>
    <w:rsid w:val="005C3264"/>
    <w:rPr>
      <w:sz w:val="16"/>
      <w:szCs w:val="16"/>
    </w:rPr>
  </w:style>
  <w:style w:type="paragraph" w:styleId="CommentText">
    <w:name w:val="annotation text"/>
    <w:basedOn w:val="Normal"/>
    <w:link w:val="CommentTextChar"/>
    <w:rsid w:val="005C3264"/>
    <w:rPr>
      <w:sz w:val="20"/>
    </w:rPr>
  </w:style>
  <w:style w:type="character" w:customStyle="1" w:styleId="CommentTextChar">
    <w:name w:val="Comment Text Char"/>
    <w:basedOn w:val="DefaultParagraphFont"/>
    <w:link w:val="CommentText"/>
    <w:rsid w:val="005C3264"/>
    <w:rPr>
      <w:lang w:eastAsia="en-US"/>
    </w:rPr>
  </w:style>
  <w:style w:type="paragraph" w:styleId="CommentSubject">
    <w:name w:val="annotation subject"/>
    <w:basedOn w:val="CommentText"/>
    <w:next w:val="CommentText"/>
    <w:link w:val="CommentSubjectChar"/>
    <w:rsid w:val="005C3264"/>
    <w:rPr>
      <w:b/>
      <w:bCs/>
    </w:rPr>
  </w:style>
  <w:style w:type="character" w:customStyle="1" w:styleId="CommentSubjectChar">
    <w:name w:val="Comment Subject Char"/>
    <w:basedOn w:val="CommentTextChar"/>
    <w:link w:val="CommentSubject"/>
    <w:rsid w:val="005C32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31177">
      <w:marLeft w:val="0"/>
      <w:marRight w:val="0"/>
      <w:marTop w:val="0"/>
      <w:marBottom w:val="0"/>
      <w:divBdr>
        <w:top w:val="none" w:sz="0" w:space="0" w:color="auto"/>
        <w:left w:val="none" w:sz="0" w:space="0" w:color="auto"/>
        <w:bottom w:val="none" w:sz="0" w:space="0" w:color="auto"/>
        <w:right w:val="none" w:sz="0" w:space="0" w:color="auto"/>
      </w:divBdr>
    </w:div>
    <w:div w:id="652031178">
      <w:marLeft w:val="0"/>
      <w:marRight w:val="0"/>
      <w:marTop w:val="0"/>
      <w:marBottom w:val="0"/>
      <w:divBdr>
        <w:top w:val="none" w:sz="0" w:space="0" w:color="auto"/>
        <w:left w:val="none" w:sz="0" w:space="0" w:color="auto"/>
        <w:bottom w:val="none" w:sz="0" w:space="0" w:color="auto"/>
        <w:right w:val="none" w:sz="0" w:space="0" w:color="auto"/>
      </w:divBdr>
    </w:div>
    <w:div w:id="652031179">
      <w:marLeft w:val="0"/>
      <w:marRight w:val="0"/>
      <w:marTop w:val="0"/>
      <w:marBottom w:val="0"/>
      <w:divBdr>
        <w:top w:val="none" w:sz="0" w:space="0" w:color="auto"/>
        <w:left w:val="none" w:sz="0" w:space="0" w:color="auto"/>
        <w:bottom w:val="none" w:sz="0" w:space="0" w:color="auto"/>
        <w:right w:val="none" w:sz="0" w:space="0" w:color="auto"/>
      </w:divBdr>
    </w:div>
    <w:div w:id="652031180">
      <w:marLeft w:val="0"/>
      <w:marRight w:val="0"/>
      <w:marTop w:val="0"/>
      <w:marBottom w:val="0"/>
      <w:divBdr>
        <w:top w:val="none" w:sz="0" w:space="0" w:color="auto"/>
        <w:left w:val="none" w:sz="0" w:space="0" w:color="auto"/>
        <w:bottom w:val="none" w:sz="0" w:space="0" w:color="auto"/>
        <w:right w:val="none" w:sz="0" w:space="0" w:color="auto"/>
      </w:divBdr>
    </w:div>
    <w:div w:id="652031181">
      <w:marLeft w:val="0"/>
      <w:marRight w:val="0"/>
      <w:marTop w:val="0"/>
      <w:marBottom w:val="0"/>
      <w:divBdr>
        <w:top w:val="none" w:sz="0" w:space="0" w:color="auto"/>
        <w:left w:val="none" w:sz="0" w:space="0" w:color="auto"/>
        <w:bottom w:val="none" w:sz="0" w:space="0" w:color="auto"/>
        <w:right w:val="none" w:sz="0" w:space="0" w:color="auto"/>
      </w:divBdr>
    </w:div>
    <w:div w:id="652031182">
      <w:marLeft w:val="0"/>
      <w:marRight w:val="0"/>
      <w:marTop w:val="0"/>
      <w:marBottom w:val="0"/>
      <w:divBdr>
        <w:top w:val="none" w:sz="0" w:space="0" w:color="auto"/>
        <w:left w:val="none" w:sz="0" w:space="0" w:color="auto"/>
        <w:bottom w:val="none" w:sz="0" w:space="0" w:color="auto"/>
        <w:right w:val="none" w:sz="0" w:space="0" w:color="auto"/>
      </w:divBdr>
    </w:div>
    <w:div w:id="652031183">
      <w:marLeft w:val="0"/>
      <w:marRight w:val="0"/>
      <w:marTop w:val="0"/>
      <w:marBottom w:val="0"/>
      <w:divBdr>
        <w:top w:val="none" w:sz="0" w:space="0" w:color="auto"/>
        <w:left w:val="none" w:sz="0" w:space="0" w:color="auto"/>
        <w:bottom w:val="none" w:sz="0" w:space="0" w:color="auto"/>
        <w:right w:val="none" w:sz="0" w:space="0" w:color="auto"/>
      </w:divBdr>
    </w:div>
    <w:div w:id="652031184">
      <w:marLeft w:val="0"/>
      <w:marRight w:val="0"/>
      <w:marTop w:val="0"/>
      <w:marBottom w:val="0"/>
      <w:divBdr>
        <w:top w:val="none" w:sz="0" w:space="0" w:color="auto"/>
        <w:left w:val="none" w:sz="0" w:space="0" w:color="auto"/>
        <w:bottom w:val="none" w:sz="0" w:space="0" w:color="auto"/>
        <w:right w:val="none" w:sz="0" w:space="0" w:color="auto"/>
      </w:divBdr>
    </w:div>
    <w:div w:id="652031185">
      <w:marLeft w:val="0"/>
      <w:marRight w:val="0"/>
      <w:marTop w:val="0"/>
      <w:marBottom w:val="0"/>
      <w:divBdr>
        <w:top w:val="none" w:sz="0" w:space="0" w:color="auto"/>
        <w:left w:val="none" w:sz="0" w:space="0" w:color="auto"/>
        <w:bottom w:val="none" w:sz="0" w:space="0" w:color="auto"/>
        <w:right w:val="none" w:sz="0" w:space="0" w:color="auto"/>
      </w:divBdr>
    </w:div>
    <w:div w:id="652031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rc.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D1B0-6069-4672-A951-2698E25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4614</Characters>
  <Application>Microsoft Office Word</Application>
  <DocSecurity>2</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2010-09-28T02:13:00Z</cp:lastPrinted>
  <dcterms:created xsi:type="dcterms:W3CDTF">2020-04-30T02:17:00Z</dcterms:created>
  <dcterms:modified xsi:type="dcterms:W3CDTF">2020-04-30T02:17:00Z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A25446707</vt:lpwstr>
  </property>
  <property fmtid="{D5CDD505-2E9C-101B-9397-08002B2CF9AE}" pid="4" name="Objective-Title">
    <vt:lpwstr>ES DI2020-XXX - Electricity Feed-in Code determination</vt:lpwstr>
  </property>
  <property fmtid="{D5CDD505-2E9C-101B-9397-08002B2CF9AE}" pid="5" name="Objective-Comment">
    <vt:lpwstr/>
  </property>
  <property fmtid="{D5CDD505-2E9C-101B-9397-08002B2CF9AE}" pid="6" name="Objective-CreationStamp">
    <vt:filetime>2020-04-21T07:24:53Z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2020-04-22T04:36:10Z</vt:filetime>
  </property>
  <property fmtid="{D5CDD505-2E9C-101B-9397-08002B2CF9AE}" pid="10" name="Objective-ModificationStamp">
    <vt:filetime>2020-04-22T04:36:10Z</vt:filetime>
  </property>
  <property fmtid="{D5CDD505-2E9C-101B-9397-08002B2CF9AE}" pid="11" name="Objective-Owner">
    <vt:lpwstr>Cath Collins</vt:lpwstr>
  </property>
  <property fmtid="{D5CDD505-2E9C-101B-9397-08002B2CF9AE}" pid="12" name="Objective-Path">
    <vt:lpwstr>Whole of ACT Government:ICRC - Independent Competition and Regulatory Commission:05. UTILITIES &amp; INFRASTRUCTURE REGULATION:Industry Codes:Electricity Feed-in Code:2020 Amendment:3. legislative instruments:</vt:lpwstr>
  </property>
  <property fmtid="{D5CDD505-2E9C-101B-9397-08002B2CF9AE}" pid="13" name="Objective-Parent">
    <vt:lpwstr>3. legislative instruments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1-2019/26861</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Cath Collins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