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CBA2" w14:textId="09FD57AC" w:rsidR="006951F3" w:rsidRPr="00B55D49" w:rsidRDefault="008805D7" w:rsidP="00DB5218">
      <w:pPr>
        <w:autoSpaceDE w:val="0"/>
        <w:autoSpaceDN w:val="0"/>
        <w:adjustRightInd w:val="0"/>
        <w:spacing w:after="120"/>
        <w:jc w:val="center"/>
        <w:rPr>
          <w:rFonts w:asciiTheme="minorHAnsi" w:hAnsiTheme="minorHAnsi"/>
          <w:b/>
          <w:bCs/>
          <w:color w:val="000000"/>
          <w:sz w:val="32"/>
          <w:szCs w:val="32"/>
        </w:rPr>
      </w:pPr>
      <w:bookmarkStart w:id="0" w:name="_GoBack"/>
      <w:bookmarkEnd w:id="0"/>
      <w:r>
        <w:rPr>
          <w:rFonts w:asciiTheme="minorHAnsi" w:hAnsiTheme="minorHAnsi"/>
          <w:b/>
          <w:bCs/>
          <w:color w:val="000000"/>
          <w:sz w:val="32"/>
          <w:szCs w:val="32"/>
        </w:rPr>
        <w:t>2020</w:t>
      </w:r>
    </w:p>
    <w:p w14:paraId="44F8D4D3" w14:textId="77777777" w:rsidR="006951F3" w:rsidRPr="00B55D49" w:rsidRDefault="006951F3" w:rsidP="00DB5218">
      <w:pPr>
        <w:autoSpaceDE w:val="0"/>
        <w:autoSpaceDN w:val="0"/>
        <w:adjustRightInd w:val="0"/>
        <w:spacing w:after="120"/>
        <w:jc w:val="center"/>
        <w:rPr>
          <w:rFonts w:asciiTheme="minorHAnsi" w:hAnsiTheme="minorHAnsi"/>
          <w:b/>
          <w:bCs/>
          <w:color w:val="000000"/>
          <w:sz w:val="32"/>
          <w:szCs w:val="32"/>
        </w:rPr>
      </w:pPr>
    </w:p>
    <w:p w14:paraId="19098DBA" w14:textId="77777777" w:rsidR="006951F3" w:rsidRPr="00B55D49" w:rsidRDefault="006951F3" w:rsidP="00DB5218">
      <w:pPr>
        <w:autoSpaceDE w:val="0"/>
        <w:autoSpaceDN w:val="0"/>
        <w:adjustRightInd w:val="0"/>
        <w:spacing w:after="120"/>
        <w:jc w:val="center"/>
        <w:rPr>
          <w:rFonts w:asciiTheme="minorHAnsi" w:hAnsiTheme="minorHAnsi"/>
          <w:b/>
          <w:bCs/>
          <w:color w:val="000000"/>
          <w:sz w:val="32"/>
          <w:szCs w:val="32"/>
        </w:rPr>
      </w:pPr>
      <w:r w:rsidRPr="00B55D49">
        <w:rPr>
          <w:rFonts w:asciiTheme="minorHAnsi" w:hAnsiTheme="minorHAnsi"/>
          <w:b/>
          <w:bCs/>
          <w:color w:val="000000"/>
          <w:sz w:val="32"/>
          <w:szCs w:val="32"/>
        </w:rPr>
        <w:t xml:space="preserve">LEGISLATIVE ASSEMBLY FOR THE </w:t>
      </w:r>
      <w:r w:rsidRPr="00B55D49">
        <w:rPr>
          <w:rFonts w:asciiTheme="minorHAnsi" w:hAnsiTheme="minorHAnsi"/>
          <w:b/>
          <w:bCs/>
          <w:color w:val="000000"/>
          <w:sz w:val="32"/>
          <w:szCs w:val="32"/>
        </w:rPr>
        <w:br/>
        <w:t>AUSTRALIAN CAPITAL TERRITORY</w:t>
      </w:r>
    </w:p>
    <w:p w14:paraId="1E8EE1B4" w14:textId="77777777" w:rsidR="006951F3" w:rsidRPr="007F7AF7" w:rsidRDefault="006951F3" w:rsidP="00DB5218">
      <w:pPr>
        <w:pStyle w:val="ESHead1"/>
        <w:spacing w:after="120" w:line="276" w:lineRule="auto"/>
        <w:ind w:left="0"/>
        <w:rPr>
          <w:rFonts w:ascii="Arial" w:hAnsi="Arial" w:cs="Arial"/>
          <w:szCs w:val="24"/>
        </w:rPr>
      </w:pPr>
    </w:p>
    <w:p w14:paraId="370928B3" w14:textId="77777777" w:rsidR="006951F3" w:rsidRPr="007F7AF7" w:rsidRDefault="006951F3" w:rsidP="00DB5218">
      <w:pPr>
        <w:pStyle w:val="ESHead1"/>
        <w:spacing w:after="120" w:line="276" w:lineRule="auto"/>
        <w:ind w:left="0"/>
        <w:rPr>
          <w:rFonts w:ascii="Arial" w:hAnsi="Arial" w:cs="Arial"/>
          <w:szCs w:val="24"/>
        </w:rPr>
      </w:pPr>
    </w:p>
    <w:p w14:paraId="756B226E" w14:textId="77777777" w:rsidR="006951F3" w:rsidRPr="007F7AF7" w:rsidRDefault="006951F3" w:rsidP="00DB5218">
      <w:pPr>
        <w:pStyle w:val="ESHead1"/>
        <w:spacing w:after="120" w:line="276" w:lineRule="auto"/>
        <w:ind w:left="0"/>
        <w:rPr>
          <w:rFonts w:ascii="Arial" w:hAnsi="Arial" w:cs="Arial"/>
          <w:szCs w:val="24"/>
        </w:rPr>
      </w:pPr>
    </w:p>
    <w:p w14:paraId="2A14DA23" w14:textId="77777777" w:rsidR="006951F3" w:rsidRPr="007F7AF7" w:rsidRDefault="006951F3" w:rsidP="00DB5218">
      <w:pPr>
        <w:pStyle w:val="ESHead1"/>
        <w:spacing w:after="120" w:line="276" w:lineRule="auto"/>
        <w:ind w:left="0"/>
        <w:rPr>
          <w:rFonts w:ascii="Arial" w:hAnsi="Arial" w:cs="Arial"/>
          <w:szCs w:val="24"/>
        </w:rPr>
      </w:pPr>
    </w:p>
    <w:p w14:paraId="7D013412" w14:textId="77777777" w:rsidR="006951F3" w:rsidRPr="007F7AF7" w:rsidRDefault="006951F3" w:rsidP="00DB5218">
      <w:pPr>
        <w:pStyle w:val="ESHead1"/>
        <w:spacing w:after="120" w:line="276" w:lineRule="auto"/>
        <w:ind w:left="0"/>
        <w:rPr>
          <w:rFonts w:ascii="Arial" w:hAnsi="Arial" w:cs="Arial"/>
          <w:szCs w:val="24"/>
        </w:rPr>
      </w:pPr>
    </w:p>
    <w:p w14:paraId="1B50D552" w14:textId="7FF2F90F" w:rsidR="00B55D49" w:rsidRPr="000C3D1B" w:rsidRDefault="00B55D49" w:rsidP="00DB5218">
      <w:pPr>
        <w:autoSpaceDE w:val="0"/>
        <w:autoSpaceDN w:val="0"/>
        <w:adjustRightInd w:val="0"/>
        <w:spacing w:after="120"/>
        <w:jc w:val="center"/>
        <w:rPr>
          <w:rFonts w:asciiTheme="minorHAnsi" w:hAnsiTheme="minorHAnsi"/>
          <w:b/>
          <w:bCs/>
          <w:color w:val="000000"/>
          <w:sz w:val="32"/>
          <w:szCs w:val="32"/>
        </w:rPr>
      </w:pPr>
      <w:r w:rsidRPr="00D36161">
        <w:rPr>
          <w:rFonts w:asciiTheme="minorHAnsi" w:hAnsiTheme="minorHAnsi"/>
          <w:b/>
          <w:bCs/>
          <w:color w:val="000000"/>
          <w:sz w:val="32"/>
          <w:szCs w:val="32"/>
        </w:rPr>
        <w:t xml:space="preserve">PLANNING </w:t>
      </w:r>
      <w:r w:rsidR="00BF65F2">
        <w:rPr>
          <w:rFonts w:asciiTheme="minorHAnsi" w:hAnsiTheme="minorHAnsi"/>
          <w:b/>
          <w:bCs/>
          <w:color w:val="000000"/>
          <w:sz w:val="32"/>
          <w:szCs w:val="32"/>
        </w:rPr>
        <w:t xml:space="preserve">LEGISLATION </w:t>
      </w:r>
      <w:r w:rsidRPr="00D36161">
        <w:rPr>
          <w:rFonts w:asciiTheme="minorHAnsi" w:hAnsiTheme="minorHAnsi"/>
          <w:b/>
          <w:bCs/>
          <w:color w:val="000000"/>
          <w:sz w:val="32"/>
          <w:szCs w:val="32"/>
        </w:rPr>
        <w:t xml:space="preserve">AMENDMENT BILL </w:t>
      </w:r>
      <w:r w:rsidR="00BF65F2">
        <w:rPr>
          <w:rFonts w:asciiTheme="minorHAnsi" w:hAnsiTheme="minorHAnsi"/>
          <w:b/>
          <w:bCs/>
          <w:color w:val="000000"/>
          <w:sz w:val="32"/>
          <w:szCs w:val="32"/>
        </w:rPr>
        <w:t>2020</w:t>
      </w:r>
    </w:p>
    <w:p w14:paraId="0714634A" w14:textId="77777777" w:rsidR="006951F3" w:rsidRPr="007F7AF7" w:rsidRDefault="006951F3" w:rsidP="00DB5218">
      <w:pPr>
        <w:pStyle w:val="ESHead1"/>
        <w:spacing w:after="120" w:line="276" w:lineRule="auto"/>
        <w:ind w:left="0"/>
        <w:rPr>
          <w:rFonts w:ascii="Arial" w:hAnsi="Arial" w:cs="Arial"/>
          <w:szCs w:val="24"/>
        </w:rPr>
      </w:pPr>
    </w:p>
    <w:p w14:paraId="3431BFB6" w14:textId="77777777" w:rsidR="006951F3" w:rsidRPr="007F7AF7" w:rsidRDefault="006951F3" w:rsidP="00DB5218">
      <w:pPr>
        <w:pStyle w:val="ESHead1"/>
        <w:spacing w:after="120" w:line="276" w:lineRule="auto"/>
        <w:ind w:left="0"/>
        <w:rPr>
          <w:rFonts w:ascii="Arial" w:hAnsi="Arial" w:cs="Arial"/>
          <w:szCs w:val="24"/>
        </w:rPr>
      </w:pPr>
    </w:p>
    <w:p w14:paraId="73947AF0" w14:textId="77777777" w:rsidR="006951F3" w:rsidRPr="007F7AF7" w:rsidRDefault="006951F3" w:rsidP="00DB5218">
      <w:pPr>
        <w:pStyle w:val="ESHead1"/>
        <w:spacing w:after="120" w:line="276" w:lineRule="auto"/>
        <w:ind w:left="0"/>
        <w:rPr>
          <w:rFonts w:ascii="Arial" w:hAnsi="Arial" w:cs="Arial"/>
          <w:szCs w:val="24"/>
        </w:rPr>
      </w:pPr>
    </w:p>
    <w:p w14:paraId="223D3084" w14:textId="77777777" w:rsidR="006951F3" w:rsidRPr="00B55D49" w:rsidRDefault="006951F3" w:rsidP="00DB5218">
      <w:pPr>
        <w:autoSpaceDE w:val="0"/>
        <w:autoSpaceDN w:val="0"/>
        <w:adjustRightInd w:val="0"/>
        <w:spacing w:after="120"/>
        <w:jc w:val="center"/>
        <w:rPr>
          <w:rFonts w:asciiTheme="minorHAnsi" w:hAnsiTheme="minorHAnsi"/>
          <w:b/>
          <w:bCs/>
          <w:color w:val="000000"/>
          <w:sz w:val="32"/>
          <w:szCs w:val="32"/>
        </w:rPr>
      </w:pPr>
      <w:r w:rsidRPr="00B55D49">
        <w:rPr>
          <w:rFonts w:asciiTheme="minorHAnsi" w:hAnsiTheme="minorHAnsi"/>
          <w:b/>
          <w:bCs/>
          <w:color w:val="000000"/>
          <w:sz w:val="32"/>
          <w:szCs w:val="32"/>
        </w:rPr>
        <w:t>EXPLANATORY STATEMENT</w:t>
      </w:r>
    </w:p>
    <w:p w14:paraId="207AFE03" w14:textId="77777777" w:rsidR="006951F3" w:rsidRPr="007F7AF7" w:rsidRDefault="006951F3" w:rsidP="00DB5218">
      <w:pPr>
        <w:pStyle w:val="ESHead1"/>
        <w:spacing w:after="120" w:line="276" w:lineRule="auto"/>
        <w:ind w:left="0"/>
        <w:rPr>
          <w:rFonts w:ascii="Arial" w:hAnsi="Arial" w:cs="Arial"/>
          <w:szCs w:val="24"/>
        </w:rPr>
      </w:pPr>
    </w:p>
    <w:p w14:paraId="296F8C90" w14:textId="77777777" w:rsidR="006951F3" w:rsidRPr="007F7AF7" w:rsidRDefault="006951F3" w:rsidP="00DB5218">
      <w:pPr>
        <w:pStyle w:val="ESHead1"/>
        <w:spacing w:after="120" w:line="276" w:lineRule="auto"/>
        <w:ind w:left="0"/>
        <w:jc w:val="both"/>
        <w:rPr>
          <w:rFonts w:ascii="Arial" w:hAnsi="Arial" w:cs="Arial"/>
          <w:szCs w:val="24"/>
        </w:rPr>
      </w:pPr>
    </w:p>
    <w:p w14:paraId="37703120" w14:textId="77777777" w:rsidR="006951F3" w:rsidRDefault="006951F3" w:rsidP="00DB5218">
      <w:pPr>
        <w:pStyle w:val="ESHead1"/>
        <w:spacing w:after="120" w:line="276" w:lineRule="auto"/>
        <w:ind w:left="0"/>
        <w:jc w:val="both"/>
        <w:rPr>
          <w:rFonts w:ascii="Arial" w:hAnsi="Arial" w:cs="Arial"/>
          <w:szCs w:val="24"/>
        </w:rPr>
      </w:pPr>
    </w:p>
    <w:p w14:paraId="79F86903" w14:textId="77777777" w:rsidR="006318A5" w:rsidRDefault="006318A5" w:rsidP="00DB5218">
      <w:pPr>
        <w:pStyle w:val="ESHead1"/>
        <w:spacing w:after="120" w:line="276" w:lineRule="auto"/>
        <w:ind w:left="0"/>
        <w:jc w:val="both"/>
        <w:rPr>
          <w:rFonts w:ascii="Arial" w:hAnsi="Arial" w:cs="Arial"/>
          <w:szCs w:val="24"/>
        </w:rPr>
      </w:pPr>
    </w:p>
    <w:p w14:paraId="49E182A3" w14:textId="77777777" w:rsidR="006318A5" w:rsidRDefault="006318A5" w:rsidP="00DB5218">
      <w:pPr>
        <w:pStyle w:val="ESHead1"/>
        <w:spacing w:after="120" w:line="276" w:lineRule="auto"/>
        <w:ind w:left="0"/>
        <w:jc w:val="both"/>
        <w:rPr>
          <w:rFonts w:ascii="Arial" w:hAnsi="Arial" w:cs="Arial"/>
          <w:szCs w:val="24"/>
        </w:rPr>
      </w:pPr>
    </w:p>
    <w:p w14:paraId="6B5D8C71" w14:textId="77777777" w:rsidR="002F738C" w:rsidRDefault="002F738C" w:rsidP="00DB5218">
      <w:pPr>
        <w:pStyle w:val="ESHead1"/>
        <w:spacing w:after="120" w:line="276" w:lineRule="auto"/>
        <w:ind w:left="0"/>
        <w:jc w:val="both"/>
        <w:rPr>
          <w:rFonts w:ascii="Arial" w:hAnsi="Arial" w:cs="Arial"/>
          <w:szCs w:val="24"/>
        </w:rPr>
      </w:pPr>
    </w:p>
    <w:p w14:paraId="7EE1B419" w14:textId="77777777" w:rsidR="00850766" w:rsidRDefault="00850766" w:rsidP="00DB5218">
      <w:pPr>
        <w:pStyle w:val="BodyTextIndent2"/>
        <w:tabs>
          <w:tab w:val="right" w:pos="8931"/>
        </w:tabs>
        <w:spacing w:after="120" w:line="276" w:lineRule="auto"/>
        <w:ind w:left="0" w:firstLine="0"/>
        <w:jc w:val="left"/>
        <w:rPr>
          <w:szCs w:val="24"/>
        </w:rPr>
      </w:pPr>
    </w:p>
    <w:p w14:paraId="33C71666" w14:textId="77777777" w:rsidR="00B55D49" w:rsidRDefault="00B55D49" w:rsidP="00DB5218">
      <w:pPr>
        <w:pStyle w:val="BodyTextIndent2"/>
        <w:tabs>
          <w:tab w:val="right" w:pos="8931"/>
        </w:tabs>
        <w:spacing w:after="120" w:line="276" w:lineRule="auto"/>
        <w:ind w:left="0" w:firstLine="0"/>
        <w:jc w:val="left"/>
        <w:rPr>
          <w:szCs w:val="24"/>
        </w:rPr>
      </w:pPr>
    </w:p>
    <w:p w14:paraId="77B30F82" w14:textId="77777777" w:rsidR="00850766" w:rsidRDefault="00850766" w:rsidP="00DB5218">
      <w:pPr>
        <w:pStyle w:val="BodyTextIndent2"/>
        <w:tabs>
          <w:tab w:val="right" w:pos="8931"/>
        </w:tabs>
        <w:spacing w:after="120" w:line="276" w:lineRule="auto"/>
        <w:ind w:left="0" w:firstLine="0"/>
        <w:jc w:val="left"/>
        <w:rPr>
          <w:szCs w:val="24"/>
        </w:rPr>
      </w:pPr>
    </w:p>
    <w:p w14:paraId="67FADDFD" w14:textId="0F1EA0C2" w:rsidR="00B30EB7" w:rsidRPr="00B30EB7" w:rsidRDefault="00B30EB7" w:rsidP="00DB5218">
      <w:pPr>
        <w:autoSpaceDE w:val="0"/>
        <w:autoSpaceDN w:val="0"/>
        <w:adjustRightInd w:val="0"/>
        <w:spacing w:after="120"/>
        <w:jc w:val="right"/>
        <w:rPr>
          <w:rFonts w:asciiTheme="minorHAnsi" w:hAnsiTheme="minorHAnsi"/>
          <w:b/>
          <w:bCs/>
          <w:color w:val="000000"/>
          <w:sz w:val="32"/>
          <w:szCs w:val="32"/>
        </w:rPr>
      </w:pPr>
      <w:r w:rsidRPr="00B30EB7">
        <w:rPr>
          <w:rFonts w:asciiTheme="minorHAnsi" w:hAnsiTheme="minorHAnsi"/>
          <w:b/>
          <w:bCs/>
          <w:color w:val="000000"/>
          <w:sz w:val="32"/>
          <w:szCs w:val="32"/>
        </w:rPr>
        <w:t>Presented by</w:t>
      </w:r>
    </w:p>
    <w:p w14:paraId="2B66E0DE" w14:textId="483EE396" w:rsidR="00B55D49" w:rsidRDefault="008805D7" w:rsidP="00DB5218">
      <w:pPr>
        <w:autoSpaceDE w:val="0"/>
        <w:autoSpaceDN w:val="0"/>
        <w:adjustRightInd w:val="0"/>
        <w:spacing w:after="120"/>
        <w:jc w:val="right"/>
        <w:rPr>
          <w:rFonts w:asciiTheme="minorHAnsi" w:hAnsiTheme="minorHAnsi"/>
          <w:b/>
          <w:bCs/>
          <w:color w:val="000000"/>
          <w:sz w:val="32"/>
          <w:szCs w:val="32"/>
        </w:rPr>
      </w:pPr>
      <w:r>
        <w:rPr>
          <w:rFonts w:asciiTheme="minorHAnsi" w:hAnsiTheme="minorHAnsi"/>
          <w:b/>
          <w:bCs/>
          <w:color w:val="000000"/>
          <w:sz w:val="32"/>
          <w:szCs w:val="32"/>
        </w:rPr>
        <w:t xml:space="preserve">Caroline Le Couteur </w:t>
      </w:r>
      <w:r w:rsidR="00B55D49" w:rsidRPr="000C3D1B">
        <w:rPr>
          <w:rFonts w:asciiTheme="minorHAnsi" w:hAnsiTheme="minorHAnsi"/>
          <w:b/>
          <w:bCs/>
          <w:color w:val="000000"/>
          <w:sz w:val="32"/>
          <w:szCs w:val="32"/>
        </w:rPr>
        <w:t>MLA</w:t>
      </w:r>
    </w:p>
    <w:p w14:paraId="2FADD8AB" w14:textId="3B5DF688" w:rsidR="008805D7" w:rsidRPr="000C3D1B" w:rsidRDefault="008805D7" w:rsidP="00DB5218">
      <w:pPr>
        <w:autoSpaceDE w:val="0"/>
        <w:autoSpaceDN w:val="0"/>
        <w:adjustRightInd w:val="0"/>
        <w:spacing w:after="120"/>
        <w:jc w:val="right"/>
        <w:rPr>
          <w:rFonts w:asciiTheme="minorHAnsi" w:hAnsiTheme="minorHAnsi"/>
          <w:color w:val="000000"/>
          <w:sz w:val="32"/>
          <w:szCs w:val="32"/>
        </w:rPr>
      </w:pPr>
      <w:r>
        <w:rPr>
          <w:rFonts w:asciiTheme="minorHAnsi" w:hAnsiTheme="minorHAnsi"/>
          <w:b/>
          <w:bCs/>
          <w:color w:val="000000"/>
          <w:sz w:val="32"/>
          <w:szCs w:val="32"/>
        </w:rPr>
        <w:t>Member for Murrumbidgee</w:t>
      </w:r>
    </w:p>
    <w:p w14:paraId="79FBD8C5" w14:textId="77777777" w:rsidR="002F738C" w:rsidRDefault="002F738C" w:rsidP="00DB5218">
      <w:pPr>
        <w:pStyle w:val="BodyTextIndent2"/>
        <w:tabs>
          <w:tab w:val="right" w:pos="8931"/>
        </w:tabs>
        <w:spacing w:after="120" w:line="276" w:lineRule="auto"/>
        <w:ind w:left="0" w:firstLine="0"/>
        <w:jc w:val="left"/>
        <w:rPr>
          <w:szCs w:val="24"/>
        </w:rPr>
      </w:pPr>
    </w:p>
    <w:p w14:paraId="4DB7F2D4" w14:textId="77777777" w:rsidR="006951F3" w:rsidRPr="007F7AF7" w:rsidRDefault="00C41D4A" w:rsidP="00DB5218">
      <w:pPr>
        <w:pStyle w:val="BodyTextIndent2"/>
        <w:spacing w:after="120" w:line="276" w:lineRule="auto"/>
        <w:ind w:left="2880" w:firstLine="0"/>
        <w:jc w:val="left"/>
        <w:rPr>
          <w:bCs/>
          <w:color w:val="000000"/>
          <w:szCs w:val="24"/>
        </w:rPr>
      </w:pPr>
      <w:r>
        <w:rPr>
          <w:bCs/>
          <w:color w:val="000000"/>
          <w:szCs w:val="24"/>
        </w:rPr>
        <w:br w:type="page"/>
      </w:r>
      <w:r w:rsidR="006951F3" w:rsidRPr="007F7AF7">
        <w:rPr>
          <w:bCs/>
          <w:color w:val="000000"/>
          <w:szCs w:val="24"/>
        </w:rPr>
        <w:lastRenderedPageBreak/>
        <w:t>EXPLANATORY STATEMENT</w:t>
      </w:r>
    </w:p>
    <w:p w14:paraId="24EB9332" w14:textId="77777777" w:rsidR="005E634A" w:rsidRPr="006318A5" w:rsidRDefault="00DF218F" w:rsidP="00DB5218">
      <w:pPr>
        <w:autoSpaceDE w:val="0"/>
        <w:autoSpaceDN w:val="0"/>
        <w:adjustRightInd w:val="0"/>
        <w:spacing w:after="120"/>
        <w:rPr>
          <w:rFonts w:ascii="Arial" w:hAnsi="Arial" w:cs="Arial"/>
          <w:b/>
          <w:color w:val="000000"/>
          <w:sz w:val="24"/>
          <w:szCs w:val="24"/>
        </w:rPr>
      </w:pPr>
      <w:r w:rsidRPr="006318A5">
        <w:rPr>
          <w:rFonts w:ascii="Arial" w:hAnsi="Arial" w:cs="Arial"/>
          <w:b/>
          <w:color w:val="000000"/>
          <w:sz w:val="24"/>
          <w:szCs w:val="24"/>
        </w:rPr>
        <w:t>Introduction</w:t>
      </w:r>
    </w:p>
    <w:p w14:paraId="7C7AB961" w14:textId="30DDFDFF" w:rsidR="006951F3" w:rsidRPr="006318A5" w:rsidRDefault="006951F3" w:rsidP="00DB5218">
      <w:pPr>
        <w:autoSpaceDE w:val="0"/>
        <w:autoSpaceDN w:val="0"/>
        <w:adjustRightInd w:val="0"/>
        <w:spacing w:after="120"/>
        <w:rPr>
          <w:rFonts w:ascii="Arial" w:hAnsi="Arial" w:cs="Arial"/>
          <w:sz w:val="24"/>
          <w:szCs w:val="24"/>
        </w:rPr>
      </w:pPr>
      <w:r w:rsidRPr="009A4978">
        <w:rPr>
          <w:rFonts w:ascii="Arial" w:hAnsi="Arial" w:cs="Arial"/>
          <w:sz w:val="24"/>
          <w:szCs w:val="24"/>
        </w:rPr>
        <w:t>This explanatory statement relates to the</w:t>
      </w:r>
      <w:r w:rsidR="007D402E" w:rsidRPr="009A4978">
        <w:rPr>
          <w:rFonts w:ascii="Arial" w:hAnsi="Arial" w:cs="Arial"/>
          <w:sz w:val="24"/>
          <w:szCs w:val="24"/>
        </w:rPr>
        <w:t xml:space="preserve"> </w:t>
      </w:r>
      <w:r w:rsidR="00B55D49" w:rsidRPr="009A4978">
        <w:rPr>
          <w:rFonts w:ascii="Arial" w:hAnsi="Arial" w:cs="Arial"/>
          <w:sz w:val="24"/>
          <w:szCs w:val="24"/>
        </w:rPr>
        <w:t xml:space="preserve">Planning </w:t>
      </w:r>
      <w:r w:rsidR="00FB4273">
        <w:rPr>
          <w:rFonts w:ascii="Arial" w:hAnsi="Arial" w:cs="Arial"/>
          <w:sz w:val="24"/>
          <w:szCs w:val="24"/>
        </w:rPr>
        <w:t>Legislation</w:t>
      </w:r>
      <w:r w:rsidR="00B55D49" w:rsidRPr="009A4978">
        <w:rPr>
          <w:rFonts w:ascii="Arial" w:hAnsi="Arial" w:cs="Arial"/>
          <w:sz w:val="24"/>
          <w:szCs w:val="24"/>
        </w:rPr>
        <w:t xml:space="preserve"> Amendment Bill </w:t>
      </w:r>
      <w:r w:rsidR="00FB4273">
        <w:rPr>
          <w:rFonts w:ascii="Arial" w:hAnsi="Arial" w:cs="Arial"/>
          <w:sz w:val="24"/>
          <w:szCs w:val="24"/>
        </w:rPr>
        <w:t>2020</w:t>
      </w:r>
      <w:r w:rsidR="001512A3" w:rsidRPr="009A4978">
        <w:rPr>
          <w:rFonts w:ascii="Arial" w:hAnsi="Arial" w:cs="Arial"/>
          <w:sz w:val="24"/>
          <w:szCs w:val="24"/>
        </w:rPr>
        <w:t xml:space="preserve"> (the </w:t>
      </w:r>
      <w:r w:rsidR="009F4280">
        <w:rPr>
          <w:rFonts w:ascii="Arial" w:hAnsi="Arial" w:cs="Arial"/>
          <w:sz w:val="24"/>
          <w:szCs w:val="24"/>
        </w:rPr>
        <w:t>B</w:t>
      </w:r>
      <w:r w:rsidR="007F3714" w:rsidRPr="009A4978">
        <w:rPr>
          <w:rFonts w:ascii="Arial" w:hAnsi="Arial" w:cs="Arial"/>
          <w:sz w:val="24"/>
          <w:szCs w:val="24"/>
        </w:rPr>
        <w:t>ill)</w:t>
      </w:r>
      <w:r w:rsidR="00E979B8" w:rsidRPr="009A4978">
        <w:rPr>
          <w:rFonts w:ascii="Arial" w:hAnsi="Arial" w:cs="Arial"/>
          <w:sz w:val="24"/>
          <w:szCs w:val="24"/>
        </w:rPr>
        <w:t xml:space="preserve"> as presented to the Legislative Assembly</w:t>
      </w:r>
      <w:r w:rsidR="007D402E" w:rsidRPr="009A4978">
        <w:rPr>
          <w:rFonts w:ascii="Arial" w:hAnsi="Arial" w:cs="Arial"/>
          <w:sz w:val="24"/>
          <w:szCs w:val="24"/>
        </w:rPr>
        <w:t>.</w:t>
      </w:r>
      <w:r w:rsidR="00270C68" w:rsidRPr="009A4978">
        <w:rPr>
          <w:rFonts w:ascii="Arial" w:hAnsi="Arial" w:cs="Arial"/>
          <w:sz w:val="24"/>
          <w:szCs w:val="24"/>
        </w:rPr>
        <w:t xml:space="preserve"> </w:t>
      </w:r>
      <w:r w:rsidR="007D402E" w:rsidRPr="009A4978">
        <w:rPr>
          <w:rFonts w:ascii="Arial" w:hAnsi="Arial" w:cs="Arial"/>
          <w:sz w:val="24"/>
          <w:szCs w:val="24"/>
        </w:rPr>
        <w:t xml:space="preserve"> </w:t>
      </w:r>
      <w:r w:rsidRPr="006318A5">
        <w:rPr>
          <w:rFonts w:ascii="Arial" w:hAnsi="Arial" w:cs="Arial"/>
          <w:sz w:val="24"/>
          <w:szCs w:val="24"/>
        </w:rPr>
        <w:t xml:space="preserve">It has been prepared in order to assist the reader of the </w:t>
      </w:r>
      <w:r w:rsidR="0064756C">
        <w:rPr>
          <w:rFonts w:ascii="Arial" w:hAnsi="Arial" w:cs="Arial"/>
          <w:sz w:val="24"/>
          <w:szCs w:val="24"/>
        </w:rPr>
        <w:t>B</w:t>
      </w:r>
      <w:r w:rsidR="007F3714" w:rsidRPr="006318A5">
        <w:rPr>
          <w:rFonts w:ascii="Arial" w:hAnsi="Arial" w:cs="Arial"/>
          <w:sz w:val="24"/>
          <w:szCs w:val="24"/>
        </w:rPr>
        <w:t>ill</w:t>
      </w:r>
      <w:r w:rsidR="00E979B8">
        <w:rPr>
          <w:rFonts w:ascii="Arial" w:hAnsi="Arial" w:cs="Arial"/>
          <w:sz w:val="24"/>
          <w:szCs w:val="24"/>
        </w:rPr>
        <w:t xml:space="preserve"> and help inform debate on it</w:t>
      </w:r>
      <w:r w:rsidRPr="006318A5">
        <w:rPr>
          <w:rFonts w:ascii="Arial" w:hAnsi="Arial" w:cs="Arial"/>
          <w:sz w:val="24"/>
          <w:szCs w:val="24"/>
        </w:rPr>
        <w:t>.</w:t>
      </w:r>
      <w:r w:rsidR="00270C68" w:rsidRPr="006318A5">
        <w:rPr>
          <w:rFonts w:ascii="Arial" w:hAnsi="Arial" w:cs="Arial"/>
          <w:sz w:val="24"/>
          <w:szCs w:val="24"/>
        </w:rPr>
        <w:t xml:space="preserve"> </w:t>
      </w:r>
      <w:r w:rsidRPr="006318A5">
        <w:rPr>
          <w:rFonts w:ascii="Arial" w:hAnsi="Arial" w:cs="Arial"/>
          <w:sz w:val="24"/>
          <w:szCs w:val="24"/>
        </w:rPr>
        <w:t xml:space="preserve"> It does not form part of the </w:t>
      </w:r>
      <w:r w:rsidR="009F4280">
        <w:rPr>
          <w:rFonts w:ascii="Arial" w:hAnsi="Arial" w:cs="Arial"/>
          <w:sz w:val="24"/>
          <w:szCs w:val="24"/>
        </w:rPr>
        <w:t>B</w:t>
      </w:r>
      <w:r w:rsidR="007F3714" w:rsidRPr="006318A5">
        <w:rPr>
          <w:rFonts w:ascii="Arial" w:hAnsi="Arial" w:cs="Arial"/>
          <w:sz w:val="24"/>
          <w:szCs w:val="24"/>
        </w:rPr>
        <w:t>ill</w:t>
      </w:r>
      <w:r w:rsidRPr="006318A5">
        <w:rPr>
          <w:rFonts w:ascii="Arial" w:hAnsi="Arial" w:cs="Arial"/>
          <w:sz w:val="24"/>
          <w:szCs w:val="24"/>
        </w:rPr>
        <w:t xml:space="preserve"> and has not been endorsed by the Assembly.</w:t>
      </w:r>
    </w:p>
    <w:p w14:paraId="0B26C4BD" w14:textId="4472D7BE" w:rsidR="001B1527" w:rsidRPr="006318A5" w:rsidRDefault="007D402E" w:rsidP="00DB5218">
      <w:pPr>
        <w:autoSpaceDE w:val="0"/>
        <w:autoSpaceDN w:val="0"/>
        <w:adjustRightInd w:val="0"/>
        <w:spacing w:after="120"/>
        <w:rPr>
          <w:rFonts w:ascii="Arial" w:hAnsi="Arial" w:cs="Arial"/>
          <w:sz w:val="24"/>
          <w:szCs w:val="24"/>
        </w:rPr>
      </w:pPr>
      <w:r w:rsidRPr="006318A5">
        <w:rPr>
          <w:rFonts w:ascii="Arial" w:hAnsi="Arial" w:cs="Arial"/>
          <w:sz w:val="24"/>
          <w:szCs w:val="24"/>
        </w:rPr>
        <w:t xml:space="preserve">This </w:t>
      </w:r>
      <w:r w:rsidR="00E979B8">
        <w:rPr>
          <w:rFonts w:ascii="Arial" w:hAnsi="Arial" w:cs="Arial"/>
          <w:sz w:val="24"/>
          <w:szCs w:val="24"/>
        </w:rPr>
        <w:t xml:space="preserve">explanatory </w:t>
      </w:r>
      <w:r w:rsidRPr="006318A5">
        <w:rPr>
          <w:rFonts w:ascii="Arial" w:hAnsi="Arial" w:cs="Arial"/>
          <w:sz w:val="24"/>
          <w:szCs w:val="24"/>
        </w:rPr>
        <w:t xml:space="preserve">statement must be read in conjunction with the </w:t>
      </w:r>
      <w:r w:rsidR="0064756C">
        <w:rPr>
          <w:rFonts w:ascii="Arial" w:hAnsi="Arial" w:cs="Arial"/>
          <w:sz w:val="24"/>
          <w:szCs w:val="24"/>
        </w:rPr>
        <w:t>B</w:t>
      </w:r>
      <w:r w:rsidR="007F3714" w:rsidRPr="006318A5">
        <w:rPr>
          <w:rFonts w:ascii="Arial" w:hAnsi="Arial" w:cs="Arial"/>
          <w:sz w:val="24"/>
          <w:szCs w:val="24"/>
        </w:rPr>
        <w:t>ill</w:t>
      </w:r>
      <w:r w:rsidRPr="006318A5">
        <w:rPr>
          <w:rFonts w:ascii="Arial" w:hAnsi="Arial" w:cs="Arial"/>
          <w:sz w:val="24"/>
          <w:szCs w:val="24"/>
        </w:rPr>
        <w:t>.</w:t>
      </w:r>
      <w:r w:rsidR="00270C68" w:rsidRPr="006318A5">
        <w:rPr>
          <w:rFonts w:ascii="Arial" w:hAnsi="Arial" w:cs="Arial"/>
          <w:sz w:val="24"/>
          <w:szCs w:val="24"/>
        </w:rPr>
        <w:t xml:space="preserve"> </w:t>
      </w:r>
      <w:r w:rsidRPr="006318A5">
        <w:rPr>
          <w:rFonts w:ascii="Arial" w:hAnsi="Arial" w:cs="Arial"/>
          <w:sz w:val="24"/>
          <w:szCs w:val="24"/>
        </w:rPr>
        <w:t xml:space="preserve"> It is not, and is not</w:t>
      </w:r>
      <w:r w:rsidR="007619FA" w:rsidRPr="006318A5">
        <w:rPr>
          <w:rFonts w:ascii="Arial" w:hAnsi="Arial" w:cs="Arial"/>
          <w:sz w:val="24"/>
          <w:szCs w:val="24"/>
        </w:rPr>
        <w:t xml:space="preserve"> </w:t>
      </w:r>
      <w:r w:rsidRPr="006318A5">
        <w:rPr>
          <w:rFonts w:ascii="Arial" w:hAnsi="Arial" w:cs="Arial"/>
          <w:sz w:val="24"/>
          <w:szCs w:val="24"/>
        </w:rPr>
        <w:t>meant to be, a comprehensive description of the</w:t>
      </w:r>
      <w:r w:rsidR="007619FA" w:rsidRPr="006318A5">
        <w:rPr>
          <w:rFonts w:ascii="Arial" w:hAnsi="Arial" w:cs="Arial"/>
          <w:sz w:val="24"/>
          <w:szCs w:val="24"/>
        </w:rPr>
        <w:t xml:space="preserve"> </w:t>
      </w:r>
      <w:r w:rsidR="0064756C">
        <w:rPr>
          <w:rFonts w:ascii="Arial" w:hAnsi="Arial" w:cs="Arial"/>
          <w:sz w:val="24"/>
          <w:szCs w:val="24"/>
        </w:rPr>
        <w:t>B</w:t>
      </w:r>
      <w:r w:rsidR="007F3714" w:rsidRPr="006318A5">
        <w:rPr>
          <w:rFonts w:ascii="Arial" w:hAnsi="Arial" w:cs="Arial"/>
          <w:sz w:val="24"/>
          <w:szCs w:val="24"/>
        </w:rPr>
        <w:t>ill</w:t>
      </w:r>
      <w:r w:rsidRPr="006318A5">
        <w:rPr>
          <w:rFonts w:ascii="Arial" w:hAnsi="Arial" w:cs="Arial"/>
          <w:sz w:val="24"/>
          <w:szCs w:val="24"/>
        </w:rPr>
        <w:t>.</w:t>
      </w:r>
      <w:r w:rsidR="00270C68" w:rsidRPr="006318A5">
        <w:rPr>
          <w:rFonts w:ascii="Arial" w:hAnsi="Arial" w:cs="Arial"/>
          <w:sz w:val="24"/>
          <w:szCs w:val="24"/>
        </w:rPr>
        <w:t xml:space="preserve"> </w:t>
      </w:r>
      <w:r w:rsidRPr="006318A5">
        <w:rPr>
          <w:rFonts w:ascii="Arial" w:hAnsi="Arial" w:cs="Arial"/>
          <w:sz w:val="24"/>
          <w:szCs w:val="24"/>
        </w:rPr>
        <w:t xml:space="preserve"> What is </w:t>
      </w:r>
      <w:r w:rsidR="00E979B8">
        <w:rPr>
          <w:rFonts w:ascii="Arial" w:hAnsi="Arial" w:cs="Arial"/>
          <w:sz w:val="24"/>
          <w:szCs w:val="24"/>
        </w:rPr>
        <w:t>written</w:t>
      </w:r>
      <w:r w:rsidR="00E979B8" w:rsidRPr="006318A5">
        <w:rPr>
          <w:rFonts w:ascii="Arial" w:hAnsi="Arial" w:cs="Arial"/>
          <w:sz w:val="24"/>
          <w:szCs w:val="24"/>
        </w:rPr>
        <w:t xml:space="preserve"> </w:t>
      </w:r>
      <w:r w:rsidRPr="006318A5">
        <w:rPr>
          <w:rFonts w:ascii="Arial" w:hAnsi="Arial" w:cs="Arial"/>
          <w:sz w:val="24"/>
          <w:szCs w:val="24"/>
        </w:rPr>
        <w:t>about a</w:t>
      </w:r>
      <w:r w:rsidR="007619FA" w:rsidRPr="006318A5">
        <w:rPr>
          <w:rFonts w:ascii="Arial" w:hAnsi="Arial" w:cs="Arial"/>
          <w:sz w:val="24"/>
          <w:szCs w:val="24"/>
        </w:rPr>
        <w:t xml:space="preserve"> </w:t>
      </w:r>
      <w:r w:rsidRPr="006318A5">
        <w:rPr>
          <w:rFonts w:ascii="Arial" w:hAnsi="Arial" w:cs="Arial"/>
          <w:sz w:val="24"/>
          <w:szCs w:val="24"/>
        </w:rPr>
        <w:t>provision is not taken as an authoritative guide</w:t>
      </w:r>
      <w:r w:rsidR="007619FA" w:rsidRPr="006318A5">
        <w:rPr>
          <w:rFonts w:ascii="Arial" w:hAnsi="Arial" w:cs="Arial"/>
          <w:sz w:val="24"/>
          <w:szCs w:val="24"/>
        </w:rPr>
        <w:t xml:space="preserve"> to the meaning of a provision, </w:t>
      </w:r>
      <w:r w:rsidRPr="006318A5">
        <w:rPr>
          <w:rFonts w:ascii="Arial" w:hAnsi="Arial" w:cs="Arial"/>
          <w:sz w:val="24"/>
          <w:szCs w:val="24"/>
        </w:rPr>
        <w:t>this</w:t>
      </w:r>
      <w:r w:rsidR="007619FA" w:rsidRPr="006318A5">
        <w:rPr>
          <w:rFonts w:ascii="Arial" w:hAnsi="Arial" w:cs="Arial"/>
          <w:sz w:val="24"/>
          <w:szCs w:val="24"/>
        </w:rPr>
        <w:t xml:space="preserve"> </w:t>
      </w:r>
      <w:r w:rsidRPr="006318A5">
        <w:rPr>
          <w:rFonts w:ascii="Arial" w:hAnsi="Arial" w:cs="Arial"/>
          <w:sz w:val="24"/>
          <w:szCs w:val="24"/>
        </w:rPr>
        <w:t>being a task for the courts.</w:t>
      </w:r>
    </w:p>
    <w:p w14:paraId="69563BEF" w14:textId="77777777" w:rsidR="006951F3" w:rsidRPr="00B55D49" w:rsidRDefault="006951F3" w:rsidP="00DB5218">
      <w:pPr>
        <w:autoSpaceDE w:val="0"/>
        <w:autoSpaceDN w:val="0"/>
        <w:adjustRightInd w:val="0"/>
        <w:spacing w:after="120"/>
        <w:rPr>
          <w:rFonts w:ascii="Arial" w:hAnsi="Arial" w:cs="Arial"/>
          <w:b/>
          <w:bCs/>
          <w:color w:val="000000"/>
          <w:sz w:val="24"/>
          <w:szCs w:val="24"/>
        </w:rPr>
      </w:pPr>
      <w:r w:rsidRPr="00B55D49">
        <w:rPr>
          <w:rFonts w:ascii="Arial" w:hAnsi="Arial" w:cs="Arial"/>
          <w:b/>
          <w:bCs/>
          <w:color w:val="000000"/>
          <w:sz w:val="24"/>
          <w:szCs w:val="24"/>
        </w:rPr>
        <w:t>Background</w:t>
      </w:r>
    </w:p>
    <w:p w14:paraId="269C295F" w14:textId="6B47170E" w:rsidR="00B55D49" w:rsidRDefault="00FB4273" w:rsidP="00DB5218">
      <w:pPr>
        <w:autoSpaceDE w:val="0"/>
        <w:autoSpaceDN w:val="0"/>
        <w:adjustRightInd w:val="0"/>
        <w:spacing w:after="120"/>
        <w:rPr>
          <w:rFonts w:ascii="Arial" w:hAnsi="Arial" w:cs="Arial"/>
          <w:sz w:val="24"/>
          <w:szCs w:val="24"/>
        </w:rPr>
      </w:pPr>
      <w:r>
        <w:rPr>
          <w:rFonts w:ascii="Arial" w:hAnsi="Arial" w:cs="Arial"/>
          <w:sz w:val="24"/>
          <w:szCs w:val="24"/>
        </w:rPr>
        <w:t xml:space="preserve">The ACT’s planning legislation (and particularly the </w:t>
      </w:r>
      <w:r w:rsidRPr="00FB4273">
        <w:rPr>
          <w:rFonts w:ascii="Arial" w:hAnsi="Arial" w:cs="Arial"/>
          <w:i/>
          <w:sz w:val="24"/>
          <w:szCs w:val="24"/>
        </w:rPr>
        <w:t>Planning and Development Act 2007</w:t>
      </w:r>
      <w:r>
        <w:rPr>
          <w:rFonts w:ascii="Arial" w:hAnsi="Arial" w:cs="Arial"/>
          <w:sz w:val="24"/>
          <w:szCs w:val="24"/>
        </w:rPr>
        <w:t>) provides a framework for</w:t>
      </w:r>
      <w:r w:rsidR="00E12402">
        <w:rPr>
          <w:rFonts w:ascii="Arial" w:hAnsi="Arial" w:cs="Arial"/>
          <w:sz w:val="24"/>
          <w:szCs w:val="24"/>
        </w:rPr>
        <w:t xml:space="preserve"> managing the impacts of </w:t>
      </w:r>
      <w:r w:rsidR="001D35CB">
        <w:rPr>
          <w:rFonts w:ascii="Arial" w:hAnsi="Arial" w:cs="Arial"/>
          <w:sz w:val="24"/>
          <w:szCs w:val="24"/>
        </w:rPr>
        <w:t xml:space="preserve">the built environment </w:t>
      </w:r>
      <w:r w:rsidR="00E12402">
        <w:rPr>
          <w:rFonts w:ascii="Arial" w:hAnsi="Arial" w:cs="Arial"/>
          <w:sz w:val="24"/>
          <w:szCs w:val="24"/>
        </w:rPr>
        <w:t xml:space="preserve">on </w:t>
      </w:r>
      <w:r w:rsidR="00B519C9">
        <w:rPr>
          <w:rFonts w:ascii="Arial" w:hAnsi="Arial" w:cs="Arial"/>
          <w:sz w:val="24"/>
          <w:szCs w:val="24"/>
        </w:rPr>
        <w:t>the natural environment and</w:t>
      </w:r>
      <w:r w:rsidR="00E12402">
        <w:rPr>
          <w:rFonts w:ascii="Arial" w:hAnsi="Arial" w:cs="Arial"/>
          <w:sz w:val="24"/>
          <w:szCs w:val="24"/>
        </w:rPr>
        <w:t xml:space="preserve"> </w:t>
      </w:r>
      <w:r w:rsidR="009F4280">
        <w:rPr>
          <w:rFonts w:ascii="Arial" w:hAnsi="Arial" w:cs="Arial"/>
          <w:sz w:val="24"/>
          <w:szCs w:val="24"/>
        </w:rPr>
        <w:t xml:space="preserve">the </w:t>
      </w:r>
      <w:r w:rsidR="00E12402">
        <w:rPr>
          <w:rFonts w:ascii="Arial" w:hAnsi="Arial" w:cs="Arial"/>
          <w:sz w:val="24"/>
          <w:szCs w:val="24"/>
        </w:rPr>
        <w:t xml:space="preserve">amenity </w:t>
      </w:r>
      <w:r w:rsidR="00B519C9">
        <w:rPr>
          <w:rFonts w:ascii="Arial" w:hAnsi="Arial" w:cs="Arial"/>
          <w:sz w:val="24"/>
          <w:szCs w:val="24"/>
        </w:rPr>
        <w:t>of residents</w:t>
      </w:r>
      <w:r>
        <w:rPr>
          <w:rFonts w:ascii="Arial" w:hAnsi="Arial" w:cs="Arial"/>
          <w:sz w:val="24"/>
          <w:szCs w:val="24"/>
        </w:rPr>
        <w:t>, amongst other things</w:t>
      </w:r>
      <w:r w:rsidR="00E12402">
        <w:rPr>
          <w:rFonts w:ascii="Arial" w:hAnsi="Arial" w:cs="Arial"/>
          <w:sz w:val="24"/>
          <w:szCs w:val="24"/>
        </w:rPr>
        <w:t>.  It establishes</w:t>
      </w:r>
      <w:r w:rsidR="00A41F0F">
        <w:rPr>
          <w:rFonts w:ascii="Arial" w:hAnsi="Arial" w:cs="Arial"/>
          <w:sz w:val="24"/>
          <w:szCs w:val="24"/>
        </w:rPr>
        <w:t xml:space="preserve"> a ‘planning system’ that includes</w:t>
      </w:r>
      <w:r>
        <w:rPr>
          <w:rFonts w:ascii="Arial" w:hAnsi="Arial" w:cs="Arial"/>
          <w:sz w:val="24"/>
          <w:szCs w:val="24"/>
        </w:rPr>
        <w:t>:</w:t>
      </w:r>
    </w:p>
    <w:p w14:paraId="66CDB3CD" w14:textId="3E2439A6" w:rsidR="00FB4273" w:rsidRDefault="00E12402" w:rsidP="00FB4273">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A</w:t>
      </w:r>
      <w:r w:rsidR="00FB4273">
        <w:rPr>
          <w:rFonts w:ascii="Arial" w:hAnsi="Arial" w:cs="Arial"/>
          <w:sz w:val="24"/>
          <w:szCs w:val="24"/>
        </w:rPr>
        <w:t xml:space="preserve"> ‘development assessment’ s</w:t>
      </w:r>
      <w:r w:rsidR="001C11C1">
        <w:rPr>
          <w:rFonts w:ascii="Arial" w:hAnsi="Arial" w:cs="Arial"/>
          <w:sz w:val="24"/>
          <w:szCs w:val="24"/>
        </w:rPr>
        <w:t>ystem to assess the potential</w:t>
      </w:r>
      <w:r w:rsidR="00FB4273">
        <w:rPr>
          <w:rFonts w:ascii="Arial" w:hAnsi="Arial" w:cs="Arial"/>
          <w:sz w:val="24"/>
          <w:szCs w:val="24"/>
        </w:rPr>
        <w:t xml:space="preserve"> impacts of proposed development and changes of land use</w:t>
      </w:r>
    </w:p>
    <w:p w14:paraId="2424E69E" w14:textId="460B3EB0" w:rsidR="00FB4273" w:rsidRDefault="00E12402" w:rsidP="00FB4273">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A</w:t>
      </w:r>
      <w:r w:rsidR="004440A0">
        <w:rPr>
          <w:rFonts w:ascii="Arial" w:hAnsi="Arial" w:cs="Arial"/>
          <w:sz w:val="24"/>
          <w:szCs w:val="24"/>
        </w:rPr>
        <w:t xml:space="preserve"> ‘Territory Plan’</w:t>
      </w:r>
      <w:r w:rsidR="00FB4273">
        <w:rPr>
          <w:rFonts w:ascii="Arial" w:hAnsi="Arial" w:cs="Arial"/>
          <w:sz w:val="24"/>
          <w:szCs w:val="24"/>
        </w:rPr>
        <w:t xml:space="preserve"> against which development proposals are assessed</w:t>
      </w:r>
    </w:p>
    <w:p w14:paraId="0ADE9E12" w14:textId="7473DEF4" w:rsidR="00FB4273" w:rsidRDefault="00E12402" w:rsidP="00FB4273">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A</w:t>
      </w:r>
      <w:r w:rsidR="00FB4273">
        <w:rPr>
          <w:rFonts w:ascii="Arial" w:hAnsi="Arial" w:cs="Arial"/>
          <w:sz w:val="24"/>
          <w:szCs w:val="24"/>
        </w:rPr>
        <w:t xml:space="preserve"> process by which the Territory Plan can be amended</w:t>
      </w:r>
    </w:p>
    <w:p w14:paraId="7C341E66" w14:textId="214C5472" w:rsidR="00FB4273" w:rsidRDefault="00E12402" w:rsidP="00FB4273">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A</w:t>
      </w:r>
      <w:r w:rsidR="00FB4273">
        <w:rPr>
          <w:rFonts w:ascii="Arial" w:hAnsi="Arial" w:cs="Arial"/>
          <w:sz w:val="24"/>
          <w:szCs w:val="24"/>
        </w:rPr>
        <w:t xml:space="preserve">ppeal rights for </w:t>
      </w:r>
      <w:r w:rsidR="00A41F0F">
        <w:rPr>
          <w:rFonts w:ascii="Arial" w:hAnsi="Arial" w:cs="Arial"/>
          <w:sz w:val="24"/>
          <w:szCs w:val="24"/>
        </w:rPr>
        <w:t xml:space="preserve">some </w:t>
      </w:r>
      <w:r w:rsidR="00FB4273">
        <w:rPr>
          <w:rFonts w:ascii="Arial" w:hAnsi="Arial" w:cs="Arial"/>
          <w:sz w:val="24"/>
          <w:szCs w:val="24"/>
        </w:rPr>
        <w:t>decisions made under planning legislation</w:t>
      </w:r>
      <w:r w:rsidR="009F4280">
        <w:rPr>
          <w:rFonts w:ascii="Arial" w:hAnsi="Arial" w:cs="Arial"/>
          <w:sz w:val="24"/>
          <w:szCs w:val="24"/>
        </w:rPr>
        <w:t>.</w:t>
      </w:r>
    </w:p>
    <w:p w14:paraId="022DD611" w14:textId="6EFEADB9" w:rsidR="00FB4273" w:rsidRDefault="00FB4273" w:rsidP="00FB4273">
      <w:pPr>
        <w:autoSpaceDE w:val="0"/>
        <w:autoSpaceDN w:val="0"/>
        <w:adjustRightInd w:val="0"/>
        <w:spacing w:after="120"/>
        <w:rPr>
          <w:rFonts w:ascii="Arial" w:hAnsi="Arial" w:cs="Arial"/>
          <w:sz w:val="24"/>
          <w:szCs w:val="24"/>
        </w:rPr>
      </w:pPr>
      <w:r>
        <w:rPr>
          <w:rFonts w:ascii="Arial" w:hAnsi="Arial" w:cs="Arial"/>
          <w:sz w:val="24"/>
          <w:szCs w:val="24"/>
        </w:rPr>
        <w:t>Planning legislation limits</w:t>
      </w:r>
      <w:r w:rsidR="004440A0">
        <w:rPr>
          <w:rFonts w:ascii="Arial" w:hAnsi="Arial" w:cs="Arial"/>
          <w:sz w:val="24"/>
          <w:szCs w:val="24"/>
        </w:rPr>
        <w:t xml:space="preserve"> and manages</w:t>
      </w:r>
      <w:r>
        <w:rPr>
          <w:rFonts w:ascii="Arial" w:hAnsi="Arial" w:cs="Arial"/>
          <w:sz w:val="24"/>
          <w:szCs w:val="24"/>
        </w:rPr>
        <w:t xml:space="preserve"> environmental impacts in a number of ways.  For example</w:t>
      </w:r>
      <w:r w:rsidR="004440A0">
        <w:rPr>
          <w:rFonts w:ascii="Arial" w:hAnsi="Arial" w:cs="Arial"/>
          <w:sz w:val="24"/>
          <w:szCs w:val="24"/>
        </w:rPr>
        <w:t xml:space="preserve">, development likely to have </w:t>
      </w:r>
      <w:r w:rsidR="00A41F0F">
        <w:rPr>
          <w:rFonts w:ascii="Arial" w:hAnsi="Arial" w:cs="Arial"/>
          <w:sz w:val="24"/>
          <w:szCs w:val="24"/>
        </w:rPr>
        <w:t>more significant</w:t>
      </w:r>
      <w:r w:rsidR="004440A0">
        <w:rPr>
          <w:rFonts w:ascii="Arial" w:hAnsi="Arial" w:cs="Arial"/>
          <w:sz w:val="24"/>
          <w:szCs w:val="24"/>
        </w:rPr>
        <w:t xml:space="preserve"> environmental impacts is channelled into an ‘Impact Track’ assessment stream that requires additional analysis of environmental impacts through an Environmental Impact Statement (EIS).</w:t>
      </w:r>
    </w:p>
    <w:p w14:paraId="6DA4CEAA" w14:textId="422E471C" w:rsidR="004440A0" w:rsidRDefault="004440A0" w:rsidP="00FB4273">
      <w:pPr>
        <w:autoSpaceDE w:val="0"/>
        <w:autoSpaceDN w:val="0"/>
        <w:adjustRightInd w:val="0"/>
        <w:spacing w:after="120"/>
        <w:rPr>
          <w:rFonts w:ascii="Arial" w:hAnsi="Arial" w:cs="Arial"/>
          <w:sz w:val="24"/>
          <w:szCs w:val="24"/>
        </w:rPr>
      </w:pPr>
      <w:r>
        <w:rPr>
          <w:rFonts w:ascii="Arial" w:hAnsi="Arial" w:cs="Arial"/>
          <w:sz w:val="24"/>
          <w:szCs w:val="24"/>
        </w:rPr>
        <w:t>Members of the community can interact with the planning system in a number of ways.  These include:</w:t>
      </w:r>
    </w:p>
    <w:p w14:paraId="6DED42F3" w14:textId="5256EB7D" w:rsidR="004440A0" w:rsidRDefault="004440A0" w:rsidP="004440A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Objecting </w:t>
      </w:r>
      <w:r w:rsidR="0064756C">
        <w:rPr>
          <w:rFonts w:ascii="Arial" w:hAnsi="Arial" w:cs="Arial"/>
          <w:sz w:val="24"/>
          <w:szCs w:val="24"/>
        </w:rPr>
        <w:t>to</w:t>
      </w:r>
      <w:r>
        <w:rPr>
          <w:rFonts w:ascii="Arial" w:hAnsi="Arial" w:cs="Arial"/>
          <w:sz w:val="24"/>
          <w:szCs w:val="24"/>
        </w:rPr>
        <w:t xml:space="preserve"> development proposals during the ‘public notification’ process</w:t>
      </w:r>
    </w:p>
    <w:p w14:paraId="64ED5D58" w14:textId="0122EF0F" w:rsidR="004440A0" w:rsidRDefault="004440A0" w:rsidP="004440A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Making submissions on proposed changes to the Territory Plan</w:t>
      </w:r>
    </w:p>
    <w:p w14:paraId="4AC3382C" w14:textId="1571A8DB" w:rsidR="004440A0" w:rsidRPr="00FB4273" w:rsidRDefault="004440A0" w:rsidP="004440A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In certain circumstances, appealing development approvals</w:t>
      </w:r>
      <w:r w:rsidR="00A41F0F">
        <w:rPr>
          <w:rFonts w:ascii="Arial" w:hAnsi="Arial" w:cs="Arial"/>
          <w:sz w:val="24"/>
          <w:szCs w:val="24"/>
        </w:rPr>
        <w:t xml:space="preserve"> to the ACT Civil and Administrative Tribunal </w:t>
      </w:r>
      <w:r w:rsidR="0064756C">
        <w:rPr>
          <w:rFonts w:ascii="Arial" w:hAnsi="Arial" w:cs="Arial"/>
          <w:sz w:val="24"/>
          <w:szCs w:val="24"/>
        </w:rPr>
        <w:t xml:space="preserve">(ACAT) </w:t>
      </w:r>
      <w:r w:rsidR="00A41F0F">
        <w:rPr>
          <w:rFonts w:ascii="Arial" w:hAnsi="Arial" w:cs="Arial"/>
          <w:sz w:val="24"/>
          <w:szCs w:val="24"/>
        </w:rPr>
        <w:t>or Supreme Court</w:t>
      </w:r>
      <w:r>
        <w:rPr>
          <w:rFonts w:ascii="Arial" w:hAnsi="Arial" w:cs="Arial"/>
          <w:sz w:val="24"/>
          <w:szCs w:val="24"/>
        </w:rPr>
        <w:t>.</w:t>
      </w:r>
    </w:p>
    <w:p w14:paraId="3AE09F29" w14:textId="1EB7615A" w:rsidR="004440A0" w:rsidRDefault="004440A0" w:rsidP="004440A0">
      <w:pPr>
        <w:autoSpaceDE w:val="0"/>
        <w:autoSpaceDN w:val="0"/>
        <w:adjustRightInd w:val="0"/>
        <w:spacing w:after="120"/>
        <w:rPr>
          <w:rFonts w:ascii="Arial" w:hAnsi="Arial" w:cs="Arial"/>
          <w:sz w:val="24"/>
          <w:szCs w:val="24"/>
        </w:rPr>
      </w:pPr>
      <w:r>
        <w:rPr>
          <w:rFonts w:ascii="Arial" w:hAnsi="Arial" w:cs="Arial"/>
          <w:sz w:val="24"/>
          <w:szCs w:val="24"/>
        </w:rPr>
        <w:t xml:space="preserve">Other legislation </w:t>
      </w:r>
      <w:r w:rsidR="008F3DDA">
        <w:rPr>
          <w:rFonts w:ascii="Arial" w:hAnsi="Arial" w:cs="Arial"/>
          <w:sz w:val="24"/>
          <w:szCs w:val="24"/>
        </w:rPr>
        <w:t xml:space="preserve">also </w:t>
      </w:r>
      <w:r>
        <w:rPr>
          <w:rFonts w:ascii="Arial" w:hAnsi="Arial" w:cs="Arial"/>
          <w:sz w:val="24"/>
          <w:szCs w:val="24"/>
        </w:rPr>
        <w:t xml:space="preserve">addresses the </w:t>
      </w:r>
      <w:r w:rsidR="004F439A">
        <w:rPr>
          <w:rFonts w:ascii="Arial" w:hAnsi="Arial" w:cs="Arial"/>
          <w:sz w:val="24"/>
          <w:szCs w:val="24"/>
        </w:rPr>
        <w:t>environmental, amenity and other impacts of the built environment</w:t>
      </w:r>
      <w:r>
        <w:rPr>
          <w:rFonts w:ascii="Arial" w:hAnsi="Arial" w:cs="Arial"/>
          <w:sz w:val="24"/>
          <w:szCs w:val="24"/>
        </w:rPr>
        <w:t xml:space="preserve">.  For example, the </w:t>
      </w:r>
      <w:r w:rsidRPr="00FB4273">
        <w:rPr>
          <w:rFonts w:ascii="Arial" w:hAnsi="Arial" w:cs="Arial"/>
          <w:i/>
          <w:sz w:val="24"/>
          <w:szCs w:val="24"/>
        </w:rPr>
        <w:t>Residential Tenancies Act 1997</w:t>
      </w:r>
      <w:r>
        <w:rPr>
          <w:rFonts w:ascii="Arial" w:hAnsi="Arial" w:cs="Arial"/>
          <w:sz w:val="24"/>
          <w:szCs w:val="24"/>
        </w:rPr>
        <w:t xml:space="preserve"> requires that under certain circumstances, advertisements for rental properties must include a declaration of the energy efficiency of the rental property.  This has similar intent to planning legislation in that it intends to limit the environmental impact of the built environment, in this case through changing consumer behaviour.</w:t>
      </w:r>
    </w:p>
    <w:p w14:paraId="2A336796" w14:textId="77777777" w:rsidR="006D497E" w:rsidRDefault="006D497E" w:rsidP="0064756C">
      <w:pPr>
        <w:keepNext/>
        <w:keepLines/>
        <w:autoSpaceDE w:val="0"/>
        <w:autoSpaceDN w:val="0"/>
        <w:adjustRightInd w:val="0"/>
        <w:spacing w:after="120"/>
        <w:rPr>
          <w:rFonts w:ascii="Arial" w:hAnsi="Arial" w:cs="Arial"/>
          <w:b/>
          <w:color w:val="000000"/>
          <w:sz w:val="24"/>
          <w:szCs w:val="24"/>
        </w:rPr>
      </w:pPr>
      <w:r w:rsidRPr="00B55D49">
        <w:rPr>
          <w:rFonts w:ascii="Arial" w:hAnsi="Arial" w:cs="Arial"/>
          <w:b/>
          <w:color w:val="000000"/>
          <w:sz w:val="24"/>
          <w:szCs w:val="24"/>
        </w:rPr>
        <w:lastRenderedPageBreak/>
        <w:t xml:space="preserve">Overview </w:t>
      </w:r>
    </w:p>
    <w:p w14:paraId="0793A22C" w14:textId="60D08271" w:rsidR="004440A0" w:rsidRDefault="004440A0" w:rsidP="00DB5218">
      <w:pPr>
        <w:autoSpaceDE w:val="0"/>
        <w:autoSpaceDN w:val="0"/>
        <w:adjustRightInd w:val="0"/>
        <w:spacing w:after="120"/>
        <w:rPr>
          <w:rFonts w:ascii="Arial" w:hAnsi="Arial" w:cs="Arial"/>
          <w:sz w:val="24"/>
          <w:szCs w:val="24"/>
        </w:rPr>
      </w:pPr>
      <w:r>
        <w:rPr>
          <w:rFonts w:ascii="Arial" w:hAnsi="Arial" w:cs="Arial"/>
          <w:sz w:val="24"/>
          <w:szCs w:val="24"/>
        </w:rPr>
        <w:t>The Bill improve</w:t>
      </w:r>
      <w:r w:rsidR="00093065">
        <w:rPr>
          <w:rFonts w:ascii="Arial" w:hAnsi="Arial" w:cs="Arial"/>
          <w:sz w:val="24"/>
          <w:szCs w:val="24"/>
        </w:rPr>
        <w:t>s</w:t>
      </w:r>
      <w:r>
        <w:rPr>
          <w:rFonts w:ascii="Arial" w:hAnsi="Arial" w:cs="Arial"/>
          <w:sz w:val="24"/>
          <w:szCs w:val="24"/>
        </w:rPr>
        <w:t xml:space="preserve"> the environmental outcomes of planning and </w:t>
      </w:r>
      <w:r w:rsidR="009F4280">
        <w:rPr>
          <w:rFonts w:ascii="Arial" w:hAnsi="Arial" w:cs="Arial"/>
          <w:sz w:val="24"/>
          <w:szCs w:val="24"/>
        </w:rPr>
        <w:t>residential tenancies</w:t>
      </w:r>
      <w:r>
        <w:rPr>
          <w:rFonts w:ascii="Arial" w:hAnsi="Arial" w:cs="Arial"/>
          <w:sz w:val="24"/>
          <w:szCs w:val="24"/>
        </w:rPr>
        <w:t xml:space="preserve"> legislation by:</w:t>
      </w:r>
    </w:p>
    <w:p w14:paraId="246133C7" w14:textId="590080DB" w:rsidR="004440A0" w:rsidRDefault="004440A0" w:rsidP="004440A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Ensuring </w:t>
      </w:r>
      <w:r w:rsidR="00721200">
        <w:rPr>
          <w:rFonts w:ascii="Arial" w:hAnsi="Arial" w:cs="Arial"/>
          <w:sz w:val="24"/>
          <w:szCs w:val="24"/>
        </w:rPr>
        <w:t xml:space="preserve">that </w:t>
      </w:r>
      <w:r>
        <w:rPr>
          <w:rFonts w:ascii="Arial" w:hAnsi="Arial" w:cs="Arial"/>
          <w:sz w:val="24"/>
          <w:szCs w:val="24"/>
        </w:rPr>
        <w:t>greenhouse gas emissions and the ACT’s emissions targets</w:t>
      </w:r>
      <w:r w:rsidR="00721200">
        <w:rPr>
          <w:rFonts w:ascii="Arial" w:hAnsi="Arial" w:cs="Arial"/>
          <w:sz w:val="24"/>
          <w:szCs w:val="24"/>
        </w:rPr>
        <w:t xml:space="preserve">, </w:t>
      </w:r>
      <w:r>
        <w:rPr>
          <w:rFonts w:ascii="Arial" w:hAnsi="Arial" w:cs="Arial"/>
          <w:sz w:val="24"/>
          <w:szCs w:val="24"/>
        </w:rPr>
        <w:t>are considered</w:t>
      </w:r>
      <w:r w:rsidR="00721200">
        <w:rPr>
          <w:rFonts w:ascii="Arial" w:hAnsi="Arial" w:cs="Arial"/>
          <w:sz w:val="24"/>
          <w:szCs w:val="24"/>
        </w:rPr>
        <w:t xml:space="preserve"> during the assessment of development proposals un</w:t>
      </w:r>
      <w:r w:rsidR="00D55C02">
        <w:rPr>
          <w:rFonts w:ascii="Arial" w:hAnsi="Arial" w:cs="Arial"/>
          <w:sz w:val="24"/>
          <w:szCs w:val="24"/>
        </w:rPr>
        <w:t>der the ‘Merit Track’ and the ‘</w:t>
      </w:r>
      <w:r w:rsidR="001C11C1">
        <w:rPr>
          <w:rFonts w:ascii="Arial" w:hAnsi="Arial" w:cs="Arial"/>
          <w:sz w:val="24"/>
          <w:szCs w:val="24"/>
        </w:rPr>
        <w:t>I</w:t>
      </w:r>
      <w:r w:rsidR="00D55C02">
        <w:rPr>
          <w:rFonts w:ascii="Arial" w:hAnsi="Arial" w:cs="Arial"/>
          <w:sz w:val="24"/>
          <w:szCs w:val="24"/>
        </w:rPr>
        <w:t>mpact Track’</w:t>
      </w:r>
    </w:p>
    <w:p w14:paraId="3296E912" w14:textId="50DB3279" w:rsidR="00721200" w:rsidRDefault="00721200" w:rsidP="004440A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Requiring development proposals that have high greenhouse gas emissions to produce an EIS and therefore also</w:t>
      </w:r>
      <w:r w:rsidR="00D55C02">
        <w:rPr>
          <w:rFonts w:ascii="Arial" w:hAnsi="Arial" w:cs="Arial"/>
          <w:sz w:val="24"/>
          <w:szCs w:val="24"/>
        </w:rPr>
        <w:t xml:space="preserve"> fall under the more-intensive ‘</w:t>
      </w:r>
      <w:r>
        <w:rPr>
          <w:rFonts w:ascii="Arial" w:hAnsi="Arial" w:cs="Arial"/>
          <w:sz w:val="24"/>
          <w:szCs w:val="24"/>
        </w:rPr>
        <w:t>Im</w:t>
      </w:r>
      <w:r w:rsidR="00D55C02">
        <w:rPr>
          <w:rFonts w:ascii="Arial" w:hAnsi="Arial" w:cs="Arial"/>
          <w:sz w:val="24"/>
          <w:szCs w:val="24"/>
        </w:rPr>
        <w:t>pact Track’</w:t>
      </w:r>
      <w:r>
        <w:rPr>
          <w:rFonts w:ascii="Arial" w:hAnsi="Arial" w:cs="Arial"/>
          <w:sz w:val="24"/>
          <w:szCs w:val="24"/>
        </w:rPr>
        <w:t xml:space="preserve"> assessment process.  This recognises that </w:t>
      </w:r>
      <w:r w:rsidR="00D55C02">
        <w:rPr>
          <w:rFonts w:ascii="Arial" w:hAnsi="Arial" w:cs="Arial"/>
          <w:sz w:val="24"/>
          <w:szCs w:val="24"/>
        </w:rPr>
        <w:t xml:space="preserve">the environmental impacts of </w:t>
      </w:r>
      <w:r>
        <w:rPr>
          <w:rFonts w:ascii="Arial" w:hAnsi="Arial" w:cs="Arial"/>
          <w:sz w:val="24"/>
          <w:szCs w:val="24"/>
        </w:rPr>
        <w:t>greenhouse gas emissions are equally significant in their</w:t>
      </w:r>
      <w:r w:rsidR="004C7DA8">
        <w:rPr>
          <w:rFonts w:ascii="Arial" w:hAnsi="Arial" w:cs="Arial"/>
          <w:sz w:val="24"/>
          <w:szCs w:val="24"/>
        </w:rPr>
        <w:t xml:space="preserve"> impact</w:t>
      </w:r>
      <w:r>
        <w:rPr>
          <w:rFonts w:ascii="Arial" w:hAnsi="Arial" w:cs="Arial"/>
          <w:sz w:val="24"/>
          <w:szCs w:val="24"/>
        </w:rPr>
        <w:t xml:space="preserve"> to a number of other matters that already require an EIS under Schedule 4 of the </w:t>
      </w:r>
      <w:r w:rsidRPr="002E3FF3">
        <w:rPr>
          <w:rFonts w:ascii="Arial" w:hAnsi="Arial" w:cs="Arial"/>
          <w:i/>
          <w:sz w:val="24"/>
          <w:szCs w:val="24"/>
        </w:rPr>
        <w:t>Planning and Development Act 2007</w:t>
      </w:r>
    </w:p>
    <w:p w14:paraId="58F3C8D8" w14:textId="6D0FED39" w:rsidR="002E3FF3" w:rsidRDefault="002E3FF3" w:rsidP="004440A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Allowing existing energy efficiency disclosure ratings to be used in advertisements for rental properties for up to 18 months after they were created. This will increase the level of energy efficiency rating disclosure for rental properties</w:t>
      </w:r>
      <w:r w:rsidR="006650C5">
        <w:rPr>
          <w:rFonts w:ascii="Arial" w:hAnsi="Arial" w:cs="Arial"/>
          <w:sz w:val="24"/>
          <w:szCs w:val="24"/>
        </w:rPr>
        <w:t>, which is</w:t>
      </w:r>
      <w:r>
        <w:rPr>
          <w:rFonts w:ascii="Arial" w:hAnsi="Arial" w:cs="Arial"/>
          <w:sz w:val="24"/>
          <w:szCs w:val="24"/>
        </w:rPr>
        <w:t xml:space="preserve"> current</w:t>
      </w:r>
      <w:r w:rsidR="006650C5">
        <w:rPr>
          <w:rFonts w:ascii="Arial" w:hAnsi="Arial" w:cs="Arial"/>
          <w:sz w:val="24"/>
          <w:szCs w:val="24"/>
        </w:rPr>
        <w:t>ly very</w:t>
      </w:r>
      <w:r>
        <w:rPr>
          <w:rFonts w:ascii="Arial" w:hAnsi="Arial" w:cs="Arial"/>
          <w:sz w:val="24"/>
          <w:szCs w:val="24"/>
        </w:rPr>
        <w:t xml:space="preserve"> low</w:t>
      </w:r>
    </w:p>
    <w:p w14:paraId="4464E975" w14:textId="3388D483" w:rsidR="00D805B7" w:rsidRDefault="00D805B7" w:rsidP="004440A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Introducing </w:t>
      </w:r>
      <w:r w:rsidR="000C76CE">
        <w:rPr>
          <w:rFonts w:ascii="Arial" w:hAnsi="Arial" w:cs="Arial"/>
          <w:sz w:val="24"/>
          <w:szCs w:val="24"/>
        </w:rPr>
        <w:t xml:space="preserve">ACAT </w:t>
      </w:r>
      <w:r w:rsidR="00854EEB">
        <w:rPr>
          <w:rFonts w:ascii="Arial" w:hAnsi="Arial" w:cs="Arial"/>
          <w:sz w:val="24"/>
          <w:szCs w:val="24"/>
        </w:rPr>
        <w:t>appeal rights</w:t>
      </w:r>
      <w:r>
        <w:rPr>
          <w:rFonts w:ascii="Arial" w:hAnsi="Arial" w:cs="Arial"/>
          <w:sz w:val="24"/>
          <w:szCs w:val="24"/>
        </w:rPr>
        <w:t xml:space="preserve"> for EIS Exemption</w:t>
      </w:r>
      <w:r w:rsidR="005D1D76" w:rsidRPr="005D1D76">
        <w:rPr>
          <w:rFonts w:ascii="Arial" w:hAnsi="Arial" w:cs="Arial"/>
          <w:sz w:val="24"/>
          <w:szCs w:val="24"/>
        </w:rPr>
        <w:t xml:space="preserve"> </w:t>
      </w:r>
      <w:r w:rsidR="005D1D76">
        <w:rPr>
          <w:rFonts w:ascii="Arial" w:hAnsi="Arial" w:cs="Arial"/>
          <w:sz w:val="24"/>
          <w:szCs w:val="24"/>
        </w:rPr>
        <w:t>approvals</w:t>
      </w:r>
    </w:p>
    <w:p w14:paraId="4A71DC64" w14:textId="7129A1AA" w:rsidR="00721200" w:rsidRDefault="00721200" w:rsidP="00721200">
      <w:pPr>
        <w:autoSpaceDE w:val="0"/>
        <w:autoSpaceDN w:val="0"/>
        <w:adjustRightInd w:val="0"/>
        <w:spacing w:after="120"/>
        <w:rPr>
          <w:rFonts w:ascii="Arial" w:hAnsi="Arial" w:cs="Arial"/>
          <w:sz w:val="24"/>
          <w:szCs w:val="24"/>
        </w:rPr>
      </w:pPr>
      <w:r>
        <w:rPr>
          <w:rFonts w:ascii="Arial" w:hAnsi="Arial" w:cs="Arial"/>
          <w:sz w:val="24"/>
          <w:szCs w:val="24"/>
        </w:rPr>
        <w:t>The Bill improve</w:t>
      </w:r>
      <w:r w:rsidR="00093065">
        <w:rPr>
          <w:rFonts w:ascii="Arial" w:hAnsi="Arial" w:cs="Arial"/>
          <w:sz w:val="24"/>
          <w:szCs w:val="24"/>
        </w:rPr>
        <w:t>s</w:t>
      </w:r>
      <w:r>
        <w:rPr>
          <w:rFonts w:ascii="Arial" w:hAnsi="Arial" w:cs="Arial"/>
          <w:sz w:val="24"/>
          <w:szCs w:val="24"/>
        </w:rPr>
        <w:t xml:space="preserve"> the community’s ability to engage with </w:t>
      </w:r>
      <w:r w:rsidR="001C11C1">
        <w:rPr>
          <w:rFonts w:ascii="Arial" w:hAnsi="Arial" w:cs="Arial"/>
          <w:sz w:val="24"/>
          <w:szCs w:val="24"/>
        </w:rPr>
        <w:t xml:space="preserve">the </w:t>
      </w:r>
      <w:r>
        <w:rPr>
          <w:rFonts w:ascii="Arial" w:hAnsi="Arial" w:cs="Arial"/>
          <w:sz w:val="24"/>
          <w:szCs w:val="24"/>
        </w:rPr>
        <w:t xml:space="preserve">planning </w:t>
      </w:r>
      <w:r w:rsidR="001C11C1">
        <w:rPr>
          <w:rFonts w:ascii="Arial" w:hAnsi="Arial" w:cs="Arial"/>
          <w:sz w:val="24"/>
          <w:szCs w:val="24"/>
        </w:rPr>
        <w:t>system</w:t>
      </w:r>
      <w:r>
        <w:rPr>
          <w:rFonts w:ascii="Arial" w:hAnsi="Arial" w:cs="Arial"/>
          <w:sz w:val="24"/>
          <w:szCs w:val="24"/>
        </w:rPr>
        <w:t xml:space="preserve"> by:</w:t>
      </w:r>
    </w:p>
    <w:p w14:paraId="2F008C19" w14:textId="5C1A6086" w:rsidR="00A44780" w:rsidRDefault="00AF0771" w:rsidP="0072120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Extending</w:t>
      </w:r>
      <w:r w:rsidR="00A44780">
        <w:rPr>
          <w:rFonts w:ascii="Arial" w:hAnsi="Arial" w:cs="Arial"/>
          <w:sz w:val="24"/>
          <w:szCs w:val="24"/>
        </w:rPr>
        <w:t xml:space="preserve"> the </w:t>
      </w:r>
      <w:r>
        <w:rPr>
          <w:rFonts w:ascii="Arial" w:hAnsi="Arial" w:cs="Arial"/>
          <w:sz w:val="24"/>
          <w:szCs w:val="24"/>
        </w:rPr>
        <w:t xml:space="preserve">public notification </w:t>
      </w:r>
      <w:r w:rsidR="00A44780">
        <w:rPr>
          <w:rFonts w:ascii="Arial" w:hAnsi="Arial" w:cs="Arial"/>
          <w:sz w:val="24"/>
          <w:szCs w:val="24"/>
        </w:rPr>
        <w:t>of development applications over the Christmas/New Year holiday period to ensure community members don’t miss out on a chance to make a submission.</w:t>
      </w:r>
    </w:p>
    <w:p w14:paraId="5F462F41" w14:textId="7B00B9DC" w:rsidR="00854EEB" w:rsidRDefault="000C76CE" w:rsidP="00854EEB">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Restoring</w:t>
      </w:r>
      <w:r w:rsidR="00854EEB">
        <w:rPr>
          <w:rFonts w:ascii="Arial" w:hAnsi="Arial" w:cs="Arial"/>
          <w:sz w:val="24"/>
          <w:szCs w:val="24"/>
        </w:rPr>
        <w:t xml:space="preserve"> third-party appeal rights for development </w:t>
      </w:r>
      <w:r w:rsidR="00854EEB" w:rsidRPr="00D805B7">
        <w:rPr>
          <w:rFonts w:ascii="Arial" w:hAnsi="Arial" w:cs="Arial"/>
          <w:sz w:val="24"/>
          <w:szCs w:val="24"/>
        </w:rPr>
        <w:t xml:space="preserve">approvals that permit the removal of a tree that is a Registered Tree for the purposes of the </w:t>
      </w:r>
      <w:r w:rsidR="00854EEB" w:rsidRPr="00D805B7">
        <w:rPr>
          <w:rFonts w:ascii="Arial" w:hAnsi="Arial" w:cs="Arial"/>
          <w:i/>
          <w:sz w:val="24"/>
          <w:szCs w:val="24"/>
        </w:rPr>
        <w:t>Tree Protection Act</w:t>
      </w:r>
      <w:r>
        <w:rPr>
          <w:rFonts w:ascii="Arial" w:hAnsi="Arial" w:cs="Arial"/>
          <w:sz w:val="24"/>
          <w:szCs w:val="24"/>
        </w:rPr>
        <w:t>, where those appeal rights have been removed by regulation.</w:t>
      </w:r>
    </w:p>
    <w:p w14:paraId="61092C30" w14:textId="299D6D13" w:rsidR="00D805B7" w:rsidRDefault="00D805B7" w:rsidP="0072120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Increasing the availability of key information the community needs </w:t>
      </w:r>
      <w:r w:rsidR="00AF0771">
        <w:rPr>
          <w:rFonts w:ascii="Arial" w:hAnsi="Arial" w:cs="Arial"/>
          <w:sz w:val="24"/>
          <w:szCs w:val="24"/>
        </w:rPr>
        <w:t xml:space="preserve">in order </w:t>
      </w:r>
      <w:r>
        <w:rPr>
          <w:rFonts w:ascii="Arial" w:hAnsi="Arial" w:cs="Arial"/>
          <w:sz w:val="24"/>
          <w:szCs w:val="24"/>
        </w:rPr>
        <w:t xml:space="preserve">to </w:t>
      </w:r>
      <w:r w:rsidR="00AF0771">
        <w:rPr>
          <w:rFonts w:ascii="Arial" w:hAnsi="Arial" w:cs="Arial"/>
          <w:sz w:val="24"/>
          <w:szCs w:val="24"/>
        </w:rPr>
        <w:t xml:space="preserve">effectively </w:t>
      </w:r>
      <w:r>
        <w:rPr>
          <w:rFonts w:ascii="Arial" w:hAnsi="Arial" w:cs="Arial"/>
          <w:sz w:val="24"/>
          <w:szCs w:val="24"/>
        </w:rPr>
        <w:t xml:space="preserve">engage in </w:t>
      </w:r>
      <w:r w:rsidR="00AF0771">
        <w:rPr>
          <w:rFonts w:ascii="Arial" w:hAnsi="Arial" w:cs="Arial"/>
          <w:sz w:val="24"/>
          <w:szCs w:val="24"/>
        </w:rPr>
        <w:t xml:space="preserve">the </w:t>
      </w:r>
      <w:r>
        <w:rPr>
          <w:rFonts w:ascii="Arial" w:hAnsi="Arial" w:cs="Arial"/>
          <w:sz w:val="24"/>
          <w:szCs w:val="24"/>
        </w:rPr>
        <w:t xml:space="preserve">planning </w:t>
      </w:r>
      <w:r w:rsidR="00AF0771">
        <w:rPr>
          <w:rFonts w:ascii="Arial" w:hAnsi="Arial" w:cs="Arial"/>
          <w:sz w:val="24"/>
          <w:szCs w:val="24"/>
        </w:rPr>
        <w:t>system</w:t>
      </w:r>
      <w:r>
        <w:rPr>
          <w:rFonts w:ascii="Arial" w:hAnsi="Arial" w:cs="Arial"/>
          <w:sz w:val="24"/>
          <w:szCs w:val="24"/>
        </w:rPr>
        <w:t xml:space="preserve">, for example </w:t>
      </w:r>
      <w:r w:rsidR="006A033F">
        <w:rPr>
          <w:rFonts w:ascii="Arial" w:hAnsi="Arial" w:cs="Arial"/>
          <w:sz w:val="24"/>
          <w:szCs w:val="24"/>
        </w:rPr>
        <w:t xml:space="preserve">by </w:t>
      </w:r>
      <w:r>
        <w:rPr>
          <w:rFonts w:ascii="Arial" w:hAnsi="Arial" w:cs="Arial"/>
          <w:sz w:val="24"/>
          <w:szCs w:val="24"/>
        </w:rPr>
        <w:t>requiring the planning and land authority to keep development application public notificat</w:t>
      </w:r>
      <w:r w:rsidR="00854EEB">
        <w:rPr>
          <w:rFonts w:ascii="Arial" w:hAnsi="Arial" w:cs="Arial"/>
          <w:sz w:val="24"/>
          <w:szCs w:val="24"/>
        </w:rPr>
        <w:t>ion plans online for five years</w:t>
      </w:r>
    </w:p>
    <w:p w14:paraId="14953BD4" w14:textId="00994E14" w:rsidR="00854EEB" w:rsidRPr="00CA3311" w:rsidRDefault="005D1D76" w:rsidP="00D72E5C">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Allowing the planning and land authority to trigger a second round of public notification of a development application where further information is provided by the applicant.  This includes new powers for the authority to re-refer the application to referral entities (e.g. utilities) and the Design Review Panel</w:t>
      </w:r>
    </w:p>
    <w:p w14:paraId="21D32FF8" w14:textId="607DEDA3" w:rsidR="00854EEB" w:rsidRPr="00E738A8" w:rsidRDefault="00E738A8" w:rsidP="00854EEB">
      <w:pPr>
        <w:pStyle w:val="ListParagraph"/>
        <w:numPr>
          <w:ilvl w:val="0"/>
          <w:numId w:val="30"/>
        </w:numPr>
        <w:autoSpaceDE w:val="0"/>
        <w:autoSpaceDN w:val="0"/>
        <w:adjustRightInd w:val="0"/>
        <w:spacing w:after="120"/>
        <w:ind w:left="567" w:hanging="567"/>
        <w:rPr>
          <w:rFonts w:ascii="Arial" w:hAnsi="Arial" w:cs="Arial"/>
          <w:sz w:val="24"/>
          <w:szCs w:val="24"/>
        </w:rPr>
      </w:pPr>
      <w:r w:rsidRPr="00E738A8">
        <w:rPr>
          <w:rFonts w:ascii="Arial" w:hAnsi="Arial" w:cs="Arial"/>
          <w:sz w:val="24"/>
          <w:szCs w:val="24"/>
        </w:rPr>
        <w:t xml:space="preserve">Expanding pre-application consultation to </w:t>
      </w:r>
      <w:r w:rsidR="00264402">
        <w:rPr>
          <w:rFonts w:ascii="Arial" w:hAnsi="Arial" w:cs="Arial"/>
          <w:sz w:val="24"/>
          <w:szCs w:val="24"/>
        </w:rPr>
        <w:t>major development proposals</w:t>
      </w:r>
      <w:r w:rsidRPr="00E738A8">
        <w:rPr>
          <w:rFonts w:ascii="Arial" w:hAnsi="Arial" w:cs="Arial"/>
          <w:sz w:val="24"/>
          <w:szCs w:val="24"/>
        </w:rPr>
        <w:t xml:space="preserve"> in newer suburbs in </w:t>
      </w:r>
      <w:r w:rsidR="005D1D76">
        <w:rPr>
          <w:rFonts w:ascii="Arial" w:hAnsi="Arial" w:cs="Arial"/>
          <w:sz w:val="24"/>
          <w:szCs w:val="24"/>
        </w:rPr>
        <w:t xml:space="preserve">Belconnen, </w:t>
      </w:r>
      <w:r w:rsidRPr="00E738A8">
        <w:rPr>
          <w:rFonts w:ascii="Arial" w:hAnsi="Arial" w:cs="Arial"/>
          <w:sz w:val="24"/>
          <w:szCs w:val="24"/>
        </w:rPr>
        <w:t>Gungahlin and the Molonglo Valley</w:t>
      </w:r>
      <w:r w:rsidR="00B4588A">
        <w:rPr>
          <w:rFonts w:ascii="Arial" w:hAnsi="Arial" w:cs="Arial"/>
          <w:sz w:val="24"/>
          <w:szCs w:val="24"/>
        </w:rPr>
        <w:t>, so that local residents have a chance to have their say in the same way as residents in other parts of Canberra</w:t>
      </w:r>
    </w:p>
    <w:p w14:paraId="33419B39" w14:textId="2F8FD3CE" w:rsidR="00126688" w:rsidRDefault="00854EEB" w:rsidP="0072120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Making </w:t>
      </w:r>
      <w:r w:rsidR="002E6F6E">
        <w:rPr>
          <w:rFonts w:ascii="Arial" w:hAnsi="Arial" w:cs="Arial"/>
          <w:sz w:val="24"/>
          <w:szCs w:val="24"/>
        </w:rPr>
        <w:t xml:space="preserve">disallowable </w:t>
      </w:r>
      <w:r>
        <w:rPr>
          <w:rFonts w:ascii="Arial" w:hAnsi="Arial" w:cs="Arial"/>
          <w:sz w:val="24"/>
          <w:szCs w:val="24"/>
        </w:rPr>
        <w:t xml:space="preserve">a decision to </w:t>
      </w:r>
      <w:r w:rsidR="002E6F6E">
        <w:rPr>
          <w:rFonts w:ascii="Arial" w:hAnsi="Arial" w:cs="Arial"/>
          <w:sz w:val="24"/>
          <w:szCs w:val="24"/>
        </w:rPr>
        <w:t>apply</w:t>
      </w:r>
      <w:r>
        <w:rPr>
          <w:rFonts w:ascii="Arial" w:hAnsi="Arial" w:cs="Arial"/>
          <w:sz w:val="24"/>
          <w:szCs w:val="24"/>
        </w:rPr>
        <w:t xml:space="preserve"> </w:t>
      </w:r>
      <w:r w:rsidR="002E6F6E">
        <w:rPr>
          <w:rFonts w:ascii="Arial" w:hAnsi="Arial" w:cs="Arial"/>
          <w:sz w:val="24"/>
          <w:szCs w:val="24"/>
        </w:rPr>
        <w:t xml:space="preserve">‘interim effect’ to a </w:t>
      </w:r>
      <w:r>
        <w:rPr>
          <w:rFonts w:ascii="Arial" w:hAnsi="Arial" w:cs="Arial"/>
          <w:sz w:val="24"/>
          <w:szCs w:val="24"/>
        </w:rPr>
        <w:t>Territory Plan Variation</w:t>
      </w:r>
      <w:r w:rsidR="002E6F6E">
        <w:rPr>
          <w:rFonts w:ascii="Arial" w:hAnsi="Arial" w:cs="Arial"/>
          <w:sz w:val="24"/>
          <w:szCs w:val="24"/>
        </w:rPr>
        <w:t>.  ‘Interim effect’ allows a Territory Plan Variation to be temporarily brought into force prior to the usual consultation and Assembly Select Committee processes.</w:t>
      </w:r>
    </w:p>
    <w:p w14:paraId="660799F9" w14:textId="77777777" w:rsidR="0034478A" w:rsidRDefault="0034478A">
      <w:pPr>
        <w:spacing w:after="0" w:line="240" w:lineRule="auto"/>
        <w:rPr>
          <w:rFonts w:ascii="Arial" w:hAnsi="Arial" w:cs="Arial"/>
          <w:sz w:val="24"/>
          <w:szCs w:val="24"/>
        </w:rPr>
      </w:pPr>
      <w:r>
        <w:rPr>
          <w:rFonts w:ascii="Arial" w:hAnsi="Arial" w:cs="Arial"/>
          <w:sz w:val="24"/>
          <w:szCs w:val="24"/>
        </w:rPr>
        <w:br w:type="page"/>
      </w:r>
    </w:p>
    <w:p w14:paraId="4E29D617" w14:textId="2A32482C" w:rsidR="00721200" w:rsidRDefault="00721200" w:rsidP="00DB5218">
      <w:pPr>
        <w:autoSpaceDE w:val="0"/>
        <w:autoSpaceDN w:val="0"/>
        <w:adjustRightInd w:val="0"/>
        <w:spacing w:after="120"/>
        <w:rPr>
          <w:rFonts w:ascii="Arial" w:hAnsi="Arial" w:cs="Arial"/>
          <w:sz w:val="24"/>
          <w:szCs w:val="24"/>
        </w:rPr>
      </w:pPr>
      <w:r>
        <w:rPr>
          <w:rFonts w:ascii="Arial" w:hAnsi="Arial" w:cs="Arial"/>
          <w:sz w:val="24"/>
          <w:szCs w:val="24"/>
        </w:rPr>
        <w:lastRenderedPageBreak/>
        <w:t xml:space="preserve">The Bill </w:t>
      </w:r>
      <w:r w:rsidR="00264402">
        <w:rPr>
          <w:rFonts w:ascii="Arial" w:hAnsi="Arial" w:cs="Arial"/>
          <w:sz w:val="24"/>
          <w:szCs w:val="24"/>
        </w:rPr>
        <w:t xml:space="preserve">also </w:t>
      </w:r>
      <w:r>
        <w:rPr>
          <w:rFonts w:ascii="Arial" w:hAnsi="Arial" w:cs="Arial"/>
          <w:sz w:val="24"/>
          <w:szCs w:val="24"/>
        </w:rPr>
        <w:t>improve</w:t>
      </w:r>
      <w:r w:rsidR="00093065">
        <w:rPr>
          <w:rFonts w:ascii="Arial" w:hAnsi="Arial" w:cs="Arial"/>
          <w:sz w:val="24"/>
          <w:szCs w:val="24"/>
        </w:rPr>
        <w:t>s</w:t>
      </w:r>
      <w:r>
        <w:rPr>
          <w:rFonts w:ascii="Arial" w:hAnsi="Arial" w:cs="Arial"/>
          <w:sz w:val="24"/>
          <w:szCs w:val="24"/>
        </w:rPr>
        <w:t xml:space="preserve"> the </w:t>
      </w:r>
      <w:r w:rsidR="00264402">
        <w:rPr>
          <w:rFonts w:ascii="Arial" w:hAnsi="Arial" w:cs="Arial"/>
          <w:sz w:val="24"/>
          <w:szCs w:val="24"/>
        </w:rPr>
        <w:t>outcomes</w:t>
      </w:r>
      <w:r>
        <w:rPr>
          <w:rFonts w:ascii="Arial" w:hAnsi="Arial" w:cs="Arial"/>
          <w:sz w:val="24"/>
          <w:szCs w:val="24"/>
        </w:rPr>
        <w:t xml:space="preserve"> of the planning system </w:t>
      </w:r>
      <w:r w:rsidR="00264402">
        <w:rPr>
          <w:rFonts w:ascii="Arial" w:hAnsi="Arial" w:cs="Arial"/>
          <w:sz w:val="24"/>
          <w:szCs w:val="24"/>
        </w:rPr>
        <w:t xml:space="preserve">for the wider community </w:t>
      </w:r>
      <w:r>
        <w:rPr>
          <w:rFonts w:ascii="Arial" w:hAnsi="Arial" w:cs="Arial"/>
          <w:sz w:val="24"/>
          <w:szCs w:val="24"/>
        </w:rPr>
        <w:t>by:</w:t>
      </w:r>
    </w:p>
    <w:p w14:paraId="1BB511BB" w14:textId="77777777" w:rsidR="009F52E2" w:rsidRDefault="009F52E2" w:rsidP="009F52E2">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Giving</w:t>
      </w:r>
      <w:r w:rsidRPr="00854EEB">
        <w:rPr>
          <w:rFonts w:ascii="Arial" w:hAnsi="Arial" w:cs="Arial"/>
          <w:sz w:val="24"/>
          <w:szCs w:val="24"/>
        </w:rPr>
        <w:t xml:space="preserve"> the </w:t>
      </w:r>
      <w:r>
        <w:rPr>
          <w:rFonts w:ascii="Arial" w:hAnsi="Arial" w:cs="Arial"/>
          <w:sz w:val="24"/>
          <w:szCs w:val="24"/>
        </w:rPr>
        <w:t>planning and land authority</w:t>
      </w:r>
      <w:r w:rsidRPr="00854EEB">
        <w:rPr>
          <w:rFonts w:ascii="Arial" w:hAnsi="Arial" w:cs="Arial"/>
          <w:sz w:val="24"/>
          <w:szCs w:val="24"/>
        </w:rPr>
        <w:t xml:space="preserve"> a power to reject </w:t>
      </w:r>
      <w:r>
        <w:rPr>
          <w:rFonts w:ascii="Arial" w:hAnsi="Arial" w:cs="Arial"/>
          <w:sz w:val="24"/>
          <w:szCs w:val="24"/>
        </w:rPr>
        <w:t>a development application</w:t>
      </w:r>
      <w:r w:rsidRPr="00854EEB">
        <w:rPr>
          <w:rFonts w:ascii="Arial" w:hAnsi="Arial" w:cs="Arial"/>
          <w:sz w:val="24"/>
          <w:szCs w:val="24"/>
        </w:rPr>
        <w:t xml:space="preserve"> where </w:t>
      </w:r>
      <w:r>
        <w:rPr>
          <w:rFonts w:ascii="Arial" w:hAnsi="Arial" w:cs="Arial"/>
          <w:sz w:val="24"/>
          <w:szCs w:val="24"/>
        </w:rPr>
        <w:t>the</w:t>
      </w:r>
      <w:r w:rsidRPr="00854EEB">
        <w:rPr>
          <w:rFonts w:ascii="Arial" w:hAnsi="Arial" w:cs="Arial"/>
          <w:sz w:val="24"/>
          <w:szCs w:val="24"/>
        </w:rPr>
        <w:t xml:space="preserve"> application, or </w:t>
      </w:r>
      <w:r>
        <w:rPr>
          <w:rFonts w:ascii="Arial" w:hAnsi="Arial" w:cs="Arial"/>
          <w:sz w:val="24"/>
          <w:szCs w:val="24"/>
        </w:rPr>
        <w:t>further</w:t>
      </w:r>
      <w:r w:rsidRPr="00854EEB">
        <w:rPr>
          <w:rFonts w:ascii="Arial" w:hAnsi="Arial" w:cs="Arial"/>
          <w:sz w:val="24"/>
          <w:szCs w:val="24"/>
        </w:rPr>
        <w:t xml:space="preserve"> information submitted later in the development assessment process, contains false or misleading information</w:t>
      </w:r>
    </w:p>
    <w:p w14:paraId="047F0966" w14:textId="6C44AF45" w:rsidR="00854EEB" w:rsidRDefault="00854EEB" w:rsidP="00854EEB">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Making </w:t>
      </w:r>
      <w:r w:rsidR="00A1419C">
        <w:rPr>
          <w:rFonts w:ascii="Arial" w:hAnsi="Arial" w:cs="Arial"/>
          <w:sz w:val="24"/>
          <w:szCs w:val="24"/>
        </w:rPr>
        <w:t xml:space="preserve">disallowable </w:t>
      </w:r>
      <w:r>
        <w:rPr>
          <w:rFonts w:ascii="Arial" w:hAnsi="Arial" w:cs="Arial"/>
          <w:sz w:val="24"/>
          <w:szCs w:val="24"/>
        </w:rPr>
        <w:t>a decision by the Minister to ‘call-in’ a development application for Ministerial decision</w:t>
      </w:r>
      <w:r w:rsidR="00A1419C">
        <w:rPr>
          <w:rFonts w:ascii="Arial" w:hAnsi="Arial" w:cs="Arial"/>
          <w:sz w:val="24"/>
          <w:szCs w:val="24"/>
        </w:rPr>
        <w:t>.  A ‘call-in’</w:t>
      </w:r>
      <w:r>
        <w:rPr>
          <w:rFonts w:ascii="Arial" w:hAnsi="Arial" w:cs="Arial"/>
          <w:sz w:val="24"/>
          <w:szCs w:val="24"/>
        </w:rPr>
        <w:t xml:space="preserve"> essentially over-ride</w:t>
      </w:r>
      <w:r w:rsidR="00A1419C">
        <w:rPr>
          <w:rFonts w:ascii="Arial" w:hAnsi="Arial" w:cs="Arial"/>
          <w:sz w:val="24"/>
          <w:szCs w:val="24"/>
        </w:rPr>
        <w:t>s normal assessment processes, which do not permit Ministerial involvement</w:t>
      </w:r>
    </w:p>
    <w:p w14:paraId="48078174" w14:textId="45EA8A17" w:rsidR="00854EEB" w:rsidRDefault="00854EEB" w:rsidP="00854EEB">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Making </w:t>
      </w:r>
      <w:r w:rsidR="00A1419C">
        <w:rPr>
          <w:rFonts w:ascii="Arial" w:hAnsi="Arial" w:cs="Arial"/>
          <w:sz w:val="24"/>
          <w:szCs w:val="24"/>
        </w:rPr>
        <w:t xml:space="preserve">disallowable </w:t>
      </w:r>
      <w:r>
        <w:rPr>
          <w:rFonts w:ascii="Arial" w:hAnsi="Arial" w:cs="Arial"/>
          <w:sz w:val="24"/>
          <w:szCs w:val="24"/>
        </w:rPr>
        <w:t xml:space="preserve">a ‘public interest’ decision by the Minister to </w:t>
      </w:r>
      <w:r w:rsidR="00A1419C">
        <w:rPr>
          <w:rFonts w:ascii="Arial" w:hAnsi="Arial" w:cs="Arial"/>
          <w:sz w:val="24"/>
          <w:szCs w:val="24"/>
        </w:rPr>
        <w:t xml:space="preserve">allow the planning and land authority to consider a development application to </w:t>
      </w:r>
      <w:r>
        <w:rPr>
          <w:rFonts w:ascii="Arial" w:hAnsi="Arial" w:cs="Arial"/>
          <w:sz w:val="24"/>
          <w:szCs w:val="24"/>
        </w:rPr>
        <w:t>de-concessionalise land</w:t>
      </w:r>
      <w:r w:rsidR="002039EC">
        <w:rPr>
          <w:rFonts w:ascii="Arial" w:hAnsi="Arial" w:cs="Arial"/>
          <w:sz w:val="24"/>
          <w:szCs w:val="24"/>
        </w:rPr>
        <w:t>.  De-concessionalisation of community and recreation land has been co</w:t>
      </w:r>
      <w:r w:rsidR="00A1419C">
        <w:rPr>
          <w:rFonts w:ascii="Arial" w:hAnsi="Arial" w:cs="Arial"/>
          <w:sz w:val="24"/>
          <w:szCs w:val="24"/>
        </w:rPr>
        <w:t>ntroversial over many years.  M</w:t>
      </w:r>
      <w:r w:rsidR="002039EC">
        <w:rPr>
          <w:rFonts w:ascii="Arial" w:hAnsi="Arial" w:cs="Arial"/>
          <w:sz w:val="24"/>
          <w:szCs w:val="24"/>
        </w:rPr>
        <w:t xml:space="preserve">any in the community feel that </w:t>
      </w:r>
      <w:r w:rsidR="00A1419C">
        <w:rPr>
          <w:rFonts w:ascii="Arial" w:hAnsi="Arial" w:cs="Arial"/>
          <w:sz w:val="24"/>
          <w:szCs w:val="24"/>
        </w:rPr>
        <w:t xml:space="preserve">a steady stream of approvals for </w:t>
      </w:r>
      <w:r w:rsidR="002039EC">
        <w:rPr>
          <w:rFonts w:ascii="Arial" w:hAnsi="Arial" w:cs="Arial"/>
          <w:sz w:val="24"/>
          <w:szCs w:val="24"/>
        </w:rPr>
        <w:t>de-concessionalisation is running down the supply of low-cost land available for community and recreation purposes</w:t>
      </w:r>
      <w:r w:rsidR="00A1419C">
        <w:rPr>
          <w:rFonts w:ascii="Arial" w:hAnsi="Arial" w:cs="Arial"/>
          <w:sz w:val="24"/>
          <w:szCs w:val="24"/>
        </w:rPr>
        <w:t>, with no net community benefit</w:t>
      </w:r>
    </w:p>
    <w:p w14:paraId="3607095F" w14:textId="339C0ECA" w:rsidR="00721200" w:rsidRDefault="00D012F9" w:rsidP="00D012F9">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Widening the scope of the Design Review Panel to cover large retail developments</w:t>
      </w:r>
    </w:p>
    <w:p w14:paraId="638575BD" w14:textId="3D58CAFA" w:rsidR="00E42324" w:rsidRDefault="00E42324" w:rsidP="00D012F9">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Addressing a </w:t>
      </w:r>
      <w:r w:rsidR="00264402">
        <w:rPr>
          <w:rFonts w:ascii="Arial" w:hAnsi="Arial" w:cs="Arial"/>
          <w:sz w:val="24"/>
          <w:szCs w:val="24"/>
        </w:rPr>
        <w:t>shortcoming</w:t>
      </w:r>
      <w:r w:rsidR="00AA65E1">
        <w:rPr>
          <w:rFonts w:ascii="Arial" w:hAnsi="Arial" w:cs="Arial"/>
          <w:sz w:val="24"/>
          <w:szCs w:val="24"/>
        </w:rPr>
        <w:t xml:space="preserve"> in arrangements for Legislative </w:t>
      </w:r>
      <w:r>
        <w:rPr>
          <w:rFonts w:ascii="Arial" w:hAnsi="Arial" w:cs="Arial"/>
          <w:sz w:val="24"/>
          <w:szCs w:val="24"/>
        </w:rPr>
        <w:t xml:space="preserve">Assembly </w:t>
      </w:r>
      <w:r w:rsidR="00AA65E1">
        <w:rPr>
          <w:rFonts w:ascii="Arial" w:hAnsi="Arial" w:cs="Arial"/>
          <w:sz w:val="24"/>
          <w:szCs w:val="24"/>
        </w:rPr>
        <w:t xml:space="preserve">Select </w:t>
      </w:r>
      <w:r>
        <w:rPr>
          <w:rFonts w:ascii="Arial" w:hAnsi="Arial" w:cs="Arial"/>
          <w:sz w:val="24"/>
          <w:szCs w:val="24"/>
        </w:rPr>
        <w:t xml:space="preserve">Committee inquiries </w:t>
      </w:r>
      <w:r w:rsidR="00AA65E1">
        <w:rPr>
          <w:rFonts w:ascii="Arial" w:hAnsi="Arial" w:cs="Arial"/>
          <w:sz w:val="24"/>
          <w:szCs w:val="24"/>
        </w:rPr>
        <w:t>into</w:t>
      </w:r>
      <w:r>
        <w:rPr>
          <w:rFonts w:ascii="Arial" w:hAnsi="Arial" w:cs="Arial"/>
          <w:sz w:val="24"/>
          <w:szCs w:val="24"/>
        </w:rPr>
        <w:t xml:space="preserve"> Territory Plan Variations.  Currently, where the Planning Minister refers a Variation </w:t>
      </w:r>
      <w:r w:rsidR="00AA65E1">
        <w:rPr>
          <w:rFonts w:ascii="Arial" w:hAnsi="Arial" w:cs="Arial"/>
          <w:sz w:val="24"/>
          <w:szCs w:val="24"/>
        </w:rPr>
        <w:t xml:space="preserve">to the Standing Committee </w:t>
      </w:r>
      <w:r>
        <w:rPr>
          <w:rFonts w:ascii="Arial" w:hAnsi="Arial" w:cs="Arial"/>
          <w:sz w:val="24"/>
          <w:szCs w:val="24"/>
        </w:rPr>
        <w:t>late in the term of the Assembly, election timing may mean it is impossibl</w:t>
      </w:r>
      <w:r w:rsidR="00126688">
        <w:rPr>
          <w:rFonts w:ascii="Arial" w:hAnsi="Arial" w:cs="Arial"/>
          <w:sz w:val="24"/>
          <w:szCs w:val="24"/>
        </w:rPr>
        <w:t>e for the Committee to hold an i</w:t>
      </w:r>
      <w:r>
        <w:rPr>
          <w:rFonts w:ascii="Arial" w:hAnsi="Arial" w:cs="Arial"/>
          <w:sz w:val="24"/>
          <w:szCs w:val="24"/>
        </w:rPr>
        <w:t xml:space="preserve">nquiry on a </w:t>
      </w:r>
      <w:r w:rsidR="00687C84">
        <w:rPr>
          <w:rFonts w:ascii="Arial" w:hAnsi="Arial" w:cs="Arial"/>
          <w:sz w:val="24"/>
          <w:szCs w:val="24"/>
        </w:rPr>
        <w:t>Variation</w:t>
      </w:r>
      <w:r>
        <w:rPr>
          <w:rFonts w:ascii="Arial" w:hAnsi="Arial" w:cs="Arial"/>
          <w:sz w:val="24"/>
          <w:szCs w:val="24"/>
        </w:rPr>
        <w:t xml:space="preserve"> that warrants one.</w:t>
      </w:r>
    </w:p>
    <w:p w14:paraId="1CD8A237" w14:textId="77777777" w:rsidR="00E65972" w:rsidRPr="00104FE3" w:rsidRDefault="00E65972" w:rsidP="00DB5218">
      <w:pPr>
        <w:keepNext/>
        <w:keepLines/>
        <w:autoSpaceDE w:val="0"/>
        <w:autoSpaceDN w:val="0"/>
        <w:adjustRightInd w:val="0"/>
        <w:spacing w:after="120"/>
        <w:rPr>
          <w:rFonts w:ascii="Arial" w:hAnsi="Arial" w:cs="Arial"/>
          <w:b/>
          <w:color w:val="000000"/>
          <w:sz w:val="24"/>
          <w:szCs w:val="24"/>
        </w:rPr>
      </w:pPr>
      <w:r w:rsidRPr="00104FE3">
        <w:rPr>
          <w:rFonts w:ascii="Arial" w:hAnsi="Arial" w:cs="Arial"/>
          <w:b/>
          <w:color w:val="000000"/>
          <w:sz w:val="24"/>
          <w:szCs w:val="24"/>
        </w:rPr>
        <w:t>Human Rights</w:t>
      </w:r>
    </w:p>
    <w:p w14:paraId="24138A98" w14:textId="126FB4AF" w:rsidR="005A68E0" w:rsidRDefault="005A68E0" w:rsidP="005A68E0">
      <w:pPr>
        <w:autoSpaceDE w:val="0"/>
        <w:autoSpaceDN w:val="0"/>
        <w:adjustRightInd w:val="0"/>
        <w:spacing w:after="120"/>
        <w:rPr>
          <w:rFonts w:ascii="Arial" w:hAnsi="Arial" w:cs="Arial"/>
          <w:sz w:val="24"/>
          <w:szCs w:val="24"/>
        </w:rPr>
      </w:pPr>
      <w:r>
        <w:rPr>
          <w:rFonts w:ascii="Arial" w:hAnsi="Arial" w:cs="Arial"/>
          <w:sz w:val="24"/>
          <w:szCs w:val="24"/>
        </w:rPr>
        <w:t xml:space="preserve">This Bill has minor impacts for the </w:t>
      </w:r>
      <w:r w:rsidR="00E66A3D">
        <w:rPr>
          <w:rFonts w:ascii="Arial" w:hAnsi="Arial" w:cs="Arial"/>
          <w:sz w:val="24"/>
          <w:szCs w:val="24"/>
        </w:rPr>
        <w:t>‘right to freedom of expression’ and the ‘right to take part in public life’</w:t>
      </w:r>
      <w:r w:rsidR="001C1CD0">
        <w:rPr>
          <w:rFonts w:ascii="Arial" w:hAnsi="Arial" w:cs="Arial"/>
          <w:sz w:val="24"/>
          <w:szCs w:val="24"/>
        </w:rPr>
        <w:t>.  The Bill</w:t>
      </w:r>
      <w:r w:rsidR="00E66A3D">
        <w:rPr>
          <w:rFonts w:ascii="Arial" w:hAnsi="Arial" w:cs="Arial"/>
          <w:sz w:val="24"/>
          <w:szCs w:val="24"/>
        </w:rPr>
        <w:t>:</w:t>
      </w:r>
    </w:p>
    <w:p w14:paraId="33628148" w14:textId="0C75E48A" w:rsidR="001C1CD0" w:rsidRPr="004A4080" w:rsidRDefault="001C1CD0" w:rsidP="001C1CD0">
      <w:pPr>
        <w:pStyle w:val="ListParagraph"/>
        <w:numPr>
          <w:ilvl w:val="0"/>
          <w:numId w:val="30"/>
        </w:numPr>
        <w:autoSpaceDE w:val="0"/>
        <w:autoSpaceDN w:val="0"/>
        <w:adjustRightInd w:val="0"/>
        <w:spacing w:after="120"/>
        <w:ind w:left="567" w:hanging="567"/>
        <w:rPr>
          <w:rFonts w:ascii="Arial" w:hAnsi="Arial" w:cs="Arial"/>
          <w:sz w:val="24"/>
          <w:szCs w:val="24"/>
        </w:rPr>
      </w:pPr>
      <w:r>
        <w:rPr>
          <w:rFonts w:ascii="Arial" w:hAnsi="Arial" w:cs="Arial"/>
          <w:sz w:val="24"/>
          <w:szCs w:val="24"/>
        </w:rPr>
        <w:t xml:space="preserve">Provides </w:t>
      </w:r>
      <w:r w:rsidR="004A4080">
        <w:rPr>
          <w:rFonts w:ascii="Arial" w:hAnsi="Arial" w:cs="Arial"/>
          <w:sz w:val="24"/>
          <w:szCs w:val="24"/>
        </w:rPr>
        <w:t>several</w:t>
      </w:r>
      <w:r>
        <w:rPr>
          <w:rFonts w:ascii="Arial" w:hAnsi="Arial" w:cs="Arial"/>
          <w:sz w:val="24"/>
          <w:szCs w:val="24"/>
        </w:rPr>
        <w:t xml:space="preserve"> expansion</w:t>
      </w:r>
      <w:r w:rsidR="004A4080">
        <w:rPr>
          <w:rFonts w:ascii="Arial" w:hAnsi="Arial" w:cs="Arial"/>
          <w:sz w:val="24"/>
          <w:szCs w:val="24"/>
        </w:rPr>
        <w:t>s</w:t>
      </w:r>
      <w:r>
        <w:rPr>
          <w:rFonts w:ascii="Arial" w:hAnsi="Arial" w:cs="Arial"/>
          <w:sz w:val="24"/>
          <w:szCs w:val="24"/>
        </w:rPr>
        <w:t xml:space="preserve"> </w:t>
      </w:r>
      <w:r w:rsidRPr="004A4080">
        <w:rPr>
          <w:rFonts w:ascii="Arial" w:hAnsi="Arial" w:cs="Arial"/>
          <w:sz w:val="24"/>
          <w:szCs w:val="24"/>
        </w:rPr>
        <w:t xml:space="preserve">to the ability of community members to engage in the planning system, including greater appeal rights – see Clauses </w:t>
      </w:r>
      <w:r w:rsidR="004A4080" w:rsidRPr="004A4080">
        <w:rPr>
          <w:rFonts w:ascii="Arial" w:hAnsi="Arial" w:cs="Arial"/>
          <w:sz w:val="24"/>
          <w:szCs w:val="24"/>
        </w:rPr>
        <w:t>15</w:t>
      </w:r>
      <w:r w:rsidRPr="004A4080">
        <w:rPr>
          <w:rFonts w:ascii="Arial" w:hAnsi="Arial" w:cs="Arial"/>
          <w:sz w:val="24"/>
          <w:szCs w:val="24"/>
        </w:rPr>
        <w:t xml:space="preserve">, </w:t>
      </w:r>
      <w:r w:rsidR="004A4080" w:rsidRPr="004A4080">
        <w:rPr>
          <w:rFonts w:ascii="Arial" w:hAnsi="Arial" w:cs="Arial"/>
          <w:sz w:val="24"/>
          <w:szCs w:val="24"/>
        </w:rPr>
        <w:t>19, 22, 25</w:t>
      </w:r>
      <w:r w:rsidRPr="004A4080">
        <w:rPr>
          <w:rFonts w:ascii="Arial" w:hAnsi="Arial" w:cs="Arial"/>
          <w:sz w:val="24"/>
          <w:szCs w:val="24"/>
        </w:rPr>
        <w:t xml:space="preserve"> and </w:t>
      </w:r>
      <w:r w:rsidR="004A4080" w:rsidRPr="004A4080">
        <w:rPr>
          <w:rFonts w:ascii="Arial" w:hAnsi="Arial" w:cs="Arial"/>
          <w:sz w:val="24"/>
          <w:szCs w:val="24"/>
        </w:rPr>
        <w:t>27</w:t>
      </w:r>
    </w:p>
    <w:p w14:paraId="65066618" w14:textId="10F331FD" w:rsidR="001C1CD0" w:rsidRPr="004A4080" w:rsidRDefault="001C1CD0" w:rsidP="001C1CD0">
      <w:pPr>
        <w:pStyle w:val="ListParagraph"/>
        <w:numPr>
          <w:ilvl w:val="0"/>
          <w:numId w:val="30"/>
        </w:numPr>
        <w:autoSpaceDE w:val="0"/>
        <w:autoSpaceDN w:val="0"/>
        <w:adjustRightInd w:val="0"/>
        <w:spacing w:after="120"/>
        <w:ind w:left="567" w:hanging="567"/>
        <w:rPr>
          <w:rFonts w:ascii="Arial" w:hAnsi="Arial" w:cs="Arial"/>
          <w:sz w:val="24"/>
          <w:szCs w:val="24"/>
        </w:rPr>
      </w:pPr>
      <w:r w:rsidRPr="004A4080">
        <w:rPr>
          <w:rFonts w:ascii="Arial" w:hAnsi="Arial" w:cs="Arial"/>
          <w:sz w:val="24"/>
          <w:szCs w:val="24"/>
        </w:rPr>
        <w:t xml:space="preserve">Provides easier access to information held by the ACT Government about planning system matters – see </w:t>
      </w:r>
      <w:r w:rsidR="00D36CBA" w:rsidRPr="004A4080">
        <w:rPr>
          <w:rFonts w:ascii="Arial" w:hAnsi="Arial" w:cs="Arial"/>
          <w:sz w:val="24"/>
          <w:szCs w:val="24"/>
        </w:rPr>
        <w:t>clause 4</w:t>
      </w:r>
    </w:p>
    <w:p w14:paraId="3C297FCD" w14:textId="64802740" w:rsidR="001C1CD0" w:rsidRPr="004A4080" w:rsidRDefault="001C1CD0" w:rsidP="001C1CD0">
      <w:pPr>
        <w:pStyle w:val="ListParagraph"/>
        <w:numPr>
          <w:ilvl w:val="0"/>
          <w:numId w:val="30"/>
        </w:numPr>
        <w:autoSpaceDE w:val="0"/>
        <w:autoSpaceDN w:val="0"/>
        <w:adjustRightInd w:val="0"/>
        <w:spacing w:after="120"/>
        <w:ind w:left="567" w:hanging="567"/>
        <w:rPr>
          <w:rFonts w:ascii="Arial" w:hAnsi="Arial" w:cs="Arial"/>
          <w:sz w:val="24"/>
          <w:szCs w:val="24"/>
        </w:rPr>
      </w:pPr>
      <w:r w:rsidRPr="004A4080">
        <w:rPr>
          <w:rFonts w:ascii="Arial" w:hAnsi="Arial" w:cs="Arial"/>
          <w:sz w:val="24"/>
          <w:szCs w:val="24"/>
        </w:rPr>
        <w:t xml:space="preserve">Makes a minor expansion to an existing restriction on the contents of advertisements for residential rental properties – see Clause </w:t>
      </w:r>
      <w:r w:rsidR="004A4080" w:rsidRPr="004A4080">
        <w:rPr>
          <w:rFonts w:ascii="Arial" w:hAnsi="Arial" w:cs="Arial"/>
          <w:sz w:val="24"/>
          <w:szCs w:val="24"/>
        </w:rPr>
        <w:t>28</w:t>
      </w:r>
      <w:r w:rsidR="00D36CBA" w:rsidRPr="004A4080">
        <w:rPr>
          <w:rFonts w:ascii="Arial" w:hAnsi="Arial" w:cs="Arial"/>
          <w:sz w:val="24"/>
          <w:szCs w:val="24"/>
        </w:rPr>
        <w:t>.</w:t>
      </w:r>
    </w:p>
    <w:p w14:paraId="3DD3D77C" w14:textId="5D4471BA" w:rsidR="009202CB" w:rsidRPr="004B07C7" w:rsidRDefault="00FB4273" w:rsidP="005A68E0">
      <w:pPr>
        <w:autoSpaceDE w:val="0"/>
        <w:autoSpaceDN w:val="0"/>
        <w:adjustRightInd w:val="0"/>
        <w:spacing w:after="120"/>
        <w:rPr>
          <w:rFonts w:ascii="Arial" w:hAnsi="Arial" w:cs="Arial"/>
          <w:sz w:val="24"/>
          <w:szCs w:val="24"/>
        </w:rPr>
      </w:pPr>
      <w:r w:rsidRPr="00104FE3">
        <w:rPr>
          <w:rFonts w:ascii="Arial" w:hAnsi="Arial" w:cs="Arial"/>
          <w:sz w:val="24"/>
          <w:szCs w:val="24"/>
        </w:rPr>
        <w:t>N</w:t>
      </w:r>
      <w:r w:rsidR="009C4B45" w:rsidRPr="00104FE3">
        <w:rPr>
          <w:rFonts w:ascii="Arial" w:hAnsi="Arial" w:cs="Arial"/>
          <w:sz w:val="24"/>
          <w:szCs w:val="24"/>
        </w:rPr>
        <w:t xml:space="preserve">o </w:t>
      </w:r>
      <w:r w:rsidR="005A68E0">
        <w:rPr>
          <w:rFonts w:ascii="Arial" w:hAnsi="Arial" w:cs="Arial"/>
          <w:sz w:val="24"/>
          <w:szCs w:val="24"/>
        </w:rPr>
        <w:t xml:space="preserve">other </w:t>
      </w:r>
      <w:r w:rsidR="009C4B45" w:rsidRPr="00104FE3">
        <w:rPr>
          <w:rFonts w:ascii="Arial" w:hAnsi="Arial" w:cs="Arial"/>
          <w:sz w:val="24"/>
          <w:szCs w:val="24"/>
        </w:rPr>
        <w:t>human rights are impacted.</w:t>
      </w:r>
    </w:p>
    <w:p w14:paraId="02FE746C" w14:textId="77777777" w:rsidR="00151B34" w:rsidRPr="00643CB1" w:rsidRDefault="00151B34" w:rsidP="00DB5218">
      <w:pPr>
        <w:spacing w:after="120" w:line="240" w:lineRule="auto"/>
        <w:rPr>
          <w:rFonts w:ascii="Arial" w:hAnsi="Arial" w:cs="Arial"/>
          <w:b/>
          <w:color w:val="000000"/>
          <w:sz w:val="24"/>
          <w:szCs w:val="24"/>
        </w:rPr>
      </w:pPr>
      <w:r w:rsidRPr="00643CB1">
        <w:rPr>
          <w:rFonts w:ascii="Arial" w:hAnsi="Arial" w:cs="Arial"/>
          <w:b/>
          <w:color w:val="000000"/>
          <w:sz w:val="24"/>
          <w:szCs w:val="24"/>
        </w:rPr>
        <w:br w:type="page"/>
      </w:r>
    </w:p>
    <w:p w14:paraId="76C51039" w14:textId="77777777" w:rsidR="00081121" w:rsidRPr="00151B34" w:rsidRDefault="00E65972" w:rsidP="0064756C">
      <w:pPr>
        <w:keepNext/>
        <w:keepLines/>
        <w:autoSpaceDE w:val="0"/>
        <w:autoSpaceDN w:val="0"/>
        <w:adjustRightInd w:val="0"/>
        <w:spacing w:after="120"/>
        <w:rPr>
          <w:rFonts w:ascii="Arial" w:hAnsi="Arial" w:cs="Arial"/>
          <w:b/>
          <w:color w:val="000000"/>
          <w:sz w:val="24"/>
          <w:szCs w:val="24"/>
        </w:rPr>
      </w:pPr>
      <w:r w:rsidRPr="00151B34">
        <w:rPr>
          <w:rFonts w:ascii="Arial" w:hAnsi="Arial" w:cs="Arial"/>
          <w:b/>
          <w:color w:val="000000"/>
          <w:sz w:val="24"/>
          <w:szCs w:val="24"/>
        </w:rPr>
        <w:lastRenderedPageBreak/>
        <w:t>Outline of Provisions</w:t>
      </w:r>
    </w:p>
    <w:p w14:paraId="010C555F" w14:textId="77777777" w:rsidR="000535C0" w:rsidRPr="00151B34" w:rsidRDefault="000535C0" w:rsidP="00DB5218">
      <w:pPr>
        <w:autoSpaceDE w:val="0"/>
        <w:autoSpaceDN w:val="0"/>
        <w:adjustRightInd w:val="0"/>
        <w:spacing w:after="120"/>
        <w:rPr>
          <w:rFonts w:ascii="Arial" w:hAnsi="Arial" w:cs="Arial"/>
          <w:b/>
          <w:bCs/>
          <w:color w:val="000000"/>
          <w:sz w:val="24"/>
          <w:szCs w:val="24"/>
        </w:rPr>
      </w:pPr>
    </w:p>
    <w:p w14:paraId="5133CEE4" w14:textId="77777777" w:rsidR="00081121" w:rsidRPr="00E979B8" w:rsidRDefault="00081121" w:rsidP="0064756C">
      <w:pPr>
        <w:keepNext/>
        <w:keepLines/>
        <w:autoSpaceDE w:val="0"/>
        <w:autoSpaceDN w:val="0"/>
        <w:adjustRightInd w:val="0"/>
        <w:spacing w:after="120"/>
        <w:rPr>
          <w:rFonts w:ascii="Arial" w:hAnsi="Arial" w:cs="Arial"/>
          <w:b/>
          <w:bCs/>
          <w:color w:val="000000"/>
          <w:sz w:val="24"/>
          <w:szCs w:val="24"/>
        </w:rPr>
      </w:pPr>
      <w:r w:rsidRPr="00E979B8">
        <w:rPr>
          <w:rFonts w:ascii="Arial" w:hAnsi="Arial" w:cs="Arial"/>
          <w:b/>
          <w:bCs/>
          <w:color w:val="000000"/>
          <w:sz w:val="24"/>
          <w:szCs w:val="24"/>
        </w:rPr>
        <w:t>Clause 1</w:t>
      </w:r>
      <w:r w:rsidR="00276343" w:rsidRPr="00E979B8">
        <w:rPr>
          <w:rFonts w:ascii="Arial" w:hAnsi="Arial" w:cs="Arial"/>
          <w:b/>
          <w:bCs/>
          <w:color w:val="000000"/>
          <w:sz w:val="24"/>
          <w:szCs w:val="24"/>
        </w:rPr>
        <w:t xml:space="preserve"> </w:t>
      </w:r>
      <w:r w:rsidR="00276343" w:rsidRPr="00E979B8">
        <w:rPr>
          <w:rFonts w:ascii="Arial" w:hAnsi="Arial" w:cs="Arial"/>
          <w:b/>
          <w:bCs/>
          <w:color w:val="000000"/>
          <w:sz w:val="24"/>
          <w:szCs w:val="24"/>
        </w:rPr>
        <w:tab/>
      </w:r>
      <w:r w:rsidRPr="00E979B8">
        <w:rPr>
          <w:rFonts w:ascii="Arial" w:hAnsi="Arial" w:cs="Arial"/>
          <w:b/>
          <w:bCs/>
          <w:color w:val="000000"/>
          <w:sz w:val="24"/>
          <w:szCs w:val="24"/>
        </w:rPr>
        <w:t>Name</w:t>
      </w:r>
      <w:r w:rsidR="002427EC" w:rsidRPr="00E979B8">
        <w:rPr>
          <w:rFonts w:ascii="Arial" w:hAnsi="Arial" w:cs="Arial"/>
          <w:b/>
          <w:bCs/>
          <w:color w:val="000000"/>
          <w:sz w:val="24"/>
          <w:szCs w:val="24"/>
        </w:rPr>
        <w:t xml:space="preserve"> of </w:t>
      </w:r>
      <w:r w:rsidR="00151B34" w:rsidRPr="00E979B8">
        <w:rPr>
          <w:rFonts w:ascii="Arial" w:hAnsi="Arial" w:cs="Arial"/>
          <w:b/>
          <w:bCs/>
          <w:color w:val="000000"/>
          <w:sz w:val="24"/>
          <w:szCs w:val="24"/>
        </w:rPr>
        <w:t>Act</w:t>
      </w:r>
    </w:p>
    <w:p w14:paraId="4B94CF34" w14:textId="77777777" w:rsidR="00081121" w:rsidRPr="00E979B8" w:rsidRDefault="00130791" w:rsidP="00DB5218">
      <w:pPr>
        <w:pStyle w:val="ListParagraph"/>
        <w:spacing w:after="120" w:line="276" w:lineRule="auto"/>
        <w:ind w:left="0"/>
        <w:rPr>
          <w:rFonts w:ascii="Arial" w:hAnsi="Arial" w:cs="Arial"/>
          <w:bCs/>
          <w:color w:val="000000"/>
          <w:sz w:val="24"/>
          <w:szCs w:val="24"/>
        </w:rPr>
      </w:pPr>
      <w:r w:rsidRPr="00E979B8">
        <w:rPr>
          <w:rFonts w:ascii="Arial" w:hAnsi="Arial" w:cs="Arial"/>
          <w:bCs/>
          <w:color w:val="000000"/>
          <w:sz w:val="24"/>
          <w:szCs w:val="24"/>
        </w:rPr>
        <w:t>This clause names the</w:t>
      </w:r>
      <w:r w:rsidR="00E65972" w:rsidRPr="00E979B8">
        <w:rPr>
          <w:rFonts w:ascii="Arial" w:hAnsi="Arial" w:cs="Arial"/>
          <w:bCs/>
          <w:color w:val="000000"/>
          <w:sz w:val="24"/>
          <w:szCs w:val="24"/>
        </w:rPr>
        <w:t xml:space="preserve"> </w:t>
      </w:r>
      <w:r w:rsidR="00151B34" w:rsidRPr="00E979B8">
        <w:rPr>
          <w:rFonts w:ascii="Arial" w:hAnsi="Arial" w:cs="Arial"/>
          <w:bCs/>
          <w:color w:val="000000"/>
          <w:sz w:val="24"/>
          <w:szCs w:val="24"/>
        </w:rPr>
        <w:t>Act</w:t>
      </w:r>
      <w:r w:rsidR="00617E50" w:rsidRPr="00E979B8">
        <w:rPr>
          <w:rFonts w:ascii="Arial" w:hAnsi="Arial" w:cs="Arial"/>
          <w:color w:val="000000"/>
          <w:sz w:val="24"/>
          <w:szCs w:val="24"/>
        </w:rPr>
        <w:t>.</w:t>
      </w:r>
    </w:p>
    <w:p w14:paraId="26DDE30C" w14:textId="77777777" w:rsidR="00130791" w:rsidRPr="00E979B8" w:rsidRDefault="00130791" w:rsidP="00DB5218">
      <w:pPr>
        <w:pStyle w:val="ListParagraph"/>
        <w:spacing w:after="120" w:line="276" w:lineRule="auto"/>
        <w:ind w:left="0"/>
        <w:rPr>
          <w:rFonts w:ascii="Arial" w:hAnsi="Arial" w:cs="Arial"/>
          <w:bCs/>
          <w:color w:val="000000"/>
          <w:sz w:val="24"/>
          <w:szCs w:val="24"/>
        </w:rPr>
      </w:pPr>
    </w:p>
    <w:p w14:paraId="295BFF14" w14:textId="77777777" w:rsidR="006951F3" w:rsidRPr="00E979B8" w:rsidRDefault="00276343" w:rsidP="0064756C">
      <w:pPr>
        <w:keepNext/>
        <w:keepLines/>
        <w:autoSpaceDE w:val="0"/>
        <w:autoSpaceDN w:val="0"/>
        <w:adjustRightInd w:val="0"/>
        <w:spacing w:after="120"/>
        <w:rPr>
          <w:rFonts w:ascii="Arial" w:hAnsi="Arial" w:cs="Arial"/>
          <w:b/>
          <w:bCs/>
          <w:color w:val="000000"/>
          <w:sz w:val="24"/>
          <w:szCs w:val="24"/>
        </w:rPr>
      </w:pPr>
      <w:r w:rsidRPr="00E979B8">
        <w:rPr>
          <w:rFonts w:ascii="Arial" w:hAnsi="Arial" w:cs="Arial"/>
          <w:b/>
          <w:bCs/>
          <w:color w:val="000000"/>
          <w:sz w:val="24"/>
          <w:szCs w:val="24"/>
        </w:rPr>
        <w:t>Clause 2</w:t>
      </w:r>
      <w:r w:rsidR="006951F3" w:rsidRPr="00E979B8">
        <w:rPr>
          <w:rFonts w:ascii="Arial" w:hAnsi="Arial" w:cs="Arial"/>
          <w:b/>
          <w:bCs/>
          <w:color w:val="000000"/>
          <w:sz w:val="24"/>
          <w:szCs w:val="24"/>
        </w:rPr>
        <w:t xml:space="preserve"> </w:t>
      </w:r>
      <w:r w:rsidRPr="00E979B8">
        <w:rPr>
          <w:rFonts w:ascii="Arial" w:hAnsi="Arial" w:cs="Arial"/>
          <w:b/>
          <w:bCs/>
          <w:color w:val="000000"/>
          <w:sz w:val="24"/>
          <w:szCs w:val="24"/>
        </w:rPr>
        <w:tab/>
      </w:r>
      <w:r w:rsidR="006951F3" w:rsidRPr="00E979B8">
        <w:rPr>
          <w:rFonts w:ascii="Arial" w:hAnsi="Arial" w:cs="Arial"/>
          <w:b/>
          <w:bCs/>
          <w:color w:val="000000"/>
          <w:sz w:val="24"/>
          <w:szCs w:val="24"/>
        </w:rPr>
        <w:t>Commencement</w:t>
      </w:r>
    </w:p>
    <w:p w14:paraId="49557330" w14:textId="6B7A7E2C" w:rsidR="008F6D7D" w:rsidRPr="004A024F" w:rsidRDefault="008F6D7D" w:rsidP="00DB5218">
      <w:pPr>
        <w:autoSpaceDE w:val="0"/>
        <w:autoSpaceDN w:val="0"/>
        <w:adjustRightInd w:val="0"/>
        <w:spacing w:after="120"/>
        <w:rPr>
          <w:rFonts w:ascii="Arial" w:hAnsi="Arial" w:cs="Arial"/>
          <w:bCs/>
          <w:color w:val="000000"/>
          <w:sz w:val="24"/>
          <w:szCs w:val="24"/>
        </w:rPr>
      </w:pPr>
      <w:r w:rsidRPr="004A024F">
        <w:rPr>
          <w:rFonts w:ascii="Arial" w:hAnsi="Arial" w:cs="Arial"/>
          <w:bCs/>
          <w:color w:val="000000"/>
          <w:sz w:val="24"/>
          <w:szCs w:val="24"/>
        </w:rPr>
        <w:t xml:space="preserve">This clause </w:t>
      </w:r>
      <w:r w:rsidR="00FB6FBE" w:rsidRPr="004A024F">
        <w:rPr>
          <w:rFonts w:ascii="Arial" w:hAnsi="Arial" w:cs="Arial"/>
          <w:bCs/>
          <w:color w:val="000000"/>
          <w:sz w:val="24"/>
          <w:szCs w:val="24"/>
        </w:rPr>
        <w:t xml:space="preserve">provides </w:t>
      </w:r>
      <w:r w:rsidR="00E979B8" w:rsidRPr="004A024F">
        <w:rPr>
          <w:rFonts w:ascii="Arial" w:hAnsi="Arial" w:cs="Arial"/>
          <w:bCs/>
          <w:color w:val="000000"/>
          <w:sz w:val="24"/>
          <w:szCs w:val="24"/>
        </w:rPr>
        <w:t xml:space="preserve">that the </w:t>
      </w:r>
      <w:r w:rsidR="008F3DDA" w:rsidRPr="004A024F">
        <w:rPr>
          <w:rFonts w:ascii="Arial" w:hAnsi="Arial" w:cs="Arial"/>
          <w:bCs/>
          <w:color w:val="000000"/>
          <w:sz w:val="24"/>
          <w:szCs w:val="24"/>
        </w:rPr>
        <w:t xml:space="preserve">bulk of the </w:t>
      </w:r>
      <w:r w:rsidR="00E979B8" w:rsidRPr="004A024F">
        <w:rPr>
          <w:rFonts w:ascii="Arial" w:hAnsi="Arial" w:cs="Arial"/>
          <w:bCs/>
          <w:color w:val="000000"/>
          <w:sz w:val="24"/>
          <w:szCs w:val="24"/>
        </w:rPr>
        <w:t xml:space="preserve">Act </w:t>
      </w:r>
      <w:r w:rsidR="008F3DDA" w:rsidRPr="004A024F">
        <w:rPr>
          <w:rFonts w:ascii="Arial" w:hAnsi="Arial" w:cs="Arial"/>
          <w:bCs/>
          <w:color w:val="000000"/>
          <w:sz w:val="24"/>
          <w:szCs w:val="24"/>
        </w:rPr>
        <w:t xml:space="preserve">will commence on the day after its notification day, however </w:t>
      </w:r>
      <w:r w:rsidR="001C1CD0">
        <w:rPr>
          <w:rFonts w:ascii="Arial" w:hAnsi="Arial" w:cs="Arial"/>
          <w:bCs/>
          <w:color w:val="000000"/>
          <w:sz w:val="24"/>
          <w:szCs w:val="24"/>
        </w:rPr>
        <w:t>clause 4 and part 4</w:t>
      </w:r>
      <w:r w:rsidR="008F3DDA" w:rsidRPr="004A024F">
        <w:rPr>
          <w:rFonts w:ascii="Arial" w:hAnsi="Arial" w:cs="Arial"/>
          <w:bCs/>
          <w:color w:val="000000"/>
          <w:sz w:val="24"/>
          <w:szCs w:val="24"/>
        </w:rPr>
        <w:t xml:space="preserve"> have a delayed commencement to allow the Government to </w:t>
      </w:r>
      <w:r w:rsidR="004652FD">
        <w:rPr>
          <w:rFonts w:ascii="Arial" w:hAnsi="Arial" w:cs="Arial"/>
          <w:bCs/>
          <w:color w:val="000000"/>
          <w:sz w:val="24"/>
          <w:szCs w:val="24"/>
        </w:rPr>
        <w:t xml:space="preserve">advise industry and undertake other </w:t>
      </w:r>
      <w:r w:rsidR="004652FD" w:rsidRPr="004A024F">
        <w:rPr>
          <w:rFonts w:ascii="Arial" w:hAnsi="Arial" w:cs="Arial"/>
          <w:bCs/>
          <w:color w:val="000000"/>
          <w:sz w:val="24"/>
          <w:szCs w:val="24"/>
        </w:rPr>
        <w:t>implement</w:t>
      </w:r>
      <w:r w:rsidR="004652FD">
        <w:rPr>
          <w:rFonts w:ascii="Arial" w:hAnsi="Arial" w:cs="Arial"/>
          <w:bCs/>
          <w:color w:val="000000"/>
          <w:sz w:val="24"/>
          <w:szCs w:val="24"/>
        </w:rPr>
        <w:t>ation</w:t>
      </w:r>
      <w:r w:rsidR="008F3DDA" w:rsidRPr="004A024F">
        <w:rPr>
          <w:rFonts w:ascii="Arial" w:hAnsi="Arial" w:cs="Arial"/>
          <w:bCs/>
          <w:color w:val="000000"/>
          <w:sz w:val="24"/>
          <w:szCs w:val="24"/>
        </w:rPr>
        <w:t xml:space="preserve"> </w:t>
      </w:r>
      <w:r w:rsidR="004A024F" w:rsidRPr="004A024F">
        <w:rPr>
          <w:rFonts w:ascii="Arial" w:hAnsi="Arial" w:cs="Arial"/>
          <w:bCs/>
          <w:color w:val="000000"/>
          <w:sz w:val="24"/>
          <w:szCs w:val="24"/>
        </w:rPr>
        <w:t>(e.g. regulatory and information technology changes)</w:t>
      </w:r>
      <w:r w:rsidR="00617E50" w:rsidRPr="004A024F">
        <w:rPr>
          <w:rFonts w:ascii="Arial" w:hAnsi="Arial" w:cs="Arial"/>
          <w:bCs/>
          <w:color w:val="000000"/>
          <w:sz w:val="24"/>
          <w:szCs w:val="24"/>
        </w:rPr>
        <w:t>.</w:t>
      </w:r>
    </w:p>
    <w:p w14:paraId="6E30D8DE" w14:textId="77777777" w:rsidR="00151B34" w:rsidRPr="00643CB1" w:rsidRDefault="00151B34" w:rsidP="00DB5218">
      <w:pPr>
        <w:autoSpaceDE w:val="0"/>
        <w:autoSpaceDN w:val="0"/>
        <w:adjustRightInd w:val="0"/>
        <w:spacing w:after="120"/>
        <w:rPr>
          <w:rFonts w:ascii="Arial" w:hAnsi="Arial" w:cs="Arial"/>
          <w:bCs/>
          <w:color w:val="000000"/>
          <w:sz w:val="24"/>
          <w:szCs w:val="24"/>
        </w:rPr>
      </w:pPr>
    </w:p>
    <w:p w14:paraId="62FCB415" w14:textId="77777777" w:rsidR="00151B34" w:rsidRPr="001241C8" w:rsidRDefault="00151B34" w:rsidP="0064756C">
      <w:pPr>
        <w:keepNext/>
        <w:keepLines/>
        <w:autoSpaceDE w:val="0"/>
        <w:autoSpaceDN w:val="0"/>
        <w:adjustRightInd w:val="0"/>
        <w:spacing w:after="120"/>
        <w:rPr>
          <w:rFonts w:ascii="Arial" w:hAnsi="Arial" w:cs="Arial"/>
          <w:b/>
          <w:bCs/>
          <w:color w:val="000000"/>
          <w:sz w:val="24"/>
          <w:szCs w:val="24"/>
        </w:rPr>
      </w:pPr>
      <w:r w:rsidRPr="001241C8">
        <w:rPr>
          <w:rFonts w:ascii="Arial" w:hAnsi="Arial" w:cs="Arial"/>
          <w:b/>
          <w:bCs/>
          <w:color w:val="000000"/>
          <w:sz w:val="24"/>
          <w:szCs w:val="24"/>
        </w:rPr>
        <w:t xml:space="preserve">Clause 3 </w:t>
      </w:r>
      <w:r w:rsidRPr="001241C8">
        <w:rPr>
          <w:rFonts w:ascii="Arial" w:hAnsi="Arial" w:cs="Arial"/>
          <w:b/>
          <w:bCs/>
          <w:color w:val="000000"/>
          <w:sz w:val="24"/>
          <w:szCs w:val="24"/>
        </w:rPr>
        <w:tab/>
        <w:t>Legislation amended</w:t>
      </w:r>
    </w:p>
    <w:p w14:paraId="13957827" w14:textId="35ECC7F3" w:rsidR="00151B34" w:rsidRPr="001241C8" w:rsidRDefault="00151B34" w:rsidP="00DB5218">
      <w:pPr>
        <w:autoSpaceDE w:val="0"/>
        <w:autoSpaceDN w:val="0"/>
        <w:adjustRightInd w:val="0"/>
        <w:spacing w:after="120"/>
        <w:rPr>
          <w:rFonts w:ascii="Arial" w:hAnsi="Arial" w:cs="Arial"/>
          <w:bCs/>
          <w:color w:val="000000"/>
          <w:sz w:val="24"/>
          <w:szCs w:val="24"/>
        </w:rPr>
      </w:pPr>
      <w:r w:rsidRPr="001241C8">
        <w:rPr>
          <w:rFonts w:ascii="Arial" w:hAnsi="Arial" w:cs="Arial"/>
          <w:bCs/>
          <w:color w:val="000000"/>
          <w:sz w:val="24"/>
          <w:szCs w:val="24"/>
        </w:rPr>
        <w:t xml:space="preserve">This clause </w:t>
      </w:r>
      <w:r w:rsidR="00C342A1" w:rsidRPr="001241C8">
        <w:rPr>
          <w:rFonts w:ascii="Arial" w:hAnsi="Arial" w:cs="Arial"/>
          <w:bCs/>
          <w:color w:val="000000"/>
          <w:sz w:val="24"/>
          <w:szCs w:val="24"/>
        </w:rPr>
        <w:t xml:space="preserve">states the </w:t>
      </w:r>
      <w:r w:rsidRPr="001241C8">
        <w:rPr>
          <w:rFonts w:ascii="Arial" w:hAnsi="Arial" w:cs="Arial"/>
          <w:bCs/>
          <w:color w:val="000000"/>
          <w:sz w:val="24"/>
          <w:szCs w:val="24"/>
        </w:rPr>
        <w:t>legislation that is to be amended</w:t>
      </w:r>
      <w:r w:rsidR="00E979B8" w:rsidRPr="001241C8">
        <w:rPr>
          <w:rFonts w:ascii="Arial" w:hAnsi="Arial" w:cs="Arial"/>
          <w:bCs/>
          <w:color w:val="000000"/>
          <w:sz w:val="24"/>
          <w:szCs w:val="24"/>
        </w:rPr>
        <w:t xml:space="preserve">: the </w:t>
      </w:r>
      <w:r w:rsidR="00E979B8" w:rsidRPr="001241C8">
        <w:rPr>
          <w:rFonts w:ascii="Arial" w:hAnsi="Arial" w:cs="Arial"/>
          <w:bCs/>
          <w:i/>
          <w:color w:val="000000"/>
          <w:sz w:val="24"/>
          <w:szCs w:val="24"/>
        </w:rPr>
        <w:t>Planning and Development Act 2007</w:t>
      </w:r>
      <w:r w:rsidR="001241C8">
        <w:rPr>
          <w:rFonts w:ascii="Arial" w:hAnsi="Arial" w:cs="Arial"/>
          <w:bCs/>
          <w:color w:val="000000"/>
          <w:sz w:val="24"/>
          <w:szCs w:val="24"/>
        </w:rPr>
        <w:t>,</w:t>
      </w:r>
      <w:r w:rsidR="00E979B8" w:rsidRPr="001241C8">
        <w:rPr>
          <w:rFonts w:ascii="Arial" w:hAnsi="Arial" w:cs="Arial"/>
          <w:bCs/>
          <w:color w:val="000000"/>
          <w:sz w:val="24"/>
          <w:szCs w:val="24"/>
        </w:rPr>
        <w:t xml:space="preserve"> the </w:t>
      </w:r>
      <w:r w:rsidR="00E979B8" w:rsidRPr="001241C8">
        <w:rPr>
          <w:rFonts w:ascii="Arial" w:hAnsi="Arial" w:cs="Arial"/>
          <w:bCs/>
          <w:i/>
          <w:color w:val="000000"/>
          <w:sz w:val="24"/>
          <w:szCs w:val="24"/>
        </w:rPr>
        <w:t>Planning and Development Regulation 2008</w:t>
      </w:r>
      <w:r w:rsidR="001241C8">
        <w:rPr>
          <w:rFonts w:ascii="Arial" w:hAnsi="Arial" w:cs="Arial"/>
          <w:bCs/>
          <w:color w:val="000000"/>
          <w:sz w:val="24"/>
          <w:szCs w:val="24"/>
        </w:rPr>
        <w:t xml:space="preserve"> and the </w:t>
      </w:r>
      <w:r w:rsidR="001241C8" w:rsidRPr="001241C8">
        <w:rPr>
          <w:rFonts w:ascii="Arial" w:hAnsi="Arial" w:cs="Arial"/>
          <w:bCs/>
          <w:i/>
          <w:color w:val="000000"/>
          <w:sz w:val="24"/>
          <w:szCs w:val="24"/>
        </w:rPr>
        <w:t>Residential Tenancies Act 1997</w:t>
      </w:r>
      <w:r w:rsidR="001241C8">
        <w:rPr>
          <w:rFonts w:ascii="Arial" w:hAnsi="Arial" w:cs="Arial"/>
          <w:bCs/>
          <w:color w:val="000000"/>
          <w:sz w:val="24"/>
          <w:szCs w:val="24"/>
        </w:rPr>
        <w:t>.</w:t>
      </w:r>
    </w:p>
    <w:p w14:paraId="682F2092" w14:textId="77777777" w:rsidR="00151B34" w:rsidRPr="00643CB1" w:rsidRDefault="00151B34" w:rsidP="00DB5218">
      <w:pPr>
        <w:autoSpaceDE w:val="0"/>
        <w:autoSpaceDN w:val="0"/>
        <w:adjustRightInd w:val="0"/>
        <w:spacing w:after="120"/>
        <w:rPr>
          <w:rFonts w:ascii="Arial" w:hAnsi="Arial" w:cs="Arial"/>
          <w:bCs/>
          <w:color w:val="000000"/>
          <w:sz w:val="24"/>
          <w:szCs w:val="24"/>
        </w:rPr>
      </w:pPr>
    </w:p>
    <w:p w14:paraId="0F1B7A49" w14:textId="65B38A74" w:rsidR="005B20DC" w:rsidRPr="00D41BB2" w:rsidRDefault="005B20DC" w:rsidP="0064756C">
      <w:pPr>
        <w:keepNext/>
        <w:keepLines/>
        <w:autoSpaceDE w:val="0"/>
        <w:autoSpaceDN w:val="0"/>
        <w:adjustRightInd w:val="0"/>
        <w:spacing w:after="120"/>
        <w:rPr>
          <w:rFonts w:ascii="Arial" w:hAnsi="Arial" w:cs="Arial"/>
          <w:b/>
          <w:bCs/>
          <w:caps/>
          <w:color w:val="000000"/>
          <w:sz w:val="24"/>
          <w:szCs w:val="24"/>
        </w:rPr>
      </w:pPr>
      <w:r w:rsidRPr="00437134">
        <w:rPr>
          <w:rFonts w:ascii="Arial" w:hAnsi="Arial" w:cs="Arial"/>
          <w:b/>
          <w:bCs/>
          <w:caps/>
          <w:color w:val="000000"/>
          <w:sz w:val="24"/>
          <w:szCs w:val="24"/>
        </w:rPr>
        <w:t xml:space="preserve">Amendments to the </w:t>
      </w:r>
      <w:r w:rsidR="00437134" w:rsidRPr="00437134">
        <w:rPr>
          <w:rFonts w:ascii="Arial" w:hAnsi="Arial" w:cs="Arial"/>
          <w:b/>
          <w:bCs/>
          <w:i/>
          <w:caps/>
          <w:color w:val="000000"/>
          <w:sz w:val="24"/>
          <w:szCs w:val="24"/>
        </w:rPr>
        <w:t>planning and development act 2007</w:t>
      </w:r>
    </w:p>
    <w:p w14:paraId="02527F33" w14:textId="77777777" w:rsidR="001241C8" w:rsidRPr="001241C8" w:rsidRDefault="00E979B8" w:rsidP="0064756C">
      <w:pPr>
        <w:keepNext/>
        <w:keepLines/>
        <w:autoSpaceDE w:val="0"/>
        <w:autoSpaceDN w:val="0"/>
        <w:adjustRightInd w:val="0"/>
        <w:spacing w:after="120"/>
        <w:rPr>
          <w:rFonts w:ascii="Arial" w:hAnsi="Arial" w:cs="Arial"/>
          <w:b/>
          <w:bCs/>
          <w:color w:val="000000"/>
          <w:sz w:val="24"/>
          <w:szCs w:val="24"/>
        </w:rPr>
      </w:pPr>
      <w:r w:rsidRPr="001241C8">
        <w:rPr>
          <w:rFonts w:ascii="Arial" w:hAnsi="Arial" w:cs="Arial"/>
          <w:b/>
          <w:bCs/>
          <w:color w:val="000000"/>
          <w:sz w:val="24"/>
          <w:szCs w:val="24"/>
        </w:rPr>
        <w:t xml:space="preserve">Clause 4 </w:t>
      </w:r>
      <w:r w:rsidR="007C0E42" w:rsidRPr="001241C8">
        <w:rPr>
          <w:rFonts w:ascii="Arial" w:hAnsi="Arial" w:cs="Arial"/>
          <w:b/>
          <w:bCs/>
          <w:color w:val="000000"/>
          <w:sz w:val="24"/>
          <w:szCs w:val="24"/>
        </w:rPr>
        <w:tab/>
      </w:r>
      <w:r w:rsidR="001241C8" w:rsidRPr="001241C8">
        <w:rPr>
          <w:rFonts w:ascii="Arial" w:hAnsi="Arial" w:cs="Arial"/>
          <w:b/>
          <w:bCs/>
          <w:color w:val="000000"/>
          <w:sz w:val="24"/>
          <w:szCs w:val="24"/>
        </w:rPr>
        <w:t>Inspection etc of public register and associated documents</w:t>
      </w:r>
    </w:p>
    <w:p w14:paraId="72C9BB47" w14:textId="21B16BA8" w:rsidR="00FB28A1" w:rsidRPr="001241C8" w:rsidRDefault="001241C8" w:rsidP="0064756C">
      <w:pPr>
        <w:keepNext/>
        <w:keepLines/>
        <w:autoSpaceDE w:val="0"/>
        <w:autoSpaceDN w:val="0"/>
        <w:adjustRightInd w:val="0"/>
        <w:spacing w:after="120"/>
        <w:rPr>
          <w:rFonts w:ascii="Arial" w:hAnsi="Arial" w:cs="Arial"/>
          <w:b/>
          <w:bCs/>
          <w:color w:val="000000"/>
          <w:sz w:val="24"/>
          <w:szCs w:val="24"/>
        </w:rPr>
      </w:pPr>
      <w:r w:rsidRPr="001241C8">
        <w:rPr>
          <w:rFonts w:ascii="Arial" w:hAnsi="Arial" w:cs="Arial"/>
          <w:b/>
          <w:bCs/>
          <w:color w:val="000000"/>
          <w:sz w:val="24"/>
          <w:szCs w:val="24"/>
        </w:rPr>
        <w:t>Section 29 (1)</w:t>
      </w:r>
    </w:p>
    <w:p w14:paraId="0BF31F2E" w14:textId="36C206D3" w:rsidR="001C0B84" w:rsidRDefault="00537AA8" w:rsidP="005D3610">
      <w:pPr>
        <w:autoSpaceDE w:val="0"/>
        <w:autoSpaceDN w:val="0"/>
        <w:adjustRightInd w:val="0"/>
        <w:spacing w:after="120"/>
        <w:rPr>
          <w:rFonts w:ascii="Arial" w:hAnsi="Arial" w:cs="Arial"/>
          <w:bCs/>
          <w:color w:val="000000"/>
          <w:sz w:val="24"/>
          <w:szCs w:val="24"/>
        </w:rPr>
      </w:pPr>
      <w:r w:rsidRPr="00525E70">
        <w:rPr>
          <w:rFonts w:ascii="Arial" w:hAnsi="Arial" w:cs="Arial"/>
          <w:bCs/>
          <w:color w:val="000000"/>
          <w:sz w:val="24"/>
          <w:szCs w:val="24"/>
        </w:rPr>
        <w:t>The existing section 29</w:t>
      </w:r>
      <w:r w:rsidR="007B4341" w:rsidRPr="00525E70">
        <w:rPr>
          <w:rFonts w:ascii="Arial" w:hAnsi="Arial" w:cs="Arial"/>
          <w:bCs/>
          <w:color w:val="000000"/>
          <w:sz w:val="24"/>
          <w:szCs w:val="24"/>
        </w:rPr>
        <w:t xml:space="preserve"> requires the planning and land authority to make the public register and associated documents available for public inspection</w:t>
      </w:r>
      <w:r w:rsidR="003C557A" w:rsidRPr="00525E70">
        <w:rPr>
          <w:rFonts w:ascii="Arial" w:hAnsi="Arial" w:cs="Arial"/>
          <w:bCs/>
          <w:color w:val="000000"/>
          <w:sz w:val="24"/>
          <w:szCs w:val="24"/>
        </w:rPr>
        <w:t xml:space="preserve"> and to allow people to make copies o</w:t>
      </w:r>
      <w:r w:rsidR="00802031" w:rsidRPr="00525E70">
        <w:rPr>
          <w:rFonts w:ascii="Arial" w:hAnsi="Arial" w:cs="Arial"/>
          <w:bCs/>
          <w:color w:val="000000"/>
          <w:sz w:val="24"/>
          <w:szCs w:val="24"/>
        </w:rPr>
        <w:t>r</w:t>
      </w:r>
      <w:r w:rsidR="003C557A" w:rsidRPr="00525E70">
        <w:rPr>
          <w:rFonts w:ascii="Arial" w:hAnsi="Arial" w:cs="Arial"/>
          <w:bCs/>
          <w:color w:val="000000"/>
          <w:sz w:val="24"/>
          <w:szCs w:val="24"/>
        </w:rPr>
        <w:t xml:space="preserve"> take extracts from the register and associat</w:t>
      </w:r>
      <w:r w:rsidR="00B64226">
        <w:rPr>
          <w:rFonts w:ascii="Arial" w:hAnsi="Arial" w:cs="Arial"/>
          <w:bCs/>
          <w:color w:val="000000"/>
          <w:sz w:val="24"/>
          <w:szCs w:val="24"/>
        </w:rPr>
        <w:t>ed</w:t>
      </w:r>
      <w:r w:rsidR="003C557A" w:rsidRPr="00525E70">
        <w:rPr>
          <w:rFonts w:ascii="Arial" w:hAnsi="Arial" w:cs="Arial"/>
          <w:bCs/>
          <w:color w:val="000000"/>
          <w:sz w:val="24"/>
          <w:szCs w:val="24"/>
        </w:rPr>
        <w:t xml:space="preserve"> documents.</w:t>
      </w:r>
    </w:p>
    <w:p w14:paraId="0DA679F1" w14:textId="4C12E54A" w:rsidR="005D3610" w:rsidRDefault="005D3610" w:rsidP="005D3610">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The public register and associated documents contain information such as plans submitted with a development application and whether or not a development application has been approved.</w:t>
      </w:r>
    </w:p>
    <w:p w14:paraId="75546EA1" w14:textId="77777777" w:rsidR="005D3610" w:rsidRDefault="00E979B8" w:rsidP="00DB5218">
      <w:pPr>
        <w:autoSpaceDE w:val="0"/>
        <w:autoSpaceDN w:val="0"/>
        <w:adjustRightInd w:val="0"/>
        <w:spacing w:after="120"/>
        <w:rPr>
          <w:rFonts w:ascii="Arial" w:hAnsi="Arial" w:cs="Arial"/>
          <w:bCs/>
          <w:color w:val="000000"/>
          <w:sz w:val="24"/>
          <w:szCs w:val="24"/>
        </w:rPr>
      </w:pPr>
      <w:r w:rsidRPr="001241C8">
        <w:rPr>
          <w:rFonts w:ascii="Arial" w:hAnsi="Arial" w:cs="Arial"/>
          <w:bCs/>
          <w:color w:val="000000"/>
          <w:sz w:val="24"/>
          <w:szCs w:val="24"/>
        </w:rPr>
        <w:t>Th</w:t>
      </w:r>
      <w:r w:rsidR="001241C8">
        <w:rPr>
          <w:rFonts w:ascii="Arial" w:hAnsi="Arial" w:cs="Arial"/>
          <w:bCs/>
          <w:color w:val="000000"/>
          <w:sz w:val="24"/>
          <w:szCs w:val="24"/>
        </w:rPr>
        <w:t>is clause require</w:t>
      </w:r>
      <w:r w:rsidR="00093065">
        <w:rPr>
          <w:rFonts w:ascii="Arial" w:hAnsi="Arial" w:cs="Arial"/>
          <w:bCs/>
          <w:color w:val="000000"/>
          <w:sz w:val="24"/>
          <w:szCs w:val="24"/>
        </w:rPr>
        <w:t>s</w:t>
      </w:r>
      <w:r w:rsidR="001241C8">
        <w:rPr>
          <w:rFonts w:ascii="Arial" w:hAnsi="Arial" w:cs="Arial"/>
          <w:bCs/>
          <w:color w:val="000000"/>
          <w:sz w:val="24"/>
          <w:szCs w:val="24"/>
        </w:rPr>
        <w:t xml:space="preserve"> parts of the public register and associated documents to be made </w:t>
      </w:r>
      <w:r w:rsidR="00093065">
        <w:rPr>
          <w:rFonts w:ascii="Arial" w:hAnsi="Arial" w:cs="Arial"/>
          <w:bCs/>
          <w:color w:val="000000"/>
          <w:sz w:val="24"/>
          <w:szCs w:val="24"/>
        </w:rPr>
        <w:t>available</w:t>
      </w:r>
      <w:r w:rsidR="001241C8">
        <w:rPr>
          <w:rFonts w:ascii="Arial" w:hAnsi="Arial" w:cs="Arial"/>
          <w:bCs/>
          <w:color w:val="000000"/>
          <w:sz w:val="24"/>
          <w:szCs w:val="24"/>
        </w:rPr>
        <w:t xml:space="preserve"> on the planning and land authority’s website</w:t>
      </w:r>
      <w:r w:rsidRPr="001241C8">
        <w:rPr>
          <w:rFonts w:ascii="Arial" w:hAnsi="Arial" w:cs="Arial"/>
          <w:bCs/>
          <w:color w:val="000000"/>
          <w:sz w:val="24"/>
          <w:szCs w:val="24"/>
        </w:rPr>
        <w:t>.</w:t>
      </w:r>
      <w:r w:rsidR="005D3610" w:rsidRPr="005D3610">
        <w:rPr>
          <w:rFonts w:ascii="Arial" w:hAnsi="Arial" w:cs="Arial"/>
          <w:bCs/>
          <w:color w:val="000000"/>
          <w:sz w:val="24"/>
          <w:szCs w:val="24"/>
        </w:rPr>
        <w:t xml:space="preserve"> </w:t>
      </w:r>
      <w:r w:rsidR="005D3610">
        <w:rPr>
          <w:rFonts w:ascii="Arial" w:hAnsi="Arial" w:cs="Arial"/>
          <w:bCs/>
          <w:color w:val="000000"/>
          <w:sz w:val="24"/>
          <w:szCs w:val="24"/>
        </w:rPr>
        <w:t xml:space="preserve"> </w:t>
      </w:r>
      <w:r w:rsidR="005D3610" w:rsidRPr="009E229D">
        <w:rPr>
          <w:rFonts w:ascii="Arial" w:hAnsi="Arial" w:cs="Arial"/>
          <w:bCs/>
          <w:color w:val="000000"/>
          <w:sz w:val="24"/>
          <w:szCs w:val="24"/>
        </w:rPr>
        <w:t xml:space="preserve">It </w:t>
      </w:r>
      <w:r w:rsidR="005D3610">
        <w:rPr>
          <w:rFonts w:ascii="Arial" w:hAnsi="Arial" w:cs="Arial"/>
          <w:bCs/>
          <w:color w:val="000000"/>
          <w:sz w:val="24"/>
          <w:szCs w:val="24"/>
        </w:rPr>
        <w:t xml:space="preserve">also </w:t>
      </w:r>
      <w:r w:rsidR="005D3610" w:rsidRPr="009E229D">
        <w:rPr>
          <w:rFonts w:ascii="Arial" w:hAnsi="Arial" w:cs="Arial"/>
          <w:bCs/>
          <w:color w:val="000000"/>
          <w:sz w:val="24"/>
          <w:szCs w:val="24"/>
        </w:rPr>
        <w:t xml:space="preserve">specifies the time period </w:t>
      </w:r>
      <w:r w:rsidR="005D3610">
        <w:rPr>
          <w:rFonts w:ascii="Arial" w:hAnsi="Arial" w:cs="Arial"/>
          <w:bCs/>
          <w:color w:val="000000"/>
          <w:sz w:val="24"/>
          <w:szCs w:val="24"/>
        </w:rPr>
        <w:t>for which</w:t>
      </w:r>
      <w:r w:rsidR="005D3610" w:rsidRPr="009E229D">
        <w:rPr>
          <w:rFonts w:ascii="Arial" w:hAnsi="Arial" w:cs="Arial"/>
          <w:bCs/>
          <w:color w:val="000000"/>
          <w:sz w:val="24"/>
          <w:szCs w:val="24"/>
        </w:rPr>
        <w:t xml:space="preserve"> documents </w:t>
      </w:r>
      <w:r w:rsidR="005D3610">
        <w:rPr>
          <w:rFonts w:ascii="Arial" w:hAnsi="Arial" w:cs="Arial"/>
          <w:bCs/>
          <w:color w:val="000000"/>
          <w:sz w:val="24"/>
          <w:szCs w:val="24"/>
        </w:rPr>
        <w:t>must</w:t>
      </w:r>
      <w:r w:rsidR="005D3610" w:rsidRPr="009E229D">
        <w:rPr>
          <w:rFonts w:ascii="Arial" w:hAnsi="Arial" w:cs="Arial"/>
          <w:bCs/>
          <w:color w:val="000000"/>
          <w:sz w:val="24"/>
          <w:szCs w:val="24"/>
        </w:rPr>
        <w:t xml:space="preserve"> be kept on the authority’s website.</w:t>
      </w:r>
    </w:p>
    <w:p w14:paraId="48B7FD82" w14:textId="21CD3F0D" w:rsidR="0041680C" w:rsidRPr="001241C8" w:rsidRDefault="001241C8" w:rsidP="00DB5218">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This is </w:t>
      </w:r>
      <w:r w:rsidR="00093065">
        <w:rPr>
          <w:rFonts w:ascii="Arial" w:hAnsi="Arial" w:cs="Arial"/>
          <w:bCs/>
          <w:color w:val="000000"/>
          <w:sz w:val="24"/>
          <w:szCs w:val="24"/>
        </w:rPr>
        <w:t xml:space="preserve">new availability </w:t>
      </w:r>
      <w:r w:rsidR="00184091">
        <w:rPr>
          <w:rFonts w:ascii="Arial" w:hAnsi="Arial" w:cs="Arial"/>
          <w:bCs/>
          <w:color w:val="000000"/>
          <w:sz w:val="24"/>
          <w:szCs w:val="24"/>
        </w:rPr>
        <w:t xml:space="preserve">and is </w:t>
      </w:r>
      <w:r>
        <w:rPr>
          <w:rFonts w:ascii="Arial" w:hAnsi="Arial" w:cs="Arial"/>
          <w:bCs/>
          <w:color w:val="000000"/>
          <w:sz w:val="24"/>
          <w:szCs w:val="24"/>
        </w:rPr>
        <w:t>addition</w:t>
      </w:r>
      <w:r w:rsidR="00D36CBA">
        <w:rPr>
          <w:rFonts w:ascii="Arial" w:hAnsi="Arial" w:cs="Arial"/>
          <w:bCs/>
          <w:color w:val="000000"/>
          <w:sz w:val="24"/>
          <w:szCs w:val="24"/>
        </w:rPr>
        <w:t>al</w:t>
      </w:r>
      <w:r>
        <w:rPr>
          <w:rFonts w:ascii="Arial" w:hAnsi="Arial" w:cs="Arial"/>
          <w:bCs/>
          <w:color w:val="000000"/>
          <w:sz w:val="24"/>
          <w:szCs w:val="24"/>
        </w:rPr>
        <w:t xml:space="preserve"> to current </w:t>
      </w:r>
      <w:r w:rsidR="00D36CBA">
        <w:rPr>
          <w:rFonts w:ascii="Arial" w:hAnsi="Arial" w:cs="Arial"/>
          <w:bCs/>
          <w:color w:val="000000"/>
          <w:sz w:val="24"/>
          <w:szCs w:val="24"/>
        </w:rPr>
        <w:t>availability</w:t>
      </w:r>
      <w:r w:rsidR="009F52E2">
        <w:rPr>
          <w:rFonts w:ascii="Arial" w:hAnsi="Arial" w:cs="Arial"/>
          <w:bCs/>
          <w:color w:val="000000"/>
          <w:sz w:val="24"/>
          <w:szCs w:val="24"/>
        </w:rPr>
        <w:t>,</w:t>
      </w:r>
      <w:r>
        <w:rPr>
          <w:rFonts w:ascii="Arial" w:hAnsi="Arial" w:cs="Arial"/>
          <w:bCs/>
          <w:color w:val="000000"/>
          <w:sz w:val="24"/>
          <w:szCs w:val="24"/>
        </w:rPr>
        <w:t xml:space="preserve"> </w:t>
      </w:r>
      <w:r w:rsidR="00D36CBA">
        <w:rPr>
          <w:rFonts w:ascii="Arial" w:hAnsi="Arial" w:cs="Arial"/>
          <w:bCs/>
          <w:color w:val="000000"/>
          <w:sz w:val="24"/>
          <w:szCs w:val="24"/>
        </w:rPr>
        <w:t>which is by inspection at the authority’s offices only</w:t>
      </w:r>
      <w:r>
        <w:rPr>
          <w:rFonts w:ascii="Arial" w:hAnsi="Arial" w:cs="Arial"/>
          <w:bCs/>
          <w:color w:val="000000"/>
          <w:sz w:val="24"/>
          <w:szCs w:val="24"/>
        </w:rPr>
        <w:t>.</w:t>
      </w:r>
    </w:p>
    <w:p w14:paraId="450EB82F" w14:textId="77777777" w:rsidR="00E979B8" w:rsidRPr="00C07DD6" w:rsidRDefault="00E979B8" w:rsidP="00DB5218">
      <w:pPr>
        <w:autoSpaceDE w:val="0"/>
        <w:autoSpaceDN w:val="0"/>
        <w:adjustRightInd w:val="0"/>
        <w:spacing w:after="120"/>
        <w:rPr>
          <w:rFonts w:ascii="Arial" w:hAnsi="Arial" w:cs="Arial"/>
          <w:bCs/>
          <w:color w:val="000000"/>
          <w:sz w:val="24"/>
          <w:szCs w:val="24"/>
          <w:highlight w:val="yellow"/>
        </w:rPr>
      </w:pPr>
    </w:p>
    <w:p w14:paraId="50F87BDF" w14:textId="3293EE95" w:rsidR="005D3610" w:rsidRPr="00184091" w:rsidRDefault="00245859" w:rsidP="005D3610">
      <w:pPr>
        <w:keepNext/>
        <w:keepLines/>
        <w:autoSpaceDE w:val="0"/>
        <w:autoSpaceDN w:val="0"/>
        <w:adjustRightInd w:val="0"/>
        <w:spacing w:after="120"/>
        <w:rPr>
          <w:rFonts w:ascii="Arial" w:hAnsi="Arial" w:cs="Arial"/>
          <w:b/>
          <w:bCs/>
          <w:color w:val="000000"/>
          <w:sz w:val="24"/>
          <w:szCs w:val="24"/>
        </w:rPr>
      </w:pPr>
      <w:r w:rsidRPr="00184091">
        <w:rPr>
          <w:rFonts w:ascii="Arial" w:hAnsi="Arial" w:cs="Arial"/>
          <w:b/>
          <w:bCs/>
          <w:color w:val="000000"/>
          <w:sz w:val="24"/>
          <w:szCs w:val="24"/>
        </w:rPr>
        <w:t>Clause 5</w:t>
      </w:r>
      <w:r w:rsidRPr="00184091">
        <w:rPr>
          <w:rFonts w:ascii="Arial" w:hAnsi="Arial" w:cs="Arial"/>
          <w:b/>
          <w:bCs/>
          <w:color w:val="000000"/>
          <w:sz w:val="24"/>
          <w:szCs w:val="24"/>
        </w:rPr>
        <w:tab/>
      </w:r>
      <w:r w:rsidR="00184091" w:rsidRPr="00184091">
        <w:rPr>
          <w:rFonts w:ascii="Arial" w:hAnsi="Arial" w:cs="Arial"/>
          <w:b/>
          <w:bCs/>
          <w:color w:val="000000"/>
          <w:sz w:val="24"/>
          <w:szCs w:val="24"/>
        </w:rPr>
        <w:t>Public consultation–notification</w:t>
      </w:r>
    </w:p>
    <w:p w14:paraId="46B4C6F2" w14:textId="0F7D1EB3" w:rsidR="00184091" w:rsidRPr="00184091" w:rsidRDefault="00184091" w:rsidP="005D3610">
      <w:pPr>
        <w:keepNext/>
        <w:keepLines/>
        <w:autoSpaceDE w:val="0"/>
        <w:autoSpaceDN w:val="0"/>
        <w:adjustRightInd w:val="0"/>
        <w:spacing w:after="120"/>
        <w:rPr>
          <w:rFonts w:ascii="Arial" w:hAnsi="Arial" w:cs="Arial"/>
          <w:b/>
          <w:bCs/>
          <w:color w:val="000000"/>
          <w:sz w:val="24"/>
          <w:szCs w:val="24"/>
        </w:rPr>
      </w:pPr>
      <w:r w:rsidRPr="00184091">
        <w:rPr>
          <w:rFonts w:ascii="Arial" w:hAnsi="Arial" w:cs="Arial"/>
          <w:b/>
          <w:bCs/>
          <w:color w:val="000000"/>
          <w:sz w:val="24"/>
          <w:szCs w:val="24"/>
        </w:rPr>
        <w:t>New section 63 (1) (ca)</w:t>
      </w:r>
    </w:p>
    <w:p w14:paraId="4E67136C" w14:textId="31E09AD0" w:rsidR="00184091" w:rsidRPr="00A05EA6" w:rsidRDefault="00184091" w:rsidP="00184091">
      <w:pPr>
        <w:autoSpaceDE w:val="0"/>
        <w:autoSpaceDN w:val="0"/>
        <w:adjustRightInd w:val="0"/>
        <w:spacing w:after="120"/>
        <w:rPr>
          <w:rFonts w:ascii="Arial" w:hAnsi="Arial" w:cs="Arial"/>
          <w:bCs/>
          <w:color w:val="000000"/>
          <w:sz w:val="24"/>
          <w:szCs w:val="24"/>
        </w:rPr>
      </w:pPr>
      <w:r w:rsidRPr="00A05EA6">
        <w:rPr>
          <w:rFonts w:ascii="Arial" w:hAnsi="Arial" w:cs="Arial"/>
          <w:bCs/>
          <w:color w:val="000000"/>
          <w:sz w:val="24"/>
          <w:szCs w:val="24"/>
        </w:rPr>
        <w:t xml:space="preserve">This clause </w:t>
      </w:r>
      <w:r>
        <w:rPr>
          <w:rFonts w:ascii="Arial" w:hAnsi="Arial" w:cs="Arial"/>
          <w:bCs/>
          <w:color w:val="000000"/>
          <w:sz w:val="24"/>
          <w:szCs w:val="24"/>
        </w:rPr>
        <w:t>is consequential to clause 6.  It relocates an existing provision from s</w:t>
      </w:r>
      <w:r w:rsidR="0046182B">
        <w:rPr>
          <w:rFonts w:ascii="Arial" w:hAnsi="Arial" w:cs="Arial"/>
          <w:bCs/>
          <w:color w:val="000000"/>
          <w:sz w:val="24"/>
          <w:szCs w:val="24"/>
        </w:rPr>
        <w:t xml:space="preserve">ection </w:t>
      </w:r>
      <w:r>
        <w:rPr>
          <w:rFonts w:ascii="Arial" w:hAnsi="Arial" w:cs="Arial"/>
          <w:bCs/>
          <w:color w:val="000000"/>
          <w:sz w:val="24"/>
          <w:szCs w:val="24"/>
        </w:rPr>
        <w:t xml:space="preserve">64 to </w:t>
      </w:r>
      <w:r w:rsidR="0046182B">
        <w:rPr>
          <w:rFonts w:ascii="Arial" w:hAnsi="Arial" w:cs="Arial"/>
          <w:bCs/>
          <w:color w:val="000000"/>
          <w:sz w:val="24"/>
          <w:szCs w:val="24"/>
        </w:rPr>
        <w:t xml:space="preserve">section </w:t>
      </w:r>
      <w:r>
        <w:rPr>
          <w:rFonts w:ascii="Arial" w:hAnsi="Arial" w:cs="Arial"/>
          <w:bCs/>
          <w:color w:val="000000"/>
          <w:sz w:val="24"/>
          <w:szCs w:val="24"/>
        </w:rPr>
        <w:t>63.</w:t>
      </w:r>
    </w:p>
    <w:p w14:paraId="2AE096C4" w14:textId="77777777" w:rsidR="00184091" w:rsidRPr="009E229D" w:rsidRDefault="00184091" w:rsidP="00DB5218">
      <w:pPr>
        <w:autoSpaceDE w:val="0"/>
        <w:autoSpaceDN w:val="0"/>
        <w:adjustRightInd w:val="0"/>
        <w:spacing w:after="120"/>
        <w:rPr>
          <w:rFonts w:ascii="Arial" w:hAnsi="Arial" w:cs="Arial"/>
          <w:bCs/>
          <w:color w:val="000000"/>
          <w:sz w:val="24"/>
          <w:szCs w:val="24"/>
        </w:rPr>
      </w:pPr>
    </w:p>
    <w:p w14:paraId="3EC293AE" w14:textId="233D2C4F" w:rsidR="004A0FD4" w:rsidRPr="00B75FB5" w:rsidRDefault="00245859" w:rsidP="0064756C">
      <w:pPr>
        <w:keepNext/>
        <w:keepLines/>
        <w:autoSpaceDE w:val="0"/>
        <w:autoSpaceDN w:val="0"/>
        <w:adjustRightInd w:val="0"/>
        <w:spacing w:after="120"/>
        <w:rPr>
          <w:rFonts w:ascii="Arial" w:hAnsi="Arial" w:cs="Arial"/>
          <w:b/>
          <w:bCs/>
          <w:color w:val="000000"/>
          <w:sz w:val="24"/>
          <w:szCs w:val="24"/>
        </w:rPr>
      </w:pPr>
      <w:r w:rsidRPr="00EC2186">
        <w:rPr>
          <w:rFonts w:ascii="Arial" w:hAnsi="Arial" w:cs="Arial"/>
          <w:b/>
          <w:bCs/>
          <w:color w:val="000000"/>
          <w:sz w:val="24"/>
          <w:szCs w:val="24"/>
        </w:rPr>
        <w:t xml:space="preserve">Clause </w:t>
      </w:r>
      <w:r w:rsidR="0046182B">
        <w:rPr>
          <w:rFonts w:ascii="Arial" w:hAnsi="Arial" w:cs="Arial"/>
          <w:b/>
          <w:bCs/>
          <w:color w:val="000000"/>
          <w:sz w:val="24"/>
          <w:szCs w:val="24"/>
        </w:rPr>
        <w:t>6</w:t>
      </w:r>
      <w:r w:rsidRPr="00EC2186">
        <w:rPr>
          <w:rFonts w:ascii="Arial" w:hAnsi="Arial" w:cs="Arial"/>
          <w:b/>
          <w:bCs/>
          <w:color w:val="000000"/>
          <w:sz w:val="24"/>
          <w:szCs w:val="24"/>
        </w:rPr>
        <w:tab/>
      </w:r>
      <w:r w:rsidR="004A0FD4">
        <w:rPr>
          <w:rFonts w:ascii="Arial" w:hAnsi="Arial" w:cs="Arial"/>
          <w:b/>
          <w:bCs/>
          <w:color w:val="000000"/>
          <w:sz w:val="24"/>
          <w:szCs w:val="24"/>
        </w:rPr>
        <w:t>Section 64</w:t>
      </w:r>
    </w:p>
    <w:p w14:paraId="3D425CC8" w14:textId="77777777" w:rsidR="0068261E" w:rsidRDefault="004A0FD4" w:rsidP="004A0FD4">
      <w:pPr>
        <w:autoSpaceDE w:val="0"/>
        <w:autoSpaceDN w:val="0"/>
        <w:adjustRightInd w:val="0"/>
        <w:spacing w:after="120"/>
        <w:rPr>
          <w:rFonts w:ascii="Arial" w:hAnsi="Arial" w:cs="Arial"/>
          <w:bCs/>
          <w:color w:val="000000"/>
          <w:sz w:val="24"/>
          <w:szCs w:val="24"/>
        </w:rPr>
      </w:pPr>
      <w:r w:rsidRPr="0068261E">
        <w:rPr>
          <w:rFonts w:ascii="Arial" w:hAnsi="Arial" w:cs="Arial"/>
          <w:bCs/>
          <w:color w:val="000000"/>
          <w:sz w:val="24"/>
          <w:szCs w:val="24"/>
        </w:rPr>
        <w:t xml:space="preserve">The existing section 64 of the Act </w:t>
      </w:r>
      <w:r w:rsidR="00244CCE" w:rsidRPr="0068261E">
        <w:rPr>
          <w:rFonts w:ascii="Arial" w:hAnsi="Arial" w:cs="Arial"/>
          <w:bCs/>
          <w:color w:val="000000"/>
          <w:sz w:val="24"/>
          <w:szCs w:val="24"/>
        </w:rPr>
        <w:t xml:space="preserve">sets out requirements for </w:t>
      </w:r>
      <w:r w:rsidRPr="0068261E">
        <w:rPr>
          <w:rFonts w:ascii="Arial" w:hAnsi="Arial" w:cs="Arial"/>
          <w:bCs/>
          <w:color w:val="000000"/>
          <w:sz w:val="24"/>
          <w:szCs w:val="24"/>
        </w:rPr>
        <w:t xml:space="preserve">the </w:t>
      </w:r>
      <w:r w:rsidR="0064756C" w:rsidRPr="0068261E">
        <w:rPr>
          <w:rFonts w:ascii="Arial" w:hAnsi="Arial" w:cs="Arial"/>
          <w:bCs/>
          <w:color w:val="000000"/>
          <w:sz w:val="24"/>
          <w:szCs w:val="24"/>
        </w:rPr>
        <w:t xml:space="preserve">public notification of a draft Territory Plan </w:t>
      </w:r>
      <w:r w:rsidR="0068261E" w:rsidRPr="0068261E">
        <w:rPr>
          <w:rFonts w:ascii="Arial" w:hAnsi="Arial" w:cs="Arial"/>
          <w:bCs/>
          <w:color w:val="000000"/>
          <w:sz w:val="24"/>
          <w:szCs w:val="24"/>
        </w:rPr>
        <w:t>v</w:t>
      </w:r>
      <w:r w:rsidRPr="0068261E">
        <w:rPr>
          <w:rFonts w:ascii="Arial" w:hAnsi="Arial" w:cs="Arial"/>
          <w:bCs/>
          <w:color w:val="000000"/>
          <w:sz w:val="24"/>
          <w:szCs w:val="24"/>
        </w:rPr>
        <w:t xml:space="preserve">ariation, and includes the trigger for interim effect.  </w:t>
      </w:r>
      <w:r w:rsidR="0068261E">
        <w:rPr>
          <w:rFonts w:ascii="Arial" w:hAnsi="Arial" w:cs="Arial"/>
          <w:bCs/>
          <w:color w:val="000000"/>
          <w:sz w:val="24"/>
          <w:szCs w:val="24"/>
        </w:rPr>
        <w:t>Interim effect temporarily bypasses normal consultation and Assembly scrutiny processes by bringing the variation into force immediately.</w:t>
      </w:r>
    </w:p>
    <w:p w14:paraId="49A8418B" w14:textId="75724EB5" w:rsidR="004A0FD4" w:rsidRPr="0068261E" w:rsidRDefault="00EA593B" w:rsidP="004A0FD4">
      <w:pPr>
        <w:autoSpaceDE w:val="0"/>
        <w:autoSpaceDN w:val="0"/>
        <w:adjustRightInd w:val="0"/>
        <w:spacing w:after="120"/>
        <w:rPr>
          <w:rFonts w:ascii="Arial" w:hAnsi="Arial" w:cs="Arial"/>
          <w:bCs/>
          <w:color w:val="000000"/>
          <w:sz w:val="24"/>
          <w:szCs w:val="24"/>
        </w:rPr>
      </w:pPr>
      <w:r w:rsidRPr="0068261E">
        <w:rPr>
          <w:rFonts w:ascii="Arial" w:hAnsi="Arial" w:cs="Arial"/>
          <w:bCs/>
          <w:color w:val="000000"/>
          <w:sz w:val="24"/>
          <w:szCs w:val="24"/>
        </w:rPr>
        <w:t>Section 64</w:t>
      </w:r>
      <w:r w:rsidR="004A0FD4" w:rsidRPr="0068261E">
        <w:rPr>
          <w:rFonts w:ascii="Arial" w:hAnsi="Arial" w:cs="Arial"/>
          <w:bCs/>
          <w:color w:val="000000"/>
          <w:sz w:val="24"/>
          <w:szCs w:val="24"/>
        </w:rPr>
        <w:t xml:space="preserve"> is the first of two points in the </w:t>
      </w:r>
      <w:r w:rsidR="001425E4" w:rsidRPr="0068261E">
        <w:rPr>
          <w:rFonts w:ascii="Arial" w:hAnsi="Arial" w:cs="Arial"/>
          <w:bCs/>
          <w:color w:val="000000"/>
          <w:sz w:val="24"/>
          <w:szCs w:val="24"/>
        </w:rPr>
        <w:t>draft plan variation</w:t>
      </w:r>
      <w:r w:rsidR="004A0FD4" w:rsidRPr="0068261E">
        <w:rPr>
          <w:rFonts w:ascii="Arial" w:hAnsi="Arial" w:cs="Arial"/>
          <w:bCs/>
          <w:color w:val="000000"/>
          <w:sz w:val="24"/>
          <w:szCs w:val="24"/>
        </w:rPr>
        <w:t xml:space="preserve"> process that the planning and land authority can bring interim effect into force.</w:t>
      </w:r>
    </w:p>
    <w:p w14:paraId="56E74856" w14:textId="0C06DF5C" w:rsidR="004A0FD4" w:rsidRPr="00B75FB5" w:rsidRDefault="004A0FD4" w:rsidP="004A0FD4">
      <w:pPr>
        <w:autoSpaceDE w:val="0"/>
        <w:autoSpaceDN w:val="0"/>
        <w:adjustRightInd w:val="0"/>
        <w:spacing w:after="120"/>
        <w:rPr>
          <w:rFonts w:ascii="Arial" w:hAnsi="Arial" w:cs="Arial"/>
          <w:bCs/>
          <w:color w:val="000000"/>
          <w:sz w:val="24"/>
          <w:szCs w:val="24"/>
        </w:rPr>
      </w:pPr>
      <w:r w:rsidRPr="0068261E">
        <w:rPr>
          <w:rFonts w:ascii="Arial" w:hAnsi="Arial" w:cs="Arial"/>
          <w:bCs/>
          <w:color w:val="000000"/>
          <w:sz w:val="24"/>
          <w:szCs w:val="24"/>
        </w:rPr>
        <w:t xml:space="preserve">The </w:t>
      </w:r>
      <w:r w:rsidR="00093065" w:rsidRPr="0068261E">
        <w:rPr>
          <w:rFonts w:ascii="Arial" w:hAnsi="Arial" w:cs="Arial"/>
          <w:bCs/>
          <w:color w:val="000000"/>
          <w:sz w:val="24"/>
          <w:szCs w:val="24"/>
        </w:rPr>
        <w:t xml:space="preserve">clause </w:t>
      </w:r>
      <w:r w:rsidRPr="0068261E">
        <w:rPr>
          <w:rFonts w:ascii="Arial" w:hAnsi="Arial" w:cs="Arial"/>
          <w:bCs/>
          <w:color w:val="000000"/>
          <w:sz w:val="24"/>
          <w:szCs w:val="24"/>
        </w:rPr>
        <w:t>change</w:t>
      </w:r>
      <w:r w:rsidR="00093065" w:rsidRPr="0068261E">
        <w:rPr>
          <w:rFonts w:ascii="Arial" w:hAnsi="Arial" w:cs="Arial"/>
          <w:bCs/>
          <w:color w:val="000000"/>
          <w:sz w:val="24"/>
          <w:szCs w:val="24"/>
        </w:rPr>
        <w:t>s</w:t>
      </w:r>
      <w:r w:rsidRPr="0068261E">
        <w:rPr>
          <w:rFonts w:ascii="Arial" w:hAnsi="Arial" w:cs="Arial"/>
          <w:bCs/>
          <w:color w:val="000000"/>
          <w:sz w:val="24"/>
          <w:szCs w:val="24"/>
        </w:rPr>
        <w:t xml:space="preserve"> the trigger</w:t>
      </w:r>
      <w:r w:rsidR="001425E4" w:rsidRPr="0068261E">
        <w:rPr>
          <w:rFonts w:ascii="Arial" w:hAnsi="Arial" w:cs="Arial"/>
          <w:bCs/>
          <w:color w:val="000000"/>
          <w:sz w:val="24"/>
          <w:szCs w:val="24"/>
        </w:rPr>
        <w:t xml:space="preserve"> mechanism</w:t>
      </w:r>
      <w:r w:rsidRPr="0068261E">
        <w:rPr>
          <w:rFonts w:ascii="Arial" w:hAnsi="Arial" w:cs="Arial"/>
          <w:bCs/>
          <w:color w:val="000000"/>
          <w:sz w:val="24"/>
          <w:szCs w:val="24"/>
        </w:rPr>
        <w:t xml:space="preserve"> for interim effect from a statement in the ‘consultation notice’ to a separate ‘interim effect declaration’, which </w:t>
      </w:r>
      <w:r w:rsidR="00093065" w:rsidRPr="0068261E">
        <w:rPr>
          <w:rFonts w:ascii="Arial" w:hAnsi="Arial" w:cs="Arial"/>
          <w:bCs/>
          <w:color w:val="000000"/>
          <w:sz w:val="24"/>
          <w:szCs w:val="24"/>
        </w:rPr>
        <w:t>is</w:t>
      </w:r>
      <w:r w:rsidRPr="0068261E">
        <w:rPr>
          <w:rFonts w:ascii="Arial" w:hAnsi="Arial" w:cs="Arial"/>
          <w:bCs/>
          <w:color w:val="000000"/>
          <w:sz w:val="24"/>
          <w:szCs w:val="24"/>
        </w:rPr>
        <w:t xml:space="preserve"> a disallowable instrument.</w:t>
      </w:r>
      <w:r w:rsidR="00244CCE" w:rsidRPr="0068261E">
        <w:rPr>
          <w:rFonts w:ascii="Arial" w:hAnsi="Arial" w:cs="Arial"/>
          <w:bCs/>
          <w:color w:val="000000"/>
          <w:sz w:val="24"/>
          <w:szCs w:val="24"/>
        </w:rPr>
        <w:t xml:space="preserve"> This will </w:t>
      </w:r>
      <w:r w:rsidR="0068261E">
        <w:rPr>
          <w:rFonts w:ascii="Arial" w:hAnsi="Arial" w:cs="Arial"/>
          <w:bCs/>
          <w:color w:val="000000"/>
          <w:sz w:val="24"/>
          <w:szCs w:val="24"/>
        </w:rPr>
        <w:t>ensure that interim effect cannot be used to bypass the will of the Assembly</w:t>
      </w:r>
      <w:r w:rsidR="001425E4" w:rsidRPr="0068261E">
        <w:rPr>
          <w:rFonts w:ascii="Arial" w:hAnsi="Arial" w:cs="Arial"/>
          <w:bCs/>
          <w:color w:val="000000"/>
          <w:sz w:val="24"/>
          <w:szCs w:val="24"/>
        </w:rPr>
        <w:t>.</w:t>
      </w:r>
    </w:p>
    <w:p w14:paraId="24366955" w14:textId="77777777" w:rsidR="00D87AD4" w:rsidRPr="00C07DD6" w:rsidRDefault="00D87AD4" w:rsidP="00D87AD4">
      <w:pPr>
        <w:autoSpaceDE w:val="0"/>
        <w:autoSpaceDN w:val="0"/>
        <w:adjustRightInd w:val="0"/>
        <w:spacing w:after="120"/>
        <w:rPr>
          <w:rFonts w:ascii="Arial" w:hAnsi="Arial" w:cs="Arial"/>
          <w:b/>
          <w:bCs/>
          <w:color w:val="000000"/>
          <w:sz w:val="24"/>
          <w:szCs w:val="24"/>
          <w:highlight w:val="yellow"/>
        </w:rPr>
      </w:pPr>
    </w:p>
    <w:p w14:paraId="70CF78C1" w14:textId="26FD8CB0" w:rsidR="004A0FD4" w:rsidRPr="002D19DD" w:rsidRDefault="00D87AD4" w:rsidP="0064756C">
      <w:pPr>
        <w:keepNext/>
        <w:keepLines/>
        <w:autoSpaceDE w:val="0"/>
        <w:autoSpaceDN w:val="0"/>
        <w:adjustRightInd w:val="0"/>
        <w:spacing w:after="120"/>
        <w:rPr>
          <w:rFonts w:ascii="Arial" w:hAnsi="Arial" w:cs="Arial"/>
          <w:b/>
          <w:bCs/>
          <w:color w:val="000000"/>
          <w:sz w:val="24"/>
          <w:szCs w:val="24"/>
        </w:rPr>
      </w:pPr>
      <w:r w:rsidRPr="00B75FB5">
        <w:rPr>
          <w:rFonts w:ascii="Arial" w:hAnsi="Arial" w:cs="Arial"/>
          <w:b/>
          <w:bCs/>
          <w:color w:val="000000"/>
          <w:sz w:val="24"/>
          <w:szCs w:val="24"/>
        </w:rPr>
        <w:t xml:space="preserve">Clause </w:t>
      </w:r>
      <w:r w:rsidR="0046182B">
        <w:rPr>
          <w:rFonts w:ascii="Arial" w:hAnsi="Arial" w:cs="Arial"/>
          <w:b/>
          <w:bCs/>
          <w:color w:val="000000"/>
          <w:sz w:val="24"/>
          <w:szCs w:val="24"/>
        </w:rPr>
        <w:t>7</w:t>
      </w:r>
      <w:r w:rsidRPr="00B75FB5">
        <w:rPr>
          <w:rFonts w:ascii="Arial" w:hAnsi="Arial" w:cs="Arial"/>
          <w:b/>
          <w:bCs/>
          <w:color w:val="000000"/>
          <w:sz w:val="24"/>
          <w:szCs w:val="24"/>
        </w:rPr>
        <w:t xml:space="preserve"> </w:t>
      </w:r>
      <w:r w:rsidRPr="00B75FB5">
        <w:rPr>
          <w:rFonts w:ascii="Arial" w:hAnsi="Arial" w:cs="Arial"/>
          <w:b/>
          <w:bCs/>
          <w:color w:val="000000"/>
          <w:sz w:val="24"/>
          <w:szCs w:val="24"/>
        </w:rPr>
        <w:tab/>
      </w:r>
      <w:r w:rsidR="004A0FD4">
        <w:rPr>
          <w:rFonts w:ascii="Arial" w:hAnsi="Arial" w:cs="Arial"/>
          <w:b/>
          <w:bCs/>
          <w:color w:val="000000"/>
          <w:sz w:val="24"/>
          <w:szCs w:val="24"/>
        </w:rPr>
        <w:t>Effect of draft plan variations publicly notified</w:t>
      </w:r>
    </w:p>
    <w:p w14:paraId="62586BD1" w14:textId="07825D9C" w:rsidR="004A0FD4" w:rsidRPr="002D19DD" w:rsidRDefault="004A0FD4" w:rsidP="0064756C">
      <w:pPr>
        <w:keepNext/>
        <w:keepLines/>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S</w:t>
      </w:r>
      <w:r w:rsidRPr="002D19DD">
        <w:rPr>
          <w:rFonts w:ascii="Arial" w:hAnsi="Arial" w:cs="Arial"/>
          <w:b/>
          <w:bCs/>
          <w:color w:val="000000"/>
          <w:sz w:val="24"/>
          <w:szCs w:val="24"/>
        </w:rPr>
        <w:t>ection 6</w:t>
      </w:r>
      <w:r>
        <w:rPr>
          <w:rFonts w:ascii="Arial" w:hAnsi="Arial" w:cs="Arial"/>
          <w:b/>
          <w:bCs/>
          <w:color w:val="000000"/>
          <w:sz w:val="24"/>
          <w:szCs w:val="24"/>
        </w:rPr>
        <w:t>5 (1)</w:t>
      </w:r>
    </w:p>
    <w:p w14:paraId="70F8D87A" w14:textId="09B1831A" w:rsidR="00D87AD4" w:rsidRPr="00A05EA6" w:rsidRDefault="00A05EA6" w:rsidP="00D87AD4">
      <w:pPr>
        <w:autoSpaceDE w:val="0"/>
        <w:autoSpaceDN w:val="0"/>
        <w:adjustRightInd w:val="0"/>
        <w:spacing w:after="120"/>
        <w:rPr>
          <w:rFonts w:ascii="Arial" w:hAnsi="Arial" w:cs="Arial"/>
          <w:bCs/>
          <w:color w:val="000000"/>
          <w:sz w:val="24"/>
          <w:szCs w:val="24"/>
        </w:rPr>
      </w:pPr>
      <w:r w:rsidRPr="00A05EA6">
        <w:rPr>
          <w:rFonts w:ascii="Arial" w:hAnsi="Arial" w:cs="Arial"/>
          <w:bCs/>
          <w:color w:val="000000"/>
          <w:sz w:val="24"/>
          <w:szCs w:val="24"/>
        </w:rPr>
        <w:t xml:space="preserve">This clause </w:t>
      </w:r>
      <w:r>
        <w:rPr>
          <w:rFonts w:ascii="Arial" w:hAnsi="Arial" w:cs="Arial"/>
          <w:bCs/>
          <w:color w:val="000000"/>
          <w:sz w:val="24"/>
          <w:szCs w:val="24"/>
        </w:rPr>
        <w:t xml:space="preserve">is consequential to clause </w:t>
      </w:r>
      <w:r w:rsidR="0046182B">
        <w:rPr>
          <w:rFonts w:ascii="Arial" w:hAnsi="Arial" w:cs="Arial"/>
          <w:bCs/>
          <w:color w:val="000000"/>
          <w:sz w:val="24"/>
          <w:szCs w:val="24"/>
        </w:rPr>
        <w:t>6</w:t>
      </w:r>
      <w:r w:rsidR="00086699">
        <w:rPr>
          <w:rFonts w:ascii="Arial" w:hAnsi="Arial" w:cs="Arial"/>
          <w:bCs/>
          <w:color w:val="000000"/>
          <w:sz w:val="24"/>
          <w:szCs w:val="24"/>
        </w:rPr>
        <w:t>.</w:t>
      </w:r>
    </w:p>
    <w:p w14:paraId="7AF054F9" w14:textId="3C35D077" w:rsidR="00D87AD4" w:rsidRPr="00C07DD6" w:rsidRDefault="00D87AD4" w:rsidP="00245859">
      <w:pPr>
        <w:autoSpaceDE w:val="0"/>
        <w:autoSpaceDN w:val="0"/>
        <w:adjustRightInd w:val="0"/>
        <w:spacing w:after="120"/>
        <w:rPr>
          <w:rFonts w:ascii="Arial" w:hAnsi="Arial" w:cs="Arial"/>
          <w:bCs/>
          <w:color w:val="000000"/>
          <w:sz w:val="24"/>
          <w:szCs w:val="24"/>
          <w:highlight w:val="yellow"/>
        </w:rPr>
      </w:pPr>
    </w:p>
    <w:p w14:paraId="1155527B" w14:textId="415D80AC" w:rsidR="00FB28A1" w:rsidRPr="002D19DD" w:rsidRDefault="00D87AD4" w:rsidP="0064756C">
      <w:pPr>
        <w:keepNext/>
        <w:keepLines/>
        <w:autoSpaceDE w:val="0"/>
        <w:autoSpaceDN w:val="0"/>
        <w:adjustRightInd w:val="0"/>
        <w:spacing w:after="120"/>
        <w:rPr>
          <w:rFonts w:ascii="Arial" w:hAnsi="Arial" w:cs="Arial"/>
          <w:b/>
          <w:bCs/>
          <w:color w:val="000000"/>
          <w:sz w:val="24"/>
          <w:szCs w:val="24"/>
        </w:rPr>
      </w:pPr>
      <w:r w:rsidRPr="002D19DD">
        <w:rPr>
          <w:rFonts w:ascii="Arial" w:hAnsi="Arial" w:cs="Arial"/>
          <w:b/>
          <w:bCs/>
          <w:color w:val="000000"/>
          <w:sz w:val="24"/>
          <w:szCs w:val="24"/>
        </w:rPr>
        <w:t xml:space="preserve">Clause </w:t>
      </w:r>
      <w:r w:rsidR="0046182B">
        <w:rPr>
          <w:rFonts w:ascii="Arial" w:hAnsi="Arial" w:cs="Arial"/>
          <w:b/>
          <w:bCs/>
          <w:color w:val="000000"/>
          <w:sz w:val="24"/>
          <w:szCs w:val="24"/>
        </w:rPr>
        <w:t>8</w:t>
      </w:r>
      <w:r w:rsidRPr="002D19DD">
        <w:rPr>
          <w:rFonts w:ascii="Arial" w:hAnsi="Arial" w:cs="Arial"/>
          <w:b/>
          <w:bCs/>
          <w:color w:val="000000"/>
          <w:sz w:val="24"/>
          <w:szCs w:val="24"/>
        </w:rPr>
        <w:tab/>
      </w:r>
      <w:r w:rsidR="001E243D">
        <w:rPr>
          <w:rFonts w:ascii="Arial" w:hAnsi="Arial" w:cs="Arial"/>
          <w:b/>
          <w:bCs/>
          <w:color w:val="000000"/>
          <w:sz w:val="24"/>
          <w:szCs w:val="24"/>
        </w:rPr>
        <w:t>S</w:t>
      </w:r>
      <w:r w:rsidR="002D19DD" w:rsidRPr="002D19DD">
        <w:rPr>
          <w:rFonts w:ascii="Arial" w:hAnsi="Arial" w:cs="Arial"/>
          <w:b/>
          <w:bCs/>
          <w:color w:val="000000"/>
          <w:sz w:val="24"/>
          <w:szCs w:val="24"/>
        </w:rPr>
        <w:t>ection 6</w:t>
      </w:r>
      <w:r w:rsidR="00A05EA6">
        <w:rPr>
          <w:rFonts w:ascii="Arial" w:hAnsi="Arial" w:cs="Arial"/>
          <w:b/>
          <w:bCs/>
          <w:color w:val="000000"/>
          <w:sz w:val="24"/>
          <w:szCs w:val="24"/>
        </w:rPr>
        <w:t>5 (2</w:t>
      </w:r>
      <w:r w:rsidR="002D19DD" w:rsidRPr="002D19DD">
        <w:rPr>
          <w:rFonts w:ascii="Arial" w:hAnsi="Arial" w:cs="Arial"/>
          <w:b/>
          <w:bCs/>
          <w:color w:val="000000"/>
          <w:sz w:val="24"/>
          <w:szCs w:val="24"/>
        </w:rPr>
        <w:t>)</w:t>
      </w:r>
    </w:p>
    <w:p w14:paraId="2392989A" w14:textId="4DF8213E" w:rsidR="00086699" w:rsidRPr="00A05EA6" w:rsidRDefault="00086699" w:rsidP="00086699">
      <w:pPr>
        <w:autoSpaceDE w:val="0"/>
        <w:autoSpaceDN w:val="0"/>
        <w:adjustRightInd w:val="0"/>
        <w:spacing w:after="120"/>
        <w:rPr>
          <w:rFonts w:ascii="Arial" w:hAnsi="Arial" w:cs="Arial"/>
          <w:bCs/>
          <w:color w:val="000000"/>
          <w:sz w:val="24"/>
          <w:szCs w:val="24"/>
        </w:rPr>
      </w:pPr>
      <w:r w:rsidRPr="00A05EA6">
        <w:rPr>
          <w:rFonts w:ascii="Arial" w:hAnsi="Arial" w:cs="Arial"/>
          <w:bCs/>
          <w:color w:val="000000"/>
          <w:sz w:val="24"/>
          <w:szCs w:val="24"/>
        </w:rPr>
        <w:t xml:space="preserve">This clause </w:t>
      </w:r>
      <w:r>
        <w:rPr>
          <w:rFonts w:ascii="Arial" w:hAnsi="Arial" w:cs="Arial"/>
          <w:bCs/>
          <w:color w:val="000000"/>
          <w:sz w:val="24"/>
          <w:szCs w:val="24"/>
        </w:rPr>
        <w:t xml:space="preserve">is consequential to clause </w:t>
      </w:r>
      <w:r w:rsidR="0046182B">
        <w:rPr>
          <w:rFonts w:ascii="Arial" w:hAnsi="Arial" w:cs="Arial"/>
          <w:bCs/>
          <w:color w:val="000000"/>
          <w:sz w:val="24"/>
          <w:szCs w:val="24"/>
        </w:rPr>
        <w:t>6</w:t>
      </w:r>
      <w:r>
        <w:rPr>
          <w:rFonts w:ascii="Arial" w:hAnsi="Arial" w:cs="Arial"/>
          <w:bCs/>
          <w:color w:val="000000"/>
          <w:sz w:val="24"/>
          <w:szCs w:val="24"/>
        </w:rPr>
        <w:t>.</w:t>
      </w:r>
    </w:p>
    <w:p w14:paraId="054426A1" w14:textId="228A9BBF" w:rsidR="00D87AD4" w:rsidRPr="00C07DD6" w:rsidRDefault="00D87AD4" w:rsidP="00D87AD4">
      <w:pPr>
        <w:autoSpaceDE w:val="0"/>
        <w:autoSpaceDN w:val="0"/>
        <w:adjustRightInd w:val="0"/>
        <w:spacing w:after="120"/>
        <w:rPr>
          <w:rFonts w:ascii="Arial" w:hAnsi="Arial" w:cs="Arial"/>
          <w:bCs/>
          <w:color w:val="000000"/>
          <w:sz w:val="24"/>
          <w:szCs w:val="24"/>
          <w:highlight w:val="yellow"/>
        </w:rPr>
      </w:pPr>
    </w:p>
    <w:p w14:paraId="3A85BD23" w14:textId="0B5BDC2F" w:rsidR="00D87AD4" w:rsidRPr="00862A40" w:rsidRDefault="00D87AD4" w:rsidP="0064756C">
      <w:pPr>
        <w:keepNext/>
        <w:keepLines/>
        <w:autoSpaceDE w:val="0"/>
        <w:autoSpaceDN w:val="0"/>
        <w:adjustRightInd w:val="0"/>
        <w:spacing w:after="120"/>
        <w:rPr>
          <w:rFonts w:ascii="Arial" w:hAnsi="Arial" w:cs="Arial"/>
          <w:b/>
          <w:bCs/>
          <w:color w:val="000000"/>
          <w:sz w:val="24"/>
          <w:szCs w:val="24"/>
        </w:rPr>
      </w:pPr>
      <w:r w:rsidRPr="00862A40">
        <w:rPr>
          <w:rFonts w:ascii="Arial" w:hAnsi="Arial" w:cs="Arial"/>
          <w:b/>
          <w:bCs/>
          <w:color w:val="000000"/>
          <w:sz w:val="24"/>
          <w:szCs w:val="24"/>
        </w:rPr>
        <w:t>Clause</w:t>
      </w:r>
      <w:r w:rsidR="000A28EA" w:rsidRPr="00862A40">
        <w:rPr>
          <w:rFonts w:ascii="Arial" w:hAnsi="Arial" w:cs="Arial"/>
          <w:b/>
          <w:bCs/>
          <w:color w:val="000000"/>
          <w:sz w:val="24"/>
          <w:szCs w:val="24"/>
        </w:rPr>
        <w:t>s</w:t>
      </w:r>
      <w:r w:rsidRPr="00862A40">
        <w:rPr>
          <w:rFonts w:ascii="Arial" w:hAnsi="Arial" w:cs="Arial"/>
          <w:b/>
          <w:bCs/>
          <w:color w:val="000000"/>
          <w:sz w:val="24"/>
          <w:szCs w:val="24"/>
        </w:rPr>
        <w:t xml:space="preserve"> </w:t>
      </w:r>
      <w:r w:rsidR="0046182B">
        <w:rPr>
          <w:rFonts w:ascii="Arial" w:hAnsi="Arial" w:cs="Arial"/>
          <w:b/>
          <w:bCs/>
          <w:color w:val="000000"/>
          <w:sz w:val="24"/>
          <w:szCs w:val="24"/>
        </w:rPr>
        <w:t>9</w:t>
      </w:r>
      <w:r w:rsidR="00862A40" w:rsidRPr="00862A40">
        <w:rPr>
          <w:rFonts w:ascii="Arial" w:hAnsi="Arial" w:cs="Arial"/>
          <w:b/>
          <w:bCs/>
          <w:color w:val="000000"/>
          <w:sz w:val="24"/>
          <w:szCs w:val="24"/>
        </w:rPr>
        <w:t xml:space="preserve"> to 1</w:t>
      </w:r>
      <w:r w:rsidR="0046182B">
        <w:rPr>
          <w:rFonts w:ascii="Arial" w:hAnsi="Arial" w:cs="Arial"/>
          <w:b/>
          <w:bCs/>
          <w:color w:val="000000"/>
          <w:sz w:val="24"/>
          <w:szCs w:val="24"/>
        </w:rPr>
        <w:t>1</w:t>
      </w:r>
      <w:r w:rsidRPr="00862A40">
        <w:rPr>
          <w:rFonts w:ascii="Arial" w:hAnsi="Arial" w:cs="Arial"/>
          <w:b/>
          <w:bCs/>
          <w:color w:val="000000"/>
          <w:sz w:val="24"/>
          <w:szCs w:val="24"/>
        </w:rPr>
        <w:tab/>
      </w:r>
    </w:p>
    <w:p w14:paraId="716E2E41" w14:textId="3E87F42C" w:rsidR="002E4C1D" w:rsidRPr="00862A40" w:rsidRDefault="002E4C1D" w:rsidP="002E4C1D">
      <w:pPr>
        <w:autoSpaceDE w:val="0"/>
        <w:autoSpaceDN w:val="0"/>
        <w:adjustRightInd w:val="0"/>
        <w:spacing w:after="120"/>
        <w:rPr>
          <w:rFonts w:ascii="Arial" w:hAnsi="Arial" w:cs="Arial"/>
          <w:bCs/>
          <w:color w:val="000000"/>
          <w:sz w:val="24"/>
          <w:szCs w:val="24"/>
        </w:rPr>
      </w:pPr>
      <w:r w:rsidRPr="00862A40">
        <w:rPr>
          <w:rFonts w:ascii="Arial" w:hAnsi="Arial" w:cs="Arial"/>
          <w:bCs/>
          <w:color w:val="000000"/>
          <w:sz w:val="24"/>
          <w:szCs w:val="24"/>
        </w:rPr>
        <w:t xml:space="preserve">These clauses </w:t>
      </w:r>
      <w:r w:rsidR="00EA593B">
        <w:rPr>
          <w:rFonts w:ascii="Arial" w:hAnsi="Arial" w:cs="Arial"/>
          <w:bCs/>
          <w:color w:val="000000"/>
          <w:sz w:val="24"/>
          <w:szCs w:val="24"/>
        </w:rPr>
        <w:t>have the same effect as c</w:t>
      </w:r>
      <w:r w:rsidR="00862A40" w:rsidRPr="00862A40">
        <w:rPr>
          <w:rFonts w:ascii="Arial" w:hAnsi="Arial" w:cs="Arial"/>
          <w:bCs/>
          <w:color w:val="000000"/>
          <w:sz w:val="24"/>
          <w:szCs w:val="24"/>
        </w:rPr>
        <w:t xml:space="preserve">lauses </w:t>
      </w:r>
      <w:r w:rsidR="0046182B">
        <w:rPr>
          <w:rFonts w:ascii="Arial" w:hAnsi="Arial" w:cs="Arial"/>
          <w:bCs/>
          <w:color w:val="000000"/>
          <w:sz w:val="24"/>
          <w:szCs w:val="24"/>
        </w:rPr>
        <w:t>5</w:t>
      </w:r>
      <w:r w:rsidR="00862A40" w:rsidRPr="00862A40">
        <w:rPr>
          <w:rFonts w:ascii="Arial" w:hAnsi="Arial" w:cs="Arial"/>
          <w:bCs/>
          <w:color w:val="000000"/>
          <w:sz w:val="24"/>
          <w:szCs w:val="24"/>
        </w:rPr>
        <w:t xml:space="preserve"> to </w:t>
      </w:r>
      <w:r w:rsidR="0046182B">
        <w:rPr>
          <w:rFonts w:ascii="Arial" w:hAnsi="Arial" w:cs="Arial"/>
          <w:bCs/>
          <w:color w:val="000000"/>
          <w:sz w:val="24"/>
          <w:szCs w:val="24"/>
        </w:rPr>
        <w:t>7</w:t>
      </w:r>
      <w:r w:rsidR="00862A40">
        <w:rPr>
          <w:rFonts w:ascii="Arial" w:hAnsi="Arial" w:cs="Arial"/>
          <w:bCs/>
          <w:color w:val="000000"/>
          <w:sz w:val="24"/>
          <w:szCs w:val="24"/>
        </w:rPr>
        <w:t>, but at the later ‘public ava</w:t>
      </w:r>
      <w:r w:rsidR="0064756C">
        <w:rPr>
          <w:rFonts w:ascii="Arial" w:hAnsi="Arial" w:cs="Arial"/>
          <w:bCs/>
          <w:color w:val="000000"/>
          <w:sz w:val="24"/>
          <w:szCs w:val="24"/>
        </w:rPr>
        <w:t xml:space="preserve">ilability notice’ stage of the </w:t>
      </w:r>
      <w:r w:rsidR="00AA78EE" w:rsidRPr="00CA7A31">
        <w:rPr>
          <w:rFonts w:ascii="Arial" w:hAnsi="Arial" w:cs="Arial"/>
          <w:bCs/>
          <w:color w:val="000000"/>
          <w:sz w:val="24"/>
          <w:szCs w:val="24"/>
        </w:rPr>
        <w:t>draft plan variation</w:t>
      </w:r>
      <w:r w:rsidR="00AA78EE">
        <w:rPr>
          <w:rFonts w:ascii="Arial" w:hAnsi="Arial" w:cs="Arial"/>
          <w:bCs/>
          <w:color w:val="000000"/>
          <w:sz w:val="24"/>
          <w:szCs w:val="24"/>
        </w:rPr>
        <w:t xml:space="preserve"> </w:t>
      </w:r>
      <w:r w:rsidR="00862A40">
        <w:rPr>
          <w:rFonts w:ascii="Arial" w:hAnsi="Arial" w:cs="Arial"/>
          <w:bCs/>
          <w:color w:val="000000"/>
          <w:sz w:val="24"/>
          <w:szCs w:val="24"/>
        </w:rPr>
        <w:t>process.</w:t>
      </w:r>
    </w:p>
    <w:p w14:paraId="2ED318AE" w14:textId="77777777" w:rsidR="006C0843" w:rsidRPr="00C07DD6" w:rsidRDefault="006C0843" w:rsidP="006C0843">
      <w:pPr>
        <w:autoSpaceDE w:val="0"/>
        <w:autoSpaceDN w:val="0"/>
        <w:adjustRightInd w:val="0"/>
        <w:spacing w:after="120"/>
        <w:rPr>
          <w:rFonts w:ascii="Arial" w:hAnsi="Arial" w:cs="Arial"/>
          <w:b/>
          <w:bCs/>
          <w:color w:val="000000"/>
          <w:sz w:val="24"/>
          <w:szCs w:val="24"/>
          <w:highlight w:val="yellow"/>
        </w:rPr>
      </w:pPr>
    </w:p>
    <w:p w14:paraId="5658EC0E" w14:textId="502AB95A" w:rsidR="006C0843" w:rsidRPr="000F0E37" w:rsidRDefault="006C0843" w:rsidP="0064756C">
      <w:pPr>
        <w:keepNext/>
        <w:keepLines/>
        <w:autoSpaceDE w:val="0"/>
        <w:autoSpaceDN w:val="0"/>
        <w:adjustRightInd w:val="0"/>
        <w:spacing w:after="120"/>
        <w:rPr>
          <w:rFonts w:ascii="Arial" w:hAnsi="Arial" w:cs="Arial"/>
          <w:b/>
          <w:bCs/>
          <w:color w:val="000000"/>
          <w:sz w:val="24"/>
          <w:szCs w:val="24"/>
        </w:rPr>
      </w:pPr>
      <w:r w:rsidRPr="000F0E37">
        <w:rPr>
          <w:rFonts w:ascii="Arial" w:hAnsi="Arial" w:cs="Arial"/>
          <w:b/>
          <w:bCs/>
          <w:color w:val="000000"/>
          <w:sz w:val="24"/>
          <w:szCs w:val="24"/>
        </w:rPr>
        <w:t>Clause 1</w:t>
      </w:r>
      <w:r w:rsidR="00ED3A56">
        <w:rPr>
          <w:rFonts w:ascii="Arial" w:hAnsi="Arial" w:cs="Arial"/>
          <w:b/>
          <w:bCs/>
          <w:color w:val="000000"/>
          <w:sz w:val="24"/>
          <w:szCs w:val="24"/>
        </w:rPr>
        <w:t>2</w:t>
      </w:r>
      <w:r w:rsidRPr="000F0E37">
        <w:rPr>
          <w:rFonts w:ascii="Arial" w:hAnsi="Arial" w:cs="Arial"/>
          <w:b/>
          <w:bCs/>
          <w:color w:val="000000"/>
          <w:sz w:val="24"/>
          <w:szCs w:val="24"/>
        </w:rPr>
        <w:tab/>
        <w:t>Committee fails to report promptly on draft plan variations</w:t>
      </w:r>
    </w:p>
    <w:p w14:paraId="73668713" w14:textId="73982053" w:rsidR="006C0843" w:rsidRDefault="006C0843" w:rsidP="0064756C">
      <w:pPr>
        <w:keepNext/>
        <w:keepLines/>
        <w:autoSpaceDE w:val="0"/>
        <w:autoSpaceDN w:val="0"/>
        <w:adjustRightInd w:val="0"/>
        <w:spacing w:after="120"/>
        <w:rPr>
          <w:rFonts w:ascii="Arial" w:hAnsi="Arial" w:cs="Arial"/>
          <w:b/>
          <w:bCs/>
          <w:color w:val="000000"/>
          <w:sz w:val="24"/>
          <w:szCs w:val="24"/>
        </w:rPr>
      </w:pPr>
      <w:r w:rsidRPr="000F0E37">
        <w:rPr>
          <w:rFonts w:ascii="Arial" w:hAnsi="Arial" w:cs="Arial"/>
          <w:b/>
          <w:bCs/>
          <w:color w:val="000000"/>
          <w:sz w:val="24"/>
          <w:szCs w:val="24"/>
        </w:rPr>
        <w:t>Section 75 (1) (c) (i) and (ii)</w:t>
      </w:r>
    </w:p>
    <w:p w14:paraId="3F58E920" w14:textId="562D451C" w:rsidR="006C0843" w:rsidRPr="000F0E37" w:rsidRDefault="006C0843" w:rsidP="006C0843">
      <w:pPr>
        <w:autoSpaceDE w:val="0"/>
        <w:autoSpaceDN w:val="0"/>
        <w:adjustRightInd w:val="0"/>
        <w:spacing w:after="120"/>
        <w:rPr>
          <w:rFonts w:ascii="Arial" w:hAnsi="Arial" w:cs="Arial"/>
          <w:bCs/>
          <w:color w:val="000000"/>
          <w:sz w:val="24"/>
          <w:szCs w:val="24"/>
        </w:rPr>
      </w:pPr>
      <w:r w:rsidRPr="000F0E37">
        <w:rPr>
          <w:rFonts w:ascii="Arial" w:hAnsi="Arial" w:cs="Arial"/>
          <w:bCs/>
          <w:color w:val="000000"/>
          <w:sz w:val="24"/>
          <w:szCs w:val="24"/>
        </w:rPr>
        <w:t xml:space="preserve">This clause addresses </w:t>
      </w:r>
      <w:r w:rsidR="00EC111E">
        <w:rPr>
          <w:rFonts w:ascii="Arial" w:hAnsi="Arial" w:cs="Arial"/>
          <w:sz w:val="24"/>
          <w:szCs w:val="24"/>
        </w:rPr>
        <w:t xml:space="preserve">a </w:t>
      </w:r>
      <w:r w:rsidR="00086699">
        <w:rPr>
          <w:rFonts w:ascii="Arial" w:hAnsi="Arial" w:cs="Arial"/>
          <w:sz w:val="24"/>
          <w:szCs w:val="24"/>
        </w:rPr>
        <w:t>shortcoming</w:t>
      </w:r>
      <w:r w:rsidR="00EC111E">
        <w:rPr>
          <w:rFonts w:ascii="Arial" w:hAnsi="Arial" w:cs="Arial"/>
          <w:sz w:val="24"/>
          <w:szCs w:val="24"/>
        </w:rPr>
        <w:t xml:space="preserve"> in arrangements for Legislative Assembly Standing Committee inquiries into </w:t>
      </w:r>
      <w:r w:rsidR="003D4A35" w:rsidRPr="00CA7A31">
        <w:rPr>
          <w:rFonts w:ascii="Arial" w:hAnsi="Arial" w:cs="Arial"/>
          <w:sz w:val="24"/>
          <w:szCs w:val="24"/>
        </w:rPr>
        <w:t>draft plan variations</w:t>
      </w:r>
      <w:r w:rsidR="00EC111E" w:rsidRPr="00CA7A31">
        <w:rPr>
          <w:rFonts w:ascii="Arial" w:hAnsi="Arial" w:cs="Arial"/>
          <w:sz w:val="24"/>
          <w:szCs w:val="24"/>
        </w:rPr>
        <w:t>.</w:t>
      </w:r>
      <w:r w:rsidR="00EC111E">
        <w:rPr>
          <w:rFonts w:ascii="Arial" w:hAnsi="Arial" w:cs="Arial"/>
          <w:sz w:val="24"/>
          <w:szCs w:val="24"/>
        </w:rPr>
        <w:t xml:space="preserve">  Currently, where the Planning Minister refers a </w:t>
      </w:r>
      <w:r w:rsidR="003D4A35" w:rsidRPr="00CA7A31">
        <w:rPr>
          <w:rFonts w:ascii="Arial" w:hAnsi="Arial" w:cs="Arial"/>
          <w:sz w:val="24"/>
          <w:szCs w:val="24"/>
        </w:rPr>
        <w:t>draft plan v</w:t>
      </w:r>
      <w:r w:rsidR="00EC111E" w:rsidRPr="00CA7A31">
        <w:rPr>
          <w:rFonts w:ascii="Arial" w:hAnsi="Arial" w:cs="Arial"/>
          <w:sz w:val="24"/>
          <w:szCs w:val="24"/>
        </w:rPr>
        <w:t>ariation</w:t>
      </w:r>
      <w:r w:rsidR="00EC111E">
        <w:rPr>
          <w:rFonts w:ascii="Arial" w:hAnsi="Arial" w:cs="Arial"/>
          <w:sz w:val="24"/>
          <w:szCs w:val="24"/>
        </w:rPr>
        <w:t xml:space="preserve"> to the Standing Committee late in the term of the Assembly, election timing may </w:t>
      </w:r>
      <w:r w:rsidR="00D7668C">
        <w:rPr>
          <w:rFonts w:ascii="Arial" w:hAnsi="Arial" w:cs="Arial"/>
          <w:sz w:val="24"/>
          <w:szCs w:val="24"/>
        </w:rPr>
        <w:t>make</w:t>
      </w:r>
      <w:r w:rsidR="00EC111E">
        <w:rPr>
          <w:rFonts w:ascii="Arial" w:hAnsi="Arial" w:cs="Arial"/>
          <w:sz w:val="24"/>
          <w:szCs w:val="24"/>
        </w:rPr>
        <w:t xml:space="preserve"> it impossible for the Standing Committee to hold an inquiry on </w:t>
      </w:r>
      <w:r w:rsidR="003D4A35" w:rsidRPr="00CA7A31">
        <w:rPr>
          <w:rFonts w:ascii="Arial" w:hAnsi="Arial" w:cs="Arial"/>
          <w:sz w:val="24"/>
          <w:szCs w:val="24"/>
        </w:rPr>
        <w:t>the v</w:t>
      </w:r>
      <w:r w:rsidR="00EC111E" w:rsidRPr="00CA7A31">
        <w:rPr>
          <w:rFonts w:ascii="Arial" w:hAnsi="Arial" w:cs="Arial"/>
          <w:sz w:val="24"/>
          <w:szCs w:val="24"/>
        </w:rPr>
        <w:t>ariation</w:t>
      </w:r>
      <w:r w:rsidR="00EC111E">
        <w:rPr>
          <w:rFonts w:ascii="Arial" w:hAnsi="Arial" w:cs="Arial"/>
          <w:sz w:val="24"/>
          <w:szCs w:val="24"/>
        </w:rPr>
        <w:t>.</w:t>
      </w:r>
      <w:r w:rsidR="00D7668C">
        <w:rPr>
          <w:rFonts w:ascii="Arial" w:hAnsi="Arial" w:cs="Arial"/>
          <w:sz w:val="24"/>
          <w:szCs w:val="24"/>
        </w:rPr>
        <w:t xml:space="preserve">  </w:t>
      </w:r>
      <w:r w:rsidR="00D7668C" w:rsidRPr="000F0E37">
        <w:rPr>
          <w:rFonts w:ascii="Arial" w:hAnsi="Arial" w:cs="Arial"/>
          <w:bCs/>
          <w:color w:val="000000"/>
          <w:sz w:val="24"/>
          <w:szCs w:val="24"/>
        </w:rPr>
        <w:t xml:space="preserve">The new Committee formed after the </w:t>
      </w:r>
      <w:r w:rsidR="00D7668C">
        <w:rPr>
          <w:rFonts w:ascii="Arial" w:hAnsi="Arial" w:cs="Arial"/>
          <w:bCs/>
          <w:color w:val="000000"/>
          <w:sz w:val="24"/>
          <w:szCs w:val="24"/>
        </w:rPr>
        <w:t xml:space="preserve">general </w:t>
      </w:r>
      <w:r w:rsidR="00D7668C" w:rsidRPr="000F0E37">
        <w:rPr>
          <w:rFonts w:ascii="Arial" w:hAnsi="Arial" w:cs="Arial"/>
          <w:bCs/>
          <w:color w:val="000000"/>
          <w:sz w:val="24"/>
          <w:szCs w:val="24"/>
        </w:rPr>
        <w:t>election would also not have time to inquire due to the time elapsed between the referral and the first sitting of the new assembly.</w:t>
      </w:r>
      <w:r w:rsidR="00D7668C">
        <w:rPr>
          <w:rFonts w:ascii="Arial" w:hAnsi="Arial" w:cs="Arial"/>
          <w:bCs/>
          <w:color w:val="000000"/>
          <w:sz w:val="24"/>
          <w:szCs w:val="24"/>
        </w:rPr>
        <w:t xml:space="preserve">  (</w:t>
      </w:r>
      <w:r w:rsidRPr="000F0E37">
        <w:rPr>
          <w:rFonts w:ascii="Arial" w:hAnsi="Arial" w:cs="Arial"/>
          <w:bCs/>
          <w:color w:val="000000"/>
          <w:sz w:val="24"/>
          <w:szCs w:val="24"/>
        </w:rPr>
        <w:t xml:space="preserve">Typically, the </w:t>
      </w:r>
      <w:r w:rsidR="00EC111E">
        <w:rPr>
          <w:rFonts w:ascii="Arial" w:hAnsi="Arial" w:cs="Arial"/>
          <w:bCs/>
          <w:color w:val="000000"/>
          <w:sz w:val="24"/>
          <w:szCs w:val="24"/>
        </w:rPr>
        <w:t xml:space="preserve">Standing </w:t>
      </w:r>
      <w:r w:rsidRPr="000F0E37">
        <w:rPr>
          <w:rFonts w:ascii="Arial" w:hAnsi="Arial" w:cs="Arial"/>
          <w:bCs/>
          <w:color w:val="000000"/>
          <w:sz w:val="24"/>
          <w:szCs w:val="24"/>
        </w:rPr>
        <w:t>Committee has 6 months to report on the Variation if it chooses to accept the referral.</w:t>
      </w:r>
      <w:r w:rsidR="00D7668C">
        <w:rPr>
          <w:rFonts w:ascii="Arial" w:hAnsi="Arial" w:cs="Arial"/>
          <w:bCs/>
          <w:color w:val="000000"/>
          <w:sz w:val="24"/>
          <w:szCs w:val="24"/>
        </w:rPr>
        <w:t>)</w:t>
      </w:r>
      <w:r w:rsidRPr="000F0E37">
        <w:rPr>
          <w:rFonts w:ascii="Arial" w:hAnsi="Arial" w:cs="Arial"/>
          <w:bCs/>
          <w:color w:val="000000"/>
          <w:sz w:val="24"/>
          <w:szCs w:val="24"/>
        </w:rPr>
        <w:t xml:space="preserve"> </w:t>
      </w:r>
    </w:p>
    <w:p w14:paraId="4FBC76C3" w14:textId="7801B520" w:rsidR="00245859" w:rsidRDefault="00EC111E" w:rsidP="00DB5218">
      <w:pPr>
        <w:autoSpaceDE w:val="0"/>
        <w:autoSpaceDN w:val="0"/>
        <w:adjustRightInd w:val="0"/>
        <w:spacing w:after="120"/>
        <w:rPr>
          <w:rFonts w:ascii="Arial" w:hAnsi="Arial" w:cs="Arial"/>
          <w:bCs/>
          <w:color w:val="000000"/>
          <w:sz w:val="24"/>
          <w:szCs w:val="24"/>
        </w:rPr>
      </w:pPr>
      <w:r w:rsidRPr="00EC111E">
        <w:rPr>
          <w:rFonts w:ascii="Arial" w:hAnsi="Arial" w:cs="Arial"/>
          <w:bCs/>
          <w:color w:val="000000"/>
          <w:sz w:val="24"/>
          <w:szCs w:val="24"/>
        </w:rPr>
        <w:lastRenderedPageBreak/>
        <w:t xml:space="preserve">The clause addresses this </w:t>
      </w:r>
      <w:r w:rsidR="00251370">
        <w:rPr>
          <w:rFonts w:ascii="Arial" w:hAnsi="Arial" w:cs="Arial"/>
          <w:bCs/>
          <w:color w:val="000000"/>
          <w:sz w:val="24"/>
          <w:szCs w:val="24"/>
        </w:rPr>
        <w:t>shortcoming</w:t>
      </w:r>
      <w:r w:rsidRPr="00EC111E">
        <w:rPr>
          <w:rFonts w:ascii="Arial" w:hAnsi="Arial" w:cs="Arial"/>
          <w:bCs/>
          <w:color w:val="000000"/>
          <w:sz w:val="24"/>
          <w:szCs w:val="24"/>
        </w:rPr>
        <w:t xml:space="preserve"> by commencing the </w:t>
      </w:r>
      <w:r>
        <w:rPr>
          <w:rFonts w:ascii="Arial" w:hAnsi="Arial" w:cs="Arial"/>
          <w:bCs/>
          <w:color w:val="000000"/>
          <w:sz w:val="24"/>
          <w:szCs w:val="24"/>
        </w:rPr>
        <w:t xml:space="preserve">timeframe to report </w:t>
      </w:r>
      <w:r w:rsidR="0034478A">
        <w:rPr>
          <w:rFonts w:ascii="Arial" w:hAnsi="Arial" w:cs="Arial"/>
          <w:bCs/>
          <w:color w:val="000000"/>
          <w:sz w:val="24"/>
          <w:szCs w:val="24"/>
        </w:rPr>
        <w:t>on</w:t>
      </w:r>
      <w:r>
        <w:rPr>
          <w:rFonts w:ascii="Arial" w:hAnsi="Arial" w:cs="Arial"/>
          <w:bCs/>
          <w:color w:val="000000"/>
          <w:sz w:val="24"/>
          <w:szCs w:val="24"/>
        </w:rPr>
        <w:t xml:space="preserve"> the first sitting day of the Assembly after the general election, where the referral is made within 4 months before a general election.</w:t>
      </w:r>
    </w:p>
    <w:p w14:paraId="08323894" w14:textId="77777777" w:rsidR="00C96774" w:rsidRPr="00EC111E" w:rsidRDefault="00C96774" w:rsidP="00DB5218">
      <w:pPr>
        <w:autoSpaceDE w:val="0"/>
        <w:autoSpaceDN w:val="0"/>
        <w:adjustRightInd w:val="0"/>
        <w:spacing w:after="120"/>
        <w:rPr>
          <w:rFonts w:ascii="Arial" w:hAnsi="Arial" w:cs="Arial"/>
          <w:bCs/>
          <w:color w:val="000000"/>
          <w:sz w:val="24"/>
          <w:szCs w:val="24"/>
        </w:rPr>
      </w:pPr>
    </w:p>
    <w:p w14:paraId="6E7179EA" w14:textId="63488DE4" w:rsidR="00DE6902" w:rsidRPr="00DE6902" w:rsidRDefault="00914203" w:rsidP="0064756C">
      <w:pPr>
        <w:keepNext/>
        <w:keepLines/>
        <w:autoSpaceDE w:val="0"/>
        <w:autoSpaceDN w:val="0"/>
        <w:adjustRightInd w:val="0"/>
        <w:spacing w:after="120"/>
        <w:rPr>
          <w:rFonts w:ascii="Arial" w:hAnsi="Arial" w:cs="Arial"/>
          <w:b/>
          <w:bCs/>
          <w:color w:val="000000"/>
          <w:sz w:val="24"/>
          <w:szCs w:val="24"/>
        </w:rPr>
      </w:pPr>
      <w:r w:rsidRPr="00DE6902">
        <w:rPr>
          <w:rFonts w:ascii="Arial" w:hAnsi="Arial" w:cs="Arial"/>
          <w:b/>
          <w:bCs/>
          <w:color w:val="000000"/>
          <w:sz w:val="24"/>
          <w:szCs w:val="24"/>
        </w:rPr>
        <w:t xml:space="preserve">Clause </w:t>
      </w:r>
      <w:r w:rsidR="002E4C1D" w:rsidRPr="00DE6902">
        <w:rPr>
          <w:rFonts w:ascii="Arial" w:hAnsi="Arial" w:cs="Arial"/>
          <w:b/>
          <w:bCs/>
          <w:color w:val="000000"/>
          <w:sz w:val="24"/>
          <w:szCs w:val="24"/>
        </w:rPr>
        <w:t>1</w:t>
      </w:r>
      <w:r w:rsidR="00ED3A56">
        <w:rPr>
          <w:rFonts w:ascii="Arial" w:hAnsi="Arial" w:cs="Arial"/>
          <w:b/>
          <w:bCs/>
          <w:color w:val="000000"/>
          <w:sz w:val="24"/>
          <w:szCs w:val="24"/>
        </w:rPr>
        <w:t>3</w:t>
      </w:r>
      <w:r w:rsidR="00FB28A1" w:rsidRPr="00DE6902">
        <w:rPr>
          <w:rFonts w:ascii="Arial" w:hAnsi="Arial" w:cs="Arial"/>
          <w:b/>
          <w:bCs/>
          <w:color w:val="000000"/>
          <w:sz w:val="24"/>
          <w:szCs w:val="24"/>
        </w:rPr>
        <w:tab/>
      </w:r>
      <w:r w:rsidR="00DE6902" w:rsidRPr="00DE6902">
        <w:rPr>
          <w:rFonts w:ascii="Arial" w:hAnsi="Arial" w:cs="Arial"/>
          <w:b/>
          <w:bCs/>
          <w:color w:val="000000"/>
          <w:sz w:val="24"/>
          <w:szCs w:val="24"/>
        </w:rPr>
        <w:t>Merit track—considerations when deciding development approval</w:t>
      </w:r>
    </w:p>
    <w:p w14:paraId="2C84DF23" w14:textId="4CACE1FB" w:rsidR="00914203" w:rsidRDefault="00DE6902" w:rsidP="0064756C">
      <w:pPr>
        <w:keepNext/>
        <w:keepLines/>
        <w:autoSpaceDE w:val="0"/>
        <w:autoSpaceDN w:val="0"/>
        <w:adjustRightInd w:val="0"/>
        <w:spacing w:after="120"/>
        <w:rPr>
          <w:rFonts w:ascii="Arial" w:hAnsi="Arial" w:cs="Arial"/>
          <w:b/>
          <w:bCs/>
          <w:color w:val="000000"/>
          <w:sz w:val="24"/>
          <w:szCs w:val="24"/>
        </w:rPr>
      </w:pPr>
      <w:r w:rsidRPr="00DE6902">
        <w:rPr>
          <w:rFonts w:ascii="Arial" w:hAnsi="Arial" w:cs="Arial"/>
          <w:b/>
          <w:bCs/>
          <w:color w:val="000000"/>
          <w:sz w:val="24"/>
          <w:szCs w:val="24"/>
        </w:rPr>
        <w:t>New section 120 (ga)</w:t>
      </w:r>
    </w:p>
    <w:p w14:paraId="1F662E08" w14:textId="0B455529" w:rsidR="009C7492" w:rsidRPr="009C7492" w:rsidRDefault="00537AA8" w:rsidP="0064756C">
      <w:pPr>
        <w:keepNext/>
        <w:keepLines/>
        <w:autoSpaceDE w:val="0"/>
        <w:autoSpaceDN w:val="0"/>
        <w:adjustRightInd w:val="0"/>
        <w:spacing w:after="120"/>
        <w:rPr>
          <w:rFonts w:ascii="Arial" w:hAnsi="Arial" w:cs="Arial"/>
          <w:color w:val="000000"/>
          <w:sz w:val="24"/>
          <w:szCs w:val="24"/>
        </w:rPr>
      </w:pPr>
      <w:r w:rsidRPr="00912F8D">
        <w:rPr>
          <w:rFonts w:ascii="Arial" w:hAnsi="Arial" w:cs="Arial"/>
          <w:color w:val="000000"/>
          <w:sz w:val="24"/>
          <w:szCs w:val="24"/>
        </w:rPr>
        <w:t>The existing section 120</w:t>
      </w:r>
      <w:r w:rsidR="009C7492" w:rsidRPr="00912F8D">
        <w:rPr>
          <w:rFonts w:ascii="Arial" w:hAnsi="Arial" w:cs="Arial"/>
          <w:color w:val="000000"/>
          <w:sz w:val="24"/>
          <w:szCs w:val="24"/>
        </w:rPr>
        <w:t xml:space="preserve"> sets out considerations a decision maker must take into account if deciding a development application in the </w:t>
      </w:r>
      <w:r w:rsidR="00912F8D">
        <w:rPr>
          <w:rFonts w:ascii="Arial" w:hAnsi="Arial" w:cs="Arial"/>
          <w:color w:val="000000"/>
          <w:sz w:val="24"/>
          <w:szCs w:val="24"/>
        </w:rPr>
        <w:t>‘M</w:t>
      </w:r>
      <w:r w:rsidR="009C7492" w:rsidRPr="00912F8D">
        <w:rPr>
          <w:rFonts w:ascii="Arial" w:hAnsi="Arial" w:cs="Arial"/>
          <w:color w:val="000000"/>
          <w:sz w:val="24"/>
          <w:szCs w:val="24"/>
        </w:rPr>
        <w:t xml:space="preserve">erit </w:t>
      </w:r>
      <w:r w:rsidR="00912F8D">
        <w:rPr>
          <w:rFonts w:ascii="Arial" w:hAnsi="Arial" w:cs="Arial"/>
          <w:color w:val="000000"/>
          <w:sz w:val="24"/>
          <w:szCs w:val="24"/>
        </w:rPr>
        <w:t>T</w:t>
      </w:r>
      <w:r w:rsidR="009C7492" w:rsidRPr="00912F8D">
        <w:rPr>
          <w:rFonts w:ascii="Arial" w:hAnsi="Arial" w:cs="Arial"/>
          <w:color w:val="000000"/>
          <w:sz w:val="24"/>
          <w:szCs w:val="24"/>
        </w:rPr>
        <w:t>rack</w:t>
      </w:r>
      <w:r w:rsidR="00912F8D">
        <w:rPr>
          <w:rFonts w:ascii="Arial" w:hAnsi="Arial" w:cs="Arial"/>
          <w:color w:val="000000"/>
          <w:sz w:val="24"/>
          <w:szCs w:val="24"/>
        </w:rPr>
        <w:t>’</w:t>
      </w:r>
      <w:r w:rsidR="009C7492" w:rsidRPr="00912F8D">
        <w:rPr>
          <w:rFonts w:ascii="Arial" w:hAnsi="Arial" w:cs="Arial"/>
          <w:color w:val="000000"/>
          <w:sz w:val="24"/>
          <w:szCs w:val="24"/>
        </w:rPr>
        <w:t>.</w:t>
      </w:r>
    </w:p>
    <w:p w14:paraId="4CF2D49F" w14:textId="19C47B58" w:rsidR="00FA3F9E" w:rsidRPr="00DE6902" w:rsidRDefault="00914203" w:rsidP="00DB5218">
      <w:pPr>
        <w:autoSpaceDE w:val="0"/>
        <w:autoSpaceDN w:val="0"/>
        <w:adjustRightInd w:val="0"/>
        <w:spacing w:after="120"/>
        <w:rPr>
          <w:rFonts w:ascii="Arial" w:hAnsi="Arial" w:cs="Arial"/>
          <w:bCs/>
          <w:color w:val="000000"/>
          <w:sz w:val="24"/>
          <w:szCs w:val="24"/>
        </w:rPr>
      </w:pPr>
      <w:r w:rsidRPr="00ED3A56">
        <w:rPr>
          <w:rFonts w:ascii="Arial" w:hAnsi="Arial" w:cs="Arial"/>
          <w:bCs/>
          <w:color w:val="000000"/>
          <w:sz w:val="24"/>
          <w:szCs w:val="24"/>
        </w:rPr>
        <w:t xml:space="preserve">This clause </w:t>
      </w:r>
      <w:r w:rsidR="00DE6902" w:rsidRPr="00ED3A56">
        <w:rPr>
          <w:rFonts w:ascii="Arial" w:hAnsi="Arial" w:cs="Arial"/>
          <w:bCs/>
          <w:color w:val="000000"/>
          <w:sz w:val="24"/>
          <w:szCs w:val="24"/>
        </w:rPr>
        <w:t>ensures that the greenhouse gas emissions emitted by a development are considered during the assessment of a ‘Merit Track’ development application</w:t>
      </w:r>
      <w:r w:rsidR="00C96774" w:rsidRPr="00ED3A56">
        <w:rPr>
          <w:rFonts w:ascii="Arial" w:hAnsi="Arial" w:cs="Arial"/>
          <w:bCs/>
          <w:color w:val="000000"/>
          <w:sz w:val="24"/>
          <w:szCs w:val="24"/>
        </w:rPr>
        <w:t xml:space="preserve">. </w:t>
      </w:r>
      <w:r w:rsidR="00DE6902" w:rsidRPr="00ED3A56">
        <w:rPr>
          <w:rFonts w:ascii="Arial" w:hAnsi="Arial" w:cs="Arial"/>
          <w:bCs/>
          <w:color w:val="000000"/>
          <w:sz w:val="24"/>
          <w:szCs w:val="24"/>
        </w:rPr>
        <w:t xml:space="preserve"> </w:t>
      </w:r>
      <w:r w:rsidR="00C96774" w:rsidRPr="00ED3A56">
        <w:rPr>
          <w:rFonts w:ascii="Arial" w:hAnsi="Arial" w:cs="Arial"/>
          <w:bCs/>
          <w:color w:val="000000"/>
          <w:sz w:val="24"/>
          <w:szCs w:val="24"/>
        </w:rPr>
        <w:t xml:space="preserve">It </w:t>
      </w:r>
      <w:r w:rsidR="00251370" w:rsidRPr="00ED3A56">
        <w:rPr>
          <w:rFonts w:ascii="Arial" w:hAnsi="Arial" w:cs="Arial"/>
          <w:bCs/>
          <w:color w:val="000000"/>
          <w:sz w:val="24"/>
          <w:szCs w:val="24"/>
        </w:rPr>
        <w:t>does so by introducing</w:t>
      </w:r>
      <w:r w:rsidR="00DE6902" w:rsidRPr="00ED3A56">
        <w:rPr>
          <w:rFonts w:ascii="Arial" w:hAnsi="Arial" w:cs="Arial"/>
          <w:bCs/>
          <w:color w:val="000000"/>
          <w:sz w:val="24"/>
          <w:szCs w:val="24"/>
        </w:rPr>
        <w:t xml:space="preserve"> a requirement to consider the impact of the development on the </w:t>
      </w:r>
      <w:r w:rsidR="00ED3A56" w:rsidRPr="00ED3A56">
        <w:rPr>
          <w:rFonts w:ascii="Arial" w:hAnsi="Arial" w:cs="Arial"/>
          <w:bCs/>
          <w:color w:val="000000"/>
          <w:sz w:val="24"/>
          <w:szCs w:val="24"/>
        </w:rPr>
        <w:t>ability of the ACT to meet its</w:t>
      </w:r>
      <w:r w:rsidR="00DE6902" w:rsidRPr="00ED3A56">
        <w:rPr>
          <w:rFonts w:ascii="Arial" w:hAnsi="Arial" w:cs="Arial"/>
          <w:bCs/>
          <w:color w:val="000000"/>
          <w:sz w:val="24"/>
          <w:szCs w:val="24"/>
        </w:rPr>
        <w:t xml:space="preserve"> target</w:t>
      </w:r>
      <w:r w:rsidR="00ED3A56" w:rsidRPr="00ED3A56">
        <w:rPr>
          <w:rFonts w:ascii="Arial" w:hAnsi="Arial" w:cs="Arial"/>
          <w:bCs/>
          <w:color w:val="000000"/>
          <w:sz w:val="24"/>
          <w:szCs w:val="24"/>
        </w:rPr>
        <w:t>s</w:t>
      </w:r>
      <w:r w:rsidR="00DE6902" w:rsidRPr="00ED3A56">
        <w:rPr>
          <w:rFonts w:ascii="Arial" w:hAnsi="Arial" w:cs="Arial"/>
          <w:bCs/>
          <w:color w:val="000000"/>
          <w:sz w:val="24"/>
          <w:szCs w:val="24"/>
        </w:rPr>
        <w:t xml:space="preserve"> for greenhouse gas emissions </w:t>
      </w:r>
      <w:r w:rsidR="009F52E2">
        <w:rPr>
          <w:rFonts w:ascii="Arial" w:hAnsi="Arial" w:cs="Arial"/>
          <w:bCs/>
          <w:color w:val="000000"/>
          <w:sz w:val="24"/>
          <w:szCs w:val="24"/>
        </w:rPr>
        <w:t xml:space="preserve">reduction </w:t>
      </w:r>
      <w:r w:rsidR="00DE6902" w:rsidRPr="00ED3A56">
        <w:rPr>
          <w:rFonts w:ascii="Arial" w:hAnsi="Arial" w:cs="Arial"/>
          <w:bCs/>
          <w:color w:val="000000"/>
          <w:sz w:val="24"/>
          <w:szCs w:val="24"/>
        </w:rPr>
        <w:t xml:space="preserve">under the </w:t>
      </w:r>
      <w:r w:rsidR="00DE6902" w:rsidRPr="00ED3A56">
        <w:rPr>
          <w:rFonts w:ascii="Arial" w:hAnsi="Arial" w:cs="Arial"/>
          <w:bCs/>
          <w:i/>
          <w:color w:val="000000"/>
          <w:sz w:val="24"/>
          <w:szCs w:val="24"/>
        </w:rPr>
        <w:t>Climate Change and Greenhouse Gas Reduction Act 2010</w:t>
      </w:r>
      <w:r w:rsidRPr="00ED3A56">
        <w:rPr>
          <w:rFonts w:ascii="Arial" w:hAnsi="Arial" w:cs="Arial"/>
          <w:bCs/>
          <w:color w:val="000000"/>
          <w:sz w:val="24"/>
          <w:szCs w:val="24"/>
        </w:rPr>
        <w:t>.</w:t>
      </w:r>
    </w:p>
    <w:p w14:paraId="5C0D9366" w14:textId="3BBCFC47" w:rsidR="00914203" w:rsidRPr="00DE6902" w:rsidRDefault="00914203" w:rsidP="00DB5218">
      <w:pPr>
        <w:autoSpaceDE w:val="0"/>
        <w:autoSpaceDN w:val="0"/>
        <w:adjustRightInd w:val="0"/>
        <w:spacing w:after="120"/>
        <w:rPr>
          <w:rFonts w:ascii="Arial" w:hAnsi="Arial" w:cs="Arial"/>
          <w:bCs/>
          <w:color w:val="000000"/>
          <w:sz w:val="24"/>
          <w:szCs w:val="24"/>
        </w:rPr>
      </w:pPr>
    </w:p>
    <w:p w14:paraId="7CDA24E3" w14:textId="364A6FAF" w:rsidR="00DE6902" w:rsidRDefault="00DE6902" w:rsidP="0064756C">
      <w:pPr>
        <w:keepNext/>
        <w:keepLines/>
        <w:autoSpaceDE w:val="0"/>
        <w:autoSpaceDN w:val="0"/>
        <w:adjustRightInd w:val="0"/>
        <w:spacing w:after="120"/>
        <w:rPr>
          <w:rFonts w:ascii="Arial" w:hAnsi="Arial" w:cs="Arial"/>
          <w:b/>
          <w:bCs/>
          <w:color w:val="000000"/>
          <w:sz w:val="24"/>
          <w:szCs w:val="24"/>
        </w:rPr>
      </w:pPr>
      <w:r w:rsidRPr="00DE6902">
        <w:rPr>
          <w:rFonts w:ascii="Arial" w:hAnsi="Arial" w:cs="Arial"/>
          <w:b/>
          <w:bCs/>
          <w:color w:val="000000"/>
          <w:sz w:val="24"/>
          <w:szCs w:val="24"/>
        </w:rPr>
        <w:t xml:space="preserve">Clause </w:t>
      </w:r>
      <w:r>
        <w:rPr>
          <w:rFonts w:ascii="Arial" w:hAnsi="Arial" w:cs="Arial"/>
          <w:b/>
          <w:bCs/>
          <w:color w:val="000000"/>
          <w:sz w:val="24"/>
          <w:szCs w:val="24"/>
        </w:rPr>
        <w:t>1</w:t>
      </w:r>
      <w:r w:rsidR="00A1070D">
        <w:rPr>
          <w:rFonts w:ascii="Arial" w:hAnsi="Arial" w:cs="Arial"/>
          <w:b/>
          <w:bCs/>
          <w:color w:val="000000"/>
          <w:sz w:val="24"/>
          <w:szCs w:val="24"/>
        </w:rPr>
        <w:t>4</w:t>
      </w:r>
      <w:r w:rsidRPr="00DE6902">
        <w:rPr>
          <w:rFonts w:ascii="Arial" w:hAnsi="Arial" w:cs="Arial"/>
          <w:b/>
          <w:bCs/>
          <w:color w:val="000000"/>
          <w:sz w:val="24"/>
          <w:szCs w:val="24"/>
        </w:rPr>
        <w:tab/>
        <w:t>Impact track—considerations whe</w:t>
      </w:r>
      <w:r>
        <w:rPr>
          <w:rFonts w:ascii="Arial" w:hAnsi="Arial" w:cs="Arial"/>
          <w:b/>
          <w:bCs/>
          <w:color w:val="000000"/>
          <w:sz w:val="24"/>
          <w:szCs w:val="24"/>
        </w:rPr>
        <w:t>n deciding development approval</w:t>
      </w:r>
    </w:p>
    <w:p w14:paraId="402B955F" w14:textId="2E0C5A76" w:rsidR="00DE6902" w:rsidRDefault="00DE6902" w:rsidP="0064756C">
      <w:pPr>
        <w:keepNext/>
        <w:keepLines/>
        <w:autoSpaceDE w:val="0"/>
        <w:autoSpaceDN w:val="0"/>
        <w:adjustRightInd w:val="0"/>
        <w:spacing w:after="120"/>
        <w:rPr>
          <w:rFonts w:ascii="Arial" w:hAnsi="Arial" w:cs="Arial"/>
          <w:b/>
          <w:bCs/>
          <w:color w:val="000000"/>
          <w:sz w:val="24"/>
          <w:szCs w:val="24"/>
        </w:rPr>
      </w:pPr>
      <w:r w:rsidRPr="00DE6902">
        <w:rPr>
          <w:rFonts w:ascii="Arial" w:hAnsi="Arial" w:cs="Arial"/>
          <w:b/>
          <w:bCs/>
          <w:color w:val="000000"/>
          <w:sz w:val="24"/>
          <w:szCs w:val="24"/>
        </w:rPr>
        <w:t>New section 129 (ga)</w:t>
      </w:r>
    </w:p>
    <w:p w14:paraId="2AF7237B" w14:textId="7DE0CDBF" w:rsidR="00DB3D5F" w:rsidRPr="00DE6902" w:rsidRDefault="00537AA8" w:rsidP="0064756C">
      <w:pPr>
        <w:keepNext/>
        <w:keepLines/>
        <w:autoSpaceDE w:val="0"/>
        <w:autoSpaceDN w:val="0"/>
        <w:adjustRightInd w:val="0"/>
        <w:spacing w:after="120"/>
        <w:rPr>
          <w:rFonts w:ascii="Arial" w:hAnsi="Arial" w:cs="Arial"/>
          <w:b/>
          <w:bCs/>
          <w:color w:val="000000"/>
          <w:sz w:val="24"/>
          <w:szCs w:val="24"/>
        </w:rPr>
      </w:pPr>
      <w:r w:rsidRPr="00912F8D">
        <w:rPr>
          <w:rFonts w:ascii="Arial" w:hAnsi="Arial" w:cs="Arial"/>
          <w:color w:val="000000"/>
          <w:sz w:val="24"/>
          <w:szCs w:val="24"/>
        </w:rPr>
        <w:t xml:space="preserve">The existing section 129 </w:t>
      </w:r>
      <w:r w:rsidR="00DB3D5F" w:rsidRPr="00912F8D">
        <w:rPr>
          <w:rFonts w:ascii="Arial" w:hAnsi="Arial" w:cs="Arial"/>
          <w:color w:val="000000"/>
          <w:sz w:val="24"/>
          <w:szCs w:val="24"/>
        </w:rPr>
        <w:t xml:space="preserve">sets out considerations a decision maker must take into account if deciding a development application in the </w:t>
      </w:r>
      <w:r w:rsidR="00912F8D">
        <w:rPr>
          <w:rFonts w:ascii="Arial" w:hAnsi="Arial" w:cs="Arial"/>
          <w:color w:val="000000"/>
          <w:sz w:val="24"/>
          <w:szCs w:val="24"/>
        </w:rPr>
        <w:t>‘I</w:t>
      </w:r>
      <w:r w:rsidR="00DB3D5F" w:rsidRPr="00912F8D">
        <w:rPr>
          <w:rFonts w:ascii="Arial" w:hAnsi="Arial" w:cs="Arial"/>
          <w:color w:val="000000"/>
          <w:sz w:val="24"/>
          <w:szCs w:val="24"/>
        </w:rPr>
        <w:t xml:space="preserve">mpact </w:t>
      </w:r>
      <w:r w:rsidR="00912F8D">
        <w:rPr>
          <w:rFonts w:ascii="Arial" w:hAnsi="Arial" w:cs="Arial"/>
          <w:color w:val="000000"/>
          <w:sz w:val="24"/>
          <w:szCs w:val="24"/>
        </w:rPr>
        <w:t>T</w:t>
      </w:r>
      <w:r w:rsidR="00DB3D5F" w:rsidRPr="00912F8D">
        <w:rPr>
          <w:rFonts w:ascii="Arial" w:hAnsi="Arial" w:cs="Arial"/>
          <w:color w:val="000000"/>
          <w:sz w:val="24"/>
          <w:szCs w:val="24"/>
        </w:rPr>
        <w:t>rack</w:t>
      </w:r>
      <w:r w:rsidR="00912F8D">
        <w:rPr>
          <w:rFonts w:ascii="Arial" w:hAnsi="Arial" w:cs="Arial"/>
          <w:color w:val="000000"/>
          <w:sz w:val="24"/>
          <w:szCs w:val="24"/>
        </w:rPr>
        <w:t>’</w:t>
      </w:r>
      <w:r w:rsidR="00DB3D5F" w:rsidRPr="00912F8D">
        <w:rPr>
          <w:rFonts w:ascii="Arial" w:hAnsi="Arial" w:cs="Arial"/>
          <w:color w:val="000000"/>
          <w:sz w:val="24"/>
          <w:szCs w:val="24"/>
        </w:rPr>
        <w:t>.</w:t>
      </w:r>
    </w:p>
    <w:p w14:paraId="630E2E35" w14:textId="13D9DF71" w:rsidR="00DE6902" w:rsidRPr="00DE6902" w:rsidRDefault="00DE6902" w:rsidP="00DE6902">
      <w:pPr>
        <w:autoSpaceDE w:val="0"/>
        <w:autoSpaceDN w:val="0"/>
        <w:adjustRightInd w:val="0"/>
        <w:spacing w:after="120"/>
        <w:rPr>
          <w:rFonts w:ascii="Arial" w:hAnsi="Arial" w:cs="Arial"/>
          <w:bCs/>
          <w:color w:val="000000"/>
          <w:sz w:val="24"/>
          <w:szCs w:val="24"/>
        </w:rPr>
      </w:pPr>
      <w:r w:rsidRPr="00DE6902">
        <w:rPr>
          <w:rFonts w:ascii="Arial" w:hAnsi="Arial" w:cs="Arial"/>
          <w:bCs/>
          <w:color w:val="000000"/>
          <w:sz w:val="24"/>
          <w:szCs w:val="24"/>
        </w:rPr>
        <w:t>This clause ensures that the greenhouse gas emissions emitted by a development are considered during the assessment of a</w:t>
      </w:r>
      <w:r>
        <w:rPr>
          <w:rFonts w:ascii="Arial" w:hAnsi="Arial" w:cs="Arial"/>
          <w:bCs/>
          <w:color w:val="000000"/>
          <w:sz w:val="24"/>
          <w:szCs w:val="24"/>
        </w:rPr>
        <w:t>n</w:t>
      </w:r>
      <w:r w:rsidRPr="00DE6902">
        <w:rPr>
          <w:rFonts w:ascii="Arial" w:hAnsi="Arial" w:cs="Arial"/>
          <w:bCs/>
          <w:color w:val="000000"/>
          <w:sz w:val="24"/>
          <w:szCs w:val="24"/>
        </w:rPr>
        <w:t xml:space="preserve"> ‘</w:t>
      </w:r>
      <w:r>
        <w:rPr>
          <w:rFonts w:ascii="Arial" w:hAnsi="Arial" w:cs="Arial"/>
          <w:bCs/>
          <w:color w:val="000000"/>
          <w:sz w:val="24"/>
          <w:szCs w:val="24"/>
        </w:rPr>
        <w:t>Impact</w:t>
      </w:r>
      <w:r w:rsidRPr="00DE6902">
        <w:rPr>
          <w:rFonts w:ascii="Arial" w:hAnsi="Arial" w:cs="Arial"/>
          <w:bCs/>
          <w:color w:val="000000"/>
          <w:sz w:val="24"/>
          <w:szCs w:val="24"/>
        </w:rPr>
        <w:t xml:space="preserve"> Track’ development application</w:t>
      </w:r>
      <w:r w:rsidR="00C96774">
        <w:rPr>
          <w:rFonts w:ascii="Arial" w:hAnsi="Arial" w:cs="Arial"/>
          <w:bCs/>
          <w:color w:val="000000"/>
          <w:sz w:val="24"/>
          <w:szCs w:val="24"/>
        </w:rPr>
        <w:t xml:space="preserve">.  </w:t>
      </w:r>
      <w:r w:rsidR="00ED3A56" w:rsidRPr="00ED3A56">
        <w:rPr>
          <w:rFonts w:ascii="Arial" w:hAnsi="Arial" w:cs="Arial"/>
          <w:bCs/>
          <w:color w:val="000000"/>
          <w:sz w:val="24"/>
          <w:szCs w:val="24"/>
        </w:rPr>
        <w:t xml:space="preserve">It does so by introducing a requirement to consider the impact of the development on the ability of the ACT to meet its targets for greenhouse gas emissions </w:t>
      </w:r>
      <w:r w:rsidR="009F52E2">
        <w:rPr>
          <w:rFonts w:ascii="Arial" w:hAnsi="Arial" w:cs="Arial"/>
          <w:bCs/>
          <w:color w:val="000000"/>
          <w:sz w:val="24"/>
          <w:szCs w:val="24"/>
        </w:rPr>
        <w:t xml:space="preserve">reduction </w:t>
      </w:r>
      <w:r w:rsidR="00ED3A56" w:rsidRPr="00ED3A56">
        <w:rPr>
          <w:rFonts w:ascii="Arial" w:hAnsi="Arial" w:cs="Arial"/>
          <w:bCs/>
          <w:color w:val="000000"/>
          <w:sz w:val="24"/>
          <w:szCs w:val="24"/>
        </w:rPr>
        <w:t xml:space="preserve">under the </w:t>
      </w:r>
      <w:r w:rsidR="00ED3A56" w:rsidRPr="00ED3A56">
        <w:rPr>
          <w:rFonts w:ascii="Arial" w:hAnsi="Arial" w:cs="Arial"/>
          <w:bCs/>
          <w:i/>
          <w:color w:val="000000"/>
          <w:sz w:val="24"/>
          <w:szCs w:val="24"/>
        </w:rPr>
        <w:t>Climate Change and Greenhouse Gas Reduction Act 2010</w:t>
      </w:r>
      <w:r w:rsidR="00ED3A56" w:rsidRPr="00ED3A56">
        <w:rPr>
          <w:rFonts w:ascii="Arial" w:hAnsi="Arial" w:cs="Arial"/>
          <w:bCs/>
          <w:color w:val="000000"/>
          <w:sz w:val="24"/>
          <w:szCs w:val="24"/>
        </w:rPr>
        <w:t>.</w:t>
      </w:r>
    </w:p>
    <w:p w14:paraId="320F9925" w14:textId="77777777" w:rsidR="00DE6902" w:rsidRPr="00DE6902" w:rsidRDefault="00DE6902" w:rsidP="00DE6902">
      <w:pPr>
        <w:autoSpaceDE w:val="0"/>
        <w:autoSpaceDN w:val="0"/>
        <w:adjustRightInd w:val="0"/>
        <w:spacing w:after="120"/>
        <w:rPr>
          <w:rFonts w:ascii="Arial" w:hAnsi="Arial" w:cs="Arial"/>
          <w:bCs/>
          <w:color w:val="000000"/>
          <w:sz w:val="24"/>
          <w:szCs w:val="24"/>
        </w:rPr>
      </w:pPr>
    </w:p>
    <w:p w14:paraId="5538BE9C" w14:textId="0344ADB7" w:rsidR="00A1070D" w:rsidRPr="001D0138" w:rsidRDefault="00A1070D" w:rsidP="00A1070D">
      <w:pPr>
        <w:keepNext/>
        <w:keepLines/>
        <w:autoSpaceDE w:val="0"/>
        <w:autoSpaceDN w:val="0"/>
        <w:adjustRightInd w:val="0"/>
        <w:spacing w:after="120"/>
        <w:rPr>
          <w:rFonts w:ascii="Arial" w:hAnsi="Arial" w:cs="Arial"/>
          <w:b/>
          <w:bCs/>
          <w:color w:val="000000"/>
          <w:sz w:val="24"/>
          <w:szCs w:val="24"/>
        </w:rPr>
      </w:pPr>
      <w:r w:rsidRPr="001D0138">
        <w:rPr>
          <w:rFonts w:ascii="Arial" w:hAnsi="Arial" w:cs="Arial"/>
          <w:b/>
          <w:bCs/>
          <w:color w:val="000000"/>
          <w:sz w:val="24"/>
          <w:szCs w:val="24"/>
        </w:rPr>
        <w:t>Clause 1</w:t>
      </w:r>
      <w:r>
        <w:rPr>
          <w:rFonts w:ascii="Arial" w:hAnsi="Arial" w:cs="Arial"/>
          <w:b/>
          <w:bCs/>
          <w:color w:val="000000"/>
          <w:sz w:val="24"/>
          <w:szCs w:val="24"/>
        </w:rPr>
        <w:t>5</w:t>
      </w:r>
      <w:r w:rsidRPr="001D0138">
        <w:rPr>
          <w:rFonts w:ascii="Arial" w:hAnsi="Arial" w:cs="Arial"/>
          <w:b/>
          <w:bCs/>
          <w:color w:val="000000"/>
          <w:sz w:val="24"/>
          <w:szCs w:val="24"/>
        </w:rPr>
        <w:tab/>
      </w:r>
      <w:r>
        <w:rPr>
          <w:rFonts w:ascii="Arial" w:hAnsi="Arial" w:cs="Arial"/>
          <w:b/>
          <w:bCs/>
          <w:color w:val="000000"/>
          <w:sz w:val="24"/>
          <w:szCs w:val="24"/>
        </w:rPr>
        <w:t>New s</w:t>
      </w:r>
      <w:r w:rsidRPr="001D0138">
        <w:rPr>
          <w:rFonts w:ascii="Arial" w:hAnsi="Arial" w:cs="Arial"/>
          <w:b/>
          <w:bCs/>
          <w:color w:val="000000"/>
          <w:sz w:val="24"/>
          <w:szCs w:val="24"/>
        </w:rPr>
        <w:t>ection</w:t>
      </w:r>
      <w:r>
        <w:rPr>
          <w:rFonts w:ascii="Arial" w:hAnsi="Arial" w:cs="Arial"/>
          <w:b/>
          <w:bCs/>
          <w:color w:val="000000"/>
          <w:sz w:val="24"/>
          <w:szCs w:val="24"/>
        </w:rPr>
        <w:t>s</w:t>
      </w:r>
      <w:r w:rsidRPr="001D0138">
        <w:rPr>
          <w:rFonts w:ascii="Arial" w:hAnsi="Arial" w:cs="Arial"/>
          <w:b/>
          <w:bCs/>
          <w:color w:val="000000"/>
          <w:sz w:val="24"/>
          <w:szCs w:val="24"/>
        </w:rPr>
        <w:t xml:space="preserve"> 141A</w:t>
      </w:r>
      <w:r>
        <w:rPr>
          <w:rFonts w:ascii="Arial" w:hAnsi="Arial" w:cs="Arial"/>
          <w:b/>
          <w:bCs/>
          <w:color w:val="000000"/>
          <w:sz w:val="24"/>
          <w:szCs w:val="24"/>
        </w:rPr>
        <w:t xml:space="preserve"> and 141B</w:t>
      </w:r>
    </w:p>
    <w:p w14:paraId="5FA30834" w14:textId="5E2929CB" w:rsidR="00A1070D" w:rsidRDefault="00A1070D" w:rsidP="00A1070D">
      <w:pPr>
        <w:autoSpaceDE w:val="0"/>
        <w:autoSpaceDN w:val="0"/>
        <w:adjustRightInd w:val="0"/>
        <w:spacing w:after="120"/>
        <w:rPr>
          <w:rFonts w:ascii="Arial" w:hAnsi="Arial" w:cs="Arial"/>
          <w:sz w:val="24"/>
          <w:szCs w:val="24"/>
        </w:rPr>
      </w:pPr>
      <w:r>
        <w:rPr>
          <w:rFonts w:ascii="Arial" w:hAnsi="Arial" w:cs="Arial"/>
          <w:sz w:val="24"/>
          <w:szCs w:val="24"/>
        </w:rPr>
        <w:t xml:space="preserve">This clause introduces a new power and a new requirement </w:t>
      </w:r>
      <w:r w:rsidR="00555270">
        <w:rPr>
          <w:rFonts w:ascii="Arial" w:hAnsi="Arial" w:cs="Arial"/>
          <w:sz w:val="24"/>
          <w:szCs w:val="24"/>
        </w:rPr>
        <w:t>for</w:t>
      </w:r>
      <w:r>
        <w:rPr>
          <w:rFonts w:ascii="Arial" w:hAnsi="Arial" w:cs="Arial"/>
          <w:sz w:val="24"/>
          <w:szCs w:val="24"/>
        </w:rPr>
        <w:t xml:space="preserve"> the planning and land authority during the development assessment process</w:t>
      </w:r>
      <w:r w:rsidR="00555270">
        <w:rPr>
          <w:rFonts w:ascii="Arial" w:hAnsi="Arial" w:cs="Arial"/>
          <w:sz w:val="24"/>
          <w:szCs w:val="24"/>
        </w:rPr>
        <w:t>,</w:t>
      </w:r>
      <w:r>
        <w:rPr>
          <w:rFonts w:ascii="Arial" w:hAnsi="Arial" w:cs="Arial"/>
          <w:sz w:val="24"/>
          <w:szCs w:val="24"/>
        </w:rPr>
        <w:t xml:space="preserve"> </w:t>
      </w:r>
      <w:r w:rsidR="00DB3D5F" w:rsidRPr="00912F8D">
        <w:rPr>
          <w:rFonts w:ascii="Arial" w:hAnsi="Arial" w:cs="Arial"/>
          <w:sz w:val="24"/>
          <w:szCs w:val="24"/>
        </w:rPr>
        <w:t>if</w:t>
      </w:r>
      <w:r w:rsidR="00DB3D5F">
        <w:rPr>
          <w:rFonts w:ascii="Arial" w:hAnsi="Arial" w:cs="Arial"/>
          <w:sz w:val="24"/>
          <w:szCs w:val="24"/>
        </w:rPr>
        <w:t xml:space="preserve"> </w:t>
      </w:r>
      <w:r>
        <w:rPr>
          <w:rFonts w:ascii="Arial" w:hAnsi="Arial" w:cs="Arial"/>
          <w:sz w:val="24"/>
          <w:szCs w:val="24"/>
        </w:rPr>
        <w:t>further information to a development application is received under s141 of the Act.</w:t>
      </w:r>
    </w:p>
    <w:p w14:paraId="4EF69455" w14:textId="305AD1DD" w:rsidR="00A1070D" w:rsidRDefault="00555270" w:rsidP="00A1070D">
      <w:pPr>
        <w:autoSpaceDE w:val="0"/>
        <w:autoSpaceDN w:val="0"/>
        <w:adjustRightInd w:val="0"/>
        <w:spacing w:after="120"/>
        <w:rPr>
          <w:rFonts w:ascii="Arial" w:hAnsi="Arial" w:cs="Arial"/>
          <w:sz w:val="24"/>
          <w:szCs w:val="24"/>
        </w:rPr>
      </w:pPr>
      <w:r>
        <w:rPr>
          <w:rFonts w:ascii="Arial" w:hAnsi="Arial" w:cs="Arial"/>
          <w:sz w:val="24"/>
          <w:szCs w:val="24"/>
        </w:rPr>
        <w:t>New s</w:t>
      </w:r>
      <w:r w:rsidR="00A1070D">
        <w:rPr>
          <w:rFonts w:ascii="Arial" w:hAnsi="Arial" w:cs="Arial"/>
          <w:sz w:val="24"/>
          <w:szCs w:val="24"/>
        </w:rPr>
        <w:t>ection 141A provides that:</w:t>
      </w:r>
    </w:p>
    <w:p w14:paraId="3BD4D096" w14:textId="176FC86E" w:rsidR="00A1070D" w:rsidRDefault="00A1070D" w:rsidP="00A1070D">
      <w:pPr>
        <w:pStyle w:val="ListParagraph"/>
        <w:numPr>
          <w:ilvl w:val="0"/>
          <w:numId w:val="31"/>
        </w:numPr>
        <w:autoSpaceDE w:val="0"/>
        <w:autoSpaceDN w:val="0"/>
        <w:adjustRightInd w:val="0"/>
        <w:spacing w:after="120"/>
        <w:ind w:left="567" w:hanging="567"/>
        <w:rPr>
          <w:rFonts w:ascii="Arial" w:hAnsi="Arial" w:cs="Arial"/>
          <w:sz w:val="24"/>
          <w:szCs w:val="24"/>
        </w:rPr>
      </w:pPr>
      <w:r>
        <w:rPr>
          <w:rFonts w:ascii="Arial" w:hAnsi="Arial" w:cs="Arial"/>
          <w:sz w:val="24"/>
          <w:szCs w:val="24"/>
        </w:rPr>
        <w:t>i</w:t>
      </w:r>
      <w:r w:rsidRPr="00A1070D">
        <w:rPr>
          <w:rFonts w:ascii="Arial" w:hAnsi="Arial" w:cs="Arial"/>
          <w:sz w:val="24"/>
          <w:szCs w:val="24"/>
        </w:rPr>
        <w:t xml:space="preserve">f the application was previously referred to referral entities, the authority </w:t>
      </w:r>
      <w:r w:rsidRPr="009F52E2">
        <w:rPr>
          <w:rFonts w:ascii="Arial" w:hAnsi="Arial" w:cs="Arial"/>
          <w:sz w:val="24"/>
          <w:szCs w:val="24"/>
          <w:u w:val="single"/>
        </w:rPr>
        <w:t>may</w:t>
      </w:r>
      <w:r w:rsidRPr="00A1070D">
        <w:rPr>
          <w:rFonts w:ascii="Arial" w:hAnsi="Arial" w:cs="Arial"/>
          <w:sz w:val="24"/>
          <w:szCs w:val="24"/>
        </w:rPr>
        <w:t xml:space="preserve"> re-refer the application (including the further information) to those referral entities</w:t>
      </w:r>
      <w:r>
        <w:rPr>
          <w:rFonts w:ascii="Arial" w:hAnsi="Arial" w:cs="Arial"/>
          <w:sz w:val="24"/>
          <w:szCs w:val="24"/>
        </w:rPr>
        <w:t>; and</w:t>
      </w:r>
    </w:p>
    <w:p w14:paraId="4A5750E2" w14:textId="6E83DED8" w:rsidR="00A1070D" w:rsidRPr="00A1070D" w:rsidRDefault="00A1070D" w:rsidP="00A1070D">
      <w:pPr>
        <w:pStyle w:val="ListParagraph"/>
        <w:numPr>
          <w:ilvl w:val="0"/>
          <w:numId w:val="31"/>
        </w:numPr>
        <w:autoSpaceDE w:val="0"/>
        <w:autoSpaceDN w:val="0"/>
        <w:adjustRightInd w:val="0"/>
        <w:spacing w:after="120"/>
        <w:ind w:left="567" w:hanging="567"/>
        <w:rPr>
          <w:rFonts w:ascii="Arial" w:hAnsi="Arial" w:cs="Arial"/>
          <w:sz w:val="24"/>
          <w:szCs w:val="24"/>
        </w:rPr>
      </w:pPr>
      <w:r>
        <w:rPr>
          <w:rFonts w:ascii="Arial" w:hAnsi="Arial" w:cs="Arial"/>
          <w:sz w:val="24"/>
          <w:szCs w:val="24"/>
        </w:rPr>
        <w:t>if</w:t>
      </w:r>
      <w:r w:rsidRPr="00A1070D">
        <w:rPr>
          <w:rFonts w:ascii="Arial" w:hAnsi="Arial" w:cs="Arial"/>
          <w:sz w:val="24"/>
          <w:szCs w:val="24"/>
        </w:rPr>
        <w:t xml:space="preserve"> advice was previously provided by the design review panel</w:t>
      </w:r>
      <w:r w:rsidR="00063C06">
        <w:rPr>
          <w:rFonts w:ascii="Arial" w:hAnsi="Arial" w:cs="Arial"/>
          <w:sz w:val="24"/>
          <w:szCs w:val="24"/>
        </w:rPr>
        <w:t>,</w:t>
      </w:r>
      <w:r w:rsidRPr="00A1070D">
        <w:rPr>
          <w:rFonts w:ascii="Arial" w:hAnsi="Arial" w:cs="Arial"/>
          <w:sz w:val="24"/>
          <w:szCs w:val="24"/>
        </w:rPr>
        <w:t xml:space="preserve"> the </w:t>
      </w:r>
      <w:r w:rsidR="00063C06" w:rsidRPr="00A1070D">
        <w:rPr>
          <w:rFonts w:ascii="Arial" w:hAnsi="Arial" w:cs="Arial"/>
          <w:sz w:val="24"/>
          <w:szCs w:val="24"/>
        </w:rPr>
        <w:t xml:space="preserve">authority </w:t>
      </w:r>
      <w:r w:rsidR="00063C06" w:rsidRPr="009F52E2">
        <w:rPr>
          <w:rFonts w:ascii="Arial" w:hAnsi="Arial" w:cs="Arial"/>
          <w:sz w:val="24"/>
          <w:szCs w:val="24"/>
          <w:u w:val="single"/>
        </w:rPr>
        <w:t>may</w:t>
      </w:r>
      <w:r w:rsidR="00063C06">
        <w:rPr>
          <w:rFonts w:ascii="Arial" w:hAnsi="Arial" w:cs="Arial"/>
          <w:sz w:val="24"/>
          <w:szCs w:val="24"/>
        </w:rPr>
        <w:t xml:space="preserve"> provide the panel with another opportunity to consider </w:t>
      </w:r>
      <w:r w:rsidR="00063C06" w:rsidRPr="00A1070D">
        <w:rPr>
          <w:rFonts w:ascii="Arial" w:hAnsi="Arial" w:cs="Arial"/>
          <w:sz w:val="24"/>
          <w:szCs w:val="24"/>
        </w:rPr>
        <w:t>the application (including the further information)</w:t>
      </w:r>
      <w:r w:rsidRPr="00A1070D">
        <w:rPr>
          <w:rFonts w:ascii="Arial" w:hAnsi="Arial" w:cs="Arial"/>
          <w:sz w:val="24"/>
          <w:szCs w:val="24"/>
        </w:rPr>
        <w:t>.</w:t>
      </w:r>
    </w:p>
    <w:p w14:paraId="6ED47B83" w14:textId="3806F01B" w:rsidR="00A1070D" w:rsidRDefault="00555270" w:rsidP="00A1070D">
      <w:pPr>
        <w:autoSpaceDE w:val="0"/>
        <w:autoSpaceDN w:val="0"/>
        <w:adjustRightInd w:val="0"/>
        <w:spacing w:after="120"/>
        <w:rPr>
          <w:rFonts w:ascii="Arial" w:hAnsi="Arial" w:cs="Arial"/>
          <w:sz w:val="24"/>
          <w:szCs w:val="24"/>
        </w:rPr>
      </w:pPr>
      <w:r>
        <w:rPr>
          <w:rFonts w:ascii="Arial" w:hAnsi="Arial" w:cs="Arial"/>
          <w:sz w:val="24"/>
          <w:szCs w:val="24"/>
        </w:rPr>
        <w:lastRenderedPageBreak/>
        <w:t>N</w:t>
      </w:r>
      <w:r w:rsidR="00A1070D">
        <w:rPr>
          <w:rFonts w:ascii="Arial" w:hAnsi="Arial" w:cs="Arial"/>
          <w:sz w:val="24"/>
          <w:szCs w:val="24"/>
        </w:rPr>
        <w:t>ew section 141B</w:t>
      </w:r>
      <w:r>
        <w:rPr>
          <w:rFonts w:ascii="Arial" w:hAnsi="Arial" w:cs="Arial"/>
          <w:sz w:val="24"/>
          <w:szCs w:val="24"/>
        </w:rPr>
        <w:t xml:space="preserve"> </w:t>
      </w:r>
      <w:r w:rsidRPr="009F52E2">
        <w:rPr>
          <w:rFonts w:ascii="Arial" w:hAnsi="Arial" w:cs="Arial"/>
          <w:sz w:val="24"/>
          <w:szCs w:val="24"/>
          <w:u w:val="single"/>
        </w:rPr>
        <w:t>requires</w:t>
      </w:r>
      <w:r>
        <w:rPr>
          <w:rFonts w:ascii="Arial" w:hAnsi="Arial" w:cs="Arial"/>
          <w:sz w:val="24"/>
          <w:szCs w:val="24"/>
        </w:rPr>
        <w:t xml:space="preserve"> the authority to re-notify the community of the development application (including the further information) </w:t>
      </w:r>
      <w:r w:rsidR="009F52E2">
        <w:rPr>
          <w:rFonts w:ascii="Arial" w:hAnsi="Arial" w:cs="Arial"/>
          <w:sz w:val="24"/>
          <w:szCs w:val="24"/>
        </w:rPr>
        <w:t>if</w:t>
      </w:r>
      <w:r>
        <w:rPr>
          <w:rFonts w:ascii="Arial" w:hAnsi="Arial" w:cs="Arial"/>
          <w:sz w:val="24"/>
          <w:szCs w:val="24"/>
        </w:rPr>
        <w:t xml:space="preserve"> certain </w:t>
      </w:r>
      <w:r w:rsidR="009F52E2">
        <w:rPr>
          <w:rFonts w:ascii="Arial" w:hAnsi="Arial" w:cs="Arial"/>
          <w:sz w:val="24"/>
          <w:szCs w:val="24"/>
        </w:rPr>
        <w:t>conditions are met</w:t>
      </w:r>
      <w:r>
        <w:rPr>
          <w:rFonts w:ascii="Arial" w:hAnsi="Arial" w:cs="Arial"/>
          <w:sz w:val="24"/>
          <w:szCs w:val="24"/>
        </w:rPr>
        <w:t>.</w:t>
      </w:r>
    </w:p>
    <w:p w14:paraId="7CF546E0" w14:textId="78ACF5B9" w:rsidR="00A1070D" w:rsidRPr="001D0138" w:rsidRDefault="00537AA8" w:rsidP="00A1070D">
      <w:pPr>
        <w:autoSpaceDE w:val="0"/>
        <w:autoSpaceDN w:val="0"/>
        <w:adjustRightInd w:val="0"/>
        <w:spacing w:after="120"/>
        <w:rPr>
          <w:rFonts w:ascii="Arial" w:hAnsi="Arial" w:cs="Arial"/>
          <w:sz w:val="24"/>
          <w:szCs w:val="24"/>
        </w:rPr>
      </w:pPr>
      <w:r w:rsidRPr="00674D11">
        <w:rPr>
          <w:rFonts w:ascii="Arial" w:hAnsi="Arial" w:cs="Arial"/>
          <w:sz w:val="24"/>
          <w:szCs w:val="24"/>
        </w:rPr>
        <w:t>The approach taken in the new sections is</w:t>
      </w:r>
      <w:r>
        <w:rPr>
          <w:rFonts w:ascii="Arial" w:hAnsi="Arial" w:cs="Arial"/>
          <w:sz w:val="24"/>
          <w:szCs w:val="24"/>
        </w:rPr>
        <w:t xml:space="preserve"> </w:t>
      </w:r>
      <w:r w:rsidR="00A1070D">
        <w:rPr>
          <w:rFonts w:ascii="Arial" w:hAnsi="Arial" w:cs="Arial"/>
          <w:sz w:val="24"/>
          <w:szCs w:val="24"/>
        </w:rPr>
        <w:t xml:space="preserve">substantially the same as existing powers </w:t>
      </w:r>
      <w:r w:rsidR="00555270">
        <w:rPr>
          <w:rFonts w:ascii="Arial" w:hAnsi="Arial" w:cs="Arial"/>
          <w:sz w:val="24"/>
          <w:szCs w:val="24"/>
        </w:rPr>
        <w:t xml:space="preserve">and responsibilities </w:t>
      </w:r>
      <w:r w:rsidR="00A1070D">
        <w:rPr>
          <w:rFonts w:ascii="Arial" w:hAnsi="Arial" w:cs="Arial"/>
          <w:sz w:val="24"/>
          <w:szCs w:val="24"/>
        </w:rPr>
        <w:t>of the authority when amending development applications.</w:t>
      </w:r>
    </w:p>
    <w:p w14:paraId="68AD0844" w14:textId="77777777" w:rsidR="00A1070D" w:rsidRPr="00C07DD6" w:rsidRDefault="00A1070D" w:rsidP="00A1070D">
      <w:pPr>
        <w:autoSpaceDE w:val="0"/>
        <w:autoSpaceDN w:val="0"/>
        <w:adjustRightInd w:val="0"/>
        <w:spacing w:after="120"/>
        <w:rPr>
          <w:rFonts w:ascii="Arial" w:hAnsi="Arial" w:cs="Arial"/>
          <w:sz w:val="24"/>
          <w:szCs w:val="24"/>
          <w:highlight w:val="yellow"/>
        </w:rPr>
      </w:pPr>
    </w:p>
    <w:p w14:paraId="0235E435" w14:textId="73DE5268" w:rsidR="009B5AFF" w:rsidRPr="005B20DC" w:rsidRDefault="00163D77" w:rsidP="0064756C">
      <w:pPr>
        <w:keepNext/>
        <w:keepLines/>
        <w:autoSpaceDE w:val="0"/>
        <w:autoSpaceDN w:val="0"/>
        <w:adjustRightInd w:val="0"/>
        <w:spacing w:after="120"/>
        <w:rPr>
          <w:rFonts w:ascii="Arial" w:hAnsi="Arial" w:cs="Arial"/>
          <w:b/>
          <w:bCs/>
          <w:color w:val="000000"/>
          <w:sz w:val="24"/>
          <w:szCs w:val="24"/>
        </w:rPr>
      </w:pPr>
      <w:r w:rsidRPr="005B20DC">
        <w:rPr>
          <w:rFonts w:ascii="Arial" w:hAnsi="Arial" w:cs="Arial"/>
          <w:b/>
          <w:bCs/>
          <w:color w:val="000000"/>
          <w:sz w:val="24"/>
          <w:szCs w:val="24"/>
        </w:rPr>
        <w:t>Clause 1</w:t>
      </w:r>
      <w:r w:rsidR="00555270">
        <w:rPr>
          <w:rFonts w:ascii="Arial" w:hAnsi="Arial" w:cs="Arial"/>
          <w:b/>
          <w:bCs/>
          <w:color w:val="000000"/>
          <w:sz w:val="24"/>
          <w:szCs w:val="24"/>
        </w:rPr>
        <w:t>6</w:t>
      </w:r>
      <w:r w:rsidRPr="005B20DC">
        <w:rPr>
          <w:rFonts w:ascii="Arial" w:hAnsi="Arial" w:cs="Arial"/>
          <w:b/>
          <w:bCs/>
          <w:color w:val="000000"/>
          <w:sz w:val="24"/>
          <w:szCs w:val="24"/>
        </w:rPr>
        <w:tab/>
      </w:r>
      <w:r w:rsidR="005B20DC" w:rsidRPr="005B20DC">
        <w:rPr>
          <w:rFonts w:ascii="Arial" w:hAnsi="Arial" w:cs="Arial"/>
          <w:b/>
          <w:bCs/>
          <w:color w:val="000000"/>
          <w:sz w:val="24"/>
          <w:szCs w:val="24"/>
        </w:rPr>
        <w:t>Section 142</w:t>
      </w:r>
    </w:p>
    <w:p w14:paraId="12220DA8" w14:textId="3FECF610" w:rsidR="00164E23" w:rsidRPr="005B20DC" w:rsidRDefault="005B20DC" w:rsidP="00DB5218">
      <w:pPr>
        <w:autoSpaceDE w:val="0"/>
        <w:autoSpaceDN w:val="0"/>
        <w:adjustRightInd w:val="0"/>
        <w:spacing w:after="120"/>
        <w:rPr>
          <w:rFonts w:ascii="Arial" w:hAnsi="Arial" w:cs="Arial"/>
          <w:bCs/>
          <w:color w:val="000000"/>
          <w:sz w:val="24"/>
          <w:szCs w:val="24"/>
        </w:rPr>
      </w:pPr>
      <w:r w:rsidRPr="005B20DC">
        <w:rPr>
          <w:rFonts w:ascii="Arial" w:hAnsi="Arial" w:cs="Arial"/>
          <w:bCs/>
          <w:color w:val="000000"/>
          <w:sz w:val="24"/>
          <w:szCs w:val="24"/>
        </w:rPr>
        <w:t xml:space="preserve">The existing section allows the planning and land authority to reject a development application where the applicant fails to provide further information that is requested.  </w:t>
      </w:r>
      <w:r w:rsidR="00164E23" w:rsidRPr="005B20DC">
        <w:rPr>
          <w:rFonts w:ascii="Arial" w:hAnsi="Arial" w:cs="Arial"/>
          <w:bCs/>
          <w:color w:val="000000"/>
          <w:sz w:val="24"/>
          <w:szCs w:val="24"/>
        </w:rPr>
        <w:t>Th</w:t>
      </w:r>
      <w:r w:rsidR="00251370">
        <w:rPr>
          <w:rFonts w:ascii="Arial" w:hAnsi="Arial" w:cs="Arial"/>
          <w:bCs/>
          <w:color w:val="000000"/>
          <w:sz w:val="24"/>
          <w:szCs w:val="24"/>
        </w:rPr>
        <w:t>e</w:t>
      </w:r>
      <w:r w:rsidR="00164E23" w:rsidRPr="005B20DC">
        <w:rPr>
          <w:rFonts w:ascii="Arial" w:hAnsi="Arial" w:cs="Arial"/>
          <w:bCs/>
          <w:color w:val="000000"/>
          <w:sz w:val="24"/>
          <w:szCs w:val="24"/>
        </w:rPr>
        <w:t xml:space="preserve"> </w:t>
      </w:r>
      <w:r w:rsidR="00440AF4" w:rsidRPr="005B20DC">
        <w:rPr>
          <w:rFonts w:ascii="Arial" w:hAnsi="Arial" w:cs="Arial"/>
          <w:bCs/>
          <w:color w:val="000000"/>
          <w:sz w:val="24"/>
          <w:szCs w:val="24"/>
        </w:rPr>
        <w:t>clause</w:t>
      </w:r>
      <w:r w:rsidR="00164E23" w:rsidRPr="005B20DC">
        <w:rPr>
          <w:rFonts w:ascii="Arial" w:hAnsi="Arial" w:cs="Arial"/>
          <w:bCs/>
          <w:color w:val="000000"/>
          <w:sz w:val="24"/>
          <w:szCs w:val="24"/>
        </w:rPr>
        <w:t xml:space="preserve"> </w:t>
      </w:r>
      <w:r w:rsidR="00B52E1E">
        <w:rPr>
          <w:rFonts w:ascii="Arial" w:hAnsi="Arial" w:cs="Arial"/>
          <w:bCs/>
          <w:color w:val="000000"/>
          <w:sz w:val="24"/>
          <w:szCs w:val="24"/>
        </w:rPr>
        <w:t>extends this</w:t>
      </w:r>
      <w:r w:rsidRPr="005B20DC">
        <w:rPr>
          <w:rFonts w:ascii="Arial" w:hAnsi="Arial" w:cs="Arial"/>
          <w:bCs/>
          <w:color w:val="000000"/>
          <w:sz w:val="24"/>
          <w:szCs w:val="24"/>
        </w:rPr>
        <w:t xml:space="preserve"> power to </w:t>
      </w:r>
      <w:r w:rsidR="00251370">
        <w:rPr>
          <w:rFonts w:ascii="Arial" w:hAnsi="Arial" w:cs="Arial"/>
          <w:bCs/>
          <w:color w:val="000000"/>
          <w:sz w:val="24"/>
          <w:szCs w:val="24"/>
        </w:rPr>
        <w:t xml:space="preserve">also cover </w:t>
      </w:r>
      <w:r w:rsidRPr="005B20DC">
        <w:rPr>
          <w:rFonts w:ascii="Arial" w:hAnsi="Arial" w:cs="Arial"/>
          <w:bCs/>
          <w:color w:val="000000"/>
          <w:sz w:val="24"/>
          <w:szCs w:val="24"/>
        </w:rPr>
        <w:t>reject</w:t>
      </w:r>
      <w:r w:rsidR="00251370">
        <w:rPr>
          <w:rFonts w:ascii="Arial" w:hAnsi="Arial" w:cs="Arial"/>
          <w:bCs/>
          <w:color w:val="000000"/>
          <w:sz w:val="24"/>
          <w:szCs w:val="24"/>
        </w:rPr>
        <w:t>ing</w:t>
      </w:r>
      <w:r w:rsidRPr="005B20DC">
        <w:rPr>
          <w:rFonts w:ascii="Arial" w:hAnsi="Arial" w:cs="Arial"/>
          <w:bCs/>
          <w:color w:val="000000"/>
          <w:sz w:val="24"/>
          <w:szCs w:val="24"/>
        </w:rPr>
        <w:t xml:space="preserve"> a development application</w:t>
      </w:r>
      <w:r w:rsidR="00B52E1E">
        <w:rPr>
          <w:rFonts w:ascii="Arial" w:hAnsi="Arial" w:cs="Arial"/>
          <w:bCs/>
          <w:color w:val="000000"/>
          <w:sz w:val="24"/>
          <w:szCs w:val="24"/>
        </w:rPr>
        <w:t xml:space="preserve"> </w:t>
      </w:r>
      <w:r w:rsidR="00D62E19">
        <w:rPr>
          <w:rFonts w:ascii="Arial" w:hAnsi="Arial" w:cs="Arial"/>
          <w:bCs/>
          <w:color w:val="000000"/>
          <w:sz w:val="24"/>
          <w:szCs w:val="24"/>
        </w:rPr>
        <w:t>in</w:t>
      </w:r>
      <w:r w:rsidRPr="005B20DC">
        <w:rPr>
          <w:rFonts w:ascii="Arial" w:hAnsi="Arial" w:cs="Arial"/>
          <w:bCs/>
          <w:color w:val="000000"/>
          <w:sz w:val="24"/>
          <w:szCs w:val="24"/>
        </w:rPr>
        <w:t xml:space="preserve"> cases where the development application or </w:t>
      </w:r>
      <w:r w:rsidR="00B52E1E">
        <w:rPr>
          <w:rFonts w:ascii="Arial" w:hAnsi="Arial" w:cs="Arial"/>
          <w:bCs/>
          <w:color w:val="000000"/>
          <w:sz w:val="24"/>
          <w:szCs w:val="24"/>
        </w:rPr>
        <w:t>further</w:t>
      </w:r>
      <w:r w:rsidRPr="005B20DC">
        <w:rPr>
          <w:rFonts w:ascii="Arial" w:hAnsi="Arial" w:cs="Arial"/>
          <w:bCs/>
          <w:color w:val="000000"/>
          <w:sz w:val="24"/>
          <w:szCs w:val="24"/>
        </w:rPr>
        <w:t xml:space="preserve"> information provided is false or misleading</w:t>
      </w:r>
      <w:r w:rsidR="00164E23" w:rsidRPr="005B20DC">
        <w:rPr>
          <w:rFonts w:ascii="Arial" w:hAnsi="Arial" w:cs="Arial"/>
          <w:bCs/>
          <w:color w:val="000000"/>
          <w:sz w:val="24"/>
          <w:szCs w:val="24"/>
        </w:rPr>
        <w:t>.</w:t>
      </w:r>
      <w:r w:rsidRPr="005B20DC">
        <w:rPr>
          <w:rFonts w:ascii="Arial" w:hAnsi="Arial" w:cs="Arial"/>
          <w:bCs/>
          <w:color w:val="000000"/>
          <w:sz w:val="24"/>
          <w:szCs w:val="24"/>
        </w:rPr>
        <w:t xml:space="preserve">  This is in addition to, and intended to supplement, existing powers under the Criminal Code.</w:t>
      </w:r>
    </w:p>
    <w:p w14:paraId="65FD5EF6" w14:textId="4430E7B2" w:rsidR="00164E23" w:rsidRPr="00C07DD6" w:rsidRDefault="00164E23" w:rsidP="00DB5218">
      <w:pPr>
        <w:autoSpaceDE w:val="0"/>
        <w:autoSpaceDN w:val="0"/>
        <w:adjustRightInd w:val="0"/>
        <w:spacing w:after="120"/>
        <w:rPr>
          <w:rFonts w:ascii="Arial" w:hAnsi="Arial" w:cs="Arial"/>
          <w:b/>
          <w:bCs/>
          <w:color w:val="000000"/>
          <w:sz w:val="24"/>
          <w:szCs w:val="24"/>
          <w:highlight w:val="yellow"/>
        </w:rPr>
      </w:pPr>
    </w:p>
    <w:p w14:paraId="39BB8147" w14:textId="23322EE1" w:rsidR="00C42854" w:rsidRPr="00B832DB" w:rsidRDefault="00164E23" w:rsidP="0064756C">
      <w:pPr>
        <w:keepNext/>
        <w:keepLines/>
        <w:autoSpaceDE w:val="0"/>
        <w:autoSpaceDN w:val="0"/>
        <w:adjustRightInd w:val="0"/>
        <w:spacing w:after="120"/>
        <w:rPr>
          <w:rFonts w:ascii="Arial" w:hAnsi="Arial" w:cs="Arial"/>
          <w:b/>
          <w:bCs/>
          <w:color w:val="000000"/>
          <w:sz w:val="24"/>
          <w:szCs w:val="24"/>
        </w:rPr>
      </w:pPr>
      <w:r w:rsidRPr="00B832DB">
        <w:rPr>
          <w:rFonts w:ascii="Arial" w:hAnsi="Arial" w:cs="Arial"/>
          <w:b/>
          <w:bCs/>
          <w:color w:val="000000"/>
          <w:sz w:val="24"/>
          <w:szCs w:val="24"/>
        </w:rPr>
        <w:t>Clause 1</w:t>
      </w:r>
      <w:r w:rsidR="00555270">
        <w:rPr>
          <w:rFonts w:ascii="Arial" w:hAnsi="Arial" w:cs="Arial"/>
          <w:b/>
          <w:bCs/>
          <w:color w:val="000000"/>
          <w:sz w:val="24"/>
          <w:szCs w:val="24"/>
        </w:rPr>
        <w:t>7</w:t>
      </w:r>
      <w:r w:rsidRPr="00B832DB">
        <w:rPr>
          <w:rFonts w:ascii="Arial" w:hAnsi="Arial" w:cs="Arial"/>
          <w:b/>
          <w:bCs/>
          <w:color w:val="000000"/>
          <w:sz w:val="24"/>
          <w:szCs w:val="24"/>
        </w:rPr>
        <w:tab/>
      </w:r>
      <w:r w:rsidR="00C42854" w:rsidRPr="00B832DB">
        <w:rPr>
          <w:rFonts w:ascii="Arial" w:hAnsi="Arial" w:cs="Arial"/>
          <w:b/>
          <w:bCs/>
          <w:color w:val="000000"/>
          <w:sz w:val="24"/>
          <w:szCs w:val="24"/>
        </w:rPr>
        <w:t>Direction that development application</w:t>
      </w:r>
      <w:r w:rsidR="008F09DF">
        <w:rPr>
          <w:rFonts w:ascii="Arial" w:hAnsi="Arial" w:cs="Arial"/>
          <w:b/>
          <w:bCs/>
          <w:color w:val="000000"/>
          <w:sz w:val="24"/>
          <w:szCs w:val="24"/>
        </w:rPr>
        <w:t>s</w:t>
      </w:r>
      <w:r w:rsidR="00C42854" w:rsidRPr="00B832DB">
        <w:rPr>
          <w:rFonts w:ascii="Arial" w:hAnsi="Arial" w:cs="Arial"/>
          <w:b/>
          <w:bCs/>
          <w:color w:val="000000"/>
          <w:sz w:val="24"/>
          <w:szCs w:val="24"/>
        </w:rPr>
        <w:t xml:space="preserve"> be referred to Minister</w:t>
      </w:r>
    </w:p>
    <w:p w14:paraId="157D8483" w14:textId="695B5589" w:rsidR="00164E23" w:rsidRPr="00B832DB" w:rsidRDefault="00C42854" w:rsidP="0064756C">
      <w:pPr>
        <w:keepNext/>
        <w:keepLines/>
        <w:autoSpaceDE w:val="0"/>
        <w:autoSpaceDN w:val="0"/>
        <w:adjustRightInd w:val="0"/>
        <w:spacing w:after="120"/>
        <w:rPr>
          <w:rFonts w:ascii="Arial" w:hAnsi="Arial" w:cs="Arial"/>
          <w:b/>
          <w:bCs/>
          <w:color w:val="000000"/>
          <w:sz w:val="24"/>
          <w:szCs w:val="24"/>
        </w:rPr>
      </w:pPr>
      <w:r w:rsidRPr="00B832DB">
        <w:rPr>
          <w:rFonts w:ascii="Arial" w:hAnsi="Arial" w:cs="Arial"/>
          <w:b/>
          <w:bCs/>
          <w:color w:val="000000"/>
          <w:sz w:val="24"/>
          <w:szCs w:val="24"/>
        </w:rPr>
        <w:t>New section 158 (1A)</w:t>
      </w:r>
    </w:p>
    <w:p w14:paraId="71B55E3B" w14:textId="77777777" w:rsidR="002F5488" w:rsidRDefault="00C42854" w:rsidP="00DB5218">
      <w:pPr>
        <w:autoSpaceDE w:val="0"/>
        <w:autoSpaceDN w:val="0"/>
        <w:adjustRightInd w:val="0"/>
        <w:spacing w:after="120"/>
        <w:rPr>
          <w:rFonts w:ascii="Arial" w:hAnsi="Arial" w:cs="Arial"/>
          <w:sz w:val="24"/>
          <w:szCs w:val="24"/>
        </w:rPr>
      </w:pPr>
      <w:r w:rsidRPr="00B832DB">
        <w:rPr>
          <w:rFonts w:ascii="Arial" w:hAnsi="Arial" w:cs="Arial"/>
          <w:sz w:val="24"/>
          <w:szCs w:val="24"/>
        </w:rPr>
        <w:t xml:space="preserve">The existing section </w:t>
      </w:r>
      <w:r w:rsidR="006229F0" w:rsidRPr="008957A6">
        <w:rPr>
          <w:rFonts w:ascii="Arial" w:hAnsi="Arial" w:cs="Arial"/>
          <w:sz w:val="24"/>
          <w:szCs w:val="24"/>
        </w:rPr>
        <w:t>158</w:t>
      </w:r>
      <w:r w:rsidR="006229F0">
        <w:rPr>
          <w:rFonts w:ascii="Arial" w:hAnsi="Arial" w:cs="Arial"/>
          <w:sz w:val="24"/>
          <w:szCs w:val="24"/>
        </w:rPr>
        <w:t xml:space="preserve"> </w:t>
      </w:r>
      <w:r w:rsidRPr="00B832DB">
        <w:rPr>
          <w:rFonts w:ascii="Arial" w:hAnsi="Arial" w:cs="Arial"/>
          <w:sz w:val="24"/>
          <w:szCs w:val="24"/>
        </w:rPr>
        <w:t xml:space="preserve">of the Act allows the Planning Minister to direct the planning and land authority </w:t>
      </w:r>
      <w:r w:rsidR="006229F0" w:rsidRPr="002F5488">
        <w:rPr>
          <w:rFonts w:ascii="Arial" w:hAnsi="Arial" w:cs="Arial"/>
          <w:sz w:val="24"/>
          <w:szCs w:val="24"/>
        </w:rPr>
        <w:t>to refer</w:t>
      </w:r>
      <w:r w:rsidR="006229F0">
        <w:rPr>
          <w:rFonts w:ascii="Arial" w:hAnsi="Arial" w:cs="Arial"/>
          <w:sz w:val="24"/>
          <w:szCs w:val="24"/>
        </w:rPr>
        <w:t xml:space="preserve"> a </w:t>
      </w:r>
      <w:r w:rsidRPr="00B832DB">
        <w:rPr>
          <w:rFonts w:ascii="Arial" w:hAnsi="Arial" w:cs="Arial"/>
          <w:sz w:val="24"/>
          <w:szCs w:val="24"/>
        </w:rPr>
        <w:t>development application to the Minister for decision</w:t>
      </w:r>
      <w:r w:rsidR="00164E23" w:rsidRPr="00B832DB">
        <w:rPr>
          <w:rFonts w:ascii="Arial" w:hAnsi="Arial" w:cs="Arial"/>
          <w:sz w:val="24"/>
          <w:szCs w:val="24"/>
        </w:rPr>
        <w:t>.</w:t>
      </w:r>
      <w:r w:rsidRPr="00B832DB">
        <w:rPr>
          <w:rFonts w:ascii="Arial" w:hAnsi="Arial" w:cs="Arial"/>
          <w:sz w:val="24"/>
          <w:szCs w:val="24"/>
        </w:rPr>
        <w:t xml:space="preserve">  This is known colloquially as a ‘call-in’.</w:t>
      </w:r>
    </w:p>
    <w:p w14:paraId="0E93B53C" w14:textId="2AA7475A" w:rsidR="00164E23" w:rsidRPr="00B832DB" w:rsidRDefault="002F5488" w:rsidP="00DB5218">
      <w:pPr>
        <w:autoSpaceDE w:val="0"/>
        <w:autoSpaceDN w:val="0"/>
        <w:adjustRightInd w:val="0"/>
        <w:spacing w:after="120"/>
        <w:rPr>
          <w:rFonts w:ascii="Arial" w:hAnsi="Arial" w:cs="Arial"/>
          <w:sz w:val="24"/>
          <w:szCs w:val="24"/>
        </w:rPr>
      </w:pPr>
      <w:r>
        <w:rPr>
          <w:rFonts w:ascii="Arial" w:hAnsi="Arial" w:cs="Arial"/>
          <w:sz w:val="24"/>
          <w:szCs w:val="24"/>
        </w:rPr>
        <w:t xml:space="preserve">A call-in is a substantial departure from normal </w:t>
      </w:r>
      <w:r w:rsidR="00B64226">
        <w:rPr>
          <w:rFonts w:ascii="Arial" w:hAnsi="Arial" w:cs="Arial"/>
          <w:sz w:val="24"/>
          <w:szCs w:val="24"/>
        </w:rPr>
        <w:t>assessment and decision</w:t>
      </w:r>
      <w:r>
        <w:rPr>
          <w:rFonts w:ascii="Arial" w:hAnsi="Arial" w:cs="Arial"/>
          <w:sz w:val="24"/>
          <w:szCs w:val="24"/>
        </w:rPr>
        <w:t xml:space="preserve"> by the independent planning </w:t>
      </w:r>
      <w:r w:rsidR="00B64226">
        <w:rPr>
          <w:rFonts w:ascii="Arial" w:hAnsi="Arial" w:cs="Arial"/>
          <w:sz w:val="24"/>
          <w:szCs w:val="24"/>
        </w:rPr>
        <w:t xml:space="preserve">and land </w:t>
      </w:r>
      <w:r>
        <w:rPr>
          <w:rFonts w:ascii="Arial" w:hAnsi="Arial" w:cs="Arial"/>
          <w:sz w:val="24"/>
          <w:szCs w:val="24"/>
        </w:rPr>
        <w:t xml:space="preserve">authority.  There is a risk that call-ins can be seen to politicise the planning process or lead to conflicts of interest in decision making.  This risk has eventuated in </w:t>
      </w:r>
      <w:r w:rsidR="00B64226">
        <w:rPr>
          <w:rFonts w:ascii="Arial" w:hAnsi="Arial" w:cs="Arial"/>
          <w:sz w:val="24"/>
          <w:szCs w:val="24"/>
        </w:rPr>
        <w:t>an</w:t>
      </w:r>
      <w:r>
        <w:rPr>
          <w:rFonts w:ascii="Arial" w:hAnsi="Arial" w:cs="Arial"/>
          <w:sz w:val="24"/>
          <w:szCs w:val="24"/>
        </w:rPr>
        <w:t>other Australian jurisdiction.</w:t>
      </w:r>
    </w:p>
    <w:p w14:paraId="0DBCFEAA" w14:textId="5019BAEC" w:rsidR="00C42854" w:rsidRPr="00B832DB" w:rsidRDefault="00C42854" w:rsidP="00DB5218">
      <w:pPr>
        <w:autoSpaceDE w:val="0"/>
        <w:autoSpaceDN w:val="0"/>
        <w:adjustRightInd w:val="0"/>
        <w:spacing w:after="120"/>
        <w:rPr>
          <w:rFonts w:ascii="Arial" w:hAnsi="Arial" w:cs="Arial"/>
          <w:sz w:val="24"/>
          <w:szCs w:val="24"/>
        </w:rPr>
      </w:pPr>
      <w:r w:rsidRPr="00B832DB">
        <w:rPr>
          <w:rFonts w:ascii="Arial" w:hAnsi="Arial" w:cs="Arial"/>
          <w:sz w:val="24"/>
          <w:szCs w:val="24"/>
        </w:rPr>
        <w:t>This clause make</w:t>
      </w:r>
      <w:r w:rsidR="00093065">
        <w:rPr>
          <w:rFonts w:ascii="Arial" w:hAnsi="Arial" w:cs="Arial"/>
          <w:sz w:val="24"/>
          <w:szCs w:val="24"/>
        </w:rPr>
        <w:t>s</w:t>
      </w:r>
      <w:r w:rsidRPr="00B832DB">
        <w:rPr>
          <w:rFonts w:ascii="Arial" w:hAnsi="Arial" w:cs="Arial"/>
          <w:sz w:val="24"/>
          <w:szCs w:val="24"/>
        </w:rPr>
        <w:t xml:space="preserve"> </w:t>
      </w:r>
      <w:r w:rsidR="002F5488">
        <w:rPr>
          <w:rFonts w:ascii="Arial" w:hAnsi="Arial" w:cs="Arial"/>
          <w:sz w:val="24"/>
          <w:szCs w:val="24"/>
        </w:rPr>
        <w:t>the ‘call-in’</w:t>
      </w:r>
      <w:r w:rsidRPr="00B832DB">
        <w:rPr>
          <w:rFonts w:ascii="Arial" w:hAnsi="Arial" w:cs="Arial"/>
          <w:sz w:val="24"/>
          <w:szCs w:val="24"/>
        </w:rPr>
        <w:t xml:space="preserve"> direction disallowable</w:t>
      </w:r>
      <w:r w:rsidR="002F5488">
        <w:rPr>
          <w:rFonts w:ascii="Arial" w:hAnsi="Arial" w:cs="Arial"/>
          <w:sz w:val="24"/>
          <w:szCs w:val="24"/>
        </w:rPr>
        <w:t>, which will allow the Assembly to restrain any future excessive or improper use of the power.</w:t>
      </w:r>
    </w:p>
    <w:p w14:paraId="69E395FF" w14:textId="77777777" w:rsidR="00164E23" w:rsidRPr="00C07DD6" w:rsidRDefault="00164E23" w:rsidP="00DB5218">
      <w:pPr>
        <w:autoSpaceDE w:val="0"/>
        <w:autoSpaceDN w:val="0"/>
        <w:adjustRightInd w:val="0"/>
        <w:spacing w:after="120"/>
        <w:rPr>
          <w:rFonts w:ascii="Arial" w:hAnsi="Arial" w:cs="Arial"/>
          <w:sz w:val="24"/>
          <w:szCs w:val="24"/>
          <w:highlight w:val="yellow"/>
        </w:rPr>
      </w:pPr>
    </w:p>
    <w:p w14:paraId="5DA1AA37" w14:textId="573D2D5A" w:rsidR="00335D50" w:rsidRPr="00335D50" w:rsidRDefault="00164E23" w:rsidP="0064756C">
      <w:pPr>
        <w:keepNext/>
        <w:keepLines/>
        <w:autoSpaceDE w:val="0"/>
        <w:autoSpaceDN w:val="0"/>
        <w:adjustRightInd w:val="0"/>
        <w:spacing w:after="120"/>
        <w:rPr>
          <w:rFonts w:ascii="Arial" w:hAnsi="Arial" w:cs="Arial"/>
          <w:b/>
          <w:sz w:val="24"/>
          <w:szCs w:val="24"/>
        </w:rPr>
      </w:pPr>
      <w:r w:rsidRPr="008E4345">
        <w:rPr>
          <w:rFonts w:ascii="Arial" w:hAnsi="Arial" w:cs="Arial"/>
          <w:b/>
          <w:bCs/>
          <w:color w:val="000000"/>
          <w:sz w:val="24"/>
          <w:szCs w:val="24"/>
        </w:rPr>
        <w:t>Clause 1</w:t>
      </w:r>
      <w:r w:rsidR="00555270">
        <w:rPr>
          <w:rFonts w:ascii="Arial" w:hAnsi="Arial" w:cs="Arial"/>
          <w:b/>
          <w:bCs/>
          <w:color w:val="000000"/>
          <w:sz w:val="24"/>
          <w:szCs w:val="24"/>
        </w:rPr>
        <w:t>8</w:t>
      </w:r>
      <w:r w:rsidRPr="008E4345">
        <w:rPr>
          <w:rFonts w:ascii="Arial" w:hAnsi="Arial" w:cs="Arial"/>
          <w:b/>
          <w:bCs/>
          <w:color w:val="000000"/>
          <w:sz w:val="24"/>
          <w:szCs w:val="24"/>
        </w:rPr>
        <w:tab/>
      </w:r>
      <w:r w:rsidR="00335D50" w:rsidRPr="00335D50">
        <w:rPr>
          <w:rFonts w:ascii="Arial" w:hAnsi="Arial" w:cs="Arial"/>
          <w:b/>
          <w:sz w:val="24"/>
          <w:szCs w:val="24"/>
        </w:rPr>
        <w:t>No decision on application unless consideration in public interest</w:t>
      </w:r>
    </w:p>
    <w:p w14:paraId="1116902E" w14:textId="1E0BD8C6" w:rsidR="00252710" w:rsidRPr="00335D50" w:rsidRDefault="00335D50" w:rsidP="0064756C">
      <w:pPr>
        <w:keepNext/>
        <w:keepLines/>
        <w:autoSpaceDE w:val="0"/>
        <w:autoSpaceDN w:val="0"/>
        <w:adjustRightInd w:val="0"/>
        <w:spacing w:after="120"/>
        <w:rPr>
          <w:rFonts w:ascii="Arial" w:hAnsi="Arial" w:cs="Arial"/>
          <w:b/>
          <w:sz w:val="24"/>
          <w:szCs w:val="24"/>
        </w:rPr>
      </w:pPr>
      <w:r w:rsidRPr="00335D50">
        <w:rPr>
          <w:rFonts w:ascii="Arial" w:hAnsi="Arial" w:cs="Arial"/>
          <w:b/>
          <w:sz w:val="24"/>
          <w:szCs w:val="24"/>
        </w:rPr>
        <w:t>Section 261 (4)</w:t>
      </w:r>
    </w:p>
    <w:p w14:paraId="53EACC33" w14:textId="3335CA7C" w:rsidR="00335D50" w:rsidRDefault="00335D50" w:rsidP="00DB5218">
      <w:pPr>
        <w:autoSpaceDE w:val="0"/>
        <w:autoSpaceDN w:val="0"/>
        <w:adjustRightInd w:val="0"/>
        <w:spacing w:after="120"/>
        <w:rPr>
          <w:rFonts w:ascii="Arial" w:hAnsi="Arial" w:cs="Arial"/>
          <w:sz w:val="24"/>
          <w:szCs w:val="24"/>
        </w:rPr>
      </w:pPr>
      <w:r w:rsidRPr="00B832DB">
        <w:rPr>
          <w:rFonts w:ascii="Arial" w:hAnsi="Arial" w:cs="Arial"/>
          <w:sz w:val="24"/>
          <w:szCs w:val="24"/>
        </w:rPr>
        <w:t xml:space="preserve">The existing section </w:t>
      </w:r>
      <w:r w:rsidR="006229F0" w:rsidRPr="008957A6">
        <w:rPr>
          <w:rFonts w:ascii="Arial" w:hAnsi="Arial" w:cs="Arial"/>
          <w:sz w:val="24"/>
          <w:szCs w:val="24"/>
        </w:rPr>
        <w:t>261</w:t>
      </w:r>
      <w:r w:rsidR="006229F0">
        <w:rPr>
          <w:rFonts w:ascii="Arial" w:hAnsi="Arial" w:cs="Arial"/>
          <w:sz w:val="24"/>
          <w:szCs w:val="24"/>
        </w:rPr>
        <w:t xml:space="preserve"> </w:t>
      </w:r>
      <w:r w:rsidRPr="00B832DB">
        <w:rPr>
          <w:rFonts w:ascii="Arial" w:hAnsi="Arial" w:cs="Arial"/>
          <w:sz w:val="24"/>
          <w:szCs w:val="24"/>
        </w:rPr>
        <w:t xml:space="preserve">of the Act </w:t>
      </w:r>
      <w:r>
        <w:rPr>
          <w:rFonts w:ascii="Arial" w:hAnsi="Arial" w:cs="Arial"/>
          <w:sz w:val="24"/>
          <w:szCs w:val="24"/>
        </w:rPr>
        <w:t xml:space="preserve">specifies that a development application to convert a Crown lease from a concessional lease to a market value lease cannot be decided before the Minister decides whether considering the application is in the public interest.  Concessional leases are Crown leases that were granted </w:t>
      </w:r>
      <w:r w:rsidR="008F09DF">
        <w:rPr>
          <w:rFonts w:ascii="Arial" w:hAnsi="Arial" w:cs="Arial"/>
          <w:sz w:val="24"/>
          <w:szCs w:val="24"/>
        </w:rPr>
        <w:t>for</w:t>
      </w:r>
      <w:r>
        <w:rPr>
          <w:rFonts w:ascii="Arial" w:hAnsi="Arial" w:cs="Arial"/>
          <w:sz w:val="24"/>
          <w:szCs w:val="24"/>
        </w:rPr>
        <w:t xml:space="preserve"> below market value for an activity with community benefit such as a recreation or community facility. </w:t>
      </w:r>
    </w:p>
    <w:p w14:paraId="0480896F" w14:textId="7B492DA7" w:rsidR="00252710" w:rsidRPr="003A7FB8" w:rsidRDefault="00252710" w:rsidP="00DB5218">
      <w:pPr>
        <w:autoSpaceDE w:val="0"/>
        <w:autoSpaceDN w:val="0"/>
        <w:adjustRightInd w:val="0"/>
        <w:spacing w:after="120"/>
        <w:rPr>
          <w:rFonts w:ascii="Arial" w:hAnsi="Arial" w:cs="Arial"/>
          <w:sz w:val="24"/>
          <w:szCs w:val="24"/>
        </w:rPr>
      </w:pPr>
      <w:r w:rsidRPr="003A7FB8">
        <w:rPr>
          <w:rFonts w:ascii="Arial" w:hAnsi="Arial" w:cs="Arial"/>
          <w:sz w:val="24"/>
          <w:szCs w:val="24"/>
        </w:rPr>
        <w:t>This clause</w:t>
      </w:r>
      <w:r w:rsidR="00335D50" w:rsidRPr="003A7FB8">
        <w:rPr>
          <w:rFonts w:ascii="Arial" w:hAnsi="Arial" w:cs="Arial"/>
          <w:sz w:val="24"/>
          <w:szCs w:val="24"/>
        </w:rPr>
        <w:t xml:space="preserve"> </w:t>
      </w:r>
      <w:r w:rsidR="00714353">
        <w:rPr>
          <w:rFonts w:ascii="Arial" w:hAnsi="Arial" w:cs="Arial"/>
          <w:sz w:val="24"/>
          <w:szCs w:val="24"/>
        </w:rPr>
        <w:t xml:space="preserve">requires </w:t>
      </w:r>
      <w:r w:rsidR="008957A6">
        <w:rPr>
          <w:rFonts w:ascii="Arial" w:hAnsi="Arial" w:cs="Arial"/>
          <w:sz w:val="24"/>
          <w:szCs w:val="24"/>
        </w:rPr>
        <w:t>a decision by the</w:t>
      </w:r>
      <w:r w:rsidR="00714353">
        <w:rPr>
          <w:rFonts w:ascii="Arial" w:hAnsi="Arial" w:cs="Arial"/>
          <w:sz w:val="24"/>
          <w:szCs w:val="24"/>
        </w:rPr>
        <w:t xml:space="preserve"> </w:t>
      </w:r>
      <w:r w:rsidR="00714353" w:rsidRPr="008957A6">
        <w:rPr>
          <w:rFonts w:ascii="Arial" w:hAnsi="Arial" w:cs="Arial"/>
          <w:sz w:val="24"/>
          <w:szCs w:val="24"/>
        </w:rPr>
        <w:t xml:space="preserve">Minister </w:t>
      </w:r>
      <w:r w:rsidR="00FD5ACC" w:rsidRPr="008957A6">
        <w:rPr>
          <w:rFonts w:ascii="Arial" w:hAnsi="Arial" w:cs="Arial"/>
          <w:sz w:val="24"/>
          <w:szCs w:val="24"/>
        </w:rPr>
        <w:t>that</w:t>
      </w:r>
      <w:r w:rsidR="00714353" w:rsidRPr="008957A6">
        <w:rPr>
          <w:rFonts w:ascii="Arial" w:hAnsi="Arial" w:cs="Arial"/>
          <w:sz w:val="24"/>
          <w:szCs w:val="24"/>
        </w:rPr>
        <w:t xml:space="preserve"> considering the application </w:t>
      </w:r>
      <w:r w:rsidR="00714353" w:rsidRPr="008957A6">
        <w:rPr>
          <w:rFonts w:ascii="Arial" w:hAnsi="Arial" w:cs="Arial"/>
          <w:sz w:val="24"/>
          <w:szCs w:val="24"/>
          <w:u w:val="single"/>
        </w:rPr>
        <w:t>is</w:t>
      </w:r>
      <w:r w:rsidR="00714353" w:rsidRPr="008957A6">
        <w:rPr>
          <w:rFonts w:ascii="Arial" w:hAnsi="Arial" w:cs="Arial"/>
          <w:sz w:val="24"/>
          <w:szCs w:val="24"/>
        </w:rPr>
        <w:t xml:space="preserve"> in the public interest to be </w:t>
      </w:r>
      <w:r w:rsidR="00FD5ACC" w:rsidRPr="008957A6">
        <w:rPr>
          <w:rFonts w:ascii="Arial" w:hAnsi="Arial" w:cs="Arial"/>
          <w:sz w:val="24"/>
          <w:szCs w:val="24"/>
        </w:rPr>
        <w:t>made in</w:t>
      </w:r>
      <w:r w:rsidR="00714353" w:rsidRPr="008957A6">
        <w:rPr>
          <w:rFonts w:ascii="Arial" w:hAnsi="Arial" w:cs="Arial"/>
          <w:sz w:val="24"/>
          <w:szCs w:val="24"/>
        </w:rPr>
        <w:t xml:space="preserve"> a disallowable instrument.</w:t>
      </w:r>
      <w:r w:rsidR="00714353">
        <w:rPr>
          <w:rFonts w:ascii="Arial" w:hAnsi="Arial" w:cs="Arial"/>
          <w:sz w:val="24"/>
          <w:szCs w:val="24"/>
        </w:rPr>
        <w:t xml:space="preserve"> </w:t>
      </w:r>
      <w:r w:rsidR="00335D50" w:rsidRPr="003A7FB8">
        <w:rPr>
          <w:rFonts w:ascii="Arial" w:hAnsi="Arial" w:cs="Arial"/>
          <w:sz w:val="24"/>
          <w:szCs w:val="24"/>
        </w:rPr>
        <w:t xml:space="preserve"> A decision that it </w:t>
      </w:r>
      <w:r w:rsidR="00335D50" w:rsidRPr="008F09DF">
        <w:rPr>
          <w:rFonts w:ascii="Arial" w:hAnsi="Arial" w:cs="Arial"/>
          <w:sz w:val="24"/>
          <w:szCs w:val="24"/>
          <w:u w:val="single"/>
        </w:rPr>
        <w:t>is not</w:t>
      </w:r>
      <w:r w:rsidR="00335D50" w:rsidRPr="003A7FB8">
        <w:rPr>
          <w:rFonts w:ascii="Arial" w:hAnsi="Arial" w:cs="Arial"/>
          <w:sz w:val="24"/>
          <w:szCs w:val="24"/>
        </w:rPr>
        <w:t xml:space="preserve"> in the public interest remain</w:t>
      </w:r>
      <w:r w:rsidR="00093065">
        <w:rPr>
          <w:rFonts w:ascii="Arial" w:hAnsi="Arial" w:cs="Arial"/>
          <w:sz w:val="24"/>
          <w:szCs w:val="24"/>
        </w:rPr>
        <w:t>s</w:t>
      </w:r>
      <w:r w:rsidR="00335D50" w:rsidRPr="003A7FB8">
        <w:rPr>
          <w:rFonts w:ascii="Arial" w:hAnsi="Arial" w:cs="Arial"/>
          <w:sz w:val="24"/>
          <w:szCs w:val="24"/>
        </w:rPr>
        <w:t xml:space="preserve"> notifiable.</w:t>
      </w:r>
    </w:p>
    <w:p w14:paraId="1F23AA6F" w14:textId="77777777" w:rsidR="00252710" w:rsidRPr="00C07DD6" w:rsidRDefault="00252710" w:rsidP="00DB5218">
      <w:pPr>
        <w:autoSpaceDE w:val="0"/>
        <w:autoSpaceDN w:val="0"/>
        <w:adjustRightInd w:val="0"/>
        <w:spacing w:after="120"/>
        <w:rPr>
          <w:rFonts w:ascii="Arial" w:hAnsi="Arial" w:cs="Arial"/>
          <w:b/>
          <w:sz w:val="24"/>
          <w:szCs w:val="24"/>
          <w:highlight w:val="yellow"/>
        </w:rPr>
      </w:pPr>
    </w:p>
    <w:p w14:paraId="3B0E1B4F" w14:textId="7AF31634" w:rsidR="0027662B" w:rsidRPr="00502259" w:rsidRDefault="00C50569" w:rsidP="0064756C">
      <w:pPr>
        <w:keepNext/>
        <w:keepLines/>
        <w:autoSpaceDE w:val="0"/>
        <w:autoSpaceDN w:val="0"/>
        <w:adjustRightInd w:val="0"/>
        <w:spacing w:after="120"/>
        <w:rPr>
          <w:rFonts w:ascii="Arial" w:hAnsi="Arial" w:cs="Arial"/>
          <w:b/>
          <w:sz w:val="24"/>
          <w:szCs w:val="24"/>
        </w:rPr>
      </w:pPr>
      <w:r>
        <w:rPr>
          <w:rFonts w:ascii="Arial" w:hAnsi="Arial" w:cs="Arial"/>
          <w:b/>
          <w:sz w:val="24"/>
          <w:szCs w:val="24"/>
        </w:rPr>
        <w:lastRenderedPageBreak/>
        <w:t xml:space="preserve">Clause </w:t>
      </w:r>
      <w:r w:rsidR="00555270">
        <w:rPr>
          <w:rFonts w:ascii="Arial" w:hAnsi="Arial" w:cs="Arial"/>
          <w:b/>
          <w:sz w:val="24"/>
          <w:szCs w:val="24"/>
        </w:rPr>
        <w:t>19</w:t>
      </w:r>
      <w:r w:rsidR="00252710" w:rsidRPr="00502259">
        <w:rPr>
          <w:rFonts w:ascii="Arial" w:hAnsi="Arial" w:cs="Arial"/>
          <w:b/>
          <w:sz w:val="24"/>
          <w:szCs w:val="24"/>
        </w:rPr>
        <w:tab/>
      </w:r>
      <w:r w:rsidR="0027662B" w:rsidRPr="00502259">
        <w:rPr>
          <w:rFonts w:ascii="Arial" w:hAnsi="Arial" w:cs="Arial"/>
          <w:b/>
          <w:sz w:val="24"/>
          <w:szCs w:val="24"/>
        </w:rPr>
        <w:t>Regulation-making power</w:t>
      </w:r>
    </w:p>
    <w:p w14:paraId="21ED3946" w14:textId="5A813B6D" w:rsidR="00252710" w:rsidRDefault="0027662B" w:rsidP="0064756C">
      <w:pPr>
        <w:keepNext/>
        <w:keepLines/>
        <w:autoSpaceDE w:val="0"/>
        <w:autoSpaceDN w:val="0"/>
        <w:adjustRightInd w:val="0"/>
        <w:spacing w:after="120"/>
        <w:rPr>
          <w:rFonts w:ascii="Arial" w:hAnsi="Arial" w:cs="Arial"/>
          <w:b/>
          <w:sz w:val="24"/>
          <w:szCs w:val="24"/>
        </w:rPr>
      </w:pPr>
      <w:r w:rsidRPr="00502259">
        <w:rPr>
          <w:rFonts w:ascii="Arial" w:hAnsi="Arial" w:cs="Arial"/>
          <w:b/>
          <w:sz w:val="24"/>
          <w:szCs w:val="24"/>
        </w:rPr>
        <w:t>New section 426 (6)</w:t>
      </w:r>
    </w:p>
    <w:p w14:paraId="2AD1B8AA" w14:textId="33788554" w:rsidR="00FD5ACC" w:rsidRPr="00FD5ACC" w:rsidRDefault="00FD5ACC" w:rsidP="0064756C">
      <w:pPr>
        <w:keepNext/>
        <w:keepLines/>
        <w:autoSpaceDE w:val="0"/>
        <w:autoSpaceDN w:val="0"/>
        <w:adjustRightInd w:val="0"/>
        <w:spacing w:after="120"/>
        <w:rPr>
          <w:rFonts w:ascii="Arial" w:hAnsi="Arial" w:cs="Arial"/>
          <w:bCs/>
          <w:sz w:val="24"/>
          <w:szCs w:val="24"/>
        </w:rPr>
      </w:pPr>
      <w:r w:rsidRPr="00525E70">
        <w:rPr>
          <w:rFonts w:ascii="Arial" w:hAnsi="Arial" w:cs="Arial"/>
          <w:bCs/>
          <w:sz w:val="24"/>
          <w:szCs w:val="24"/>
        </w:rPr>
        <w:t>The existing section 426 sets out the powers for making regulations under the Act.</w:t>
      </w:r>
    </w:p>
    <w:p w14:paraId="30965827" w14:textId="1E91F917" w:rsidR="00502259" w:rsidRPr="00502259" w:rsidRDefault="00252710" w:rsidP="00DB5218">
      <w:pPr>
        <w:autoSpaceDE w:val="0"/>
        <w:autoSpaceDN w:val="0"/>
        <w:adjustRightInd w:val="0"/>
        <w:spacing w:after="120"/>
        <w:rPr>
          <w:rFonts w:ascii="Arial" w:hAnsi="Arial" w:cs="Arial"/>
          <w:sz w:val="24"/>
          <w:szCs w:val="24"/>
        </w:rPr>
      </w:pPr>
      <w:r w:rsidRPr="00502259">
        <w:rPr>
          <w:rFonts w:ascii="Arial" w:hAnsi="Arial" w:cs="Arial"/>
          <w:sz w:val="24"/>
          <w:szCs w:val="24"/>
        </w:rPr>
        <w:t xml:space="preserve">This </w:t>
      </w:r>
      <w:r w:rsidR="0027662B" w:rsidRPr="00502259">
        <w:rPr>
          <w:rFonts w:ascii="Arial" w:hAnsi="Arial" w:cs="Arial"/>
          <w:sz w:val="24"/>
          <w:szCs w:val="24"/>
        </w:rPr>
        <w:t>clause</w:t>
      </w:r>
      <w:r w:rsidR="00FF2982">
        <w:rPr>
          <w:rFonts w:ascii="Arial" w:hAnsi="Arial" w:cs="Arial"/>
          <w:sz w:val="24"/>
          <w:szCs w:val="24"/>
        </w:rPr>
        <w:t xml:space="preserve"> </w:t>
      </w:r>
      <w:r w:rsidR="00FF2982" w:rsidRPr="00525E70">
        <w:rPr>
          <w:rFonts w:ascii="Arial" w:hAnsi="Arial" w:cs="Arial"/>
          <w:sz w:val="24"/>
          <w:szCs w:val="24"/>
        </w:rPr>
        <w:t>would have the effect of removing</w:t>
      </w:r>
      <w:r w:rsidR="0027662B" w:rsidRPr="00502259">
        <w:rPr>
          <w:rFonts w:ascii="Arial" w:hAnsi="Arial" w:cs="Arial"/>
          <w:sz w:val="24"/>
          <w:szCs w:val="24"/>
        </w:rPr>
        <w:t xml:space="preserve"> </w:t>
      </w:r>
      <w:r w:rsidR="000477BD" w:rsidRPr="00502259">
        <w:rPr>
          <w:rFonts w:ascii="Arial" w:hAnsi="Arial" w:cs="Arial"/>
          <w:sz w:val="24"/>
          <w:szCs w:val="24"/>
        </w:rPr>
        <w:t xml:space="preserve">the power to make </w:t>
      </w:r>
      <w:r w:rsidR="0027662B" w:rsidRPr="00502259">
        <w:rPr>
          <w:rFonts w:ascii="Arial" w:hAnsi="Arial" w:cs="Arial"/>
          <w:sz w:val="24"/>
          <w:szCs w:val="24"/>
        </w:rPr>
        <w:t>regulations that exempt</w:t>
      </w:r>
      <w:r w:rsidR="00393E35" w:rsidRPr="00502259">
        <w:rPr>
          <w:rFonts w:ascii="Arial" w:hAnsi="Arial" w:cs="Arial"/>
          <w:sz w:val="24"/>
          <w:szCs w:val="24"/>
        </w:rPr>
        <w:t xml:space="preserve"> certain planning approvals from third-party ACAT review rights</w:t>
      </w:r>
      <w:r w:rsidR="00502259" w:rsidRPr="00502259">
        <w:rPr>
          <w:rFonts w:ascii="Arial" w:hAnsi="Arial" w:cs="Arial"/>
          <w:sz w:val="24"/>
          <w:szCs w:val="24"/>
        </w:rPr>
        <w:t xml:space="preserve"> – i.e. in those cases, the review rights will revert to those </w:t>
      </w:r>
      <w:r w:rsidR="00D62E19">
        <w:rPr>
          <w:rFonts w:ascii="Arial" w:hAnsi="Arial" w:cs="Arial"/>
          <w:sz w:val="24"/>
          <w:szCs w:val="24"/>
        </w:rPr>
        <w:t>specified</w:t>
      </w:r>
      <w:r w:rsidR="00502259" w:rsidRPr="00502259">
        <w:rPr>
          <w:rFonts w:ascii="Arial" w:hAnsi="Arial" w:cs="Arial"/>
          <w:sz w:val="24"/>
          <w:szCs w:val="24"/>
        </w:rPr>
        <w:t xml:space="preserve"> in the Act.</w:t>
      </w:r>
    </w:p>
    <w:p w14:paraId="3415604B" w14:textId="02E27070" w:rsidR="00393E35" w:rsidRPr="00502259" w:rsidRDefault="00393E35" w:rsidP="00DB5218">
      <w:pPr>
        <w:autoSpaceDE w:val="0"/>
        <w:autoSpaceDN w:val="0"/>
        <w:adjustRightInd w:val="0"/>
        <w:spacing w:after="120"/>
        <w:rPr>
          <w:rFonts w:ascii="Arial" w:hAnsi="Arial" w:cs="Arial"/>
          <w:sz w:val="24"/>
          <w:szCs w:val="24"/>
        </w:rPr>
      </w:pPr>
      <w:r w:rsidRPr="00502259">
        <w:rPr>
          <w:rFonts w:ascii="Arial" w:hAnsi="Arial" w:cs="Arial"/>
          <w:sz w:val="24"/>
          <w:szCs w:val="24"/>
        </w:rPr>
        <w:t xml:space="preserve">The practical effect of this clause is to invalidate certain exemptions from ACAT review currently granted by the </w:t>
      </w:r>
      <w:r w:rsidRPr="00502259">
        <w:rPr>
          <w:rFonts w:ascii="Arial" w:hAnsi="Arial" w:cs="Arial"/>
          <w:i/>
          <w:sz w:val="24"/>
          <w:szCs w:val="24"/>
        </w:rPr>
        <w:t>Planning and Development Regulation 2008</w:t>
      </w:r>
      <w:r w:rsidR="000477BD" w:rsidRPr="00502259">
        <w:rPr>
          <w:rFonts w:ascii="Arial" w:hAnsi="Arial" w:cs="Arial"/>
          <w:sz w:val="24"/>
          <w:szCs w:val="24"/>
        </w:rPr>
        <w:t>, where the exemptions apply to</w:t>
      </w:r>
      <w:r w:rsidRPr="00502259">
        <w:rPr>
          <w:rFonts w:ascii="Arial" w:hAnsi="Arial" w:cs="Arial"/>
          <w:sz w:val="24"/>
          <w:szCs w:val="24"/>
        </w:rPr>
        <w:t xml:space="preserve"> planning approvals in the Merit Track or the Impact Track </w:t>
      </w:r>
      <w:r w:rsidR="000477BD" w:rsidRPr="00502259">
        <w:rPr>
          <w:rFonts w:ascii="Arial" w:hAnsi="Arial" w:cs="Arial"/>
          <w:sz w:val="24"/>
          <w:szCs w:val="24"/>
        </w:rPr>
        <w:t xml:space="preserve">that allow the removal of a tree that is a registered tree for the purposes of the </w:t>
      </w:r>
      <w:r w:rsidR="000477BD" w:rsidRPr="00502259">
        <w:rPr>
          <w:rFonts w:ascii="Arial" w:hAnsi="Arial" w:cs="Arial"/>
          <w:i/>
          <w:sz w:val="24"/>
          <w:szCs w:val="24"/>
        </w:rPr>
        <w:t>Tree Protection Act 2005</w:t>
      </w:r>
      <w:r w:rsidR="000477BD" w:rsidRPr="00502259">
        <w:rPr>
          <w:rFonts w:ascii="Arial" w:hAnsi="Arial" w:cs="Arial"/>
          <w:sz w:val="24"/>
          <w:szCs w:val="24"/>
        </w:rPr>
        <w:t>.</w:t>
      </w:r>
    </w:p>
    <w:p w14:paraId="1B7F019D" w14:textId="28EAFB1F" w:rsidR="00252710" w:rsidRPr="00502259" w:rsidRDefault="00393E35" w:rsidP="00DB5218">
      <w:pPr>
        <w:autoSpaceDE w:val="0"/>
        <w:autoSpaceDN w:val="0"/>
        <w:adjustRightInd w:val="0"/>
        <w:spacing w:after="120"/>
        <w:rPr>
          <w:rFonts w:ascii="Arial" w:hAnsi="Arial" w:cs="Arial"/>
          <w:sz w:val="24"/>
          <w:szCs w:val="24"/>
        </w:rPr>
      </w:pPr>
      <w:r w:rsidRPr="00502259">
        <w:rPr>
          <w:rFonts w:ascii="Arial" w:hAnsi="Arial" w:cs="Arial"/>
          <w:sz w:val="24"/>
          <w:szCs w:val="24"/>
        </w:rPr>
        <w:t xml:space="preserve">Note that removal of a registered tree also requires a separate approval under the </w:t>
      </w:r>
      <w:r w:rsidRPr="00502259">
        <w:rPr>
          <w:rFonts w:ascii="Arial" w:hAnsi="Arial" w:cs="Arial"/>
          <w:i/>
          <w:sz w:val="24"/>
          <w:szCs w:val="24"/>
        </w:rPr>
        <w:t>Tree Protection Act 2005</w:t>
      </w:r>
      <w:r w:rsidRPr="00502259">
        <w:rPr>
          <w:rFonts w:ascii="Arial" w:hAnsi="Arial" w:cs="Arial"/>
          <w:sz w:val="24"/>
          <w:szCs w:val="24"/>
        </w:rPr>
        <w:t xml:space="preserve">.  This separate approval </w:t>
      </w:r>
      <w:r w:rsidR="00093065">
        <w:rPr>
          <w:rFonts w:ascii="Arial" w:hAnsi="Arial" w:cs="Arial"/>
          <w:sz w:val="24"/>
          <w:szCs w:val="24"/>
        </w:rPr>
        <w:t>is</w:t>
      </w:r>
      <w:r w:rsidRPr="00502259">
        <w:rPr>
          <w:rFonts w:ascii="Arial" w:hAnsi="Arial" w:cs="Arial"/>
          <w:sz w:val="24"/>
          <w:szCs w:val="24"/>
        </w:rPr>
        <w:t xml:space="preserve"> unaffected by </w:t>
      </w:r>
      <w:r w:rsidR="00093065">
        <w:rPr>
          <w:rFonts w:ascii="Arial" w:hAnsi="Arial" w:cs="Arial"/>
          <w:sz w:val="24"/>
          <w:szCs w:val="24"/>
        </w:rPr>
        <w:t>this Bill</w:t>
      </w:r>
      <w:r w:rsidRPr="00502259">
        <w:rPr>
          <w:rFonts w:ascii="Arial" w:hAnsi="Arial" w:cs="Arial"/>
          <w:sz w:val="24"/>
          <w:szCs w:val="24"/>
        </w:rPr>
        <w:t>.</w:t>
      </w:r>
    </w:p>
    <w:p w14:paraId="37497189" w14:textId="77777777" w:rsidR="0027662B" w:rsidRDefault="0027662B" w:rsidP="0027662B">
      <w:pPr>
        <w:autoSpaceDE w:val="0"/>
        <w:autoSpaceDN w:val="0"/>
        <w:adjustRightInd w:val="0"/>
        <w:spacing w:after="120"/>
        <w:rPr>
          <w:rFonts w:ascii="Arial" w:hAnsi="Arial" w:cs="Arial"/>
          <w:sz w:val="24"/>
          <w:szCs w:val="24"/>
          <w:highlight w:val="yellow"/>
        </w:rPr>
      </w:pPr>
    </w:p>
    <w:p w14:paraId="1E3EC9C7" w14:textId="45FC9430" w:rsidR="005D37D8" w:rsidRPr="0027662B" w:rsidRDefault="00C50569" w:rsidP="0064756C">
      <w:pPr>
        <w:keepNext/>
        <w:keepLines/>
        <w:autoSpaceDE w:val="0"/>
        <w:autoSpaceDN w:val="0"/>
        <w:adjustRightInd w:val="0"/>
        <w:spacing w:after="120"/>
        <w:rPr>
          <w:rFonts w:ascii="Arial" w:hAnsi="Arial" w:cs="Arial"/>
          <w:b/>
          <w:sz w:val="24"/>
          <w:szCs w:val="24"/>
        </w:rPr>
      </w:pPr>
      <w:r>
        <w:rPr>
          <w:rFonts w:ascii="Arial" w:hAnsi="Arial" w:cs="Arial"/>
          <w:b/>
          <w:sz w:val="24"/>
          <w:szCs w:val="24"/>
        </w:rPr>
        <w:t>Clauses 2</w:t>
      </w:r>
      <w:r w:rsidR="00555270">
        <w:rPr>
          <w:rFonts w:ascii="Arial" w:hAnsi="Arial" w:cs="Arial"/>
          <w:b/>
          <w:sz w:val="24"/>
          <w:szCs w:val="24"/>
        </w:rPr>
        <w:t>0</w:t>
      </w:r>
      <w:r>
        <w:rPr>
          <w:rFonts w:ascii="Arial" w:hAnsi="Arial" w:cs="Arial"/>
          <w:b/>
          <w:sz w:val="24"/>
          <w:szCs w:val="24"/>
        </w:rPr>
        <w:t xml:space="preserve"> and 2</w:t>
      </w:r>
      <w:r w:rsidR="00555270">
        <w:rPr>
          <w:rFonts w:ascii="Arial" w:hAnsi="Arial" w:cs="Arial"/>
          <w:b/>
          <w:sz w:val="24"/>
          <w:szCs w:val="24"/>
        </w:rPr>
        <w:t>1</w:t>
      </w:r>
    </w:p>
    <w:p w14:paraId="69CF92F9" w14:textId="012899E4" w:rsidR="005D37D8" w:rsidRDefault="005D37D8" w:rsidP="005D37D8">
      <w:pPr>
        <w:autoSpaceDE w:val="0"/>
        <w:autoSpaceDN w:val="0"/>
        <w:adjustRightInd w:val="0"/>
        <w:spacing w:after="120"/>
        <w:rPr>
          <w:rFonts w:ascii="Arial" w:hAnsi="Arial" w:cs="Arial"/>
          <w:sz w:val="24"/>
          <w:szCs w:val="24"/>
        </w:rPr>
      </w:pPr>
      <w:r w:rsidRPr="0027662B">
        <w:rPr>
          <w:rFonts w:ascii="Arial" w:hAnsi="Arial" w:cs="Arial"/>
          <w:sz w:val="24"/>
          <w:szCs w:val="24"/>
        </w:rPr>
        <w:t>These clause</w:t>
      </w:r>
      <w:r w:rsidR="00D62E19">
        <w:rPr>
          <w:rFonts w:ascii="Arial" w:hAnsi="Arial" w:cs="Arial"/>
          <w:sz w:val="24"/>
          <w:szCs w:val="24"/>
        </w:rPr>
        <w:t xml:space="preserve">s are consequential to clause </w:t>
      </w:r>
      <w:r w:rsidR="00555270">
        <w:rPr>
          <w:rFonts w:ascii="Arial" w:hAnsi="Arial" w:cs="Arial"/>
          <w:sz w:val="24"/>
          <w:szCs w:val="24"/>
        </w:rPr>
        <w:t>19</w:t>
      </w:r>
      <w:r w:rsidR="00D62E19">
        <w:rPr>
          <w:rFonts w:ascii="Arial" w:hAnsi="Arial" w:cs="Arial"/>
          <w:sz w:val="24"/>
          <w:szCs w:val="24"/>
        </w:rPr>
        <w:t>.</w:t>
      </w:r>
    </w:p>
    <w:p w14:paraId="16332BBA" w14:textId="77777777" w:rsidR="005D37D8" w:rsidRDefault="005D37D8" w:rsidP="0027662B">
      <w:pPr>
        <w:autoSpaceDE w:val="0"/>
        <w:autoSpaceDN w:val="0"/>
        <w:adjustRightInd w:val="0"/>
        <w:spacing w:after="120"/>
        <w:rPr>
          <w:rFonts w:ascii="Arial" w:hAnsi="Arial" w:cs="Arial"/>
          <w:sz w:val="24"/>
          <w:szCs w:val="24"/>
          <w:highlight w:val="yellow"/>
        </w:rPr>
      </w:pPr>
    </w:p>
    <w:p w14:paraId="4D603937" w14:textId="0BC7BE14" w:rsidR="00C50569" w:rsidRDefault="00C50569" w:rsidP="00FF2982">
      <w:pPr>
        <w:keepNext/>
        <w:keepLines/>
        <w:tabs>
          <w:tab w:val="left" w:pos="720"/>
          <w:tab w:val="left" w:pos="1440"/>
          <w:tab w:val="left" w:pos="2160"/>
          <w:tab w:val="left" w:pos="2880"/>
          <w:tab w:val="left" w:pos="3600"/>
          <w:tab w:val="left" w:pos="4320"/>
          <w:tab w:val="left" w:pos="5295"/>
        </w:tabs>
        <w:autoSpaceDE w:val="0"/>
        <w:autoSpaceDN w:val="0"/>
        <w:adjustRightInd w:val="0"/>
        <w:spacing w:after="120"/>
        <w:rPr>
          <w:rFonts w:ascii="Arial" w:hAnsi="Arial" w:cs="Arial"/>
          <w:b/>
          <w:sz w:val="24"/>
          <w:szCs w:val="24"/>
        </w:rPr>
      </w:pPr>
      <w:r>
        <w:rPr>
          <w:rFonts w:ascii="Arial" w:hAnsi="Arial" w:cs="Arial"/>
          <w:b/>
          <w:sz w:val="24"/>
          <w:szCs w:val="24"/>
        </w:rPr>
        <w:t>Clause 2</w:t>
      </w:r>
      <w:r w:rsidR="00555270">
        <w:rPr>
          <w:rFonts w:ascii="Arial" w:hAnsi="Arial" w:cs="Arial"/>
          <w:b/>
          <w:sz w:val="24"/>
          <w:szCs w:val="24"/>
        </w:rPr>
        <w:t>2</w:t>
      </w:r>
      <w:r w:rsidRPr="00502259">
        <w:rPr>
          <w:rFonts w:ascii="Arial" w:hAnsi="Arial" w:cs="Arial"/>
          <w:b/>
          <w:sz w:val="24"/>
          <w:szCs w:val="24"/>
        </w:rPr>
        <w:tab/>
      </w:r>
      <w:r>
        <w:rPr>
          <w:rFonts w:ascii="Arial" w:hAnsi="Arial" w:cs="Arial"/>
          <w:b/>
          <w:sz w:val="24"/>
          <w:szCs w:val="24"/>
        </w:rPr>
        <w:t>Schedule 1</w:t>
      </w:r>
      <w:r w:rsidRPr="005D37D8">
        <w:rPr>
          <w:rFonts w:ascii="Arial" w:hAnsi="Arial" w:cs="Arial"/>
          <w:b/>
          <w:sz w:val="24"/>
          <w:szCs w:val="24"/>
        </w:rPr>
        <w:t xml:space="preserve">, </w:t>
      </w:r>
      <w:r>
        <w:rPr>
          <w:rFonts w:ascii="Arial" w:hAnsi="Arial" w:cs="Arial"/>
          <w:b/>
          <w:sz w:val="24"/>
          <w:szCs w:val="24"/>
        </w:rPr>
        <w:t>item 15, column 2</w:t>
      </w:r>
      <w:r w:rsidR="00FF2982">
        <w:rPr>
          <w:rFonts w:ascii="Arial" w:hAnsi="Arial" w:cs="Arial"/>
          <w:b/>
          <w:sz w:val="24"/>
          <w:szCs w:val="24"/>
        </w:rPr>
        <w:tab/>
      </w:r>
    </w:p>
    <w:p w14:paraId="08D3C3FC" w14:textId="16C4BA19" w:rsidR="00FF2982" w:rsidRPr="00FF2982" w:rsidRDefault="00FF2982" w:rsidP="00FF2982">
      <w:pPr>
        <w:keepNext/>
        <w:keepLines/>
        <w:tabs>
          <w:tab w:val="left" w:pos="720"/>
          <w:tab w:val="left" w:pos="1440"/>
          <w:tab w:val="left" w:pos="2160"/>
          <w:tab w:val="left" w:pos="2880"/>
          <w:tab w:val="left" w:pos="3600"/>
          <w:tab w:val="left" w:pos="4320"/>
          <w:tab w:val="left" w:pos="5295"/>
        </w:tabs>
        <w:autoSpaceDE w:val="0"/>
        <w:autoSpaceDN w:val="0"/>
        <w:adjustRightInd w:val="0"/>
        <w:spacing w:after="120"/>
        <w:rPr>
          <w:rFonts w:ascii="Arial" w:hAnsi="Arial" w:cs="Arial"/>
          <w:bCs/>
          <w:sz w:val="24"/>
          <w:szCs w:val="24"/>
        </w:rPr>
      </w:pPr>
      <w:r w:rsidRPr="00525E70">
        <w:rPr>
          <w:rFonts w:ascii="Arial" w:hAnsi="Arial" w:cs="Arial"/>
          <w:bCs/>
          <w:sz w:val="24"/>
          <w:szCs w:val="24"/>
        </w:rPr>
        <w:t xml:space="preserve">The existing </w:t>
      </w:r>
      <w:r w:rsidR="007729EE" w:rsidRPr="00525E70">
        <w:rPr>
          <w:rFonts w:ascii="Arial" w:hAnsi="Arial" w:cs="Arial"/>
          <w:bCs/>
          <w:sz w:val="24"/>
          <w:szCs w:val="24"/>
        </w:rPr>
        <w:t>chapter 13 of the Act provides for the review of decisions</w:t>
      </w:r>
      <w:r w:rsidR="00807BFB" w:rsidRPr="00525E70">
        <w:rPr>
          <w:rFonts w:ascii="Arial" w:hAnsi="Arial" w:cs="Arial"/>
          <w:bCs/>
          <w:sz w:val="24"/>
          <w:szCs w:val="24"/>
        </w:rPr>
        <w:t xml:space="preserve"> made under the Act</w:t>
      </w:r>
      <w:r w:rsidR="007729EE" w:rsidRPr="00525E70">
        <w:rPr>
          <w:rFonts w:ascii="Arial" w:hAnsi="Arial" w:cs="Arial"/>
          <w:bCs/>
          <w:sz w:val="24"/>
          <w:szCs w:val="24"/>
        </w:rPr>
        <w:t>.  The existing section 407 provides a definition of review</w:t>
      </w:r>
      <w:r w:rsidR="00B64226">
        <w:rPr>
          <w:rFonts w:ascii="Arial" w:hAnsi="Arial" w:cs="Arial"/>
          <w:bCs/>
          <w:sz w:val="24"/>
          <w:szCs w:val="24"/>
        </w:rPr>
        <w:t>able</w:t>
      </w:r>
      <w:r w:rsidR="007729EE" w:rsidRPr="00525E70">
        <w:rPr>
          <w:rFonts w:ascii="Arial" w:hAnsi="Arial" w:cs="Arial"/>
          <w:bCs/>
          <w:sz w:val="24"/>
          <w:szCs w:val="24"/>
        </w:rPr>
        <w:t xml:space="preserve"> decisions by reference to items in schedule 1, column 2.</w:t>
      </w:r>
    </w:p>
    <w:p w14:paraId="7BDEED10" w14:textId="2D179C84" w:rsidR="00C50569" w:rsidRDefault="00B64226" w:rsidP="0027662B">
      <w:pPr>
        <w:autoSpaceDE w:val="0"/>
        <w:autoSpaceDN w:val="0"/>
        <w:adjustRightInd w:val="0"/>
        <w:spacing w:after="120"/>
        <w:rPr>
          <w:rFonts w:ascii="Arial" w:hAnsi="Arial" w:cs="Arial"/>
          <w:sz w:val="24"/>
          <w:szCs w:val="24"/>
        </w:rPr>
      </w:pPr>
      <w:r>
        <w:rPr>
          <w:rFonts w:ascii="Arial" w:hAnsi="Arial" w:cs="Arial"/>
          <w:sz w:val="24"/>
          <w:szCs w:val="24"/>
        </w:rPr>
        <w:t>Schedule 1,</w:t>
      </w:r>
      <w:r w:rsidR="00E16CA6" w:rsidRPr="00E16CA6">
        <w:rPr>
          <w:rFonts w:ascii="Arial" w:hAnsi="Arial" w:cs="Arial"/>
          <w:sz w:val="24"/>
          <w:szCs w:val="24"/>
        </w:rPr>
        <w:t xml:space="preserve"> item </w:t>
      </w:r>
      <w:r>
        <w:rPr>
          <w:rFonts w:ascii="Arial" w:hAnsi="Arial" w:cs="Arial"/>
          <w:sz w:val="24"/>
          <w:szCs w:val="24"/>
        </w:rPr>
        <w:t xml:space="preserve">15 </w:t>
      </w:r>
      <w:r w:rsidR="00D62E19">
        <w:rPr>
          <w:rFonts w:ascii="Arial" w:hAnsi="Arial" w:cs="Arial"/>
          <w:sz w:val="24"/>
          <w:szCs w:val="24"/>
        </w:rPr>
        <w:t xml:space="preserve">of the Act </w:t>
      </w:r>
      <w:r w:rsidR="00E16CA6" w:rsidRPr="00E16CA6">
        <w:rPr>
          <w:rFonts w:ascii="Arial" w:hAnsi="Arial" w:cs="Arial"/>
          <w:sz w:val="24"/>
          <w:szCs w:val="24"/>
        </w:rPr>
        <w:t xml:space="preserve">establishes </w:t>
      </w:r>
      <w:r w:rsidR="001D3C56">
        <w:rPr>
          <w:rFonts w:ascii="Arial" w:hAnsi="Arial" w:cs="Arial"/>
          <w:sz w:val="24"/>
          <w:szCs w:val="24"/>
        </w:rPr>
        <w:t xml:space="preserve">ACAT </w:t>
      </w:r>
      <w:r w:rsidR="00E16CA6">
        <w:rPr>
          <w:rFonts w:ascii="Arial" w:hAnsi="Arial" w:cs="Arial"/>
          <w:sz w:val="24"/>
          <w:szCs w:val="24"/>
        </w:rPr>
        <w:t>appeal rights for a decision on an EIS exemption under s211H of the Act.</w:t>
      </w:r>
      <w:r w:rsidR="001D3C56">
        <w:rPr>
          <w:rFonts w:ascii="Arial" w:hAnsi="Arial" w:cs="Arial"/>
          <w:sz w:val="24"/>
          <w:szCs w:val="24"/>
        </w:rPr>
        <w:t xml:space="preserve">  Currently, </w:t>
      </w:r>
      <w:r w:rsidR="00D62E19">
        <w:rPr>
          <w:rFonts w:ascii="Arial" w:hAnsi="Arial" w:cs="Arial"/>
          <w:sz w:val="24"/>
          <w:szCs w:val="24"/>
        </w:rPr>
        <w:t xml:space="preserve">it specifies that </w:t>
      </w:r>
      <w:r w:rsidR="001D3C56">
        <w:rPr>
          <w:rFonts w:ascii="Arial" w:hAnsi="Arial" w:cs="Arial"/>
          <w:sz w:val="24"/>
          <w:szCs w:val="24"/>
        </w:rPr>
        <w:t xml:space="preserve">appeal rights only apply in the case the </w:t>
      </w:r>
      <w:r w:rsidR="00D62E19">
        <w:rPr>
          <w:rFonts w:ascii="Arial" w:hAnsi="Arial" w:cs="Arial"/>
          <w:sz w:val="24"/>
          <w:szCs w:val="24"/>
        </w:rPr>
        <w:t xml:space="preserve">application for </w:t>
      </w:r>
      <w:r w:rsidR="001D3C56">
        <w:rPr>
          <w:rFonts w:ascii="Arial" w:hAnsi="Arial" w:cs="Arial"/>
          <w:sz w:val="24"/>
          <w:szCs w:val="24"/>
        </w:rPr>
        <w:t>exemption is rejected.  This does not permit environment</w:t>
      </w:r>
      <w:r w:rsidR="00631928">
        <w:rPr>
          <w:rFonts w:ascii="Arial" w:hAnsi="Arial" w:cs="Arial"/>
          <w:sz w:val="24"/>
          <w:szCs w:val="24"/>
        </w:rPr>
        <w:t>al</w:t>
      </w:r>
      <w:r w:rsidR="001D3C56">
        <w:rPr>
          <w:rFonts w:ascii="Arial" w:hAnsi="Arial" w:cs="Arial"/>
          <w:sz w:val="24"/>
          <w:szCs w:val="24"/>
        </w:rPr>
        <w:t xml:space="preserve"> groups and members of the community to appeal to ACAT when an exemption is granted.</w:t>
      </w:r>
    </w:p>
    <w:p w14:paraId="74715404" w14:textId="19CFDCA5" w:rsidR="001D3C56" w:rsidRPr="00E16CA6" w:rsidRDefault="001D3C56" w:rsidP="0027662B">
      <w:pPr>
        <w:autoSpaceDE w:val="0"/>
        <w:autoSpaceDN w:val="0"/>
        <w:adjustRightInd w:val="0"/>
        <w:spacing w:after="120"/>
        <w:rPr>
          <w:rFonts w:ascii="Arial" w:hAnsi="Arial" w:cs="Arial"/>
          <w:sz w:val="24"/>
          <w:szCs w:val="24"/>
        </w:rPr>
      </w:pPr>
      <w:r>
        <w:rPr>
          <w:rFonts w:ascii="Arial" w:hAnsi="Arial" w:cs="Arial"/>
          <w:sz w:val="24"/>
          <w:szCs w:val="24"/>
        </w:rPr>
        <w:t>This clause expand</w:t>
      </w:r>
      <w:r w:rsidR="00D62E19">
        <w:rPr>
          <w:rFonts w:ascii="Arial" w:hAnsi="Arial" w:cs="Arial"/>
          <w:sz w:val="24"/>
          <w:szCs w:val="24"/>
        </w:rPr>
        <w:t>s the</w:t>
      </w:r>
      <w:r>
        <w:rPr>
          <w:rFonts w:ascii="Arial" w:hAnsi="Arial" w:cs="Arial"/>
          <w:sz w:val="24"/>
          <w:szCs w:val="24"/>
        </w:rPr>
        <w:t xml:space="preserve"> appeal rights to the grant of an EIS exemption.  The existing appeal rights remain in place.</w:t>
      </w:r>
    </w:p>
    <w:p w14:paraId="3239677D" w14:textId="77777777" w:rsidR="00C50569" w:rsidRDefault="00C50569" w:rsidP="0027662B">
      <w:pPr>
        <w:autoSpaceDE w:val="0"/>
        <w:autoSpaceDN w:val="0"/>
        <w:adjustRightInd w:val="0"/>
        <w:spacing w:after="120"/>
        <w:rPr>
          <w:rFonts w:ascii="Arial" w:hAnsi="Arial" w:cs="Arial"/>
          <w:sz w:val="24"/>
          <w:szCs w:val="24"/>
          <w:highlight w:val="yellow"/>
        </w:rPr>
      </w:pPr>
    </w:p>
    <w:p w14:paraId="6712668B" w14:textId="09062400" w:rsidR="00631928" w:rsidRDefault="005D37D8" w:rsidP="0064756C">
      <w:pPr>
        <w:keepNext/>
        <w:keepLines/>
        <w:autoSpaceDE w:val="0"/>
        <w:autoSpaceDN w:val="0"/>
        <w:adjustRightInd w:val="0"/>
        <w:spacing w:after="120"/>
        <w:rPr>
          <w:rFonts w:ascii="Arial" w:hAnsi="Arial" w:cs="Arial"/>
          <w:b/>
          <w:sz w:val="24"/>
          <w:szCs w:val="24"/>
        </w:rPr>
      </w:pPr>
      <w:r>
        <w:rPr>
          <w:rFonts w:ascii="Arial" w:hAnsi="Arial" w:cs="Arial"/>
          <w:b/>
          <w:sz w:val="24"/>
          <w:szCs w:val="24"/>
        </w:rPr>
        <w:t>Clause 2</w:t>
      </w:r>
      <w:r w:rsidR="00555270">
        <w:rPr>
          <w:rFonts w:ascii="Arial" w:hAnsi="Arial" w:cs="Arial"/>
          <w:b/>
          <w:sz w:val="24"/>
          <w:szCs w:val="24"/>
        </w:rPr>
        <w:t>3</w:t>
      </w:r>
      <w:r w:rsidRPr="00502259">
        <w:rPr>
          <w:rFonts w:ascii="Arial" w:hAnsi="Arial" w:cs="Arial"/>
          <w:b/>
          <w:sz w:val="24"/>
          <w:szCs w:val="24"/>
        </w:rPr>
        <w:tab/>
      </w:r>
      <w:r w:rsidR="00631928">
        <w:rPr>
          <w:rFonts w:ascii="Arial" w:hAnsi="Arial" w:cs="Arial"/>
          <w:b/>
          <w:sz w:val="24"/>
          <w:szCs w:val="24"/>
        </w:rPr>
        <w:t>Development proposals requiring EIS–areas and processes</w:t>
      </w:r>
    </w:p>
    <w:p w14:paraId="58406AB6" w14:textId="5650712B" w:rsidR="005D37D8" w:rsidRPr="00502259" w:rsidRDefault="005D37D8" w:rsidP="0064756C">
      <w:pPr>
        <w:keepNext/>
        <w:keepLines/>
        <w:autoSpaceDE w:val="0"/>
        <w:autoSpaceDN w:val="0"/>
        <w:adjustRightInd w:val="0"/>
        <w:spacing w:after="120"/>
        <w:rPr>
          <w:rFonts w:ascii="Arial" w:hAnsi="Arial" w:cs="Arial"/>
          <w:b/>
          <w:sz w:val="24"/>
          <w:szCs w:val="24"/>
        </w:rPr>
      </w:pPr>
      <w:r w:rsidRPr="005D37D8">
        <w:rPr>
          <w:rFonts w:ascii="Arial" w:hAnsi="Arial" w:cs="Arial"/>
          <w:b/>
          <w:sz w:val="24"/>
          <w:szCs w:val="24"/>
        </w:rPr>
        <w:t>Schedule 4, part 4.3, new item 9</w:t>
      </w:r>
    </w:p>
    <w:p w14:paraId="3A4AB031" w14:textId="75EEA507" w:rsidR="005D37D8" w:rsidRDefault="005D37D8" w:rsidP="005D37D8">
      <w:pPr>
        <w:autoSpaceDE w:val="0"/>
        <w:autoSpaceDN w:val="0"/>
        <w:adjustRightInd w:val="0"/>
        <w:spacing w:after="120"/>
        <w:rPr>
          <w:rFonts w:ascii="Arial" w:hAnsi="Arial" w:cs="Arial"/>
          <w:sz w:val="24"/>
          <w:szCs w:val="24"/>
        </w:rPr>
      </w:pPr>
      <w:r>
        <w:rPr>
          <w:rFonts w:ascii="Arial" w:hAnsi="Arial" w:cs="Arial"/>
          <w:sz w:val="24"/>
          <w:szCs w:val="24"/>
        </w:rPr>
        <w:t xml:space="preserve">Schedule 4 of the </w:t>
      </w:r>
      <w:r w:rsidRPr="008161B1">
        <w:rPr>
          <w:rFonts w:ascii="Arial" w:hAnsi="Arial" w:cs="Arial"/>
          <w:i/>
          <w:sz w:val="24"/>
          <w:szCs w:val="24"/>
        </w:rPr>
        <w:t xml:space="preserve">Planning and </w:t>
      </w:r>
      <w:r w:rsidR="00940568" w:rsidRPr="008161B1">
        <w:rPr>
          <w:rFonts w:ascii="Arial" w:hAnsi="Arial" w:cs="Arial"/>
          <w:i/>
          <w:sz w:val="24"/>
          <w:szCs w:val="24"/>
        </w:rPr>
        <w:t>Development</w:t>
      </w:r>
      <w:r w:rsidRPr="008161B1">
        <w:rPr>
          <w:rFonts w:ascii="Arial" w:hAnsi="Arial" w:cs="Arial"/>
          <w:i/>
          <w:sz w:val="24"/>
          <w:szCs w:val="24"/>
        </w:rPr>
        <w:t xml:space="preserve"> Act </w:t>
      </w:r>
      <w:r w:rsidR="00940568" w:rsidRPr="008161B1">
        <w:rPr>
          <w:rFonts w:ascii="Arial" w:hAnsi="Arial" w:cs="Arial"/>
          <w:i/>
          <w:sz w:val="24"/>
          <w:szCs w:val="24"/>
        </w:rPr>
        <w:t>2007</w:t>
      </w:r>
      <w:r w:rsidR="00940568">
        <w:rPr>
          <w:rFonts w:ascii="Arial" w:hAnsi="Arial" w:cs="Arial"/>
          <w:sz w:val="24"/>
          <w:szCs w:val="24"/>
        </w:rPr>
        <w:t xml:space="preserve"> specifies which types of d</w:t>
      </w:r>
      <w:r w:rsidR="00940568" w:rsidRPr="00940568">
        <w:rPr>
          <w:rFonts w:ascii="Arial" w:hAnsi="Arial" w:cs="Arial"/>
          <w:sz w:val="24"/>
          <w:szCs w:val="24"/>
        </w:rPr>
        <w:t xml:space="preserve">evelopment proposals </w:t>
      </w:r>
      <w:r w:rsidR="00940568">
        <w:rPr>
          <w:rFonts w:ascii="Arial" w:hAnsi="Arial" w:cs="Arial"/>
          <w:sz w:val="24"/>
          <w:szCs w:val="24"/>
        </w:rPr>
        <w:t>must be assessed under the Impact T</w:t>
      </w:r>
      <w:r w:rsidR="00940568" w:rsidRPr="00940568">
        <w:rPr>
          <w:rFonts w:ascii="Arial" w:hAnsi="Arial" w:cs="Arial"/>
          <w:sz w:val="24"/>
          <w:szCs w:val="24"/>
        </w:rPr>
        <w:t xml:space="preserve">rack because </w:t>
      </w:r>
      <w:r w:rsidR="00473E37">
        <w:rPr>
          <w:rFonts w:ascii="Arial" w:hAnsi="Arial" w:cs="Arial"/>
          <w:sz w:val="24"/>
          <w:szCs w:val="24"/>
        </w:rPr>
        <w:t>the proposal’s</w:t>
      </w:r>
      <w:r w:rsidR="00940568">
        <w:rPr>
          <w:rFonts w:ascii="Arial" w:hAnsi="Arial" w:cs="Arial"/>
          <w:sz w:val="24"/>
          <w:szCs w:val="24"/>
        </w:rPr>
        <w:t xml:space="preserve"> impacts are potentially significant enough to require an</w:t>
      </w:r>
      <w:r w:rsidR="00940568" w:rsidRPr="00940568">
        <w:rPr>
          <w:rFonts w:ascii="Arial" w:hAnsi="Arial" w:cs="Arial"/>
          <w:sz w:val="24"/>
          <w:szCs w:val="24"/>
        </w:rPr>
        <w:t xml:space="preserve"> EIS</w:t>
      </w:r>
      <w:r w:rsidR="00940568">
        <w:rPr>
          <w:rFonts w:ascii="Arial" w:hAnsi="Arial" w:cs="Arial"/>
          <w:sz w:val="24"/>
          <w:szCs w:val="24"/>
        </w:rPr>
        <w:t>.</w:t>
      </w:r>
      <w:r w:rsidR="008161B1">
        <w:rPr>
          <w:rFonts w:ascii="Arial" w:hAnsi="Arial" w:cs="Arial"/>
          <w:sz w:val="24"/>
          <w:szCs w:val="24"/>
        </w:rPr>
        <w:t xml:space="preserve">  </w:t>
      </w:r>
      <w:r w:rsidRPr="00502259">
        <w:rPr>
          <w:rFonts w:ascii="Arial" w:hAnsi="Arial" w:cs="Arial"/>
          <w:sz w:val="24"/>
          <w:szCs w:val="24"/>
        </w:rPr>
        <w:t xml:space="preserve">This clause </w:t>
      </w:r>
      <w:r>
        <w:rPr>
          <w:rFonts w:ascii="Arial" w:hAnsi="Arial" w:cs="Arial"/>
          <w:sz w:val="24"/>
          <w:szCs w:val="24"/>
        </w:rPr>
        <w:t xml:space="preserve">adds a new </w:t>
      </w:r>
      <w:r w:rsidR="008161B1">
        <w:rPr>
          <w:rFonts w:ascii="Arial" w:hAnsi="Arial" w:cs="Arial"/>
          <w:sz w:val="24"/>
          <w:szCs w:val="24"/>
        </w:rPr>
        <w:t xml:space="preserve">type of development to this </w:t>
      </w:r>
      <w:r w:rsidR="00473E37">
        <w:rPr>
          <w:rFonts w:ascii="Arial" w:hAnsi="Arial" w:cs="Arial"/>
          <w:sz w:val="24"/>
          <w:szCs w:val="24"/>
        </w:rPr>
        <w:t>schedule</w:t>
      </w:r>
      <w:r w:rsidR="008161B1">
        <w:rPr>
          <w:rFonts w:ascii="Arial" w:hAnsi="Arial" w:cs="Arial"/>
          <w:sz w:val="24"/>
          <w:szCs w:val="24"/>
        </w:rPr>
        <w:t xml:space="preserve"> – those proposals that are likely to result in greenhouse gas emissions of more than 1kt per annum.</w:t>
      </w:r>
    </w:p>
    <w:p w14:paraId="47B2F9B2" w14:textId="4CF376A3" w:rsidR="008161B1" w:rsidRDefault="00631928" w:rsidP="005D37D8">
      <w:pPr>
        <w:autoSpaceDE w:val="0"/>
        <w:autoSpaceDN w:val="0"/>
        <w:adjustRightInd w:val="0"/>
        <w:spacing w:after="120"/>
        <w:rPr>
          <w:rFonts w:ascii="Arial" w:hAnsi="Arial" w:cs="Arial"/>
          <w:sz w:val="24"/>
          <w:szCs w:val="24"/>
        </w:rPr>
      </w:pPr>
      <w:r>
        <w:rPr>
          <w:rFonts w:ascii="Arial" w:hAnsi="Arial" w:cs="Arial"/>
          <w:sz w:val="24"/>
          <w:szCs w:val="24"/>
        </w:rPr>
        <w:lastRenderedPageBreak/>
        <w:t>T</w:t>
      </w:r>
      <w:r w:rsidR="008161B1">
        <w:rPr>
          <w:rFonts w:ascii="Arial" w:hAnsi="Arial" w:cs="Arial"/>
          <w:sz w:val="24"/>
          <w:szCs w:val="24"/>
        </w:rPr>
        <w:t xml:space="preserve">he units and calculation methodology of emissions for the purposes of this clause are those used in the </w:t>
      </w:r>
      <w:r w:rsidR="008161B1" w:rsidRPr="008161B1">
        <w:rPr>
          <w:rFonts w:ascii="Arial" w:hAnsi="Arial" w:cs="Arial"/>
          <w:i/>
          <w:sz w:val="24"/>
          <w:szCs w:val="24"/>
        </w:rPr>
        <w:t>Climate Change and Greenhouse Gas Reduction Act 2010</w:t>
      </w:r>
      <w:r w:rsidR="00DF5207">
        <w:rPr>
          <w:rFonts w:ascii="Arial" w:hAnsi="Arial" w:cs="Arial"/>
          <w:sz w:val="24"/>
          <w:szCs w:val="24"/>
        </w:rPr>
        <w:t xml:space="preserve"> (see clause 2</w:t>
      </w:r>
      <w:r w:rsidR="001E243D">
        <w:rPr>
          <w:rFonts w:ascii="Arial" w:hAnsi="Arial" w:cs="Arial"/>
          <w:sz w:val="24"/>
          <w:szCs w:val="24"/>
        </w:rPr>
        <w:t>4</w:t>
      </w:r>
      <w:r w:rsidR="00DF5207">
        <w:rPr>
          <w:rFonts w:ascii="Arial" w:hAnsi="Arial" w:cs="Arial"/>
          <w:sz w:val="24"/>
          <w:szCs w:val="24"/>
        </w:rPr>
        <w:t>)</w:t>
      </w:r>
      <w:r w:rsidR="008161B1">
        <w:rPr>
          <w:rFonts w:ascii="Arial" w:hAnsi="Arial" w:cs="Arial"/>
          <w:sz w:val="24"/>
          <w:szCs w:val="24"/>
        </w:rPr>
        <w:t>.</w:t>
      </w:r>
    </w:p>
    <w:p w14:paraId="0F957DF2" w14:textId="77777777" w:rsidR="00DF5207" w:rsidRPr="00502259" w:rsidRDefault="00DF5207" w:rsidP="005D37D8">
      <w:pPr>
        <w:autoSpaceDE w:val="0"/>
        <w:autoSpaceDN w:val="0"/>
        <w:adjustRightInd w:val="0"/>
        <w:spacing w:after="120"/>
        <w:rPr>
          <w:rFonts w:ascii="Arial" w:hAnsi="Arial" w:cs="Arial"/>
          <w:sz w:val="24"/>
          <w:szCs w:val="24"/>
        </w:rPr>
      </w:pPr>
    </w:p>
    <w:p w14:paraId="17956A7E" w14:textId="46779B64" w:rsidR="0027662B" w:rsidRPr="0027662B" w:rsidRDefault="0027662B" w:rsidP="0064756C">
      <w:pPr>
        <w:keepNext/>
        <w:keepLines/>
        <w:autoSpaceDE w:val="0"/>
        <w:autoSpaceDN w:val="0"/>
        <w:adjustRightInd w:val="0"/>
        <w:spacing w:after="120"/>
        <w:rPr>
          <w:rFonts w:ascii="Arial" w:hAnsi="Arial" w:cs="Arial"/>
          <w:b/>
          <w:sz w:val="24"/>
          <w:szCs w:val="24"/>
        </w:rPr>
      </w:pPr>
      <w:r w:rsidRPr="0027662B">
        <w:rPr>
          <w:rFonts w:ascii="Arial" w:hAnsi="Arial" w:cs="Arial"/>
          <w:b/>
          <w:sz w:val="24"/>
          <w:szCs w:val="24"/>
        </w:rPr>
        <w:t>Clause 2</w:t>
      </w:r>
      <w:r w:rsidR="00555270">
        <w:rPr>
          <w:rFonts w:ascii="Arial" w:hAnsi="Arial" w:cs="Arial"/>
          <w:b/>
          <w:sz w:val="24"/>
          <w:szCs w:val="24"/>
        </w:rPr>
        <w:t>4</w:t>
      </w:r>
      <w:r w:rsidRPr="0027662B">
        <w:rPr>
          <w:rFonts w:ascii="Arial" w:hAnsi="Arial" w:cs="Arial"/>
          <w:b/>
          <w:sz w:val="24"/>
          <w:szCs w:val="24"/>
        </w:rPr>
        <w:t xml:space="preserve"> </w:t>
      </w:r>
      <w:r w:rsidRPr="0027662B">
        <w:rPr>
          <w:rFonts w:ascii="Arial" w:hAnsi="Arial" w:cs="Arial"/>
          <w:b/>
          <w:sz w:val="24"/>
          <w:szCs w:val="24"/>
        </w:rPr>
        <w:tab/>
        <w:t>Dictionary</w:t>
      </w:r>
      <w:r w:rsidR="00473E37">
        <w:rPr>
          <w:rFonts w:ascii="Arial" w:hAnsi="Arial" w:cs="Arial"/>
          <w:b/>
          <w:sz w:val="24"/>
          <w:szCs w:val="24"/>
        </w:rPr>
        <w:t>,</w:t>
      </w:r>
      <w:r w:rsidRPr="0027662B">
        <w:t xml:space="preserve"> </w:t>
      </w:r>
      <w:r w:rsidRPr="0027662B">
        <w:rPr>
          <w:rFonts w:ascii="Arial" w:hAnsi="Arial" w:cs="Arial"/>
          <w:b/>
          <w:sz w:val="24"/>
          <w:szCs w:val="24"/>
        </w:rPr>
        <w:t xml:space="preserve">new definition of </w:t>
      </w:r>
      <w:r w:rsidRPr="00473E37">
        <w:rPr>
          <w:rFonts w:ascii="Arial" w:hAnsi="Arial" w:cs="Arial"/>
          <w:b/>
          <w:i/>
          <w:sz w:val="24"/>
          <w:szCs w:val="24"/>
        </w:rPr>
        <w:t>greenhouse gas emissions</w:t>
      </w:r>
    </w:p>
    <w:p w14:paraId="5A230F75" w14:textId="3089B2A3" w:rsidR="0027662B" w:rsidRPr="0027662B" w:rsidRDefault="0027662B" w:rsidP="0027662B">
      <w:pPr>
        <w:autoSpaceDE w:val="0"/>
        <w:autoSpaceDN w:val="0"/>
        <w:adjustRightInd w:val="0"/>
        <w:spacing w:after="120"/>
        <w:rPr>
          <w:rFonts w:ascii="Arial" w:hAnsi="Arial" w:cs="Arial"/>
          <w:sz w:val="24"/>
          <w:szCs w:val="24"/>
        </w:rPr>
      </w:pPr>
      <w:r w:rsidRPr="0027662B">
        <w:rPr>
          <w:rFonts w:ascii="Arial" w:hAnsi="Arial" w:cs="Arial"/>
          <w:sz w:val="24"/>
          <w:szCs w:val="24"/>
        </w:rPr>
        <w:t xml:space="preserve">This clause includes a </w:t>
      </w:r>
      <w:r w:rsidR="0064756C">
        <w:rPr>
          <w:rFonts w:ascii="Arial" w:hAnsi="Arial" w:cs="Arial"/>
          <w:sz w:val="24"/>
          <w:szCs w:val="24"/>
        </w:rPr>
        <w:t>new definition relevant to the B</w:t>
      </w:r>
      <w:r w:rsidRPr="0027662B">
        <w:rPr>
          <w:rFonts w:ascii="Arial" w:hAnsi="Arial" w:cs="Arial"/>
          <w:sz w:val="24"/>
          <w:szCs w:val="24"/>
        </w:rPr>
        <w:t>ill.</w:t>
      </w:r>
    </w:p>
    <w:p w14:paraId="37E3CD60" w14:textId="394AAE26" w:rsidR="00252710" w:rsidRDefault="00252710" w:rsidP="00DB5218">
      <w:pPr>
        <w:autoSpaceDE w:val="0"/>
        <w:autoSpaceDN w:val="0"/>
        <w:adjustRightInd w:val="0"/>
        <w:spacing w:after="120"/>
        <w:rPr>
          <w:rFonts w:ascii="Arial" w:hAnsi="Arial" w:cs="Arial"/>
          <w:sz w:val="24"/>
          <w:szCs w:val="24"/>
        </w:rPr>
      </w:pPr>
    </w:p>
    <w:p w14:paraId="626C5CFB" w14:textId="1A85F372" w:rsidR="001078D9" w:rsidRPr="00D41BB2" w:rsidRDefault="00CD6AB4" w:rsidP="00D41BB2">
      <w:pPr>
        <w:keepNext/>
        <w:keepLines/>
        <w:autoSpaceDE w:val="0"/>
        <w:autoSpaceDN w:val="0"/>
        <w:adjustRightInd w:val="0"/>
        <w:spacing w:after="120"/>
        <w:rPr>
          <w:rFonts w:ascii="Arial" w:hAnsi="Arial" w:cs="Arial"/>
          <w:b/>
          <w:bCs/>
          <w:caps/>
          <w:sz w:val="24"/>
          <w:szCs w:val="24"/>
        </w:rPr>
      </w:pPr>
      <w:r w:rsidRPr="00437134">
        <w:rPr>
          <w:rFonts w:ascii="Arial" w:hAnsi="Arial" w:cs="Arial"/>
          <w:b/>
          <w:bCs/>
          <w:caps/>
          <w:color w:val="000000"/>
          <w:sz w:val="24"/>
          <w:szCs w:val="24"/>
        </w:rPr>
        <w:t xml:space="preserve">Amendments to the </w:t>
      </w:r>
      <w:r w:rsidR="001078D9" w:rsidRPr="001078D9">
        <w:rPr>
          <w:rFonts w:ascii="Arial" w:hAnsi="Arial" w:cs="Arial"/>
          <w:b/>
          <w:bCs/>
          <w:i/>
          <w:caps/>
          <w:sz w:val="24"/>
          <w:szCs w:val="24"/>
        </w:rPr>
        <w:t>Planning and Development Regulation 2008</w:t>
      </w:r>
    </w:p>
    <w:p w14:paraId="3F77B135" w14:textId="5D00CC25" w:rsidR="00FE3129" w:rsidRDefault="00FE3129" w:rsidP="0064756C">
      <w:pPr>
        <w:keepNext/>
        <w:keepLines/>
        <w:autoSpaceDE w:val="0"/>
        <w:autoSpaceDN w:val="0"/>
        <w:adjustRightInd w:val="0"/>
        <w:spacing w:after="120"/>
        <w:rPr>
          <w:rFonts w:ascii="Arial" w:hAnsi="Arial" w:cs="Arial"/>
          <w:b/>
          <w:sz w:val="24"/>
          <w:szCs w:val="24"/>
        </w:rPr>
      </w:pPr>
      <w:r>
        <w:rPr>
          <w:rFonts w:ascii="Arial" w:hAnsi="Arial" w:cs="Arial"/>
          <w:b/>
          <w:sz w:val="24"/>
          <w:szCs w:val="24"/>
        </w:rPr>
        <w:t>Clause 2</w:t>
      </w:r>
      <w:r w:rsidR="00555270">
        <w:rPr>
          <w:rFonts w:ascii="Arial" w:hAnsi="Arial" w:cs="Arial"/>
          <w:b/>
          <w:sz w:val="24"/>
          <w:szCs w:val="24"/>
        </w:rPr>
        <w:t>5</w:t>
      </w:r>
      <w:r>
        <w:rPr>
          <w:rFonts w:ascii="Arial" w:hAnsi="Arial" w:cs="Arial"/>
          <w:b/>
          <w:sz w:val="24"/>
          <w:szCs w:val="24"/>
        </w:rPr>
        <w:tab/>
      </w:r>
      <w:r w:rsidRPr="00FE3129">
        <w:rPr>
          <w:rFonts w:ascii="Arial" w:hAnsi="Arial" w:cs="Arial"/>
          <w:b/>
          <w:sz w:val="24"/>
          <w:szCs w:val="24"/>
        </w:rPr>
        <w:t>Prescribed development proposal for comm</w:t>
      </w:r>
      <w:r>
        <w:rPr>
          <w:rFonts w:ascii="Arial" w:hAnsi="Arial" w:cs="Arial"/>
          <w:b/>
          <w:sz w:val="24"/>
          <w:szCs w:val="24"/>
        </w:rPr>
        <w:t>unity consultation—Act, s 138AE</w:t>
      </w:r>
    </w:p>
    <w:p w14:paraId="33354A6B" w14:textId="6DD60403" w:rsidR="00DF5207" w:rsidRPr="00502259" w:rsidRDefault="00FE3129" w:rsidP="0064756C">
      <w:pPr>
        <w:keepNext/>
        <w:keepLines/>
        <w:autoSpaceDE w:val="0"/>
        <w:autoSpaceDN w:val="0"/>
        <w:adjustRightInd w:val="0"/>
        <w:spacing w:after="120"/>
        <w:rPr>
          <w:rFonts w:ascii="Arial" w:hAnsi="Arial" w:cs="Arial"/>
          <w:b/>
          <w:sz w:val="24"/>
          <w:szCs w:val="24"/>
        </w:rPr>
      </w:pPr>
      <w:r w:rsidRPr="00FE3129">
        <w:rPr>
          <w:rFonts w:ascii="Arial" w:hAnsi="Arial" w:cs="Arial"/>
          <w:b/>
          <w:sz w:val="24"/>
          <w:szCs w:val="24"/>
        </w:rPr>
        <w:t>Section 20A (2) (b)</w:t>
      </w:r>
    </w:p>
    <w:p w14:paraId="4F22C595" w14:textId="1F59388A" w:rsidR="00B04D03" w:rsidRDefault="00FE3129" w:rsidP="00DF5207">
      <w:pPr>
        <w:autoSpaceDE w:val="0"/>
        <w:autoSpaceDN w:val="0"/>
        <w:adjustRightInd w:val="0"/>
        <w:spacing w:after="120"/>
        <w:rPr>
          <w:rFonts w:ascii="Arial" w:hAnsi="Arial" w:cs="Arial"/>
          <w:sz w:val="24"/>
          <w:szCs w:val="24"/>
        </w:rPr>
      </w:pPr>
      <w:r>
        <w:rPr>
          <w:rFonts w:ascii="Arial" w:hAnsi="Arial" w:cs="Arial"/>
          <w:sz w:val="24"/>
          <w:szCs w:val="24"/>
        </w:rPr>
        <w:t>Th</w:t>
      </w:r>
      <w:r w:rsidR="00807BFB">
        <w:rPr>
          <w:rFonts w:ascii="Arial" w:hAnsi="Arial" w:cs="Arial"/>
          <w:sz w:val="24"/>
          <w:szCs w:val="24"/>
        </w:rPr>
        <w:t xml:space="preserve">e </w:t>
      </w:r>
      <w:r w:rsidR="00807BFB" w:rsidRPr="00525E70">
        <w:rPr>
          <w:rFonts w:ascii="Arial" w:hAnsi="Arial" w:cs="Arial"/>
          <w:sz w:val="24"/>
          <w:szCs w:val="24"/>
        </w:rPr>
        <w:t>existing section 20A</w:t>
      </w:r>
      <w:r>
        <w:rPr>
          <w:rFonts w:ascii="Arial" w:hAnsi="Arial" w:cs="Arial"/>
          <w:sz w:val="24"/>
          <w:szCs w:val="24"/>
        </w:rPr>
        <w:t xml:space="preserve"> of the Regulation specifies which development proposals are required to undergo</w:t>
      </w:r>
      <w:r w:rsidR="005A27C3">
        <w:rPr>
          <w:rFonts w:ascii="Arial" w:hAnsi="Arial" w:cs="Arial"/>
          <w:sz w:val="24"/>
          <w:szCs w:val="24"/>
        </w:rPr>
        <w:t xml:space="preserve"> </w:t>
      </w:r>
      <w:r>
        <w:rPr>
          <w:rFonts w:ascii="Arial" w:hAnsi="Arial" w:cs="Arial"/>
          <w:sz w:val="24"/>
          <w:szCs w:val="24"/>
        </w:rPr>
        <w:t xml:space="preserve">pre-application </w:t>
      </w:r>
      <w:r w:rsidR="00AF7D6A">
        <w:rPr>
          <w:rFonts w:ascii="Arial" w:hAnsi="Arial" w:cs="Arial"/>
          <w:sz w:val="24"/>
          <w:szCs w:val="24"/>
        </w:rPr>
        <w:t xml:space="preserve">community </w:t>
      </w:r>
      <w:r w:rsidR="00B04D03">
        <w:rPr>
          <w:rFonts w:ascii="Arial" w:hAnsi="Arial" w:cs="Arial"/>
          <w:sz w:val="24"/>
          <w:szCs w:val="24"/>
        </w:rPr>
        <w:t xml:space="preserve">consultation.  </w:t>
      </w:r>
    </w:p>
    <w:p w14:paraId="1E74AB76" w14:textId="4BCF4E38" w:rsidR="00DF5207" w:rsidRDefault="005A27C3" w:rsidP="00DF5207">
      <w:pPr>
        <w:autoSpaceDE w:val="0"/>
        <w:autoSpaceDN w:val="0"/>
        <w:adjustRightInd w:val="0"/>
        <w:spacing w:after="120"/>
        <w:rPr>
          <w:rFonts w:ascii="Arial" w:hAnsi="Arial" w:cs="Arial"/>
          <w:sz w:val="24"/>
          <w:szCs w:val="24"/>
        </w:rPr>
      </w:pPr>
      <w:r>
        <w:rPr>
          <w:rFonts w:ascii="Arial" w:hAnsi="Arial" w:cs="Arial"/>
          <w:sz w:val="24"/>
          <w:szCs w:val="24"/>
        </w:rPr>
        <w:t>Proposals in some areas of Canberra are excluded through reference to plans in Schedule 1B of the Regulation.</w:t>
      </w:r>
      <w:r w:rsidR="00B04D03">
        <w:rPr>
          <w:rFonts w:ascii="Arial" w:hAnsi="Arial" w:cs="Arial"/>
          <w:sz w:val="24"/>
          <w:szCs w:val="24"/>
        </w:rPr>
        <w:t xml:space="preserve">  These areas are </w:t>
      </w:r>
      <w:r w:rsidR="00721230">
        <w:rPr>
          <w:rFonts w:ascii="Arial" w:hAnsi="Arial" w:cs="Arial"/>
          <w:sz w:val="24"/>
          <w:szCs w:val="24"/>
        </w:rPr>
        <w:t xml:space="preserve">predominately either </w:t>
      </w:r>
      <w:r w:rsidR="00A20ABF">
        <w:rPr>
          <w:rFonts w:ascii="Arial" w:hAnsi="Arial" w:cs="Arial"/>
          <w:sz w:val="24"/>
          <w:szCs w:val="24"/>
        </w:rPr>
        <w:t xml:space="preserve">unbuilt land that is designated for future suburban development by </w:t>
      </w:r>
      <w:r w:rsidR="00721230">
        <w:rPr>
          <w:rFonts w:ascii="Arial" w:hAnsi="Arial" w:cs="Arial"/>
          <w:sz w:val="24"/>
          <w:szCs w:val="24"/>
        </w:rPr>
        <w:t>the F</w:t>
      </w:r>
      <w:r w:rsidR="00B04D03">
        <w:rPr>
          <w:rFonts w:ascii="Arial" w:hAnsi="Arial" w:cs="Arial"/>
          <w:sz w:val="24"/>
          <w:szCs w:val="24"/>
        </w:rPr>
        <w:t xml:space="preserve">uture </w:t>
      </w:r>
      <w:r w:rsidR="00721230">
        <w:rPr>
          <w:rFonts w:ascii="Arial" w:hAnsi="Arial" w:cs="Arial"/>
          <w:sz w:val="24"/>
          <w:szCs w:val="24"/>
        </w:rPr>
        <w:t>Urban A</w:t>
      </w:r>
      <w:r w:rsidR="00B04D03">
        <w:rPr>
          <w:rFonts w:ascii="Arial" w:hAnsi="Arial" w:cs="Arial"/>
          <w:sz w:val="24"/>
          <w:szCs w:val="24"/>
        </w:rPr>
        <w:t>rea</w:t>
      </w:r>
      <w:r w:rsidR="00721230">
        <w:rPr>
          <w:rFonts w:ascii="Arial" w:hAnsi="Arial" w:cs="Arial"/>
          <w:sz w:val="24"/>
          <w:szCs w:val="24"/>
        </w:rPr>
        <w:t xml:space="preserve"> Overlay </w:t>
      </w:r>
      <w:r w:rsidR="00B04D03">
        <w:rPr>
          <w:rFonts w:ascii="Arial" w:hAnsi="Arial" w:cs="Arial"/>
          <w:sz w:val="24"/>
          <w:szCs w:val="24"/>
        </w:rPr>
        <w:t xml:space="preserve">or </w:t>
      </w:r>
      <w:r w:rsidR="00721230">
        <w:rPr>
          <w:rFonts w:ascii="Arial" w:hAnsi="Arial" w:cs="Arial"/>
          <w:sz w:val="24"/>
          <w:szCs w:val="24"/>
        </w:rPr>
        <w:t xml:space="preserve">are </w:t>
      </w:r>
      <w:r w:rsidR="00B04D03">
        <w:rPr>
          <w:rFonts w:ascii="Arial" w:hAnsi="Arial" w:cs="Arial"/>
          <w:sz w:val="24"/>
          <w:szCs w:val="24"/>
        </w:rPr>
        <w:t xml:space="preserve">areas that </w:t>
      </w:r>
      <w:r w:rsidR="00A20ABF">
        <w:rPr>
          <w:rFonts w:ascii="Arial" w:hAnsi="Arial" w:cs="Arial"/>
          <w:sz w:val="24"/>
          <w:szCs w:val="24"/>
        </w:rPr>
        <w:t>had this status until recently but are now</w:t>
      </w:r>
      <w:r w:rsidR="00B04D03">
        <w:rPr>
          <w:rFonts w:ascii="Arial" w:hAnsi="Arial" w:cs="Arial"/>
          <w:sz w:val="24"/>
          <w:szCs w:val="24"/>
        </w:rPr>
        <w:t xml:space="preserve"> new suburbs</w:t>
      </w:r>
      <w:r w:rsidR="00721230">
        <w:rPr>
          <w:rFonts w:ascii="Arial" w:hAnsi="Arial" w:cs="Arial"/>
          <w:sz w:val="24"/>
          <w:szCs w:val="24"/>
        </w:rPr>
        <w:t>.</w:t>
      </w:r>
    </w:p>
    <w:p w14:paraId="704D5162" w14:textId="43DFCC2B" w:rsidR="00F54D87" w:rsidRDefault="00721230" w:rsidP="00DF5207">
      <w:pPr>
        <w:autoSpaceDE w:val="0"/>
        <w:autoSpaceDN w:val="0"/>
        <w:adjustRightInd w:val="0"/>
        <w:spacing w:after="120"/>
        <w:rPr>
          <w:rFonts w:ascii="Arial" w:hAnsi="Arial" w:cs="Arial"/>
          <w:sz w:val="24"/>
          <w:szCs w:val="24"/>
        </w:rPr>
      </w:pPr>
      <w:r>
        <w:rPr>
          <w:rFonts w:ascii="Arial" w:hAnsi="Arial" w:cs="Arial"/>
          <w:sz w:val="24"/>
          <w:szCs w:val="24"/>
        </w:rPr>
        <w:t>Community members in new suburbs have argued that the exclusion of their area</w:t>
      </w:r>
      <w:r w:rsidR="00C36C60">
        <w:rPr>
          <w:rFonts w:ascii="Arial" w:hAnsi="Arial" w:cs="Arial"/>
          <w:sz w:val="24"/>
          <w:szCs w:val="24"/>
        </w:rPr>
        <w:t>s</w:t>
      </w:r>
      <w:r>
        <w:rPr>
          <w:rFonts w:ascii="Arial" w:hAnsi="Arial" w:cs="Arial"/>
          <w:sz w:val="24"/>
          <w:szCs w:val="24"/>
        </w:rPr>
        <w:t xml:space="preserve"> from pre-application community consultation is an unfair restriction of their ability to engage in the planning system.  </w:t>
      </w:r>
      <w:r w:rsidR="00F54D87">
        <w:rPr>
          <w:rFonts w:ascii="Arial" w:hAnsi="Arial" w:cs="Arial"/>
          <w:sz w:val="24"/>
          <w:szCs w:val="24"/>
        </w:rPr>
        <w:t xml:space="preserve">Further, the need </w:t>
      </w:r>
      <w:r w:rsidR="00C36C60">
        <w:rPr>
          <w:rFonts w:ascii="Arial" w:hAnsi="Arial" w:cs="Arial"/>
          <w:sz w:val="24"/>
          <w:szCs w:val="24"/>
        </w:rPr>
        <w:t xml:space="preserve">for the Directorate </w:t>
      </w:r>
      <w:r w:rsidR="00F54D87">
        <w:rPr>
          <w:rFonts w:ascii="Arial" w:hAnsi="Arial" w:cs="Arial"/>
          <w:sz w:val="24"/>
          <w:szCs w:val="24"/>
        </w:rPr>
        <w:t xml:space="preserve">to update the plans periodically and the infrequency of doing so has led to a situation where development proposals in some newer suburbs are required to undergo pre-application consultation while other proposals do not need to despite being very similar in </w:t>
      </w:r>
      <w:r w:rsidR="00F76038">
        <w:rPr>
          <w:rFonts w:ascii="Arial" w:hAnsi="Arial" w:cs="Arial"/>
          <w:sz w:val="24"/>
          <w:szCs w:val="24"/>
        </w:rPr>
        <w:t>respect</w:t>
      </w:r>
      <w:r w:rsidR="00F54D87">
        <w:rPr>
          <w:rFonts w:ascii="Arial" w:hAnsi="Arial" w:cs="Arial"/>
          <w:sz w:val="24"/>
          <w:szCs w:val="24"/>
        </w:rPr>
        <w:t xml:space="preserve"> to environmental and amenity impact.</w:t>
      </w:r>
    </w:p>
    <w:p w14:paraId="17249A3B" w14:textId="0AE4CF6C" w:rsidR="00801688" w:rsidRDefault="00801688" w:rsidP="00DF5207">
      <w:pPr>
        <w:autoSpaceDE w:val="0"/>
        <w:autoSpaceDN w:val="0"/>
        <w:adjustRightInd w:val="0"/>
        <w:spacing w:after="120"/>
        <w:rPr>
          <w:rFonts w:ascii="Arial" w:hAnsi="Arial" w:cs="Arial"/>
          <w:sz w:val="24"/>
          <w:szCs w:val="24"/>
        </w:rPr>
      </w:pPr>
      <w:r>
        <w:rPr>
          <w:rFonts w:ascii="Arial" w:hAnsi="Arial" w:cs="Arial"/>
          <w:sz w:val="24"/>
          <w:szCs w:val="24"/>
        </w:rPr>
        <w:t xml:space="preserve">This clause </w:t>
      </w:r>
      <w:r w:rsidR="00F54D87">
        <w:rPr>
          <w:rFonts w:ascii="Arial" w:hAnsi="Arial" w:cs="Arial"/>
          <w:sz w:val="24"/>
          <w:szCs w:val="24"/>
        </w:rPr>
        <w:t>addresses the</w:t>
      </w:r>
      <w:r w:rsidR="00721230">
        <w:rPr>
          <w:rFonts w:ascii="Arial" w:hAnsi="Arial" w:cs="Arial"/>
          <w:sz w:val="24"/>
          <w:szCs w:val="24"/>
        </w:rPr>
        <w:t>s</w:t>
      </w:r>
      <w:r w:rsidR="00F54D87">
        <w:rPr>
          <w:rFonts w:ascii="Arial" w:hAnsi="Arial" w:cs="Arial"/>
          <w:sz w:val="24"/>
          <w:szCs w:val="24"/>
        </w:rPr>
        <w:t>e</w:t>
      </w:r>
      <w:r w:rsidR="00721230">
        <w:rPr>
          <w:rFonts w:ascii="Arial" w:hAnsi="Arial" w:cs="Arial"/>
          <w:sz w:val="24"/>
          <w:szCs w:val="24"/>
        </w:rPr>
        <w:t xml:space="preserve"> problem</w:t>
      </w:r>
      <w:r w:rsidR="00F54D87">
        <w:rPr>
          <w:rFonts w:ascii="Arial" w:hAnsi="Arial" w:cs="Arial"/>
          <w:sz w:val="24"/>
          <w:szCs w:val="24"/>
        </w:rPr>
        <w:t>s</w:t>
      </w:r>
      <w:r w:rsidR="00721230">
        <w:rPr>
          <w:rFonts w:ascii="Arial" w:hAnsi="Arial" w:cs="Arial"/>
          <w:sz w:val="24"/>
          <w:szCs w:val="24"/>
        </w:rPr>
        <w:t xml:space="preserve"> by amending</w:t>
      </w:r>
      <w:r>
        <w:rPr>
          <w:rFonts w:ascii="Arial" w:hAnsi="Arial" w:cs="Arial"/>
          <w:sz w:val="24"/>
          <w:szCs w:val="24"/>
        </w:rPr>
        <w:t xml:space="preserve"> the reference to the plans in Schedule 1B so that development proposals less than 100m from a dwelling are no longer excluded by the plans.</w:t>
      </w:r>
    </w:p>
    <w:p w14:paraId="723D96E8" w14:textId="77777777" w:rsidR="00801688" w:rsidRDefault="00801688" w:rsidP="00DF5207">
      <w:pPr>
        <w:autoSpaceDE w:val="0"/>
        <w:autoSpaceDN w:val="0"/>
        <w:adjustRightInd w:val="0"/>
        <w:spacing w:after="120"/>
        <w:rPr>
          <w:rFonts w:ascii="Arial" w:hAnsi="Arial" w:cs="Arial"/>
          <w:sz w:val="24"/>
          <w:szCs w:val="24"/>
        </w:rPr>
      </w:pPr>
    </w:p>
    <w:p w14:paraId="1BD5F89F" w14:textId="54835DF1" w:rsidR="00DF5207" w:rsidRPr="00502259" w:rsidRDefault="00AF7D6A" w:rsidP="0064756C">
      <w:pPr>
        <w:keepNext/>
        <w:keepLines/>
        <w:autoSpaceDE w:val="0"/>
        <w:autoSpaceDN w:val="0"/>
        <w:adjustRightInd w:val="0"/>
        <w:spacing w:after="120"/>
        <w:rPr>
          <w:rFonts w:ascii="Arial" w:hAnsi="Arial" w:cs="Arial"/>
          <w:b/>
          <w:sz w:val="24"/>
          <w:szCs w:val="24"/>
        </w:rPr>
      </w:pPr>
      <w:r>
        <w:rPr>
          <w:rFonts w:ascii="Arial" w:hAnsi="Arial" w:cs="Arial"/>
          <w:b/>
          <w:sz w:val="24"/>
          <w:szCs w:val="24"/>
        </w:rPr>
        <w:t>Clause 2</w:t>
      </w:r>
      <w:r w:rsidR="00555270">
        <w:rPr>
          <w:rFonts w:ascii="Arial" w:hAnsi="Arial" w:cs="Arial"/>
          <w:b/>
          <w:sz w:val="24"/>
          <w:szCs w:val="24"/>
        </w:rPr>
        <w:t>6</w:t>
      </w:r>
      <w:r w:rsidR="00DF5207" w:rsidRPr="00502259">
        <w:rPr>
          <w:rFonts w:ascii="Arial" w:hAnsi="Arial" w:cs="Arial"/>
          <w:b/>
          <w:sz w:val="24"/>
          <w:szCs w:val="24"/>
        </w:rPr>
        <w:tab/>
      </w:r>
      <w:r>
        <w:rPr>
          <w:rFonts w:ascii="Arial" w:hAnsi="Arial" w:cs="Arial"/>
          <w:b/>
          <w:sz w:val="24"/>
          <w:szCs w:val="24"/>
        </w:rPr>
        <w:t>Section 20B</w:t>
      </w:r>
    </w:p>
    <w:p w14:paraId="7AAFAED2" w14:textId="1EEA902F" w:rsidR="00DF5207" w:rsidRDefault="0088098C" w:rsidP="00DF5207">
      <w:pPr>
        <w:autoSpaceDE w:val="0"/>
        <w:autoSpaceDN w:val="0"/>
        <w:adjustRightInd w:val="0"/>
        <w:spacing w:after="120"/>
        <w:rPr>
          <w:rFonts w:ascii="Arial" w:hAnsi="Arial" w:cs="Arial"/>
          <w:sz w:val="24"/>
          <w:szCs w:val="24"/>
        </w:rPr>
      </w:pPr>
      <w:r w:rsidRPr="00525E70">
        <w:rPr>
          <w:rFonts w:ascii="Arial" w:hAnsi="Arial" w:cs="Arial"/>
          <w:sz w:val="24"/>
          <w:szCs w:val="24"/>
        </w:rPr>
        <w:t>The existing s</w:t>
      </w:r>
      <w:r w:rsidR="00AF7D6A">
        <w:rPr>
          <w:rFonts w:ascii="Arial" w:hAnsi="Arial" w:cs="Arial"/>
          <w:sz w:val="24"/>
          <w:szCs w:val="24"/>
        </w:rPr>
        <w:t xml:space="preserve">ection </w:t>
      </w:r>
      <w:r w:rsidR="00F76038">
        <w:rPr>
          <w:rFonts w:ascii="Arial" w:hAnsi="Arial" w:cs="Arial"/>
          <w:sz w:val="24"/>
          <w:szCs w:val="24"/>
        </w:rPr>
        <w:t xml:space="preserve">20B </w:t>
      </w:r>
      <w:r w:rsidR="00AF7D6A">
        <w:rPr>
          <w:rFonts w:ascii="Arial" w:hAnsi="Arial" w:cs="Arial"/>
          <w:sz w:val="24"/>
          <w:szCs w:val="24"/>
        </w:rPr>
        <w:t>of the Regulation specifies which development proposals are required to undergo pre-application consultation with the design review panel</w:t>
      </w:r>
      <w:r w:rsidR="00DF5207">
        <w:rPr>
          <w:rFonts w:ascii="Arial" w:hAnsi="Arial" w:cs="Arial"/>
          <w:sz w:val="24"/>
          <w:szCs w:val="24"/>
        </w:rPr>
        <w:t>.</w:t>
      </w:r>
      <w:r w:rsidR="00AF7D6A">
        <w:rPr>
          <w:rFonts w:ascii="Arial" w:hAnsi="Arial" w:cs="Arial"/>
          <w:sz w:val="24"/>
          <w:szCs w:val="24"/>
        </w:rPr>
        <w:t xml:space="preserve">  This clause expands this requirement to cover large</w:t>
      </w:r>
      <w:r w:rsidR="00052A07">
        <w:rPr>
          <w:rFonts w:ascii="Arial" w:hAnsi="Arial" w:cs="Arial"/>
          <w:sz w:val="24"/>
          <w:szCs w:val="24"/>
        </w:rPr>
        <w:t>r</w:t>
      </w:r>
      <w:r w:rsidR="00AF7D6A">
        <w:rPr>
          <w:rFonts w:ascii="Arial" w:hAnsi="Arial" w:cs="Arial"/>
          <w:sz w:val="24"/>
          <w:szCs w:val="24"/>
        </w:rPr>
        <w:t xml:space="preserve"> retail developments in common urban zones.  Industrial zones have been not been included as retail developments in industrial zones have a lower amenity </w:t>
      </w:r>
      <w:r w:rsidR="00350F9D">
        <w:rPr>
          <w:rFonts w:ascii="Arial" w:hAnsi="Arial" w:cs="Arial"/>
          <w:sz w:val="24"/>
          <w:szCs w:val="24"/>
        </w:rPr>
        <w:t xml:space="preserve">impact on </w:t>
      </w:r>
      <w:r w:rsidR="00AF7D6A">
        <w:rPr>
          <w:rFonts w:ascii="Arial" w:hAnsi="Arial" w:cs="Arial"/>
          <w:sz w:val="24"/>
          <w:szCs w:val="24"/>
        </w:rPr>
        <w:t>the community.</w:t>
      </w:r>
    </w:p>
    <w:p w14:paraId="17CABFDC" w14:textId="77777777" w:rsidR="00AF7D6A" w:rsidRDefault="00AF7D6A" w:rsidP="00DF5207">
      <w:pPr>
        <w:autoSpaceDE w:val="0"/>
        <w:autoSpaceDN w:val="0"/>
        <w:adjustRightInd w:val="0"/>
        <w:spacing w:after="120"/>
        <w:rPr>
          <w:rFonts w:ascii="Arial" w:hAnsi="Arial" w:cs="Arial"/>
          <w:sz w:val="24"/>
          <w:szCs w:val="24"/>
        </w:rPr>
      </w:pPr>
    </w:p>
    <w:p w14:paraId="05ED72E0" w14:textId="0AEB3055" w:rsidR="004E4856" w:rsidRDefault="004E4856" w:rsidP="0064756C">
      <w:pPr>
        <w:keepNext/>
        <w:keepLines/>
        <w:autoSpaceDE w:val="0"/>
        <w:autoSpaceDN w:val="0"/>
        <w:adjustRightInd w:val="0"/>
        <w:spacing w:after="120"/>
        <w:rPr>
          <w:rFonts w:ascii="Arial" w:hAnsi="Arial" w:cs="Arial"/>
          <w:b/>
          <w:sz w:val="24"/>
          <w:szCs w:val="24"/>
        </w:rPr>
      </w:pPr>
      <w:r>
        <w:rPr>
          <w:rFonts w:ascii="Arial" w:hAnsi="Arial" w:cs="Arial"/>
          <w:b/>
          <w:sz w:val="24"/>
          <w:szCs w:val="24"/>
        </w:rPr>
        <w:lastRenderedPageBreak/>
        <w:t>Clause 2</w:t>
      </w:r>
      <w:r w:rsidR="0006438C">
        <w:rPr>
          <w:rFonts w:ascii="Arial" w:hAnsi="Arial" w:cs="Arial"/>
          <w:b/>
          <w:sz w:val="24"/>
          <w:szCs w:val="24"/>
        </w:rPr>
        <w:t>7</w:t>
      </w:r>
      <w:r w:rsidR="00DF5207" w:rsidRPr="00502259">
        <w:rPr>
          <w:rFonts w:ascii="Arial" w:hAnsi="Arial" w:cs="Arial"/>
          <w:b/>
          <w:sz w:val="24"/>
          <w:szCs w:val="24"/>
        </w:rPr>
        <w:tab/>
      </w:r>
      <w:r w:rsidRPr="004E4856">
        <w:rPr>
          <w:rFonts w:ascii="Arial" w:hAnsi="Arial" w:cs="Arial"/>
          <w:b/>
          <w:sz w:val="24"/>
          <w:szCs w:val="24"/>
        </w:rPr>
        <w:t xml:space="preserve">Public notification period—Act, s 157, def </w:t>
      </w:r>
      <w:r w:rsidRPr="00B15CB3">
        <w:rPr>
          <w:rFonts w:ascii="Arial" w:hAnsi="Arial" w:cs="Arial"/>
          <w:b/>
          <w:i/>
          <w:iCs/>
          <w:sz w:val="24"/>
          <w:szCs w:val="24"/>
        </w:rPr>
        <w:t>public notification period</w:t>
      </w:r>
      <w:r>
        <w:rPr>
          <w:rFonts w:ascii="Arial" w:hAnsi="Arial" w:cs="Arial"/>
          <w:b/>
          <w:sz w:val="24"/>
          <w:szCs w:val="24"/>
        </w:rPr>
        <w:t>, par (a)</w:t>
      </w:r>
    </w:p>
    <w:p w14:paraId="6B01A62D" w14:textId="27AA1479" w:rsidR="00DF5207" w:rsidRDefault="004E4856" w:rsidP="0064756C">
      <w:pPr>
        <w:keepNext/>
        <w:keepLines/>
        <w:autoSpaceDE w:val="0"/>
        <w:autoSpaceDN w:val="0"/>
        <w:adjustRightInd w:val="0"/>
        <w:spacing w:after="120"/>
        <w:rPr>
          <w:rFonts w:ascii="Arial" w:hAnsi="Arial" w:cs="Arial"/>
          <w:b/>
          <w:sz w:val="24"/>
          <w:szCs w:val="24"/>
        </w:rPr>
      </w:pPr>
      <w:r w:rsidRPr="004E4856">
        <w:rPr>
          <w:rFonts w:ascii="Arial" w:hAnsi="Arial" w:cs="Arial"/>
          <w:b/>
          <w:sz w:val="24"/>
          <w:szCs w:val="24"/>
        </w:rPr>
        <w:t>New section 28 (2)</w:t>
      </w:r>
    </w:p>
    <w:p w14:paraId="42E01EAE" w14:textId="47A57DAC" w:rsidR="0088098C" w:rsidRPr="0088098C" w:rsidRDefault="0088098C" w:rsidP="0064756C">
      <w:pPr>
        <w:keepNext/>
        <w:keepLines/>
        <w:autoSpaceDE w:val="0"/>
        <w:autoSpaceDN w:val="0"/>
        <w:adjustRightInd w:val="0"/>
        <w:spacing w:after="120"/>
        <w:rPr>
          <w:rFonts w:ascii="Arial" w:hAnsi="Arial" w:cs="Arial"/>
          <w:bCs/>
          <w:sz w:val="24"/>
          <w:szCs w:val="24"/>
        </w:rPr>
      </w:pPr>
      <w:r w:rsidRPr="00525E70">
        <w:rPr>
          <w:rFonts w:ascii="Arial" w:hAnsi="Arial" w:cs="Arial"/>
          <w:bCs/>
          <w:sz w:val="24"/>
          <w:szCs w:val="24"/>
        </w:rPr>
        <w:t xml:space="preserve">The existing section 28 of the </w:t>
      </w:r>
      <w:r w:rsidR="00DA6924">
        <w:rPr>
          <w:rFonts w:ascii="Arial" w:hAnsi="Arial" w:cs="Arial"/>
          <w:bCs/>
          <w:sz w:val="24"/>
          <w:szCs w:val="24"/>
        </w:rPr>
        <w:t>R</w:t>
      </w:r>
      <w:r w:rsidRPr="00525E70">
        <w:rPr>
          <w:rFonts w:ascii="Arial" w:hAnsi="Arial" w:cs="Arial"/>
          <w:bCs/>
          <w:sz w:val="24"/>
          <w:szCs w:val="24"/>
        </w:rPr>
        <w:t xml:space="preserve">egulation </w:t>
      </w:r>
      <w:r w:rsidR="00DA6924">
        <w:rPr>
          <w:rFonts w:ascii="Arial" w:hAnsi="Arial" w:cs="Arial"/>
          <w:bCs/>
          <w:sz w:val="24"/>
          <w:szCs w:val="24"/>
        </w:rPr>
        <w:t>sets the length of</w:t>
      </w:r>
      <w:r w:rsidRPr="00525E70">
        <w:rPr>
          <w:rFonts w:ascii="Arial" w:hAnsi="Arial" w:cs="Arial"/>
          <w:bCs/>
          <w:sz w:val="24"/>
          <w:szCs w:val="24"/>
        </w:rPr>
        <w:t xml:space="preserve"> public notification </w:t>
      </w:r>
      <w:r w:rsidR="00DA6924">
        <w:rPr>
          <w:rFonts w:ascii="Arial" w:hAnsi="Arial" w:cs="Arial"/>
          <w:bCs/>
          <w:sz w:val="24"/>
          <w:szCs w:val="24"/>
        </w:rPr>
        <w:t>of development applications</w:t>
      </w:r>
      <w:r w:rsidRPr="00525E70">
        <w:rPr>
          <w:rFonts w:ascii="Arial" w:hAnsi="Arial" w:cs="Arial"/>
          <w:bCs/>
          <w:sz w:val="24"/>
          <w:szCs w:val="24"/>
        </w:rPr>
        <w:t xml:space="preserve"> </w:t>
      </w:r>
      <w:r w:rsidR="00DA6924">
        <w:rPr>
          <w:rFonts w:ascii="Arial" w:hAnsi="Arial" w:cs="Arial"/>
          <w:bCs/>
          <w:sz w:val="24"/>
          <w:szCs w:val="24"/>
        </w:rPr>
        <w:t>under</w:t>
      </w:r>
      <w:r w:rsidRPr="00525E70">
        <w:rPr>
          <w:rFonts w:ascii="Arial" w:hAnsi="Arial" w:cs="Arial"/>
          <w:bCs/>
          <w:sz w:val="24"/>
          <w:szCs w:val="24"/>
        </w:rPr>
        <w:t xml:space="preserve"> existing section 157 of the Act.</w:t>
      </w:r>
      <w:r>
        <w:rPr>
          <w:rFonts w:ascii="Arial" w:hAnsi="Arial" w:cs="Arial"/>
          <w:bCs/>
          <w:sz w:val="24"/>
          <w:szCs w:val="24"/>
        </w:rPr>
        <w:t xml:space="preserve"> </w:t>
      </w:r>
    </w:p>
    <w:p w14:paraId="3950E9B6" w14:textId="7EAFA711" w:rsidR="00DF5207" w:rsidRDefault="004E4856" w:rsidP="00DF5207">
      <w:pPr>
        <w:autoSpaceDE w:val="0"/>
        <w:autoSpaceDN w:val="0"/>
        <w:adjustRightInd w:val="0"/>
        <w:spacing w:after="120"/>
        <w:rPr>
          <w:rFonts w:ascii="Arial" w:hAnsi="Arial" w:cs="Arial"/>
          <w:sz w:val="24"/>
          <w:szCs w:val="24"/>
        </w:rPr>
      </w:pPr>
      <w:r>
        <w:rPr>
          <w:rFonts w:ascii="Arial" w:hAnsi="Arial" w:cs="Arial"/>
          <w:sz w:val="24"/>
          <w:szCs w:val="24"/>
        </w:rPr>
        <w:t xml:space="preserve">This clause excludes working days between 20 December and 10 January </w:t>
      </w:r>
      <w:r w:rsidR="00052A07">
        <w:rPr>
          <w:rFonts w:ascii="Arial" w:hAnsi="Arial" w:cs="Arial"/>
          <w:sz w:val="24"/>
          <w:szCs w:val="24"/>
        </w:rPr>
        <w:t xml:space="preserve">(inclusive) </w:t>
      </w:r>
      <w:r>
        <w:rPr>
          <w:rFonts w:ascii="Arial" w:hAnsi="Arial" w:cs="Arial"/>
          <w:sz w:val="24"/>
          <w:szCs w:val="24"/>
        </w:rPr>
        <w:t>from the public notification</w:t>
      </w:r>
      <w:r w:rsidR="00CD6AB4">
        <w:rPr>
          <w:rFonts w:ascii="Arial" w:hAnsi="Arial" w:cs="Arial"/>
          <w:sz w:val="24"/>
          <w:szCs w:val="24"/>
        </w:rPr>
        <w:t xml:space="preserve"> period</w:t>
      </w:r>
      <w:r w:rsidR="00052A07">
        <w:rPr>
          <w:rFonts w:ascii="Arial" w:hAnsi="Arial" w:cs="Arial"/>
          <w:sz w:val="24"/>
          <w:szCs w:val="24"/>
        </w:rPr>
        <w:t xml:space="preserve"> for development applications</w:t>
      </w:r>
      <w:r>
        <w:rPr>
          <w:rFonts w:ascii="Arial" w:hAnsi="Arial" w:cs="Arial"/>
          <w:sz w:val="24"/>
          <w:szCs w:val="24"/>
        </w:rPr>
        <w:t xml:space="preserve">.  Its effect is to extend the public notification period of development applications </w:t>
      </w:r>
      <w:r w:rsidR="00CD6AB4">
        <w:rPr>
          <w:rFonts w:ascii="Arial" w:hAnsi="Arial" w:cs="Arial"/>
          <w:sz w:val="24"/>
          <w:szCs w:val="24"/>
        </w:rPr>
        <w:t>released on public notification during and immediately before the Christmas/New Year period.</w:t>
      </w:r>
    </w:p>
    <w:p w14:paraId="47A8E3A5" w14:textId="77777777" w:rsidR="004E4856" w:rsidRDefault="004E4856" w:rsidP="00DF5207">
      <w:pPr>
        <w:autoSpaceDE w:val="0"/>
        <w:autoSpaceDN w:val="0"/>
        <w:adjustRightInd w:val="0"/>
        <w:spacing w:after="120"/>
        <w:rPr>
          <w:rFonts w:ascii="Arial" w:hAnsi="Arial" w:cs="Arial"/>
          <w:sz w:val="24"/>
          <w:szCs w:val="24"/>
        </w:rPr>
      </w:pPr>
    </w:p>
    <w:p w14:paraId="3D0BAD44" w14:textId="2F2B753A" w:rsidR="00CD6AB4" w:rsidRPr="00CD6AB4" w:rsidRDefault="00CD6AB4" w:rsidP="0064756C">
      <w:pPr>
        <w:keepNext/>
        <w:keepLines/>
        <w:autoSpaceDE w:val="0"/>
        <w:autoSpaceDN w:val="0"/>
        <w:adjustRightInd w:val="0"/>
        <w:spacing w:after="120"/>
        <w:rPr>
          <w:rFonts w:ascii="Arial" w:hAnsi="Arial" w:cs="Arial"/>
          <w:i/>
          <w:sz w:val="24"/>
          <w:szCs w:val="24"/>
        </w:rPr>
      </w:pPr>
      <w:r w:rsidRPr="00437134">
        <w:rPr>
          <w:rFonts w:ascii="Arial" w:hAnsi="Arial" w:cs="Arial"/>
          <w:b/>
          <w:bCs/>
          <w:caps/>
          <w:color w:val="000000"/>
          <w:sz w:val="24"/>
          <w:szCs w:val="24"/>
        </w:rPr>
        <w:t>Amendments to the</w:t>
      </w:r>
      <w:r>
        <w:rPr>
          <w:rFonts w:ascii="Arial" w:hAnsi="Arial" w:cs="Arial"/>
          <w:b/>
          <w:bCs/>
          <w:caps/>
          <w:color w:val="000000"/>
          <w:sz w:val="24"/>
          <w:szCs w:val="24"/>
        </w:rPr>
        <w:t xml:space="preserve"> </w:t>
      </w:r>
      <w:r>
        <w:rPr>
          <w:rFonts w:ascii="Arial" w:hAnsi="Arial" w:cs="Arial"/>
          <w:b/>
          <w:bCs/>
          <w:i/>
          <w:caps/>
          <w:color w:val="000000"/>
          <w:sz w:val="24"/>
          <w:szCs w:val="24"/>
        </w:rPr>
        <w:t>Residential Tenancies Act 1997</w:t>
      </w:r>
    </w:p>
    <w:p w14:paraId="0402D7A2" w14:textId="77777777" w:rsidR="00CD6AB4" w:rsidRDefault="00CD6AB4" w:rsidP="0064756C">
      <w:pPr>
        <w:keepNext/>
        <w:keepLines/>
        <w:autoSpaceDE w:val="0"/>
        <w:autoSpaceDN w:val="0"/>
        <w:adjustRightInd w:val="0"/>
        <w:spacing w:after="120"/>
        <w:rPr>
          <w:rFonts w:ascii="Arial" w:hAnsi="Arial" w:cs="Arial"/>
          <w:sz w:val="24"/>
          <w:szCs w:val="24"/>
        </w:rPr>
      </w:pPr>
    </w:p>
    <w:p w14:paraId="62DFE1B5" w14:textId="3F27D3B2" w:rsidR="00CD6AB4" w:rsidRDefault="00CD6AB4" w:rsidP="0064756C">
      <w:pPr>
        <w:keepNext/>
        <w:keepLines/>
        <w:autoSpaceDE w:val="0"/>
        <w:autoSpaceDN w:val="0"/>
        <w:adjustRightInd w:val="0"/>
        <w:spacing w:after="120"/>
        <w:rPr>
          <w:rFonts w:ascii="Arial" w:hAnsi="Arial" w:cs="Arial"/>
          <w:b/>
          <w:sz w:val="24"/>
          <w:szCs w:val="24"/>
        </w:rPr>
      </w:pPr>
      <w:r>
        <w:rPr>
          <w:rFonts w:ascii="Arial" w:hAnsi="Arial" w:cs="Arial"/>
          <w:b/>
          <w:sz w:val="24"/>
          <w:szCs w:val="24"/>
        </w:rPr>
        <w:t>Clause 2</w:t>
      </w:r>
      <w:r w:rsidR="0006438C">
        <w:rPr>
          <w:rFonts w:ascii="Arial" w:hAnsi="Arial" w:cs="Arial"/>
          <w:b/>
          <w:sz w:val="24"/>
          <w:szCs w:val="24"/>
        </w:rPr>
        <w:t>8</w:t>
      </w:r>
      <w:r w:rsidR="00DF5207" w:rsidRPr="00502259">
        <w:rPr>
          <w:rFonts w:ascii="Arial" w:hAnsi="Arial" w:cs="Arial"/>
          <w:b/>
          <w:sz w:val="24"/>
          <w:szCs w:val="24"/>
        </w:rPr>
        <w:tab/>
      </w:r>
      <w:r w:rsidRPr="00CD6AB4">
        <w:rPr>
          <w:rFonts w:ascii="Arial" w:hAnsi="Arial" w:cs="Arial"/>
          <w:b/>
          <w:sz w:val="24"/>
          <w:szCs w:val="24"/>
        </w:rPr>
        <w:t>Energy efficiency rating—ad</w:t>
      </w:r>
      <w:r>
        <w:rPr>
          <w:rFonts w:ascii="Arial" w:hAnsi="Arial" w:cs="Arial"/>
          <w:b/>
          <w:sz w:val="24"/>
          <w:szCs w:val="24"/>
        </w:rPr>
        <w:t>vertising</w:t>
      </w:r>
    </w:p>
    <w:p w14:paraId="7D0DE929" w14:textId="41E2D2FE" w:rsidR="00DF5207" w:rsidRPr="00502259" w:rsidRDefault="00CD6AB4" w:rsidP="0064756C">
      <w:pPr>
        <w:keepNext/>
        <w:keepLines/>
        <w:autoSpaceDE w:val="0"/>
        <w:autoSpaceDN w:val="0"/>
        <w:adjustRightInd w:val="0"/>
        <w:spacing w:after="120"/>
        <w:rPr>
          <w:rFonts w:ascii="Arial" w:hAnsi="Arial" w:cs="Arial"/>
          <w:b/>
          <w:sz w:val="24"/>
          <w:szCs w:val="24"/>
        </w:rPr>
      </w:pPr>
      <w:r w:rsidRPr="00CD6AB4">
        <w:rPr>
          <w:rFonts w:ascii="Arial" w:hAnsi="Arial" w:cs="Arial"/>
          <w:b/>
          <w:sz w:val="24"/>
          <w:szCs w:val="24"/>
        </w:rPr>
        <w:t>Section 11A (1) (b)</w:t>
      </w:r>
    </w:p>
    <w:p w14:paraId="471BB564" w14:textId="5185471F" w:rsidR="00F76038" w:rsidRDefault="00CD6AB4" w:rsidP="00CD6AB4">
      <w:pPr>
        <w:autoSpaceDE w:val="0"/>
        <w:autoSpaceDN w:val="0"/>
        <w:adjustRightInd w:val="0"/>
        <w:spacing w:after="120"/>
        <w:rPr>
          <w:rFonts w:ascii="Arial" w:hAnsi="Arial" w:cs="Arial"/>
          <w:sz w:val="24"/>
          <w:szCs w:val="24"/>
        </w:rPr>
      </w:pPr>
      <w:r w:rsidRPr="00CD6AB4">
        <w:rPr>
          <w:rFonts w:ascii="Arial" w:hAnsi="Arial" w:cs="Arial"/>
          <w:sz w:val="24"/>
          <w:szCs w:val="24"/>
        </w:rPr>
        <w:t xml:space="preserve">When a </w:t>
      </w:r>
      <w:r>
        <w:rPr>
          <w:rFonts w:ascii="Arial" w:hAnsi="Arial" w:cs="Arial"/>
          <w:sz w:val="24"/>
          <w:szCs w:val="24"/>
        </w:rPr>
        <w:t xml:space="preserve">residential </w:t>
      </w:r>
      <w:r w:rsidRPr="00CD6AB4">
        <w:rPr>
          <w:rFonts w:ascii="Arial" w:hAnsi="Arial" w:cs="Arial"/>
          <w:sz w:val="24"/>
          <w:szCs w:val="24"/>
        </w:rPr>
        <w:t xml:space="preserve">property is advertised for rental, any current, valid and complete ‘existing energy efficiency statement’ must be disclosed </w:t>
      </w:r>
      <w:r>
        <w:rPr>
          <w:rFonts w:ascii="Arial" w:hAnsi="Arial" w:cs="Arial"/>
          <w:sz w:val="24"/>
          <w:szCs w:val="24"/>
        </w:rPr>
        <w:t>in the advertisement (</w:t>
      </w:r>
      <w:r w:rsidR="00FA231E" w:rsidRPr="00525E70">
        <w:rPr>
          <w:rFonts w:ascii="Arial" w:hAnsi="Arial" w:cs="Arial"/>
          <w:sz w:val="24"/>
          <w:szCs w:val="24"/>
        </w:rPr>
        <w:t>the existing</w:t>
      </w:r>
      <w:r w:rsidR="00FA231E">
        <w:rPr>
          <w:rFonts w:ascii="Arial" w:hAnsi="Arial" w:cs="Arial"/>
          <w:sz w:val="24"/>
          <w:szCs w:val="24"/>
        </w:rPr>
        <w:t xml:space="preserve"> </w:t>
      </w:r>
      <w:r w:rsidRPr="00CD6AB4">
        <w:rPr>
          <w:rFonts w:ascii="Arial" w:hAnsi="Arial" w:cs="Arial"/>
          <w:sz w:val="24"/>
          <w:szCs w:val="24"/>
        </w:rPr>
        <w:t>s</w:t>
      </w:r>
      <w:r>
        <w:rPr>
          <w:rFonts w:ascii="Arial" w:hAnsi="Arial" w:cs="Arial"/>
          <w:sz w:val="24"/>
          <w:szCs w:val="24"/>
        </w:rPr>
        <w:t xml:space="preserve">ection </w:t>
      </w:r>
      <w:r w:rsidRPr="00CD6AB4">
        <w:rPr>
          <w:rFonts w:ascii="Arial" w:hAnsi="Arial" w:cs="Arial"/>
          <w:sz w:val="24"/>
          <w:szCs w:val="24"/>
        </w:rPr>
        <w:t>11A</w:t>
      </w:r>
      <w:r>
        <w:rPr>
          <w:rFonts w:ascii="Arial" w:hAnsi="Arial" w:cs="Arial"/>
          <w:sz w:val="24"/>
          <w:szCs w:val="24"/>
        </w:rPr>
        <w:t xml:space="preserve"> of the </w:t>
      </w:r>
      <w:r w:rsidRPr="00CD6AB4">
        <w:rPr>
          <w:rFonts w:ascii="Arial" w:hAnsi="Arial" w:cs="Arial"/>
          <w:i/>
          <w:sz w:val="24"/>
          <w:szCs w:val="24"/>
        </w:rPr>
        <w:t>Residential Tenancies Act 1997</w:t>
      </w:r>
      <w:r>
        <w:rPr>
          <w:rFonts w:ascii="Arial" w:hAnsi="Arial" w:cs="Arial"/>
          <w:sz w:val="24"/>
          <w:szCs w:val="24"/>
        </w:rPr>
        <w:t>).  The technical specifications determining currency</w:t>
      </w:r>
      <w:r w:rsidRPr="00CD6AB4">
        <w:rPr>
          <w:rFonts w:ascii="Arial" w:hAnsi="Arial" w:cs="Arial"/>
          <w:sz w:val="24"/>
          <w:szCs w:val="24"/>
        </w:rPr>
        <w:t>, valid</w:t>
      </w:r>
      <w:r>
        <w:rPr>
          <w:rFonts w:ascii="Arial" w:hAnsi="Arial" w:cs="Arial"/>
          <w:sz w:val="24"/>
          <w:szCs w:val="24"/>
        </w:rPr>
        <w:t>ity</w:t>
      </w:r>
      <w:r w:rsidRPr="00CD6AB4">
        <w:rPr>
          <w:rFonts w:ascii="Arial" w:hAnsi="Arial" w:cs="Arial"/>
          <w:sz w:val="24"/>
          <w:szCs w:val="24"/>
        </w:rPr>
        <w:t xml:space="preserve"> and complete</w:t>
      </w:r>
      <w:r>
        <w:rPr>
          <w:rFonts w:ascii="Arial" w:hAnsi="Arial" w:cs="Arial"/>
          <w:sz w:val="24"/>
          <w:szCs w:val="24"/>
        </w:rPr>
        <w:t>ness</w:t>
      </w:r>
      <w:r w:rsidRPr="00CD6AB4">
        <w:rPr>
          <w:rFonts w:ascii="Arial" w:hAnsi="Arial" w:cs="Arial"/>
          <w:sz w:val="24"/>
          <w:szCs w:val="24"/>
        </w:rPr>
        <w:t xml:space="preserve"> </w:t>
      </w:r>
      <w:r w:rsidR="009D72B7">
        <w:rPr>
          <w:rFonts w:ascii="Arial" w:hAnsi="Arial" w:cs="Arial"/>
          <w:sz w:val="24"/>
          <w:szCs w:val="24"/>
        </w:rPr>
        <w:t xml:space="preserve">of the </w:t>
      </w:r>
      <w:r w:rsidRPr="00CD6AB4">
        <w:rPr>
          <w:rFonts w:ascii="Arial" w:hAnsi="Arial" w:cs="Arial"/>
          <w:sz w:val="24"/>
          <w:szCs w:val="24"/>
        </w:rPr>
        <w:t>statement</w:t>
      </w:r>
      <w:r w:rsidR="009D72B7">
        <w:rPr>
          <w:rFonts w:ascii="Arial" w:hAnsi="Arial" w:cs="Arial"/>
          <w:sz w:val="24"/>
          <w:szCs w:val="24"/>
        </w:rPr>
        <w:t>,</w:t>
      </w:r>
      <w:r w:rsidRPr="00CD6AB4">
        <w:rPr>
          <w:rFonts w:ascii="Arial" w:hAnsi="Arial" w:cs="Arial"/>
          <w:sz w:val="24"/>
          <w:szCs w:val="24"/>
        </w:rPr>
        <w:t xml:space="preserve"> for both rental disclosure and sale of premises disclosure</w:t>
      </w:r>
      <w:r w:rsidR="009D72B7">
        <w:rPr>
          <w:rFonts w:ascii="Arial" w:hAnsi="Arial" w:cs="Arial"/>
          <w:sz w:val="24"/>
          <w:szCs w:val="24"/>
        </w:rPr>
        <w:t>,</w:t>
      </w:r>
      <w:r w:rsidRPr="00CD6AB4">
        <w:rPr>
          <w:rFonts w:ascii="Arial" w:hAnsi="Arial" w:cs="Arial"/>
          <w:sz w:val="24"/>
          <w:szCs w:val="24"/>
        </w:rPr>
        <w:t xml:space="preserve"> are determined</w:t>
      </w:r>
      <w:r w:rsidR="009D72B7">
        <w:rPr>
          <w:rFonts w:ascii="Arial" w:hAnsi="Arial" w:cs="Arial"/>
          <w:sz w:val="24"/>
          <w:szCs w:val="24"/>
        </w:rPr>
        <w:t xml:space="preserve"> by</w:t>
      </w:r>
      <w:r>
        <w:rPr>
          <w:rFonts w:ascii="Arial" w:hAnsi="Arial" w:cs="Arial"/>
          <w:sz w:val="24"/>
          <w:szCs w:val="24"/>
        </w:rPr>
        <w:t xml:space="preserve"> the </w:t>
      </w:r>
      <w:r w:rsidRPr="00CD6AB4">
        <w:rPr>
          <w:rFonts w:ascii="Arial" w:hAnsi="Arial" w:cs="Arial"/>
          <w:i/>
          <w:sz w:val="24"/>
          <w:szCs w:val="24"/>
        </w:rPr>
        <w:t>Construction Occupations (Licencing) Act</w:t>
      </w:r>
      <w:r>
        <w:rPr>
          <w:rFonts w:ascii="Arial" w:hAnsi="Arial" w:cs="Arial"/>
          <w:i/>
          <w:sz w:val="24"/>
          <w:szCs w:val="24"/>
        </w:rPr>
        <w:t xml:space="preserve"> 2004</w:t>
      </w:r>
      <w:r w:rsidRPr="00CD6AB4">
        <w:rPr>
          <w:rFonts w:ascii="Arial" w:hAnsi="Arial" w:cs="Arial"/>
          <w:sz w:val="24"/>
          <w:szCs w:val="24"/>
        </w:rPr>
        <w:t xml:space="preserve"> </w:t>
      </w:r>
      <w:r w:rsidR="009D72B7">
        <w:rPr>
          <w:rFonts w:ascii="Arial" w:hAnsi="Arial" w:cs="Arial"/>
          <w:sz w:val="24"/>
          <w:szCs w:val="24"/>
        </w:rPr>
        <w:t>and the</w:t>
      </w:r>
      <w:r w:rsidRPr="00CD6AB4">
        <w:rPr>
          <w:rFonts w:ascii="Arial" w:hAnsi="Arial" w:cs="Arial"/>
          <w:sz w:val="24"/>
          <w:szCs w:val="24"/>
        </w:rPr>
        <w:t xml:space="preserve"> </w:t>
      </w:r>
      <w:r w:rsidRPr="00CD6AB4">
        <w:rPr>
          <w:rFonts w:ascii="Arial" w:hAnsi="Arial" w:cs="Arial"/>
          <w:i/>
          <w:sz w:val="24"/>
          <w:szCs w:val="24"/>
        </w:rPr>
        <w:t>Construction Occupations (Licencing) Building Energy Efficiency Assessment Sale and Lease of Residential Premises Code of Practice 2016</w:t>
      </w:r>
      <w:r w:rsidR="00F76038">
        <w:rPr>
          <w:rFonts w:ascii="Arial" w:hAnsi="Arial" w:cs="Arial"/>
          <w:sz w:val="24"/>
          <w:szCs w:val="24"/>
        </w:rPr>
        <w:t>.</w:t>
      </w:r>
    </w:p>
    <w:p w14:paraId="7DC2D31F" w14:textId="0D0A9200" w:rsidR="00CD6AB4" w:rsidRPr="00CD6AB4" w:rsidRDefault="00CD6AB4" w:rsidP="00CD6AB4">
      <w:pPr>
        <w:autoSpaceDE w:val="0"/>
        <w:autoSpaceDN w:val="0"/>
        <w:adjustRightInd w:val="0"/>
        <w:spacing w:after="120"/>
        <w:rPr>
          <w:rFonts w:ascii="Arial" w:hAnsi="Arial" w:cs="Arial"/>
          <w:sz w:val="24"/>
          <w:szCs w:val="24"/>
        </w:rPr>
      </w:pPr>
      <w:r w:rsidRPr="00CD6AB4">
        <w:rPr>
          <w:rFonts w:ascii="Arial" w:hAnsi="Arial" w:cs="Arial"/>
          <w:sz w:val="24"/>
          <w:szCs w:val="24"/>
        </w:rPr>
        <w:t>Section 12 of the Code of Practice states that</w:t>
      </w:r>
      <w:r w:rsidR="000508D8">
        <w:rPr>
          <w:rFonts w:ascii="Arial" w:hAnsi="Arial" w:cs="Arial"/>
          <w:sz w:val="24"/>
          <w:szCs w:val="24"/>
        </w:rPr>
        <w:t xml:space="preserve"> currency means that</w:t>
      </w:r>
      <w:r w:rsidRPr="00CD6AB4">
        <w:rPr>
          <w:rFonts w:ascii="Arial" w:hAnsi="Arial" w:cs="Arial"/>
          <w:sz w:val="24"/>
          <w:szCs w:val="24"/>
        </w:rPr>
        <w:t>:</w:t>
      </w:r>
    </w:p>
    <w:p w14:paraId="362A4A84" w14:textId="2D1E137A" w:rsidR="00CD6AB4" w:rsidRPr="00CD6AB4" w:rsidRDefault="000508D8" w:rsidP="000508D8">
      <w:pPr>
        <w:autoSpaceDE w:val="0"/>
        <w:autoSpaceDN w:val="0"/>
        <w:adjustRightInd w:val="0"/>
        <w:spacing w:after="120"/>
        <w:ind w:left="567"/>
        <w:rPr>
          <w:rFonts w:ascii="Arial" w:hAnsi="Arial" w:cs="Arial"/>
          <w:sz w:val="24"/>
          <w:szCs w:val="24"/>
        </w:rPr>
      </w:pPr>
      <w:r>
        <w:rPr>
          <w:rFonts w:ascii="Arial" w:hAnsi="Arial" w:cs="Arial"/>
          <w:sz w:val="24"/>
          <w:szCs w:val="24"/>
        </w:rPr>
        <w:t>“</w:t>
      </w:r>
      <w:r w:rsidR="00CD6AB4" w:rsidRPr="00CD6AB4">
        <w:rPr>
          <w:rFonts w:ascii="Arial" w:hAnsi="Arial" w:cs="Arial"/>
          <w:sz w:val="24"/>
          <w:szCs w:val="24"/>
        </w:rPr>
        <w:t>(iii) the energy efficiency rating is not older than 6 months since it was issued; or</w:t>
      </w:r>
    </w:p>
    <w:p w14:paraId="0F798658" w14:textId="60D06E46" w:rsidR="00CD6AB4" w:rsidRPr="00CD6AB4" w:rsidRDefault="00CD6AB4" w:rsidP="000508D8">
      <w:pPr>
        <w:autoSpaceDE w:val="0"/>
        <w:autoSpaceDN w:val="0"/>
        <w:adjustRightInd w:val="0"/>
        <w:spacing w:after="120"/>
        <w:ind w:left="567"/>
        <w:rPr>
          <w:rFonts w:ascii="Arial" w:hAnsi="Arial" w:cs="Arial"/>
          <w:sz w:val="24"/>
          <w:szCs w:val="24"/>
        </w:rPr>
      </w:pPr>
      <w:r w:rsidRPr="00CD6AB4">
        <w:rPr>
          <w:rFonts w:ascii="Arial" w:hAnsi="Arial" w:cs="Arial"/>
          <w:sz w:val="24"/>
          <w:szCs w:val="24"/>
        </w:rPr>
        <w:t>(iv) if the energy efficiency rating is older than 6 months since it was issued, it is accompanied by a statutory declaration…</w:t>
      </w:r>
      <w:r w:rsidR="000508D8">
        <w:rPr>
          <w:rFonts w:ascii="Arial" w:hAnsi="Arial" w:cs="Arial"/>
          <w:sz w:val="24"/>
          <w:szCs w:val="24"/>
        </w:rPr>
        <w:t>”</w:t>
      </w:r>
    </w:p>
    <w:p w14:paraId="44239005" w14:textId="192568DF" w:rsidR="00CD6AB4" w:rsidRPr="00CD6AB4" w:rsidRDefault="00CD6AB4" w:rsidP="00CD6AB4">
      <w:pPr>
        <w:autoSpaceDE w:val="0"/>
        <w:autoSpaceDN w:val="0"/>
        <w:adjustRightInd w:val="0"/>
        <w:spacing w:after="120"/>
        <w:rPr>
          <w:rFonts w:ascii="Arial" w:hAnsi="Arial" w:cs="Arial"/>
          <w:sz w:val="24"/>
          <w:szCs w:val="24"/>
        </w:rPr>
      </w:pPr>
      <w:r>
        <w:rPr>
          <w:rFonts w:ascii="Arial" w:hAnsi="Arial" w:cs="Arial"/>
          <w:sz w:val="24"/>
          <w:szCs w:val="24"/>
        </w:rPr>
        <w:t>This clause extend</w:t>
      </w:r>
      <w:r w:rsidR="00C2527C">
        <w:rPr>
          <w:rFonts w:ascii="Arial" w:hAnsi="Arial" w:cs="Arial"/>
          <w:sz w:val="24"/>
          <w:szCs w:val="24"/>
        </w:rPr>
        <w:t>s</w:t>
      </w:r>
      <w:r w:rsidR="009D72B7" w:rsidRPr="009D72B7">
        <w:rPr>
          <w:rFonts w:ascii="Arial" w:hAnsi="Arial" w:cs="Arial"/>
          <w:sz w:val="24"/>
          <w:szCs w:val="24"/>
        </w:rPr>
        <w:t xml:space="preserve"> </w:t>
      </w:r>
      <w:r w:rsidR="009D72B7" w:rsidRPr="00CD6AB4">
        <w:rPr>
          <w:rFonts w:ascii="Arial" w:hAnsi="Arial" w:cs="Arial"/>
          <w:sz w:val="24"/>
          <w:szCs w:val="24"/>
        </w:rPr>
        <w:t>the currency period</w:t>
      </w:r>
      <w:r w:rsidR="009A36E8" w:rsidRPr="009A36E8">
        <w:rPr>
          <w:rFonts w:ascii="Arial" w:hAnsi="Arial" w:cs="Arial"/>
          <w:sz w:val="24"/>
          <w:szCs w:val="24"/>
        </w:rPr>
        <w:t xml:space="preserve"> </w:t>
      </w:r>
      <w:r w:rsidR="009A36E8" w:rsidRPr="00CD6AB4">
        <w:rPr>
          <w:rFonts w:ascii="Arial" w:hAnsi="Arial" w:cs="Arial"/>
          <w:sz w:val="24"/>
          <w:szCs w:val="24"/>
        </w:rPr>
        <w:t>wit</w:t>
      </w:r>
      <w:r w:rsidR="009A36E8">
        <w:rPr>
          <w:rFonts w:ascii="Arial" w:hAnsi="Arial" w:cs="Arial"/>
          <w:sz w:val="24"/>
          <w:szCs w:val="24"/>
        </w:rPr>
        <w:t>hout a statutory declaration</w:t>
      </w:r>
      <w:r w:rsidRPr="00CD6AB4">
        <w:rPr>
          <w:rFonts w:ascii="Arial" w:hAnsi="Arial" w:cs="Arial"/>
          <w:sz w:val="24"/>
          <w:szCs w:val="24"/>
        </w:rPr>
        <w:t>, for rental disclosure only, to 18 months</w:t>
      </w:r>
      <w:r>
        <w:rPr>
          <w:rFonts w:ascii="Arial" w:hAnsi="Arial" w:cs="Arial"/>
          <w:sz w:val="24"/>
          <w:szCs w:val="24"/>
        </w:rPr>
        <w:t xml:space="preserve">.  </w:t>
      </w:r>
      <w:r w:rsidRPr="00CD6AB4">
        <w:rPr>
          <w:rFonts w:ascii="Arial" w:hAnsi="Arial" w:cs="Arial"/>
          <w:sz w:val="24"/>
          <w:szCs w:val="24"/>
        </w:rPr>
        <w:t>The curre</w:t>
      </w:r>
      <w:r w:rsidR="000508D8">
        <w:rPr>
          <w:rFonts w:ascii="Arial" w:hAnsi="Arial" w:cs="Arial"/>
          <w:sz w:val="24"/>
          <w:szCs w:val="24"/>
        </w:rPr>
        <w:t xml:space="preserve">ncy period </w:t>
      </w:r>
      <w:r w:rsidR="009058A9">
        <w:rPr>
          <w:rFonts w:ascii="Arial" w:hAnsi="Arial" w:cs="Arial"/>
          <w:sz w:val="24"/>
          <w:szCs w:val="24"/>
        </w:rPr>
        <w:t xml:space="preserve">for the </w:t>
      </w:r>
      <w:r w:rsidR="000508D8">
        <w:rPr>
          <w:rFonts w:ascii="Arial" w:hAnsi="Arial" w:cs="Arial"/>
          <w:sz w:val="24"/>
          <w:szCs w:val="24"/>
        </w:rPr>
        <w:t xml:space="preserve">sale of premises </w:t>
      </w:r>
      <w:r w:rsidR="00C2527C">
        <w:rPr>
          <w:rFonts w:ascii="Arial" w:hAnsi="Arial" w:cs="Arial"/>
          <w:sz w:val="24"/>
          <w:szCs w:val="24"/>
        </w:rPr>
        <w:t>is</w:t>
      </w:r>
      <w:r>
        <w:rPr>
          <w:rFonts w:ascii="Arial" w:hAnsi="Arial" w:cs="Arial"/>
          <w:sz w:val="24"/>
          <w:szCs w:val="24"/>
        </w:rPr>
        <w:t xml:space="preserve"> not change</w:t>
      </w:r>
      <w:r w:rsidR="00C2527C">
        <w:rPr>
          <w:rFonts w:ascii="Arial" w:hAnsi="Arial" w:cs="Arial"/>
          <w:sz w:val="24"/>
          <w:szCs w:val="24"/>
        </w:rPr>
        <w:t>d</w:t>
      </w:r>
      <w:r>
        <w:rPr>
          <w:rFonts w:ascii="Arial" w:hAnsi="Arial" w:cs="Arial"/>
          <w:sz w:val="24"/>
          <w:szCs w:val="24"/>
        </w:rPr>
        <w:t>.</w:t>
      </w:r>
    </w:p>
    <w:p w14:paraId="7237E5B8" w14:textId="75F13298" w:rsidR="001078D9" w:rsidRDefault="001078D9" w:rsidP="00DB5218">
      <w:pPr>
        <w:autoSpaceDE w:val="0"/>
        <w:autoSpaceDN w:val="0"/>
        <w:adjustRightInd w:val="0"/>
        <w:spacing w:after="120"/>
        <w:rPr>
          <w:rFonts w:ascii="Arial" w:hAnsi="Arial" w:cs="Arial"/>
          <w:sz w:val="24"/>
          <w:szCs w:val="24"/>
        </w:rPr>
      </w:pPr>
    </w:p>
    <w:p w14:paraId="412EF6BE" w14:textId="37B071D2" w:rsidR="0006438C" w:rsidRPr="0006438C" w:rsidRDefault="0006438C" w:rsidP="00DB5218">
      <w:pPr>
        <w:autoSpaceDE w:val="0"/>
        <w:autoSpaceDN w:val="0"/>
        <w:adjustRightInd w:val="0"/>
        <w:spacing w:after="120"/>
        <w:rPr>
          <w:rFonts w:ascii="Arial" w:hAnsi="Arial" w:cs="Arial"/>
          <w:b/>
          <w:bCs/>
          <w:i/>
          <w:iCs/>
          <w:sz w:val="24"/>
          <w:szCs w:val="24"/>
        </w:rPr>
      </w:pPr>
      <w:r>
        <w:rPr>
          <w:rFonts w:ascii="Arial" w:hAnsi="Arial" w:cs="Arial"/>
          <w:b/>
          <w:bCs/>
          <w:sz w:val="24"/>
          <w:szCs w:val="24"/>
        </w:rPr>
        <w:t>Clause 29</w:t>
      </w:r>
      <w:r>
        <w:rPr>
          <w:rFonts w:ascii="Arial" w:hAnsi="Arial" w:cs="Arial"/>
          <w:b/>
          <w:bCs/>
          <w:sz w:val="24"/>
          <w:szCs w:val="24"/>
        </w:rPr>
        <w:tab/>
        <w:t xml:space="preserve">Section 11A (7), definition of </w:t>
      </w:r>
      <w:r>
        <w:rPr>
          <w:rFonts w:ascii="Arial" w:hAnsi="Arial" w:cs="Arial"/>
          <w:b/>
          <w:bCs/>
          <w:i/>
          <w:iCs/>
          <w:sz w:val="24"/>
          <w:szCs w:val="24"/>
        </w:rPr>
        <w:t>existing energy efficiency rating</w:t>
      </w:r>
    </w:p>
    <w:p w14:paraId="7D0DF4A5" w14:textId="2562524A" w:rsidR="0006438C" w:rsidRDefault="00E55FF2" w:rsidP="00DB5218">
      <w:pPr>
        <w:autoSpaceDE w:val="0"/>
        <w:autoSpaceDN w:val="0"/>
        <w:adjustRightInd w:val="0"/>
        <w:spacing w:after="120"/>
        <w:rPr>
          <w:rFonts w:ascii="Arial" w:hAnsi="Arial" w:cs="Arial"/>
          <w:sz w:val="24"/>
          <w:szCs w:val="24"/>
        </w:rPr>
      </w:pPr>
      <w:r>
        <w:rPr>
          <w:rFonts w:ascii="Arial" w:hAnsi="Arial" w:cs="Arial"/>
          <w:sz w:val="24"/>
          <w:szCs w:val="24"/>
        </w:rPr>
        <w:t>This clause is consequential to clause 28.</w:t>
      </w:r>
    </w:p>
    <w:sectPr w:rsidR="0006438C" w:rsidSect="007E32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49510" w14:textId="77777777" w:rsidR="008B5808" w:rsidRDefault="008B5808" w:rsidP="006951F3">
      <w:pPr>
        <w:spacing w:after="0" w:line="240" w:lineRule="auto"/>
      </w:pPr>
      <w:r>
        <w:separator/>
      </w:r>
    </w:p>
  </w:endnote>
  <w:endnote w:type="continuationSeparator" w:id="0">
    <w:p w14:paraId="5F64F350" w14:textId="77777777" w:rsidR="008B5808" w:rsidRDefault="008B5808" w:rsidP="0069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385" w14:textId="77777777" w:rsidR="000E65D9" w:rsidRDefault="000E6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A123" w14:textId="304DD5D5" w:rsidR="00A20ABF" w:rsidRDefault="00A20ABF" w:rsidP="00E16498">
    <w:pPr>
      <w:pStyle w:val="Footer"/>
      <w:tabs>
        <w:tab w:val="left" w:pos="4320"/>
      </w:tabs>
      <w:spacing w:after="0"/>
    </w:pPr>
    <w:r>
      <w:tab/>
    </w:r>
    <w:r>
      <w:fldChar w:fldCharType="begin"/>
    </w:r>
    <w:r>
      <w:instrText xml:space="preserve"> PAGE   \* MERGEFORMAT </w:instrText>
    </w:r>
    <w:r>
      <w:fldChar w:fldCharType="separate"/>
    </w:r>
    <w:r w:rsidR="001A5D34">
      <w:rPr>
        <w:noProof/>
      </w:rPr>
      <w:t>4</w:t>
    </w:r>
    <w:r>
      <w:fldChar w:fldCharType="end"/>
    </w:r>
  </w:p>
  <w:p w14:paraId="351127B8" w14:textId="6E2D816D" w:rsidR="000E65D9" w:rsidRPr="000E65D9" w:rsidRDefault="000E65D9" w:rsidP="000E65D9">
    <w:pPr>
      <w:pStyle w:val="Footer"/>
      <w:tabs>
        <w:tab w:val="left" w:pos="4320"/>
      </w:tabs>
      <w:spacing w:after="0"/>
      <w:jc w:val="center"/>
      <w:rPr>
        <w:rFonts w:ascii="Arial" w:hAnsi="Arial" w:cs="Arial"/>
        <w:sz w:val="14"/>
      </w:rPr>
    </w:pPr>
    <w:r w:rsidRPr="000E65D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0BA1" w14:textId="7D1BD881" w:rsidR="000E65D9" w:rsidRPr="000E65D9" w:rsidRDefault="000E65D9" w:rsidP="000E65D9">
    <w:pPr>
      <w:pStyle w:val="Footer"/>
      <w:jc w:val="center"/>
      <w:rPr>
        <w:rFonts w:ascii="Arial" w:hAnsi="Arial" w:cs="Arial"/>
        <w:sz w:val="14"/>
      </w:rPr>
    </w:pPr>
    <w:r w:rsidRPr="000E65D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24ED" w14:textId="77777777" w:rsidR="008B5808" w:rsidRDefault="008B5808" w:rsidP="006951F3">
      <w:pPr>
        <w:spacing w:after="0" w:line="240" w:lineRule="auto"/>
      </w:pPr>
      <w:r>
        <w:separator/>
      </w:r>
    </w:p>
  </w:footnote>
  <w:footnote w:type="continuationSeparator" w:id="0">
    <w:p w14:paraId="5AF2CAAA" w14:textId="77777777" w:rsidR="008B5808" w:rsidRDefault="008B5808" w:rsidP="0069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903B" w14:textId="77777777" w:rsidR="000E65D9" w:rsidRDefault="000E6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53EF" w14:textId="77777777" w:rsidR="000E65D9" w:rsidRDefault="000E6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C408" w14:textId="77777777" w:rsidR="00A20ABF" w:rsidRPr="002B2D92" w:rsidRDefault="00A20ABF" w:rsidP="00F561A8">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562"/>
    <w:multiLevelType w:val="hybridMultilevel"/>
    <w:tmpl w:val="821C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357C9"/>
    <w:multiLevelType w:val="hybridMultilevel"/>
    <w:tmpl w:val="E2624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D41522"/>
    <w:multiLevelType w:val="hybridMultilevel"/>
    <w:tmpl w:val="D4D8D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159BD"/>
    <w:multiLevelType w:val="hybridMultilevel"/>
    <w:tmpl w:val="42D8AA7C"/>
    <w:lvl w:ilvl="0" w:tplc="9A6EED6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8664544"/>
    <w:multiLevelType w:val="hybridMultilevel"/>
    <w:tmpl w:val="1B9200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15:restartNumberingAfterBreak="0">
    <w:nsid w:val="1ABA0E9F"/>
    <w:multiLevelType w:val="hybridMultilevel"/>
    <w:tmpl w:val="5668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E6CB8"/>
    <w:multiLevelType w:val="hybridMultilevel"/>
    <w:tmpl w:val="8672303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22E323D3"/>
    <w:multiLevelType w:val="hybridMultilevel"/>
    <w:tmpl w:val="1DB4F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72102"/>
    <w:multiLevelType w:val="hybridMultilevel"/>
    <w:tmpl w:val="ECE826BC"/>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2A1354D8"/>
    <w:multiLevelType w:val="hybridMultilevel"/>
    <w:tmpl w:val="3556811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2A9F5C04"/>
    <w:multiLevelType w:val="hybridMultilevel"/>
    <w:tmpl w:val="7F1CBB80"/>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C1BCB"/>
    <w:multiLevelType w:val="hybridMultilevel"/>
    <w:tmpl w:val="02EEC1F4"/>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851EE6"/>
    <w:multiLevelType w:val="hybridMultilevel"/>
    <w:tmpl w:val="2D884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E6F35"/>
    <w:multiLevelType w:val="hybridMultilevel"/>
    <w:tmpl w:val="0FC0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89381F"/>
    <w:multiLevelType w:val="hybridMultilevel"/>
    <w:tmpl w:val="5F328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70214B"/>
    <w:multiLevelType w:val="hybridMultilevel"/>
    <w:tmpl w:val="C06A4676"/>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56F6C"/>
    <w:multiLevelType w:val="hybridMultilevel"/>
    <w:tmpl w:val="9E2EED34"/>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0961C32"/>
    <w:multiLevelType w:val="hybridMultilevel"/>
    <w:tmpl w:val="D0CE0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FE171F"/>
    <w:multiLevelType w:val="hybridMultilevel"/>
    <w:tmpl w:val="80E06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A4372B"/>
    <w:multiLevelType w:val="hybridMultilevel"/>
    <w:tmpl w:val="3A6E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155A04"/>
    <w:multiLevelType w:val="hybridMultilevel"/>
    <w:tmpl w:val="A356A9D0"/>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3" w15:restartNumberingAfterBreak="0">
    <w:nsid w:val="6F222B2B"/>
    <w:multiLevelType w:val="hybridMultilevel"/>
    <w:tmpl w:val="51D23C06"/>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71C72E1A"/>
    <w:multiLevelType w:val="hybridMultilevel"/>
    <w:tmpl w:val="8C4A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2A7C12"/>
    <w:multiLevelType w:val="multilevel"/>
    <w:tmpl w:val="B39859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76F3BCC"/>
    <w:multiLevelType w:val="hybridMultilevel"/>
    <w:tmpl w:val="82486BBA"/>
    <w:lvl w:ilvl="0" w:tplc="0C090017">
      <w:start w:val="1"/>
      <w:numFmt w:val="lowerLetter"/>
      <w:lvlText w:val="%1)"/>
      <w:lvlJc w:val="left"/>
      <w:pPr>
        <w:ind w:left="778" w:hanging="360"/>
      </w:pPr>
      <w:rPr>
        <w:rFonts w:cs="Times New Roman"/>
      </w:rPr>
    </w:lvl>
    <w:lvl w:ilvl="1" w:tplc="0C090019" w:tentative="1">
      <w:start w:val="1"/>
      <w:numFmt w:val="lowerLetter"/>
      <w:lvlText w:val="%2."/>
      <w:lvlJc w:val="left"/>
      <w:pPr>
        <w:ind w:left="1498" w:hanging="360"/>
      </w:pPr>
      <w:rPr>
        <w:rFonts w:cs="Times New Roman"/>
      </w:rPr>
    </w:lvl>
    <w:lvl w:ilvl="2" w:tplc="0C09001B" w:tentative="1">
      <w:start w:val="1"/>
      <w:numFmt w:val="lowerRoman"/>
      <w:lvlText w:val="%3."/>
      <w:lvlJc w:val="right"/>
      <w:pPr>
        <w:ind w:left="2218" w:hanging="180"/>
      </w:pPr>
      <w:rPr>
        <w:rFonts w:cs="Times New Roman"/>
      </w:rPr>
    </w:lvl>
    <w:lvl w:ilvl="3" w:tplc="0C09000F" w:tentative="1">
      <w:start w:val="1"/>
      <w:numFmt w:val="decimal"/>
      <w:lvlText w:val="%4."/>
      <w:lvlJc w:val="left"/>
      <w:pPr>
        <w:ind w:left="2938" w:hanging="360"/>
      </w:pPr>
      <w:rPr>
        <w:rFonts w:cs="Times New Roman"/>
      </w:rPr>
    </w:lvl>
    <w:lvl w:ilvl="4" w:tplc="0C090019" w:tentative="1">
      <w:start w:val="1"/>
      <w:numFmt w:val="lowerLetter"/>
      <w:lvlText w:val="%5."/>
      <w:lvlJc w:val="left"/>
      <w:pPr>
        <w:ind w:left="3658" w:hanging="360"/>
      </w:pPr>
      <w:rPr>
        <w:rFonts w:cs="Times New Roman"/>
      </w:rPr>
    </w:lvl>
    <w:lvl w:ilvl="5" w:tplc="0C09001B" w:tentative="1">
      <w:start w:val="1"/>
      <w:numFmt w:val="lowerRoman"/>
      <w:lvlText w:val="%6."/>
      <w:lvlJc w:val="right"/>
      <w:pPr>
        <w:ind w:left="4378" w:hanging="180"/>
      </w:pPr>
      <w:rPr>
        <w:rFonts w:cs="Times New Roman"/>
      </w:rPr>
    </w:lvl>
    <w:lvl w:ilvl="6" w:tplc="0C09000F" w:tentative="1">
      <w:start w:val="1"/>
      <w:numFmt w:val="decimal"/>
      <w:lvlText w:val="%7."/>
      <w:lvlJc w:val="left"/>
      <w:pPr>
        <w:ind w:left="5098" w:hanging="360"/>
      </w:pPr>
      <w:rPr>
        <w:rFonts w:cs="Times New Roman"/>
      </w:rPr>
    </w:lvl>
    <w:lvl w:ilvl="7" w:tplc="0C090019" w:tentative="1">
      <w:start w:val="1"/>
      <w:numFmt w:val="lowerLetter"/>
      <w:lvlText w:val="%8."/>
      <w:lvlJc w:val="left"/>
      <w:pPr>
        <w:ind w:left="5818" w:hanging="360"/>
      </w:pPr>
      <w:rPr>
        <w:rFonts w:cs="Times New Roman"/>
      </w:rPr>
    </w:lvl>
    <w:lvl w:ilvl="8" w:tplc="0C09001B" w:tentative="1">
      <w:start w:val="1"/>
      <w:numFmt w:val="lowerRoman"/>
      <w:lvlText w:val="%9."/>
      <w:lvlJc w:val="right"/>
      <w:pPr>
        <w:ind w:left="6538" w:hanging="180"/>
      </w:pPr>
      <w:rPr>
        <w:rFonts w:cs="Times New Roman"/>
      </w:rPr>
    </w:lvl>
  </w:abstractNum>
  <w:abstractNum w:abstractNumId="27" w15:restartNumberingAfterBreak="0">
    <w:nsid w:val="78BE5A23"/>
    <w:multiLevelType w:val="hybridMultilevel"/>
    <w:tmpl w:val="6A6C2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9D06F9"/>
    <w:multiLevelType w:val="hybridMultilevel"/>
    <w:tmpl w:val="4566C89C"/>
    <w:lvl w:ilvl="0" w:tplc="847ADB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BFC4596"/>
    <w:multiLevelType w:val="hybridMultilevel"/>
    <w:tmpl w:val="81B2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761552"/>
    <w:multiLevelType w:val="hybridMultilevel"/>
    <w:tmpl w:val="226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0"/>
  </w:num>
  <w:num w:numId="4">
    <w:abstractNumId w:val="6"/>
  </w:num>
  <w:num w:numId="5">
    <w:abstractNumId w:val="8"/>
  </w:num>
  <w:num w:numId="6">
    <w:abstractNumId w:val="7"/>
  </w:num>
  <w:num w:numId="7">
    <w:abstractNumId w:val="26"/>
  </w:num>
  <w:num w:numId="8">
    <w:abstractNumId w:val="19"/>
  </w:num>
  <w:num w:numId="9">
    <w:abstractNumId w:val="2"/>
  </w:num>
  <w:num w:numId="10">
    <w:abstractNumId w:val="2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
  </w:num>
  <w:num w:numId="14">
    <w:abstractNumId w:val="13"/>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14"/>
  </w:num>
  <w:num w:numId="21">
    <w:abstractNumId w:val="10"/>
  </w:num>
  <w:num w:numId="22">
    <w:abstractNumId w:val="16"/>
  </w:num>
  <w:num w:numId="23">
    <w:abstractNumId w:val="11"/>
  </w:num>
  <w:num w:numId="24">
    <w:abstractNumId w:val="17"/>
  </w:num>
  <w:num w:numId="25">
    <w:abstractNumId w:val="28"/>
  </w:num>
  <w:num w:numId="26">
    <w:abstractNumId w:val="12"/>
  </w:num>
  <w:num w:numId="27">
    <w:abstractNumId w:val="15"/>
  </w:num>
  <w:num w:numId="28">
    <w:abstractNumId w:val="18"/>
  </w:num>
  <w:num w:numId="29">
    <w:abstractNumId w:val="24"/>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11CBEBF-7643-44D2-B306-585CE68D7600}"/>
    <w:docVar w:name="dgnword-eventsink" w:val="153025624"/>
  </w:docVars>
  <w:rsids>
    <w:rsidRoot w:val="006951F3"/>
    <w:rsid w:val="00006698"/>
    <w:rsid w:val="000075D4"/>
    <w:rsid w:val="00007A9B"/>
    <w:rsid w:val="00007BA0"/>
    <w:rsid w:val="00010EA1"/>
    <w:rsid w:val="0001140B"/>
    <w:rsid w:val="00016C0B"/>
    <w:rsid w:val="00017CE1"/>
    <w:rsid w:val="0002174B"/>
    <w:rsid w:val="0002255B"/>
    <w:rsid w:val="000225C2"/>
    <w:rsid w:val="0002396F"/>
    <w:rsid w:val="00024FEF"/>
    <w:rsid w:val="00025AFB"/>
    <w:rsid w:val="0003184C"/>
    <w:rsid w:val="00032F9A"/>
    <w:rsid w:val="000362BF"/>
    <w:rsid w:val="000369A2"/>
    <w:rsid w:val="00036F80"/>
    <w:rsid w:val="0004034A"/>
    <w:rsid w:val="00041BA6"/>
    <w:rsid w:val="00043C7A"/>
    <w:rsid w:val="00043ED2"/>
    <w:rsid w:val="00047029"/>
    <w:rsid w:val="000477BD"/>
    <w:rsid w:val="00047D88"/>
    <w:rsid w:val="00050879"/>
    <w:rsid w:val="000508D8"/>
    <w:rsid w:val="00050A79"/>
    <w:rsid w:val="000510DC"/>
    <w:rsid w:val="00052A07"/>
    <w:rsid w:val="000535C0"/>
    <w:rsid w:val="00055013"/>
    <w:rsid w:val="000570F9"/>
    <w:rsid w:val="00060431"/>
    <w:rsid w:val="00060B5C"/>
    <w:rsid w:val="00063C06"/>
    <w:rsid w:val="0006438C"/>
    <w:rsid w:val="00065C07"/>
    <w:rsid w:val="000664DD"/>
    <w:rsid w:val="0007004E"/>
    <w:rsid w:val="000702F8"/>
    <w:rsid w:val="0007285A"/>
    <w:rsid w:val="00074A06"/>
    <w:rsid w:val="000750AB"/>
    <w:rsid w:val="00075345"/>
    <w:rsid w:val="0007558C"/>
    <w:rsid w:val="00075710"/>
    <w:rsid w:val="00076761"/>
    <w:rsid w:val="00080928"/>
    <w:rsid w:val="00081121"/>
    <w:rsid w:val="0008128D"/>
    <w:rsid w:val="000817B5"/>
    <w:rsid w:val="00081B36"/>
    <w:rsid w:val="000826EF"/>
    <w:rsid w:val="00082FED"/>
    <w:rsid w:val="000846CD"/>
    <w:rsid w:val="00085C0B"/>
    <w:rsid w:val="00086699"/>
    <w:rsid w:val="000870BA"/>
    <w:rsid w:val="000928C9"/>
    <w:rsid w:val="00092CF4"/>
    <w:rsid w:val="00093065"/>
    <w:rsid w:val="00093189"/>
    <w:rsid w:val="000939E9"/>
    <w:rsid w:val="000951BB"/>
    <w:rsid w:val="00096077"/>
    <w:rsid w:val="00097866"/>
    <w:rsid w:val="000A1335"/>
    <w:rsid w:val="000A1AC5"/>
    <w:rsid w:val="000A28EA"/>
    <w:rsid w:val="000A3D24"/>
    <w:rsid w:val="000A65B7"/>
    <w:rsid w:val="000A6FD5"/>
    <w:rsid w:val="000A7DB4"/>
    <w:rsid w:val="000B0736"/>
    <w:rsid w:val="000B0E7E"/>
    <w:rsid w:val="000B1102"/>
    <w:rsid w:val="000B14C5"/>
    <w:rsid w:val="000B4F86"/>
    <w:rsid w:val="000B5A20"/>
    <w:rsid w:val="000B6927"/>
    <w:rsid w:val="000B7765"/>
    <w:rsid w:val="000C08EF"/>
    <w:rsid w:val="000C185F"/>
    <w:rsid w:val="000C2DB5"/>
    <w:rsid w:val="000C4C45"/>
    <w:rsid w:val="000C4CD1"/>
    <w:rsid w:val="000C5020"/>
    <w:rsid w:val="000C5B80"/>
    <w:rsid w:val="000C6DAC"/>
    <w:rsid w:val="000C6F59"/>
    <w:rsid w:val="000C73EE"/>
    <w:rsid w:val="000C76CE"/>
    <w:rsid w:val="000C774E"/>
    <w:rsid w:val="000C7BEC"/>
    <w:rsid w:val="000D346C"/>
    <w:rsid w:val="000D4176"/>
    <w:rsid w:val="000D41BF"/>
    <w:rsid w:val="000D4372"/>
    <w:rsid w:val="000D4DF2"/>
    <w:rsid w:val="000E0D60"/>
    <w:rsid w:val="000E20F0"/>
    <w:rsid w:val="000E2884"/>
    <w:rsid w:val="000E2A55"/>
    <w:rsid w:val="000E3302"/>
    <w:rsid w:val="000E5396"/>
    <w:rsid w:val="000E65D9"/>
    <w:rsid w:val="000E7850"/>
    <w:rsid w:val="000E79D8"/>
    <w:rsid w:val="000F06B6"/>
    <w:rsid w:val="000F0E37"/>
    <w:rsid w:val="000F1ABA"/>
    <w:rsid w:val="000F2FE9"/>
    <w:rsid w:val="000F34A8"/>
    <w:rsid w:val="000F3D85"/>
    <w:rsid w:val="000F510D"/>
    <w:rsid w:val="000F5790"/>
    <w:rsid w:val="000F5C11"/>
    <w:rsid w:val="000F616E"/>
    <w:rsid w:val="00104FE3"/>
    <w:rsid w:val="001078D9"/>
    <w:rsid w:val="00107C9A"/>
    <w:rsid w:val="001103B7"/>
    <w:rsid w:val="00110575"/>
    <w:rsid w:val="001114B6"/>
    <w:rsid w:val="001156F0"/>
    <w:rsid w:val="00122DF9"/>
    <w:rsid w:val="00123A45"/>
    <w:rsid w:val="001241C8"/>
    <w:rsid w:val="00124444"/>
    <w:rsid w:val="0012558F"/>
    <w:rsid w:val="00126688"/>
    <w:rsid w:val="001267AF"/>
    <w:rsid w:val="001274B9"/>
    <w:rsid w:val="00130791"/>
    <w:rsid w:val="00131363"/>
    <w:rsid w:val="00134FB0"/>
    <w:rsid w:val="00135310"/>
    <w:rsid w:val="00137120"/>
    <w:rsid w:val="001425E4"/>
    <w:rsid w:val="001502D9"/>
    <w:rsid w:val="00150E29"/>
    <w:rsid w:val="001512A3"/>
    <w:rsid w:val="00151AFD"/>
    <w:rsid w:val="00151B34"/>
    <w:rsid w:val="00151FDE"/>
    <w:rsid w:val="0015267C"/>
    <w:rsid w:val="001538E3"/>
    <w:rsid w:val="00153E79"/>
    <w:rsid w:val="00154910"/>
    <w:rsid w:val="001576F5"/>
    <w:rsid w:val="00160B8D"/>
    <w:rsid w:val="00162BAF"/>
    <w:rsid w:val="00163D77"/>
    <w:rsid w:val="00164E23"/>
    <w:rsid w:val="001660ED"/>
    <w:rsid w:val="00166D9A"/>
    <w:rsid w:val="00167DAE"/>
    <w:rsid w:val="001707A4"/>
    <w:rsid w:val="00170E52"/>
    <w:rsid w:val="00173438"/>
    <w:rsid w:val="001764F0"/>
    <w:rsid w:val="0017680D"/>
    <w:rsid w:val="00176DDB"/>
    <w:rsid w:val="001779BA"/>
    <w:rsid w:val="001803AA"/>
    <w:rsid w:val="00181969"/>
    <w:rsid w:val="001826C6"/>
    <w:rsid w:val="0018298B"/>
    <w:rsid w:val="00184091"/>
    <w:rsid w:val="001848A3"/>
    <w:rsid w:val="0018736D"/>
    <w:rsid w:val="00193712"/>
    <w:rsid w:val="00193E06"/>
    <w:rsid w:val="001945AB"/>
    <w:rsid w:val="00195A7C"/>
    <w:rsid w:val="00196191"/>
    <w:rsid w:val="00196FCD"/>
    <w:rsid w:val="00197D99"/>
    <w:rsid w:val="001A0558"/>
    <w:rsid w:val="001A11B7"/>
    <w:rsid w:val="001A1B68"/>
    <w:rsid w:val="001A25BA"/>
    <w:rsid w:val="001A3893"/>
    <w:rsid w:val="001A4BB2"/>
    <w:rsid w:val="001A5133"/>
    <w:rsid w:val="001A5D0F"/>
    <w:rsid w:val="001A5D34"/>
    <w:rsid w:val="001A5EC5"/>
    <w:rsid w:val="001A6914"/>
    <w:rsid w:val="001A7390"/>
    <w:rsid w:val="001A769B"/>
    <w:rsid w:val="001B1527"/>
    <w:rsid w:val="001B33DF"/>
    <w:rsid w:val="001B3434"/>
    <w:rsid w:val="001B4722"/>
    <w:rsid w:val="001C0B84"/>
    <w:rsid w:val="001C11C1"/>
    <w:rsid w:val="001C1CD0"/>
    <w:rsid w:val="001C2400"/>
    <w:rsid w:val="001C3AE2"/>
    <w:rsid w:val="001C5A39"/>
    <w:rsid w:val="001D0104"/>
    <w:rsid w:val="001D0138"/>
    <w:rsid w:val="001D094F"/>
    <w:rsid w:val="001D0F31"/>
    <w:rsid w:val="001D2EFB"/>
    <w:rsid w:val="001D3057"/>
    <w:rsid w:val="001D35CB"/>
    <w:rsid w:val="001D36F7"/>
    <w:rsid w:val="001D3C56"/>
    <w:rsid w:val="001D3FB4"/>
    <w:rsid w:val="001D42C6"/>
    <w:rsid w:val="001D5A63"/>
    <w:rsid w:val="001D5CCE"/>
    <w:rsid w:val="001D6BCD"/>
    <w:rsid w:val="001E23C2"/>
    <w:rsid w:val="001E243D"/>
    <w:rsid w:val="001E2D90"/>
    <w:rsid w:val="001E4488"/>
    <w:rsid w:val="001E5F75"/>
    <w:rsid w:val="001E719F"/>
    <w:rsid w:val="001E7CA7"/>
    <w:rsid w:val="001F0FBB"/>
    <w:rsid w:val="001F13F7"/>
    <w:rsid w:val="001F18E0"/>
    <w:rsid w:val="001F2ABF"/>
    <w:rsid w:val="001F6CDA"/>
    <w:rsid w:val="001F6EA2"/>
    <w:rsid w:val="00201E71"/>
    <w:rsid w:val="00203905"/>
    <w:rsid w:val="002039EC"/>
    <w:rsid w:val="00211A1A"/>
    <w:rsid w:val="00212E03"/>
    <w:rsid w:val="00213315"/>
    <w:rsid w:val="002137FC"/>
    <w:rsid w:val="002144A0"/>
    <w:rsid w:val="00214901"/>
    <w:rsid w:val="00217144"/>
    <w:rsid w:val="00217875"/>
    <w:rsid w:val="002202BC"/>
    <w:rsid w:val="00220402"/>
    <w:rsid w:val="0022111A"/>
    <w:rsid w:val="00225BAD"/>
    <w:rsid w:val="0022602E"/>
    <w:rsid w:val="00230C82"/>
    <w:rsid w:val="00232371"/>
    <w:rsid w:val="00232ECD"/>
    <w:rsid w:val="002337BB"/>
    <w:rsid w:val="00233C43"/>
    <w:rsid w:val="00237D71"/>
    <w:rsid w:val="00241657"/>
    <w:rsid w:val="002427EC"/>
    <w:rsid w:val="00243DCC"/>
    <w:rsid w:val="00244CCE"/>
    <w:rsid w:val="00245859"/>
    <w:rsid w:val="00251370"/>
    <w:rsid w:val="00252710"/>
    <w:rsid w:val="00252A62"/>
    <w:rsid w:val="00252F8E"/>
    <w:rsid w:val="00256502"/>
    <w:rsid w:val="0025687F"/>
    <w:rsid w:val="0025706E"/>
    <w:rsid w:val="00257321"/>
    <w:rsid w:val="00260D4F"/>
    <w:rsid w:val="00264402"/>
    <w:rsid w:val="00265DAB"/>
    <w:rsid w:val="00265DF8"/>
    <w:rsid w:val="00265ECF"/>
    <w:rsid w:val="002706B1"/>
    <w:rsid w:val="00270C68"/>
    <w:rsid w:val="002710F2"/>
    <w:rsid w:val="00271857"/>
    <w:rsid w:val="00272CC9"/>
    <w:rsid w:val="00275067"/>
    <w:rsid w:val="00275B27"/>
    <w:rsid w:val="00276343"/>
    <w:rsid w:val="0027662B"/>
    <w:rsid w:val="00276A60"/>
    <w:rsid w:val="002774C8"/>
    <w:rsid w:val="00280BAF"/>
    <w:rsid w:val="00281CBF"/>
    <w:rsid w:val="0028215E"/>
    <w:rsid w:val="00283804"/>
    <w:rsid w:val="00283F7F"/>
    <w:rsid w:val="00284566"/>
    <w:rsid w:val="002845A9"/>
    <w:rsid w:val="00284BD7"/>
    <w:rsid w:val="00284E00"/>
    <w:rsid w:val="002857CC"/>
    <w:rsid w:val="002878B8"/>
    <w:rsid w:val="0028791F"/>
    <w:rsid w:val="00292AF0"/>
    <w:rsid w:val="002930B0"/>
    <w:rsid w:val="002930D1"/>
    <w:rsid w:val="00294602"/>
    <w:rsid w:val="00294F01"/>
    <w:rsid w:val="00296427"/>
    <w:rsid w:val="00297FE1"/>
    <w:rsid w:val="002A2778"/>
    <w:rsid w:val="002A2A92"/>
    <w:rsid w:val="002A3363"/>
    <w:rsid w:val="002A3C9C"/>
    <w:rsid w:val="002A42B3"/>
    <w:rsid w:val="002A4C0C"/>
    <w:rsid w:val="002A5A83"/>
    <w:rsid w:val="002A6507"/>
    <w:rsid w:val="002A6D50"/>
    <w:rsid w:val="002A7650"/>
    <w:rsid w:val="002B0829"/>
    <w:rsid w:val="002B0D20"/>
    <w:rsid w:val="002B11B6"/>
    <w:rsid w:val="002B2D92"/>
    <w:rsid w:val="002B3866"/>
    <w:rsid w:val="002B398B"/>
    <w:rsid w:val="002B5320"/>
    <w:rsid w:val="002B7AF2"/>
    <w:rsid w:val="002C08CD"/>
    <w:rsid w:val="002C2725"/>
    <w:rsid w:val="002C32A0"/>
    <w:rsid w:val="002C39FB"/>
    <w:rsid w:val="002C3BAD"/>
    <w:rsid w:val="002C4189"/>
    <w:rsid w:val="002C4561"/>
    <w:rsid w:val="002C5B48"/>
    <w:rsid w:val="002C6D6A"/>
    <w:rsid w:val="002D0C6B"/>
    <w:rsid w:val="002D16E0"/>
    <w:rsid w:val="002D19DD"/>
    <w:rsid w:val="002D2FB0"/>
    <w:rsid w:val="002D3672"/>
    <w:rsid w:val="002D3BA0"/>
    <w:rsid w:val="002E1ECC"/>
    <w:rsid w:val="002E236B"/>
    <w:rsid w:val="002E2D95"/>
    <w:rsid w:val="002E3FF3"/>
    <w:rsid w:val="002E4C1D"/>
    <w:rsid w:val="002E4FF0"/>
    <w:rsid w:val="002E5A96"/>
    <w:rsid w:val="002E5F02"/>
    <w:rsid w:val="002E6F6E"/>
    <w:rsid w:val="002E73BB"/>
    <w:rsid w:val="002F0177"/>
    <w:rsid w:val="002F0493"/>
    <w:rsid w:val="002F26FE"/>
    <w:rsid w:val="002F2963"/>
    <w:rsid w:val="002F34D9"/>
    <w:rsid w:val="002F5488"/>
    <w:rsid w:val="002F5E41"/>
    <w:rsid w:val="002F6E1A"/>
    <w:rsid w:val="002F738C"/>
    <w:rsid w:val="002F7438"/>
    <w:rsid w:val="00302252"/>
    <w:rsid w:val="00302940"/>
    <w:rsid w:val="00303351"/>
    <w:rsid w:val="00303734"/>
    <w:rsid w:val="00303BDA"/>
    <w:rsid w:val="0030421D"/>
    <w:rsid w:val="00306FB9"/>
    <w:rsid w:val="0031183F"/>
    <w:rsid w:val="00312B9E"/>
    <w:rsid w:val="00313FE8"/>
    <w:rsid w:val="00315D1B"/>
    <w:rsid w:val="00315D4E"/>
    <w:rsid w:val="00321EA3"/>
    <w:rsid w:val="003223B8"/>
    <w:rsid w:val="00322973"/>
    <w:rsid w:val="003238B3"/>
    <w:rsid w:val="00323C87"/>
    <w:rsid w:val="00324FFD"/>
    <w:rsid w:val="00327E56"/>
    <w:rsid w:val="003333D3"/>
    <w:rsid w:val="003337F0"/>
    <w:rsid w:val="00335461"/>
    <w:rsid w:val="00335715"/>
    <w:rsid w:val="00335D50"/>
    <w:rsid w:val="003412E9"/>
    <w:rsid w:val="0034346D"/>
    <w:rsid w:val="0034478A"/>
    <w:rsid w:val="00350153"/>
    <w:rsid w:val="00350502"/>
    <w:rsid w:val="00350F9D"/>
    <w:rsid w:val="003511EF"/>
    <w:rsid w:val="0035163F"/>
    <w:rsid w:val="00351A88"/>
    <w:rsid w:val="00355953"/>
    <w:rsid w:val="003573D9"/>
    <w:rsid w:val="003575EF"/>
    <w:rsid w:val="0035797C"/>
    <w:rsid w:val="00362E25"/>
    <w:rsid w:val="00363DA4"/>
    <w:rsid w:val="00363DC2"/>
    <w:rsid w:val="003642AF"/>
    <w:rsid w:val="00364C03"/>
    <w:rsid w:val="00364E90"/>
    <w:rsid w:val="00366BCF"/>
    <w:rsid w:val="00366DD5"/>
    <w:rsid w:val="003714AF"/>
    <w:rsid w:val="0037199B"/>
    <w:rsid w:val="00371D43"/>
    <w:rsid w:val="00371FB4"/>
    <w:rsid w:val="0037325C"/>
    <w:rsid w:val="003733E2"/>
    <w:rsid w:val="003740ED"/>
    <w:rsid w:val="00374BED"/>
    <w:rsid w:val="00375238"/>
    <w:rsid w:val="0037736A"/>
    <w:rsid w:val="003776E4"/>
    <w:rsid w:val="00377843"/>
    <w:rsid w:val="00377C78"/>
    <w:rsid w:val="00377F58"/>
    <w:rsid w:val="0038064E"/>
    <w:rsid w:val="00381260"/>
    <w:rsid w:val="003822D5"/>
    <w:rsid w:val="00382976"/>
    <w:rsid w:val="00384510"/>
    <w:rsid w:val="00385810"/>
    <w:rsid w:val="00385CAD"/>
    <w:rsid w:val="003860E1"/>
    <w:rsid w:val="0039363A"/>
    <w:rsid w:val="0039372A"/>
    <w:rsid w:val="00393A42"/>
    <w:rsid w:val="00393E35"/>
    <w:rsid w:val="00396495"/>
    <w:rsid w:val="00396710"/>
    <w:rsid w:val="003A0C42"/>
    <w:rsid w:val="003A14BC"/>
    <w:rsid w:val="003A14FD"/>
    <w:rsid w:val="003A3CE0"/>
    <w:rsid w:val="003A3D32"/>
    <w:rsid w:val="003A4EBB"/>
    <w:rsid w:val="003A5846"/>
    <w:rsid w:val="003A74F5"/>
    <w:rsid w:val="003A7FB8"/>
    <w:rsid w:val="003B0F36"/>
    <w:rsid w:val="003B2E0E"/>
    <w:rsid w:val="003B2E84"/>
    <w:rsid w:val="003B54E1"/>
    <w:rsid w:val="003B5776"/>
    <w:rsid w:val="003B6589"/>
    <w:rsid w:val="003B6735"/>
    <w:rsid w:val="003B6FE1"/>
    <w:rsid w:val="003C3A51"/>
    <w:rsid w:val="003C437C"/>
    <w:rsid w:val="003C557A"/>
    <w:rsid w:val="003C6758"/>
    <w:rsid w:val="003C6843"/>
    <w:rsid w:val="003C6B46"/>
    <w:rsid w:val="003C73B1"/>
    <w:rsid w:val="003D0B33"/>
    <w:rsid w:val="003D29BC"/>
    <w:rsid w:val="003D2C32"/>
    <w:rsid w:val="003D4A35"/>
    <w:rsid w:val="003E0FD2"/>
    <w:rsid w:val="003E1399"/>
    <w:rsid w:val="003E3483"/>
    <w:rsid w:val="003E4A9A"/>
    <w:rsid w:val="003E5110"/>
    <w:rsid w:val="003E56FA"/>
    <w:rsid w:val="003E62C7"/>
    <w:rsid w:val="003E6DB7"/>
    <w:rsid w:val="003E76A9"/>
    <w:rsid w:val="003F1F1D"/>
    <w:rsid w:val="003F248D"/>
    <w:rsid w:val="004005D2"/>
    <w:rsid w:val="004024F9"/>
    <w:rsid w:val="00402565"/>
    <w:rsid w:val="00403D72"/>
    <w:rsid w:val="00404A3B"/>
    <w:rsid w:val="00404C57"/>
    <w:rsid w:val="004065C5"/>
    <w:rsid w:val="0041008F"/>
    <w:rsid w:val="004122B9"/>
    <w:rsid w:val="00415FE9"/>
    <w:rsid w:val="0041680C"/>
    <w:rsid w:val="00420B57"/>
    <w:rsid w:val="00422AC0"/>
    <w:rsid w:val="00422B2F"/>
    <w:rsid w:val="00423257"/>
    <w:rsid w:val="00423298"/>
    <w:rsid w:val="0042562E"/>
    <w:rsid w:val="004332DC"/>
    <w:rsid w:val="00433A31"/>
    <w:rsid w:val="0043424E"/>
    <w:rsid w:val="00434B8B"/>
    <w:rsid w:val="00435DA7"/>
    <w:rsid w:val="00436D4A"/>
    <w:rsid w:val="00437134"/>
    <w:rsid w:val="00440AF4"/>
    <w:rsid w:val="0044240A"/>
    <w:rsid w:val="00443584"/>
    <w:rsid w:val="004440A0"/>
    <w:rsid w:val="0044413E"/>
    <w:rsid w:val="00444B7E"/>
    <w:rsid w:val="004478DB"/>
    <w:rsid w:val="00447EA9"/>
    <w:rsid w:val="00450AB5"/>
    <w:rsid w:val="00454077"/>
    <w:rsid w:val="00454DF4"/>
    <w:rsid w:val="004554D3"/>
    <w:rsid w:val="0045598E"/>
    <w:rsid w:val="004575A5"/>
    <w:rsid w:val="00460C0C"/>
    <w:rsid w:val="0046182B"/>
    <w:rsid w:val="004630C9"/>
    <w:rsid w:val="0046489D"/>
    <w:rsid w:val="004652FD"/>
    <w:rsid w:val="004665CD"/>
    <w:rsid w:val="00467E06"/>
    <w:rsid w:val="00470223"/>
    <w:rsid w:val="00470CE1"/>
    <w:rsid w:val="00470DB7"/>
    <w:rsid w:val="00470E1D"/>
    <w:rsid w:val="00472254"/>
    <w:rsid w:val="00473E37"/>
    <w:rsid w:val="00473EF2"/>
    <w:rsid w:val="00476635"/>
    <w:rsid w:val="00476D65"/>
    <w:rsid w:val="00480B65"/>
    <w:rsid w:val="00486207"/>
    <w:rsid w:val="004917FF"/>
    <w:rsid w:val="00495164"/>
    <w:rsid w:val="00495C13"/>
    <w:rsid w:val="0049710E"/>
    <w:rsid w:val="004A024F"/>
    <w:rsid w:val="004A0FD4"/>
    <w:rsid w:val="004A21A5"/>
    <w:rsid w:val="004A4080"/>
    <w:rsid w:val="004A4129"/>
    <w:rsid w:val="004A762A"/>
    <w:rsid w:val="004B05E9"/>
    <w:rsid w:val="004B07C7"/>
    <w:rsid w:val="004B1129"/>
    <w:rsid w:val="004B3114"/>
    <w:rsid w:val="004B4BD2"/>
    <w:rsid w:val="004B60BD"/>
    <w:rsid w:val="004B6751"/>
    <w:rsid w:val="004B6CCD"/>
    <w:rsid w:val="004C143F"/>
    <w:rsid w:val="004C15AC"/>
    <w:rsid w:val="004C37BA"/>
    <w:rsid w:val="004C4C33"/>
    <w:rsid w:val="004C5670"/>
    <w:rsid w:val="004C6881"/>
    <w:rsid w:val="004C7DA8"/>
    <w:rsid w:val="004D12B9"/>
    <w:rsid w:val="004D12F7"/>
    <w:rsid w:val="004D36CE"/>
    <w:rsid w:val="004D38AE"/>
    <w:rsid w:val="004D4287"/>
    <w:rsid w:val="004D73C1"/>
    <w:rsid w:val="004E032F"/>
    <w:rsid w:val="004E097A"/>
    <w:rsid w:val="004E4145"/>
    <w:rsid w:val="004E43EF"/>
    <w:rsid w:val="004E4856"/>
    <w:rsid w:val="004E601F"/>
    <w:rsid w:val="004F1CD0"/>
    <w:rsid w:val="004F2977"/>
    <w:rsid w:val="004F439A"/>
    <w:rsid w:val="004F482A"/>
    <w:rsid w:val="0050016B"/>
    <w:rsid w:val="005012A0"/>
    <w:rsid w:val="005019E6"/>
    <w:rsid w:val="00502259"/>
    <w:rsid w:val="0050501E"/>
    <w:rsid w:val="0050564B"/>
    <w:rsid w:val="0050792E"/>
    <w:rsid w:val="00511432"/>
    <w:rsid w:val="00511BCC"/>
    <w:rsid w:val="00512435"/>
    <w:rsid w:val="0051460F"/>
    <w:rsid w:val="005210FB"/>
    <w:rsid w:val="0052190F"/>
    <w:rsid w:val="00522D0A"/>
    <w:rsid w:val="00525385"/>
    <w:rsid w:val="00525633"/>
    <w:rsid w:val="005258E0"/>
    <w:rsid w:val="00525E70"/>
    <w:rsid w:val="00527594"/>
    <w:rsid w:val="00531419"/>
    <w:rsid w:val="00533D32"/>
    <w:rsid w:val="0053495C"/>
    <w:rsid w:val="00534E27"/>
    <w:rsid w:val="005361AB"/>
    <w:rsid w:val="00537AA8"/>
    <w:rsid w:val="00537C18"/>
    <w:rsid w:val="005413DC"/>
    <w:rsid w:val="0054629B"/>
    <w:rsid w:val="00547334"/>
    <w:rsid w:val="00550E8A"/>
    <w:rsid w:val="00551C22"/>
    <w:rsid w:val="00551F53"/>
    <w:rsid w:val="00555090"/>
    <w:rsid w:val="00555270"/>
    <w:rsid w:val="00563716"/>
    <w:rsid w:val="00563984"/>
    <w:rsid w:val="00563F16"/>
    <w:rsid w:val="00563F72"/>
    <w:rsid w:val="005654D2"/>
    <w:rsid w:val="005656CA"/>
    <w:rsid w:val="005657B7"/>
    <w:rsid w:val="005661BD"/>
    <w:rsid w:val="0056705F"/>
    <w:rsid w:val="005717CB"/>
    <w:rsid w:val="00574685"/>
    <w:rsid w:val="00574889"/>
    <w:rsid w:val="0057510E"/>
    <w:rsid w:val="00580D61"/>
    <w:rsid w:val="00584728"/>
    <w:rsid w:val="00584B81"/>
    <w:rsid w:val="0059065B"/>
    <w:rsid w:val="005917B9"/>
    <w:rsid w:val="005940F7"/>
    <w:rsid w:val="005969ED"/>
    <w:rsid w:val="00596A9E"/>
    <w:rsid w:val="00596EB5"/>
    <w:rsid w:val="00597093"/>
    <w:rsid w:val="005A145E"/>
    <w:rsid w:val="005A27C3"/>
    <w:rsid w:val="005A68E0"/>
    <w:rsid w:val="005A6F32"/>
    <w:rsid w:val="005A71D9"/>
    <w:rsid w:val="005A7C00"/>
    <w:rsid w:val="005B1C2F"/>
    <w:rsid w:val="005B20DC"/>
    <w:rsid w:val="005B4D59"/>
    <w:rsid w:val="005B5E85"/>
    <w:rsid w:val="005B7EC9"/>
    <w:rsid w:val="005C068C"/>
    <w:rsid w:val="005C39C0"/>
    <w:rsid w:val="005C407C"/>
    <w:rsid w:val="005C45B9"/>
    <w:rsid w:val="005C5AD2"/>
    <w:rsid w:val="005D040D"/>
    <w:rsid w:val="005D04FD"/>
    <w:rsid w:val="005D18D4"/>
    <w:rsid w:val="005D1D76"/>
    <w:rsid w:val="005D3610"/>
    <w:rsid w:val="005D37D8"/>
    <w:rsid w:val="005D5499"/>
    <w:rsid w:val="005D79EA"/>
    <w:rsid w:val="005E0F44"/>
    <w:rsid w:val="005E1087"/>
    <w:rsid w:val="005E1A80"/>
    <w:rsid w:val="005E3770"/>
    <w:rsid w:val="005E3EDC"/>
    <w:rsid w:val="005E565C"/>
    <w:rsid w:val="005E60BB"/>
    <w:rsid w:val="005E634A"/>
    <w:rsid w:val="005E7885"/>
    <w:rsid w:val="005F037A"/>
    <w:rsid w:val="005F7BEA"/>
    <w:rsid w:val="006002DB"/>
    <w:rsid w:val="00601974"/>
    <w:rsid w:val="00601CF6"/>
    <w:rsid w:val="00601FE1"/>
    <w:rsid w:val="00606A8E"/>
    <w:rsid w:val="00607757"/>
    <w:rsid w:val="00611D0C"/>
    <w:rsid w:val="00611D44"/>
    <w:rsid w:val="006120A5"/>
    <w:rsid w:val="00612102"/>
    <w:rsid w:val="00612603"/>
    <w:rsid w:val="0061353A"/>
    <w:rsid w:val="006138CF"/>
    <w:rsid w:val="00616A7E"/>
    <w:rsid w:val="006176D7"/>
    <w:rsid w:val="00617E50"/>
    <w:rsid w:val="00620E63"/>
    <w:rsid w:val="00621696"/>
    <w:rsid w:val="006229F0"/>
    <w:rsid w:val="00622C71"/>
    <w:rsid w:val="00623326"/>
    <w:rsid w:val="006234BC"/>
    <w:rsid w:val="00623E3F"/>
    <w:rsid w:val="00625F98"/>
    <w:rsid w:val="00630903"/>
    <w:rsid w:val="006318A5"/>
    <w:rsid w:val="00631928"/>
    <w:rsid w:val="0063269D"/>
    <w:rsid w:val="00632842"/>
    <w:rsid w:val="00632FBD"/>
    <w:rsid w:val="00633506"/>
    <w:rsid w:val="006335B1"/>
    <w:rsid w:val="006351A7"/>
    <w:rsid w:val="00641AA2"/>
    <w:rsid w:val="0064340F"/>
    <w:rsid w:val="00643CB1"/>
    <w:rsid w:val="006445A1"/>
    <w:rsid w:val="00645CED"/>
    <w:rsid w:val="00646251"/>
    <w:rsid w:val="006473DA"/>
    <w:rsid w:val="0064756C"/>
    <w:rsid w:val="0065270C"/>
    <w:rsid w:val="00653F5F"/>
    <w:rsid w:val="006550C7"/>
    <w:rsid w:val="00656D18"/>
    <w:rsid w:val="006600B9"/>
    <w:rsid w:val="006600F4"/>
    <w:rsid w:val="00660A91"/>
    <w:rsid w:val="0066184F"/>
    <w:rsid w:val="00661C78"/>
    <w:rsid w:val="006644FE"/>
    <w:rsid w:val="006650C5"/>
    <w:rsid w:val="00666D5F"/>
    <w:rsid w:val="00667DF9"/>
    <w:rsid w:val="00670071"/>
    <w:rsid w:val="00670789"/>
    <w:rsid w:val="00671CE5"/>
    <w:rsid w:val="006746E8"/>
    <w:rsid w:val="00674D11"/>
    <w:rsid w:val="00676BB1"/>
    <w:rsid w:val="00681B14"/>
    <w:rsid w:val="0068261E"/>
    <w:rsid w:val="006877BC"/>
    <w:rsid w:val="00687C84"/>
    <w:rsid w:val="006900F5"/>
    <w:rsid w:val="0069184E"/>
    <w:rsid w:val="00692632"/>
    <w:rsid w:val="006951F3"/>
    <w:rsid w:val="006A033F"/>
    <w:rsid w:val="006B0D88"/>
    <w:rsid w:val="006B1896"/>
    <w:rsid w:val="006B1BBF"/>
    <w:rsid w:val="006B5050"/>
    <w:rsid w:val="006B66F7"/>
    <w:rsid w:val="006B6E4E"/>
    <w:rsid w:val="006C0843"/>
    <w:rsid w:val="006C0C69"/>
    <w:rsid w:val="006C3058"/>
    <w:rsid w:val="006C392C"/>
    <w:rsid w:val="006C39C8"/>
    <w:rsid w:val="006C3A93"/>
    <w:rsid w:val="006C64CA"/>
    <w:rsid w:val="006C6739"/>
    <w:rsid w:val="006D330F"/>
    <w:rsid w:val="006D445D"/>
    <w:rsid w:val="006D497E"/>
    <w:rsid w:val="006D57E3"/>
    <w:rsid w:val="006D58DA"/>
    <w:rsid w:val="006D5E09"/>
    <w:rsid w:val="006D5E19"/>
    <w:rsid w:val="006D6D18"/>
    <w:rsid w:val="006E1BF1"/>
    <w:rsid w:val="006E5094"/>
    <w:rsid w:val="006E68F3"/>
    <w:rsid w:val="006E734F"/>
    <w:rsid w:val="006E7BCD"/>
    <w:rsid w:val="006F07BD"/>
    <w:rsid w:val="006F0A8C"/>
    <w:rsid w:val="006F3F5D"/>
    <w:rsid w:val="006F6BA2"/>
    <w:rsid w:val="00701DA3"/>
    <w:rsid w:val="00705BC9"/>
    <w:rsid w:val="00707C53"/>
    <w:rsid w:val="00710916"/>
    <w:rsid w:val="00714353"/>
    <w:rsid w:val="007152C8"/>
    <w:rsid w:val="00715F1E"/>
    <w:rsid w:val="0072060A"/>
    <w:rsid w:val="00721200"/>
    <w:rsid w:val="00721230"/>
    <w:rsid w:val="007220BB"/>
    <w:rsid w:val="00722D8A"/>
    <w:rsid w:val="007259EF"/>
    <w:rsid w:val="00730256"/>
    <w:rsid w:val="007309E1"/>
    <w:rsid w:val="0073182F"/>
    <w:rsid w:val="00740A27"/>
    <w:rsid w:val="00741D95"/>
    <w:rsid w:val="0074271B"/>
    <w:rsid w:val="00742B75"/>
    <w:rsid w:val="00742DEE"/>
    <w:rsid w:val="00743C4B"/>
    <w:rsid w:val="007461AA"/>
    <w:rsid w:val="00747348"/>
    <w:rsid w:val="007527A0"/>
    <w:rsid w:val="00752B4C"/>
    <w:rsid w:val="0075431B"/>
    <w:rsid w:val="0075447B"/>
    <w:rsid w:val="00755C9E"/>
    <w:rsid w:val="007572A2"/>
    <w:rsid w:val="00760FAD"/>
    <w:rsid w:val="00761759"/>
    <w:rsid w:val="007619FA"/>
    <w:rsid w:val="00762D11"/>
    <w:rsid w:val="0076485A"/>
    <w:rsid w:val="0076799F"/>
    <w:rsid w:val="007728EF"/>
    <w:rsid w:val="007729EE"/>
    <w:rsid w:val="00772E2D"/>
    <w:rsid w:val="00776541"/>
    <w:rsid w:val="007801F1"/>
    <w:rsid w:val="00780EBB"/>
    <w:rsid w:val="00782ECF"/>
    <w:rsid w:val="007860E8"/>
    <w:rsid w:val="0078699C"/>
    <w:rsid w:val="007875DE"/>
    <w:rsid w:val="00787FC1"/>
    <w:rsid w:val="00790078"/>
    <w:rsid w:val="00791ADC"/>
    <w:rsid w:val="007927CF"/>
    <w:rsid w:val="00793C13"/>
    <w:rsid w:val="00794692"/>
    <w:rsid w:val="007954B6"/>
    <w:rsid w:val="0079555F"/>
    <w:rsid w:val="00795DD0"/>
    <w:rsid w:val="00796161"/>
    <w:rsid w:val="007965B7"/>
    <w:rsid w:val="007969C6"/>
    <w:rsid w:val="00797B79"/>
    <w:rsid w:val="007A4F26"/>
    <w:rsid w:val="007A72DA"/>
    <w:rsid w:val="007B087F"/>
    <w:rsid w:val="007B187E"/>
    <w:rsid w:val="007B1B2B"/>
    <w:rsid w:val="007B26CE"/>
    <w:rsid w:val="007B4341"/>
    <w:rsid w:val="007B4D30"/>
    <w:rsid w:val="007B69BF"/>
    <w:rsid w:val="007C0E42"/>
    <w:rsid w:val="007C27F9"/>
    <w:rsid w:val="007C3097"/>
    <w:rsid w:val="007C318A"/>
    <w:rsid w:val="007C78A6"/>
    <w:rsid w:val="007C7D5B"/>
    <w:rsid w:val="007D0355"/>
    <w:rsid w:val="007D04F5"/>
    <w:rsid w:val="007D062A"/>
    <w:rsid w:val="007D08B5"/>
    <w:rsid w:val="007D0C51"/>
    <w:rsid w:val="007D16D3"/>
    <w:rsid w:val="007D402E"/>
    <w:rsid w:val="007D4E1F"/>
    <w:rsid w:val="007D5B29"/>
    <w:rsid w:val="007D6E5E"/>
    <w:rsid w:val="007D72E0"/>
    <w:rsid w:val="007E0189"/>
    <w:rsid w:val="007E1329"/>
    <w:rsid w:val="007E1FDF"/>
    <w:rsid w:val="007E2762"/>
    <w:rsid w:val="007E320A"/>
    <w:rsid w:val="007E36C4"/>
    <w:rsid w:val="007E4618"/>
    <w:rsid w:val="007E4656"/>
    <w:rsid w:val="007E4A3D"/>
    <w:rsid w:val="007E5AFE"/>
    <w:rsid w:val="007F0ACB"/>
    <w:rsid w:val="007F1D2E"/>
    <w:rsid w:val="007F23AD"/>
    <w:rsid w:val="007F3714"/>
    <w:rsid w:val="007F69B7"/>
    <w:rsid w:val="007F7AF7"/>
    <w:rsid w:val="00801688"/>
    <w:rsid w:val="00802031"/>
    <w:rsid w:val="008020D0"/>
    <w:rsid w:val="008027B3"/>
    <w:rsid w:val="00804C92"/>
    <w:rsid w:val="008072A8"/>
    <w:rsid w:val="00807BFB"/>
    <w:rsid w:val="00810CC1"/>
    <w:rsid w:val="00811FB6"/>
    <w:rsid w:val="0081240D"/>
    <w:rsid w:val="0081533B"/>
    <w:rsid w:val="00815F65"/>
    <w:rsid w:val="008161B1"/>
    <w:rsid w:val="00822505"/>
    <w:rsid w:val="008244C4"/>
    <w:rsid w:val="0082563A"/>
    <w:rsid w:val="008257A6"/>
    <w:rsid w:val="008260A3"/>
    <w:rsid w:val="008271AC"/>
    <w:rsid w:val="00827CB6"/>
    <w:rsid w:val="00830EA1"/>
    <w:rsid w:val="0083138F"/>
    <w:rsid w:val="00831EDB"/>
    <w:rsid w:val="008327FF"/>
    <w:rsid w:val="00833338"/>
    <w:rsid w:val="00833A96"/>
    <w:rsid w:val="00834F69"/>
    <w:rsid w:val="00835902"/>
    <w:rsid w:val="0083643B"/>
    <w:rsid w:val="00836BF8"/>
    <w:rsid w:val="00836FF9"/>
    <w:rsid w:val="0083764E"/>
    <w:rsid w:val="00837CA9"/>
    <w:rsid w:val="0084351E"/>
    <w:rsid w:val="008447C0"/>
    <w:rsid w:val="00846FCF"/>
    <w:rsid w:val="00850766"/>
    <w:rsid w:val="00851C7B"/>
    <w:rsid w:val="00852086"/>
    <w:rsid w:val="00852784"/>
    <w:rsid w:val="00854EEB"/>
    <w:rsid w:val="008551C6"/>
    <w:rsid w:val="0085534E"/>
    <w:rsid w:val="00855536"/>
    <w:rsid w:val="00855789"/>
    <w:rsid w:val="00856B82"/>
    <w:rsid w:val="00862201"/>
    <w:rsid w:val="00862A40"/>
    <w:rsid w:val="00862B17"/>
    <w:rsid w:val="00863D75"/>
    <w:rsid w:val="00866C8D"/>
    <w:rsid w:val="00866EC5"/>
    <w:rsid w:val="00870328"/>
    <w:rsid w:val="008705A0"/>
    <w:rsid w:val="0087452F"/>
    <w:rsid w:val="00875153"/>
    <w:rsid w:val="00876382"/>
    <w:rsid w:val="00876F6A"/>
    <w:rsid w:val="008774A8"/>
    <w:rsid w:val="0088017A"/>
    <w:rsid w:val="00880302"/>
    <w:rsid w:val="008805D7"/>
    <w:rsid w:val="00880931"/>
    <w:rsid w:val="0088098C"/>
    <w:rsid w:val="00882AC0"/>
    <w:rsid w:val="0089247F"/>
    <w:rsid w:val="008932EB"/>
    <w:rsid w:val="00895259"/>
    <w:rsid w:val="008957A6"/>
    <w:rsid w:val="00897F23"/>
    <w:rsid w:val="008A1431"/>
    <w:rsid w:val="008A2719"/>
    <w:rsid w:val="008A4352"/>
    <w:rsid w:val="008A59E1"/>
    <w:rsid w:val="008A6242"/>
    <w:rsid w:val="008A729C"/>
    <w:rsid w:val="008B4300"/>
    <w:rsid w:val="008B5808"/>
    <w:rsid w:val="008B5942"/>
    <w:rsid w:val="008B5E89"/>
    <w:rsid w:val="008B71F3"/>
    <w:rsid w:val="008C09EA"/>
    <w:rsid w:val="008C3083"/>
    <w:rsid w:val="008C3144"/>
    <w:rsid w:val="008C3699"/>
    <w:rsid w:val="008C4B87"/>
    <w:rsid w:val="008C52D8"/>
    <w:rsid w:val="008C6513"/>
    <w:rsid w:val="008D399C"/>
    <w:rsid w:val="008D437D"/>
    <w:rsid w:val="008D46D1"/>
    <w:rsid w:val="008E1229"/>
    <w:rsid w:val="008E1386"/>
    <w:rsid w:val="008E1DA6"/>
    <w:rsid w:val="008E28D4"/>
    <w:rsid w:val="008E4345"/>
    <w:rsid w:val="008F09DF"/>
    <w:rsid w:val="008F127A"/>
    <w:rsid w:val="008F17D8"/>
    <w:rsid w:val="008F2E68"/>
    <w:rsid w:val="008F3193"/>
    <w:rsid w:val="008F3DDA"/>
    <w:rsid w:val="008F42D9"/>
    <w:rsid w:val="008F666A"/>
    <w:rsid w:val="008F6D7D"/>
    <w:rsid w:val="008F6E16"/>
    <w:rsid w:val="00901284"/>
    <w:rsid w:val="00904780"/>
    <w:rsid w:val="009058A9"/>
    <w:rsid w:val="009070D0"/>
    <w:rsid w:val="00912F8D"/>
    <w:rsid w:val="00913320"/>
    <w:rsid w:val="00913DD3"/>
    <w:rsid w:val="00914203"/>
    <w:rsid w:val="009147EC"/>
    <w:rsid w:val="009156DB"/>
    <w:rsid w:val="009166CE"/>
    <w:rsid w:val="009202CB"/>
    <w:rsid w:val="00926B0D"/>
    <w:rsid w:val="0092718D"/>
    <w:rsid w:val="009336BE"/>
    <w:rsid w:val="00936289"/>
    <w:rsid w:val="00936ED4"/>
    <w:rsid w:val="0093701B"/>
    <w:rsid w:val="00940568"/>
    <w:rsid w:val="00940EE2"/>
    <w:rsid w:val="00942948"/>
    <w:rsid w:val="00942ED8"/>
    <w:rsid w:val="00943833"/>
    <w:rsid w:val="00950A8D"/>
    <w:rsid w:val="0095144D"/>
    <w:rsid w:val="00954C26"/>
    <w:rsid w:val="00957CA1"/>
    <w:rsid w:val="009625BE"/>
    <w:rsid w:val="00962D23"/>
    <w:rsid w:val="00963298"/>
    <w:rsid w:val="009639EE"/>
    <w:rsid w:val="00965D91"/>
    <w:rsid w:val="00967C69"/>
    <w:rsid w:val="00967F09"/>
    <w:rsid w:val="00973A7F"/>
    <w:rsid w:val="00973B99"/>
    <w:rsid w:val="009744B4"/>
    <w:rsid w:val="00974B7D"/>
    <w:rsid w:val="009771C7"/>
    <w:rsid w:val="00980005"/>
    <w:rsid w:val="00982A64"/>
    <w:rsid w:val="00983CF1"/>
    <w:rsid w:val="00983D21"/>
    <w:rsid w:val="00984727"/>
    <w:rsid w:val="0098614F"/>
    <w:rsid w:val="0099041F"/>
    <w:rsid w:val="00992887"/>
    <w:rsid w:val="009943BB"/>
    <w:rsid w:val="0099495A"/>
    <w:rsid w:val="009A087D"/>
    <w:rsid w:val="009A238C"/>
    <w:rsid w:val="009A2FBA"/>
    <w:rsid w:val="009A3597"/>
    <w:rsid w:val="009A3652"/>
    <w:rsid w:val="009A36E8"/>
    <w:rsid w:val="009A4978"/>
    <w:rsid w:val="009B1BB9"/>
    <w:rsid w:val="009B1E12"/>
    <w:rsid w:val="009B1E40"/>
    <w:rsid w:val="009B2BD3"/>
    <w:rsid w:val="009B3F23"/>
    <w:rsid w:val="009B5AFF"/>
    <w:rsid w:val="009C0AD9"/>
    <w:rsid w:val="009C1AA4"/>
    <w:rsid w:val="009C2914"/>
    <w:rsid w:val="009C2954"/>
    <w:rsid w:val="009C2DDF"/>
    <w:rsid w:val="009C4657"/>
    <w:rsid w:val="009C4B45"/>
    <w:rsid w:val="009C4E13"/>
    <w:rsid w:val="009C4F4C"/>
    <w:rsid w:val="009C7492"/>
    <w:rsid w:val="009C75DF"/>
    <w:rsid w:val="009D269A"/>
    <w:rsid w:val="009D39A6"/>
    <w:rsid w:val="009D72B7"/>
    <w:rsid w:val="009E173F"/>
    <w:rsid w:val="009E229D"/>
    <w:rsid w:val="009E31AA"/>
    <w:rsid w:val="009E3260"/>
    <w:rsid w:val="009E3F5A"/>
    <w:rsid w:val="009E40C1"/>
    <w:rsid w:val="009E5B44"/>
    <w:rsid w:val="009E7D9A"/>
    <w:rsid w:val="009F011D"/>
    <w:rsid w:val="009F1D3F"/>
    <w:rsid w:val="009F2E82"/>
    <w:rsid w:val="009F40F7"/>
    <w:rsid w:val="009F4280"/>
    <w:rsid w:val="009F52E2"/>
    <w:rsid w:val="009F5750"/>
    <w:rsid w:val="009F7FDC"/>
    <w:rsid w:val="00A0111A"/>
    <w:rsid w:val="00A01D38"/>
    <w:rsid w:val="00A029C6"/>
    <w:rsid w:val="00A0557A"/>
    <w:rsid w:val="00A05EA6"/>
    <w:rsid w:val="00A0734E"/>
    <w:rsid w:val="00A07CE1"/>
    <w:rsid w:val="00A07EC3"/>
    <w:rsid w:val="00A1070D"/>
    <w:rsid w:val="00A1419C"/>
    <w:rsid w:val="00A14414"/>
    <w:rsid w:val="00A1692E"/>
    <w:rsid w:val="00A17F81"/>
    <w:rsid w:val="00A204A5"/>
    <w:rsid w:val="00A20ABF"/>
    <w:rsid w:val="00A232AB"/>
    <w:rsid w:val="00A23EDD"/>
    <w:rsid w:val="00A2430D"/>
    <w:rsid w:val="00A2717D"/>
    <w:rsid w:val="00A27890"/>
    <w:rsid w:val="00A27EAB"/>
    <w:rsid w:val="00A302A2"/>
    <w:rsid w:val="00A33809"/>
    <w:rsid w:val="00A34C1D"/>
    <w:rsid w:val="00A35FE3"/>
    <w:rsid w:val="00A413FD"/>
    <w:rsid w:val="00A417AB"/>
    <w:rsid w:val="00A41ACB"/>
    <w:rsid w:val="00A41F0F"/>
    <w:rsid w:val="00A44780"/>
    <w:rsid w:val="00A45AD4"/>
    <w:rsid w:val="00A45C9E"/>
    <w:rsid w:val="00A47D6A"/>
    <w:rsid w:val="00A51865"/>
    <w:rsid w:val="00A541D5"/>
    <w:rsid w:val="00A563AE"/>
    <w:rsid w:val="00A60CDF"/>
    <w:rsid w:val="00A61420"/>
    <w:rsid w:val="00A614A9"/>
    <w:rsid w:val="00A6404C"/>
    <w:rsid w:val="00A6467A"/>
    <w:rsid w:val="00A656FD"/>
    <w:rsid w:val="00A7138B"/>
    <w:rsid w:val="00A73CCA"/>
    <w:rsid w:val="00A76DE3"/>
    <w:rsid w:val="00A82038"/>
    <w:rsid w:val="00A84C20"/>
    <w:rsid w:val="00A86380"/>
    <w:rsid w:val="00A901A5"/>
    <w:rsid w:val="00A95F4C"/>
    <w:rsid w:val="00A9637B"/>
    <w:rsid w:val="00A97479"/>
    <w:rsid w:val="00A978ED"/>
    <w:rsid w:val="00A97AFE"/>
    <w:rsid w:val="00AA1542"/>
    <w:rsid w:val="00AA273F"/>
    <w:rsid w:val="00AA471D"/>
    <w:rsid w:val="00AA54EE"/>
    <w:rsid w:val="00AA64AB"/>
    <w:rsid w:val="00AA65E1"/>
    <w:rsid w:val="00AA78EE"/>
    <w:rsid w:val="00AA7C12"/>
    <w:rsid w:val="00AB02B8"/>
    <w:rsid w:val="00AB10D8"/>
    <w:rsid w:val="00AB1536"/>
    <w:rsid w:val="00AB1734"/>
    <w:rsid w:val="00AB2722"/>
    <w:rsid w:val="00AB4876"/>
    <w:rsid w:val="00AB5C68"/>
    <w:rsid w:val="00AC017C"/>
    <w:rsid w:val="00AC1C56"/>
    <w:rsid w:val="00AC42B4"/>
    <w:rsid w:val="00AC5708"/>
    <w:rsid w:val="00AC673A"/>
    <w:rsid w:val="00AC6AA4"/>
    <w:rsid w:val="00AD141D"/>
    <w:rsid w:val="00AD1E2C"/>
    <w:rsid w:val="00AD2EF2"/>
    <w:rsid w:val="00AD5AC4"/>
    <w:rsid w:val="00AD6D61"/>
    <w:rsid w:val="00AE0137"/>
    <w:rsid w:val="00AE142F"/>
    <w:rsid w:val="00AE1ACE"/>
    <w:rsid w:val="00AE1D59"/>
    <w:rsid w:val="00AE271C"/>
    <w:rsid w:val="00AE336B"/>
    <w:rsid w:val="00AE4116"/>
    <w:rsid w:val="00AE4456"/>
    <w:rsid w:val="00AE495E"/>
    <w:rsid w:val="00AE4A33"/>
    <w:rsid w:val="00AE65DF"/>
    <w:rsid w:val="00AE7992"/>
    <w:rsid w:val="00AF056D"/>
    <w:rsid w:val="00AF0771"/>
    <w:rsid w:val="00AF3151"/>
    <w:rsid w:val="00AF3AEE"/>
    <w:rsid w:val="00AF46D3"/>
    <w:rsid w:val="00AF4A45"/>
    <w:rsid w:val="00AF4A4D"/>
    <w:rsid w:val="00AF7D6A"/>
    <w:rsid w:val="00B01684"/>
    <w:rsid w:val="00B025BD"/>
    <w:rsid w:val="00B04384"/>
    <w:rsid w:val="00B04D03"/>
    <w:rsid w:val="00B052D3"/>
    <w:rsid w:val="00B06AEC"/>
    <w:rsid w:val="00B06C10"/>
    <w:rsid w:val="00B072A6"/>
    <w:rsid w:val="00B079E2"/>
    <w:rsid w:val="00B079F8"/>
    <w:rsid w:val="00B10321"/>
    <w:rsid w:val="00B105B9"/>
    <w:rsid w:val="00B15723"/>
    <w:rsid w:val="00B15C3E"/>
    <w:rsid w:val="00B15CB3"/>
    <w:rsid w:val="00B167A1"/>
    <w:rsid w:val="00B16B29"/>
    <w:rsid w:val="00B16C6B"/>
    <w:rsid w:val="00B207C3"/>
    <w:rsid w:val="00B22577"/>
    <w:rsid w:val="00B23BE1"/>
    <w:rsid w:val="00B2427E"/>
    <w:rsid w:val="00B25CAF"/>
    <w:rsid w:val="00B270E1"/>
    <w:rsid w:val="00B30B9E"/>
    <w:rsid w:val="00B30EB7"/>
    <w:rsid w:val="00B3183D"/>
    <w:rsid w:val="00B323C0"/>
    <w:rsid w:val="00B337C8"/>
    <w:rsid w:val="00B33BF6"/>
    <w:rsid w:val="00B3581D"/>
    <w:rsid w:val="00B37074"/>
    <w:rsid w:val="00B407ED"/>
    <w:rsid w:val="00B4086F"/>
    <w:rsid w:val="00B40B72"/>
    <w:rsid w:val="00B446C2"/>
    <w:rsid w:val="00B44770"/>
    <w:rsid w:val="00B448F4"/>
    <w:rsid w:val="00B44C50"/>
    <w:rsid w:val="00B44FAA"/>
    <w:rsid w:val="00B4508D"/>
    <w:rsid w:val="00B4588A"/>
    <w:rsid w:val="00B4673F"/>
    <w:rsid w:val="00B47895"/>
    <w:rsid w:val="00B519C9"/>
    <w:rsid w:val="00B52E1E"/>
    <w:rsid w:val="00B5330A"/>
    <w:rsid w:val="00B55D49"/>
    <w:rsid w:val="00B60561"/>
    <w:rsid w:val="00B613EE"/>
    <w:rsid w:val="00B61568"/>
    <w:rsid w:val="00B61C42"/>
    <w:rsid w:val="00B62324"/>
    <w:rsid w:val="00B6260A"/>
    <w:rsid w:val="00B6329E"/>
    <w:rsid w:val="00B63399"/>
    <w:rsid w:val="00B63D6B"/>
    <w:rsid w:val="00B64226"/>
    <w:rsid w:val="00B658BE"/>
    <w:rsid w:val="00B71E27"/>
    <w:rsid w:val="00B73E5F"/>
    <w:rsid w:val="00B75FB5"/>
    <w:rsid w:val="00B76B72"/>
    <w:rsid w:val="00B803BA"/>
    <w:rsid w:val="00B82A58"/>
    <w:rsid w:val="00B82FF3"/>
    <w:rsid w:val="00B832DB"/>
    <w:rsid w:val="00B8352B"/>
    <w:rsid w:val="00B83FB8"/>
    <w:rsid w:val="00B85465"/>
    <w:rsid w:val="00B8653B"/>
    <w:rsid w:val="00B8758A"/>
    <w:rsid w:val="00B87845"/>
    <w:rsid w:val="00B912A2"/>
    <w:rsid w:val="00B92E7C"/>
    <w:rsid w:val="00B93EC1"/>
    <w:rsid w:val="00B95F99"/>
    <w:rsid w:val="00B972C9"/>
    <w:rsid w:val="00BA00A4"/>
    <w:rsid w:val="00BA0F07"/>
    <w:rsid w:val="00BA1058"/>
    <w:rsid w:val="00BA2BC5"/>
    <w:rsid w:val="00BA3273"/>
    <w:rsid w:val="00BA3C5A"/>
    <w:rsid w:val="00BA4DDA"/>
    <w:rsid w:val="00BA5421"/>
    <w:rsid w:val="00BA5E98"/>
    <w:rsid w:val="00BB1A35"/>
    <w:rsid w:val="00BB1B31"/>
    <w:rsid w:val="00BB23C9"/>
    <w:rsid w:val="00BB409F"/>
    <w:rsid w:val="00BB4C36"/>
    <w:rsid w:val="00BB540A"/>
    <w:rsid w:val="00BB63FC"/>
    <w:rsid w:val="00BB6954"/>
    <w:rsid w:val="00BB6D1F"/>
    <w:rsid w:val="00BC1B49"/>
    <w:rsid w:val="00BC2147"/>
    <w:rsid w:val="00BC28F0"/>
    <w:rsid w:val="00BC4DE7"/>
    <w:rsid w:val="00BC6359"/>
    <w:rsid w:val="00BC6484"/>
    <w:rsid w:val="00BD0038"/>
    <w:rsid w:val="00BD1318"/>
    <w:rsid w:val="00BD1CE2"/>
    <w:rsid w:val="00BD2B98"/>
    <w:rsid w:val="00BD3603"/>
    <w:rsid w:val="00BD3C23"/>
    <w:rsid w:val="00BD3C33"/>
    <w:rsid w:val="00BD41A0"/>
    <w:rsid w:val="00BD4429"/>
    <w:rsid w:val="00BD51F9"/>
    <w:rsid w:val="00BD530D"/>
    <w:rsid w:val="00BD56D4"/>
    <w:rsid w:val="00BD7CED"/>
    <w:rsid w:val="00BE0206"/>
    <w:rsid w:val="00BE16C4"/>
    <w:rsid w:val="00BE217B"/>
    <w:rsid w:val="00BE220E"/>
    <w:rsid w:val="00BE28CB"/>
    <w:rsid w:val="00BE4515"/>
    <w:rsid w:val="00BE7B6D"/>
    <w:rsid w:val="00BF087D"/>
    <w:rsid w:val="00BF0B03"/>
    <w:rsid w:val="00BF2374"/>
    <w:rsid w:val="00BF5ED5"/>
    <w:rsid w:val="00BF65F2"/>
    <w:rsid w:val="00BF7D4C"/>
    <w:rsid w:val="00C0021D"/>
    <w:rsid w:val="00C0045D"/>
    <w:rsid w:val="00C022F6"/>
    <w:rsid w:val="00C03E2A"/>
    <w:rsid w:val="00C04568"/>
    <w:rsid w:val="00C045F1"/>
    <w:rsid w:val="00C059A8"/>
    <w:rsid w:val="00C05DCE"/>
    <w:rsid w:val="00C06B62"/>
    <w:rsid w:val="00C07DD6"/>
    <w:rsid w:val="00C10C68"/>
    <w:rsid w:val="00C119AD"/>
    <w:rsid w:val="00C11F12"/>
    <w:rsid w:val="00C12099"/>
    <w:rsid w:val="00C1320F"/>
    <w:rsid w:val="00C174BB"/>
    <w:rsid w:val="00C1760E"/>
    <w:rsid w:val="00C21761"/>
    <w:rsid w:val="00C21C6C"/>
    <w:rsid w:val="00C23801"/>
    <w:rsid w:val="00C23D32"/>
    <w:rsid w:val="00C241FB"/>
    <w:rsid w:val="00C2527C"/>
    <w:rsid w:val="00C26CE4"/>
    <w:rsid w:val="00C26E4C"/>
    <w:rsid w:val="00C27008"/>
    <w:rsid w:val="00C33BEF"/>
    <w:rsid w:val="00C342A1"/>
    <w:rsid w:val="00C35CC0"/>
    <w:rsid w:val="00C35EFF"/>
    <w:rsid w:val="00C3605E"/>
    <w:rsid w:val="00C36C60"/>
    <w:rsid w:val="00C41D4A"/>
    <w:rsid w:val="00C42854"/>
    <w:rsid w:val="00C431C6"/>
    <w:rsid w:val="00C44822"/>
    <w:rsid w:val="00C4564D"/>
    <w:rsid w:val="00C47F8C"/>
    <w:rsid w:val="00C50569"/>
    <w:rsid w:val="00C55D32"/>
    <w:rsid w:val="00C56806"/>
    <w:rsid w:val="00C5709B"/>
    <w:rsid w:val="00C57917"/>
    <w:rsid w:val="00C60B58"/>
    <w:rsid w:val="00C6305C"/>
    <w:rsid w:val="00C6373D"/>
    <w:rsid w:val="00C63740"/>
    <w:rsid w:val="00C66B72"/>
    <w:rsid w:val="00C67BA0"/>
    <w:rsid w:val="00C72605"/>
    <w:rsid w:val="00C72B7C"/>
    <w:rsid w:val="00C73950"/>
    <w:rsid w:val="00C74E50"/>
    <w:rsid w:val="00C76EFC"/>
    <w:rsid w:val="00C80913"/>
    <w:rsid w:val="00C84121"/>
    <w:rsid w:val="00C843A9"/>
    <w:rsid w:val="00C84F75"/>
    <w:rsid w:val="00C90C45"/>
    <w:rsid w:val="00C91F16"/>
    <w:rsid w:val="00C932CA"/>
    <w:rsid w:val="00C95A19"/>
    <w:rsid w:val="00C95B59"/>
    <w:rsid w:val="00C96381"/>
    <w:rsid w:val="00C96774"/>
    <w:rsid w:val="00CA0034"/>
    <w:rsid w:val="00CA3311"/>
    <w:rsid w:val="00CA69A5"/>
    <w:rsid w:val="00CA6D6C"/>
    <w:rsid w:val="00CA7A31"/>
    <w:rsid w:val="00CB032E"/>
    <w:rsid w:val="00CB0679"/>
    <w:rsid w:val="00CB1363"/>
    <w:rsid w:val="00CB1E04"/>
    <w:rsid w:val="00CB201D"/>
    <w:rsid w:val="00CB2356"/>
    <w:rsid w:val="00CB7ECB"/>
    <w:rsid w:val="00CC0620"/>
    <w:rsid w:val="00CC0C33"/>
    <w:rsid w:val="00CC1984"/>
    <w:rsid w:val="00CC7531"/>
    <w:rsid w:val="00CD16DD"/>
    <w:rsid w:val="00CD2CEE"/>
    <w:rsid w:val="00CD42AA"/>
    <w:rsid w:val="00CD53EC"/>
    <w:rsid w:val="00CD6AB4"/>
    <w:rsid w:val="00CE076E"/>
    <w:rsid w:val="00CE16F5"/>
    <w:rsid w:val="00CE22E4"/>
    <w:rsid w:val="00CE2E79"/>
    <w:rsid w:val="00CE4495"/>
    <w:rsid w:val="00CE58DC"/>
    <w:rsid w:val="00CE6930"/>
    <w:rsid w:val="00CE7685"/>
    <w:rsid w:val="00CF1CE4"/>
    <w:rsid w:val="00CF2DBE"/>
    <w:rsid w:val="00CF37B7"/>
    <w:rsid w:val="00CF398C"/>
    <w:rsid w:val="00CF4607"/>
    <w:rsid w:val="00CF661D"/>
    <w:rsid w:val="00CF68C7"/>
    <w:rsid w:val="00D00623"/>
    <w:rsid w:val="00D009C0"/>
    <w:rsid w:val="00D012F9"/>
    <w:rsid w:val="00D018CD"/>
    <w:rsid w:val="00D023B4"/>
    <w:rsid w:val="00D03196"/>
    <w:rsid w:val="00D037BC"/>
    <w:rsid w:val="00D041EB"/>
    <w:rsid w:val="00D0506A"/>
    <w:rsid w:val="00D05645"/>
    <w:rsid w:val="00D072AB"/>
    <w:rsid w:val="00D109D8"/>
    <w:rsid w:val="00D10C03"/>
    <w:rsid w:val="00D11846"/>
    <w:rsid w:val="00D13C1E"/>
    <w:rsid w:val="00D149C5"/>
    <w:rsid w:val="00D161D6"/>
    <w:rsid w:val="00D17850"/>
    <w:rsid w:val="00D17ED2"/>
    <w:rsid w:val="00D218DE"/>
    <w:rsid w:val="00D21F30"/>
    <w:rsid w:val="00D22213"/>
    <w:rsid w:val="00D2499F"/>
    <w:rsid w:val="00D26EFA"/>
    <w:rsid w:val="00D3019B"/>
    <w:rsid w:val="00D3183A"/>
    <w:rsid w:val="00D31BD4"/>
    <w:rsid w:val="00D32811"/>
    <w:rsid w:val="00D35043"/>
    <w:rsid w:val="00D36CBA"/>
    <w:rsid w:val="00D40249"/>
    <w:rsid w:val="00D40E50"/>
    <w:rsid w:val="00D41BB2"/>
    <w:rsid w:val="00D444FD"/>
    <w:rsid w:val="00D47A9A"/>
    <w:rsid w:val="00D47AA7"/>
    <w:rsid w:val="00D47F46"/>
    <w:rsid w:val="00D50FE4"/>
    <w:rsid w:val="00D52072"/>
    <w:rsid w:val="00D52954"/>
    <w:rsid w:val="00D52FA9"/>
    <w:rsid w:val="00D53003"/>
    <w:rsid w:val="00D53F6B"/>
    <w:rsid w:val="00D541F6"/>
    <w:rsid w:val="00D5421B"/>
    <w:rsid w:val="00D55C02"/>
    <w:rsid w:val="00D62DF9"/>
    <w:rsid w:val="00D62E19"/>
    <w:rsid w:val="00D62F59"/>
    <w:rsid w:val="00D63302"/>
    <w:rsid w:val="00D636F1"/>
    <w:rsid w:val="00D64127"/>
    <w:rsid w:val="00D67A33"/>
    <w:rsid w:val="00D71130"/>
    <w:rsid w:val="00D7171B"/>
    <w:rsid w:val="00D72705"/>
    <w:rsid w:val="00D72849"/>
    <w:rsid w:val="00D73920"/>
    <w:rsid w:val="00D747A3"/>
    <w:rsid w:val="00D75523"/>
    <w:rsid w:val="00D7668C"/>
    <w:rsid w:val="00D77105"/>
    <w:rsid w:val="00D77316"/>
    <w:rsid w:val="00D77389"/>
    <w:rsid w:val="00D805B7"/>
    <w:rsid w:val="00D81244"/>
    <w:rsid w:val="00D81468"/>
    <w:rsid w:val="00D83AED"/>
    <w:rsid w:val="00D83FE2"/>
    <w:rsid w:val="00D8448A"/>
    <w:rsid w:val="00D84E27"/>
    <w:rsid w:val="00D862E9"/>
    <w:rsid w:val="00D86A5A"/>
    <w:rsid w:val="00D87303"/>
    <w:rsid w:val="00D87AD4"/>
    <w:rsid w:val="00D87E31"/>
    <w:rsid w:val="00D9156B"/>
    <w:rsid w:val="00D945F4"/>
    <w:rsid w:val="00D94CAF"/>
    <w:rsid w:val="00D9545F"/>
    <w:rsid w:val="00D955DF"/>
    <w:rsid w:val="00D95891"/>
    <w:rsid w:val="00D95AA9"/>
    <w:rsid w:val="00D9650E"/>
    <w:rsid w:val="00D96605"/>
    <w:rsid w:val="00D96622"/>
    <w:rsid w:val="00D97040"/>
    <w:rsid w:val="00DA0BE8"/>
    <w:rsid w:val="00DA1297"/>
    <w:rsid w:val="00DA203C"/>
    <w:rsid w:val="00DA5EC8"/>
    <w:rsid w:val="00DA6924"/>
    <w:rsid w:val="00DA6A0A"/>
    <w:rsid w:val="00DA7709"/>
    <w:rsid w:val="00DB0C5D"/>
    <w:rsid w:val="00DB12DB"/>
    <w:rsid w:val="00DB2DAF"/>
    <w:rsid w:val="00DB3D5F"/>
    <w:rsid w:val="00DB5218"/>
    <w:rsid w:val="00DB65FA"/>
    <w:rsid w:val="00DC0095"/>
    <w:rsid w:val="00DC0390"/>
    <w:rsid w:val="00DC0B6C"/>
    <w:rsid w:val="00DC24BF"/>
    <w:rsid w:val="00DC2757"/>
    <w:rsid w:val="00DC50BA"/>
    <w:rsid w:val="00DC66C9"/>
    <w:rsid w:val="00DC7038"/>
    <w:rsid w:val="00DC7AD1"/>
    <w:rsid w:val="00DD00CD"/>
    <w:rsid w:val="00DD13FC"/>
    <w:rsid w:val="00DD4361"/>
    <w:rsid w:val="00DD66DE"/>
    <w:rsid w:val="00DE01A9"/>
    <w:rsid w:val="00DE19EE"/>
    <w:rsid w:val="00DE4D33"/>
    <w:rsid w:val="00DE6473"/>
    <w:rsid w:val="00DE6902"/>
    <w:rsid w:val="00DF218F"/>
    <w:rsid w:val="00DF2B3C"/>
    <w:rsid w:val="00DF5207"/>
    <w:rsid w:val="00DF5A54"/>
    <w:rsid w:val="00E0034C"/>
    <w:rsid w:val="00E00E8E"/>
    <w:rsid w:val="00E01B62"/>
    <w:rsid w:val="00E02A73"/>
    <w:rsid w:val="00E03147"/>
    <w:rsid w:val="00E036D9"/>
    <w:rsid w:val="00E0423D"/>
    <w:rsid w:val="00E05D4F"/>
    <w:rsid w:val="00E07437"/>
    <w:rsid w:val="00E0743B"/>
    <w:rsid w:val="00E103D1"/>
    <w:rsid w:val="00E12402"/>
    <w:rsid w:val="00E128B5"/>
    <w:rsid w:val="00E12906"/>
    <w:rsid w:val="00E12D16"/>
    <w:rsid w:val="00E133E6"/>
    <w:rsid w:val="00E148F2"/>
    <w:rsid w:val="00E15382"/>
    <w:rsid w:val="00E1586F"/>
    <w:rsid w:val="00E15C57"/>
    <w:rsid w:val="00E16498"/>
    <w:rsid w:val="00E16CA6"/>
    <w:rsid w:val="00E179AC"/>
    <w:rsid w:val="00E17BBB"/>
    <w:rsid w:val="00E22B99"/>
    <w:rsid w:val="00E239EB"/>
    <w:rsid w:val="00E24456"/>
    <w:rsid w:val="00E26877"/>
    <w:rsid w:val="00E26F15"/>
    <w:rsid w:val="00E27B48"/>
    <w:rsid w:val="00E30E9A"/>
    <w:rsid w:val="00E312D4"/>
    <w:rsid w:val="00E31B27"/>
    <w:rsid w:val="00E3580B"/>
    <w:rsid w:val="00E36048"/>
    <w:rsid w:val="00E362EA"/>
    <w:rsid w:val="00E36FFD"/>
    <w:rsid w:val="00E378A3"/>
    <w:rsid w:val="00E37EBB"/>
    <w:rsid w:val="00E4020D"/>
    <w:rsid w:val="00E40432"/>
    <w:rsid w:val="00E41BE2"/>
    <w:rsid w:val="00E42324"/>
    <w:rsid w:val="00E440CE"/>
    <w:rsid w:val="00E458C4"/>
    <w:rsid w:val="00E45B2D"/>
    <w:rsid w:val="00E46BF4"/>
    <w:rsid w:val="00E500E0"/>
    <w:rsid w:val="00E50ED3"/>
    <w:rsid w:val="00E53B0C"/>
    <w:rsid w:val="00E555A1"/>
    <w:rsid w:val="00E55FF2"/>
    <w:rsid w:val="00E60602"/>
    <w:rsid w:val="00E60B0F"/>
    <w:rsid w:val="00E62504"/>
    <w:rsid w:val="00E641C4"/>
    <w:rsid w:val="00E65972"/>
    <w:rsid w:val="00E66A3D"/>
    <w:rsid w:val="00E70BA2"/>
    <w:rsid w:val="00E70F93"/>
    <w:rsid w:val="00E71996"/>
    <w:rsid w:val="00E738A8"/>
    <w:rsid w:val="00E75106"/>
    <w:rsid w:val="00E76A8E"/>
    <w:rsid w:val="00E76FE4"/>
    <w:rsid w:val="00E7761E"/>
    <w:rsid w:val="00E804A0"/>
    <w:rsid w:val="00E80570"/>
    <w:rsid w:val="00E805D7"/>
    <w:rsid w:val="00E823A6"/>
    <w:rsid w:val="00E8764C"/>
    <w:rsid w:val="00E902ED"/>
    <w:rsid w:val="00E92317"/>
    <w:rsid w:val="00E92BB6"/>
    <w:rsid w:val="00E92CB5"/>
    <w:rsid w:val="00E97134"/>
    <w:rsid w:val="00E979B8"/>
    <w:rsid w:val="00EA0D80"/>
    <w:rsid w:val="00EA209C"/>
    <w:rsid w:val="00EA58D5"/>
    <w:rsid w:val="00EA593B"/>
    <w:rsid w:val="00EA595D"/>
    <w:rsid w:val="00EA5F58"/>
    <w:rsid w:val="00EA60B1"/>
    <w:rsid w:val="00EA67C7"/>
    <w:rsid w:val="00EB05B1"/>
    <w:rsid w:val="00EB1BC2"/>
    <w:rsid w:val="00EB1DF0"/>
    <w:rsid w:val="00EB486D"/>
    <w:rsid w:val="00EB4C2D"/>
    <w:rsid w:val="00EB5C46"/>
    <w:rsid w:val="00EB5ECF"/>
    <w:rsid w:val="00EC0A89"/>
    <w:rsid w:val="00EC111E"/>
    <w:rsid w:val="00EC124E"/>
    <w:rsid w:val="00EC1A68"/>
    <w:rsid w:val="00EC2186"/>
    <w:rsid w:val="00EC2854"/>
    <w:rsid w:val="00EC2D11"/>
    <w:rsid w:val="00EC3ADF"/>
    <w:rsid w:val="00EC5036"/>
    <w:rsid w:val="00ED0A0F"/>
    <w:rsid w:val="00ED0DBD"/>
    <w:rsid w:val="00ED3A56"/>
    <w:rsid w:val="00ED45FE"/>
    <w:rsid w:val="00ED4626"/>
    <w:rsid w:val="00ED4E09"/>
    <w:rsid w:val="00ED508D"/>
    <w:rsid w:val="00ED63EC"/>
    <w:rsid w:val="00ED7526"/>
    <w:rsid w:val="00EE0746"/>
    <w:rsid w:val="00EE2511"/>
    <w:rsid w:val="00EE374F"/>
    <w:rsid w:val="00EE482C"/>
    <w:rsid w:val="00EE58E5"/>
    <w:rsid w:val="00EE7DA2"/>
    <w:rsid w:val="00EF18A1"/>
    <w:rsid w:val="00EF2871"/>
    <w:rsid w:val="00EF369B"/>
    <w:rsid w:val="00EF377A"/>
    <w:rsid w:val="00EF59EA"/>
    <w:rsid w:val="00EF5C7A"/>
    <w:rsid w:val="00EF679B"/>
    <w:rsid w:val="00EF6DC1"/>
    <w:rsid w:val="00EF769F"/>
    <w:rsid w:val="00F03B27"/>
    <w:rsid w:val="00F05503"/>
    <w:rsid w:val="00F05699"/>
    <w:rsid w:val="00F07EF2"/>
    <w:rsid w:val="00F11A53"/>
    <w:rsid w:val="00F1360D"/>
    <w:rsid w:val="00F13BF5"/>
    <w:rsid w:val="00F140E1"/>
    <w:rsid w:val="00F165AB"/>
    <w:rsid w:val="00F16CA5"/>
    <w:rsid w:val="00F1757E"/>
    <w:rsid w:val="00F200EC"/>
    <w:rsid w:val="00F220B5"/>
    <w:rsid w:val="00F23DFA"/>
    <w:rsid w:val="00F24006"/>
    <w:rsid w:val="00F245E1"/>
    <w:rsid w:val="00F2579D"/>
    <w:rsid w:val="00F260FA"/>
    <w:rsid w:val="00F262B8"/>
    <w:rsid w:val="00F2691C"/>
    <w:rsid w:val="00F26CC1"/>
    <w:rsid w:val="00F26D63"/>
    <w:rsid w:val="00F31F53"/>
    <w:rsid w:val="00F31FCD"/>
    <w:rsid w:val="00F32D4B"/>
    <w:rsid w:val="00F34514"/>
    <w:rsid w:val="00F35101"/>
    <w:rsid w:val="00F360C0"/>
    <w:rsid w:val="00F3692A"/>
    <w:rsid w:val="00F412AA"/>
    <w:rsid w:val="00F419FA"/>
    <w:rsid w:val="00F43824"/>
    <w:rsid w:val="00F44077"/>
    <w:rsid w:val="00F44091"/>
    <w:rsid w:val="00F45558"/>
    <w:rsid w:val="00F46817"/>
    <w:rsid w:val="00F506B9"/>
    <w:rsid w:val="00F539E1"/>
    <w:rsid w:val="00F54D87"/>
    <w:rsid w:val="00F5556E"/>
    <w:rsid w:val="00F561A8"/>
    <w:rsid w:val="00F56801"/>
    <w:rsid w:val="00F56C2B"/>
    <w:rsid w:val="00F576FE"/>
    <w:rsid w:val="00F61B2A"/>
    <w:rsid w:val="00F67245"/>
    <w:rsid w:val="00F7013A"/>
    <w:rsid w:val="00F7088A"/>
    <w:rsid w:val="00F70B06"/>
    <w:rsid w:val="00F72162"/>
    <w:rsid w:val="00F73DFA"/>
    <w:rsid w:val="00F751C3"/>
    <w:rsid w:val="00F75A79"/>
    <w:rsid w:val="00F76038"/>
    <w:rsid w:val="00F80D59"/>
    <w:rsid w:val="00F82D05"/>
    <w:rsid w:val="00F83511"/>
    <w:rsid w:val="00F8395A"/>
    <w:rsid w:val="00F87A9D"/>
    <w:rsid w:val="00F905AB"/>
    <w:rsid w:val="00F91175"/>
    <w:rsid w:val="00F912E9"/>
    <w:rsid w:val="00F932E0"/>
    <w:rsid w:val="00F9770E"/>
    <w:rsid w:val="00F97C17"/>
    <w:rsid w:val="00FA0E10"/>
    <w:rsid w:val="00FA1206"/>
    <w:rsid w:val="00FA231E"/>
    <w:rsid w:val="00FA3CBD"/>
    <w:rsid w:val="00FA3F9E"/>
    <w:rsid w:val="00FA4C60"/>
    <w:rsid w:val="00FA621B"/>
    <w:rsid w:val="00FA7D3C"/>
    <w:rsid w:val="00FB07A1"/>
    <w:rsid w:val="00FB0B16"/>
    <w:rsid w:val="00FB14A0"/>
    <w:rsid w:val="00FB259A"/>
    <w:rsid w:val="00FB28A1"/>
    <w:rsid w:val="00FB2C26"/>
    <w:rsid w:val="00FB2F56"/>
    <w:rsid w:val="00FB4273"/>
    <w:rsid w:val="00FB4941"/>
    <w:rsid w:val="00FB6FBE"/>
    <w:rsid w:val="00FB72CE"/>
    <w:rsid w:val="00FC1074"/>
    <w:rsid w:val="00FC126B"/>
    <w:rsid w:val="00FC1D35"/>
    <w:rsid w:val="00FC4EF5"/>
    <w:rsid w:val="00FC517D"/>
    <w:rsid w:val="00FC62F8"/>
    <w:rsid w:val="00FC7061"/>
    <w:rsid w:val="00FD10DF"/>
    <w:rsid w:val="00FD2C51"/>
    <w:rsid w:val="00FD42A3"/>
    <w:rsid w:val="00FD46E9"/>
    <w:rsid w:val="00FD4B18"/>
    <w:rsid w:val="00FD5ACC"/>
    <w:rsid w:val="00FD6DFB"/>
    <w:rsid w:val="00FE05D8"/>
    <w:rsid w:val="00FE0621"/>
    <w:rsid w:val="00FE1AFD"/>
    <w:rsid w:val="00FE1BF7"/>
    <w:rsid w:val="00FE3044"/>
    <w:rsid w:val="00FE3129"/>
    <w:rsid w:val="00FE67C3"/>
    <w:rsid w:val="00FE7622"/>
    <w:rsid w:val="00FF2982"/>
    <w:rsid w:val="00FF3388"/>
    <w:rsid w:val="00FF3EED"/>
    <w:rsid w:val="00FF529E"/>
    <w:rsid w:val="00FF6A42"/>
    <w:rsid w:val="00FF6AB8"/>
    <w:rsid w:val="00FF78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601F19"/>
  <w14:defaultImageDpi w14:val="0"/>
  <w15:docId w15:val="{ED918A02-F59D-4376-B016-EED4DCB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E2"/>
    <w:pPr>
      <w:spacing w:after="200" w:line="276" w:lineRule="auto"/>
    </w:pPr>
    <w:rPr>
      <w:sz w:val="22"/>
      <w:szCs w:val="22"/>
      <w:lang w:eastAsia="en-US"/>
    </w:rPr>
  </w:style>
  <w:style w:type="paragraph" w:styleId="Heading6">
    <w:name w:val="heading 6"/>
    <w:basedOn w:val="Normal"/>
    <w:next w:val="Normal"/>
    <w:link w:val="Heading6Char"/>
    <w:qFormat/>
    <w:rsid w:val="006600F4"/>
    <w:pPr>
      <w:keepNext/>
      <w:spacing w:before="240" w:after="0" w:line="240" w:lineRule="auto"/>
      <w:outlineLvl w:val="5"/>
    </w:pPr>
    <w:rPr>
      <w:b/>
      <w:iCs/>
      <w:noProof/>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1">
    <w:name w:val="ES_Head_1"/>
    <w:basedOn w:val="Normal"/>
    <w:rsid w:val="006951F3"/>
    <w:pPr>
      <w:spacing w:after="0" w:line="480" w:lineRule="auto"/>
      <w:ind w:left="62"/>
      <w:jc w:val="center"/>
    </w:pPr>
    <w:rPr>
      <w:rFonts w:ascii="Times New Roman" w:hAnsi="Times New Roman"/>
      <w:b/>
      <w:sz w:val="24"/>
      <w:szCs w:val="20"/>
    </w:rPr>
  </w:style>
  <w:style w:type="character" w:customStyle="1" w:styleId="ESHead1Char">
    <w:name w:val="ES_Head_1 Char"/>
    <w:basedOn w:val="DefaultParagraphFont"/>
    <w:rsid w:val="006951F3"/>
    <w:rPr>
      <w:rFonts w:cs="Times New Roman"/>
      <w:b/>
      <w:sz w:val="24"/>
      <w:lang w:val="en-AU" w:eastAsia="en-US" w:bidi="ar-SA"/>
    </w:rPr>
  </w:style>
  <w:style w:type="paragraph" w:styleId="BodyTextIndent2">
    <w:name w:val="Body Text Indent 2"/>
    <w:basedOn w:val="Normal"/>
    <w:link w:val="BodyTextIndent2Char"/>
    <w:uiPriority w:val="99"/>
    <w:rsid w:val="006951F3"/>
    <w:pPr>
      <w:spacing w:after="0" w:line="240" w:lineRule="auto"/>
      <w:ind w:left="3600" w:firstLine="720"/>
      <w:jc w:val="right"/>
    </w:pPr>
    <w:rPr>
      <w:rFonts w:ascii="Arial" w:hAnsi="Arial" w:cs="Arial"/>
      <w:b/>
      <w:sz w:val="24"/>
      <w:szCs w:val="20"/>
    </w:rPr>
  </w:style>
  <w:style w:type="character" w:customStyle="1" w:styleId="BodyTextIndent2Char">
    <w:name w:val="Body Text Indent 2 Char"/>
    <w:basedOn w:val="DefaultParagraphFont"/>
    <w:link w:val="BodyTextIndent2"/>
    <w:uiPriority w:val="99"/>
    <w:locked/>
    <w:rsid w:val="006951F3"/>
    <w:rPr>
      <w:rFonts w:ascii="Arial" w:hAnsi="Arial" w:cs="Arial"/>
      <w:b/>
      <w:sz w:val="20"/>
      <w:szCs w:val="20"/>
    </w:rPr>
  </w:style>
  <w:style w:type="character" w:styleId="Hyperlink">
    <w:name w:val="Hyperlink"/>
    <w:basedOn w:val="DefaultParagraphFont"/>
    <w:uiPriority w:val="99"/>
    <w:unhideWhenUsed/>
    <w:rsid w:val="006951F3"/>
    <w:rPr>
      <w:rFonts w:cs="Times New Roman"/>
      <w:color w:val="0000FF"/>
      <w:u w:val="single"/>
    </w:rPr>
  </w:style>
  <w:style w:type="paragraph" w:styleId="Header">
    <w:name w:val="header"/>
    <w:basedOn w:val="Normal"/>
    <w:link w:val="HeaderChar"/>
    <w:uiPriority w:val="99"/>
    <w:unhideWhenUsed/>
    <w:rsid w:val="006951F3"/>
    <w:pPr>
      <w:tabs>
        <w:tab w:val="center" w:pos="4513"/>
        <w:tab w:val="right" w:pos="9026"/>
      </w:tabs>
    </w:pPr>
  </w:style>
  <w:style w:type="character" w:customStyle="1" w:styleId="HeaderChar">
    <w:name w:val="Header Char"/>
    <w:basedOn w:val="DefaultParagraphFont"/>
    <w:link w:val="Header"/>
    <w:uiPriority w:val="99"/>
    <w:locked/>
    <w:rsid w:val="006951F3"/>
    <w:rPr>
      <w:rFonts w:ascii="Calibri" w:eastAsia="Times New Roman" w:hAnsi="Calibri" w:cs="Times New Roman"/>
    </w:rPr>
  </w:style>
  <w:style w:type="paragraph" w:styleId="Footer">
    <w:name w:val="footer"/>
    <w:basedOn w:val="Normal"/>
    <w:link w:val="FooterChar"/>
    <w:uiPriority w:val="99"/>
    <w:unhideWhenUsed/>
    <w:rsid w:val="006951F3"/>
    <w:pPr>
      <w:tabs>
        <w:tab w:val="center" w:pos="4513"/>
        <w:tab w:val="right" w:pos="9026"/>
      </w:tabs>
    </w:pPr>
  </w:style>
  <w:style w:type="character" w:customStyle="1" w:styleId="FooterChar">
    <w:name w:val="Footer Char"/>
    <w:basedOn w:val="DefaultParagraphFont"/>
    <w:link w:val="Footer"/>
    <w:uiPriority w:val="99"/>
    <w:locked/>
    <w:rsid w:val="006951F3"/>
    <w:rPr>
      <w:rFonts w:ascii="Calibri" w:eastAsia="Times New Roman" w:hAnsi="Calibri" w:cs="Times New Roman"/>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6951F3"/>
    <w:pPr>
      <w:spacing w:after="0" w:line="240" w:lineRule="auto"/>
      <w:ind w:left="720"/>
    </w:pPr>
    <w:rPr>
      <w:lang w:eastAsia="en-AU"/>
    </w:rPr>
  </w:style>
  <w:style w:type="paragraph" w:styleId="FootnoteText">
    <w:name w:val="footnote text"/>
    <w:basedOn w:val="Normal"/>
    <w:link w:val="FootnoteTextChar"/>
    <w:uiPriority w:val="99"/>
    <w:semiHidden/>
    <w:unhideWhenUsed/>
    <w:rsid w:val="006951F3"/>
    <w:rPr>
      <w:sz w:val="20"/>
      <w:szCs w:val="20"/>
    </w:rPr>
  </w:style>
  <w:style w:type="character" w:customStyle="1" w:styleId="FootnoteTextChar">
    <w:name w:val="Footnote Text Char"/>
    <w:basedOn w:val="DefaultParagraphFont"/>
    <w:link w:val="FootnoteText"/>
    <w:uiPriority w:val="99"/>
    <w:semiHidden/>
    <w:locked/>
    <w:rsid w:val="006951F3"/>
    <w:rPr>
      <w:rFonts w:ascii="Calibri" w:eastAsia="Times New Roman" w:hAnsi="Calibri" w:cs="Times New Roman"/>
      <w:sz w:val="20"/>
      <w:szCs w:val="20"/>
    </w:rPr>
  </w:style>
  <w:style w:type="character" w:styleId="FootnoteReference">
    <w:name w:val="footnote reference"/>
    <w:basedOn w:val="DefaultParagraphFont"/>
    <w:uiPriority w:val="99"/>
    <w:semiHidden/>
    <w:rsid w:val="006951F3"/>
    <w:rPr>
      <w:vertAlign w:val="superscript"/>
    </w:rPr>
  </w:style>
  <w:style w:type="character" w:customStyle="1" w:styleId="FootnoteTextChar1">
    <w:name w:val="Footnote Text Char1"/>
    <w:basedOn w:val="DefaultParagraphFont"/>
    <w:uiPriority w:val="99"/>
    <w:semiHidden/>
    <w:rsid w:val="007D72E0"/>
    <w:rPr>
      <w:rFonts w:ascii="Times New Roman" w:hAnsi="Times New Roman" w:cs="Times New Roman"/>
    </w:rPr>
  </w:style>
  <w:style w:type="paragraph" w:styleId="BalloonText">
    <w:name w:val="Balloon Text"/>
    <w:basedOn w:val="Normal"/>
    <w:link w:val="BalloonTextChar"/>
    <w:uiPriority w:val="99"/>
    <w:semiHidden/>
    <w:unhideWhenUsed/>
    <w:rsid w:val="0087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328"/>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612603"/>
    <w:rPr>
      <w:rFonts w:cs="Times New Roman"/>
      <w:sz w:val="16"/>
      <w:szCs w:val="16"/>
    </w:rPr>
  </w:style>
  <w:style w:type="paragraph" w:styleId="CommentText">
    <w:name w:val="annotation text"/>
    <w:basedOn w:val="Normal"/>
    <w:link w:val="CommentTextChar"/>
    <w:uiPriority w:val="99"/>
    <w:semiHidden/>
    <w:unhideWhenUsed/>
    <w:rsid w:val="00612603"/>
    <w:rPr>
      <w:sz w:val="20"/>
      <w:szCs w:val="20"/>
    </w:rPr>
  </w:style>
  <w:style w:type="character" w:customStyle="1" w:styleId="CommentTextChar">
    <w:name w:val="Comment Text Char"/>
    <w:basedOn w:val="DefaultParagraphFont"/>
    <w:link w:val="CommentText"/>
    <w:uiPriority w:val="99"/>
    <w:semiHidden/>
    <w:locked/>
    <w:rsid w:val="00612603"/>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612603"/>
    <w:rPr>
      <w:b/>
      <w:bCs/>
    </w:rPr>
  </w:style>
  <w:style w:type="character" w:customStyle="1" w:styleId="CommentSubjectChar">
    <w:name w:val="Comment Subject Char"/>
    <w:basedOn w:val="CommentTextChar"/>
    <w:link w:val="CommentSubject"/>
    <w:uiPriority w:val="99"/>
    <w:semiHidden/>
    <w:locked/>
    <w:rsid w:val="00612603"/>
    <w:rPr>
      <w:rFonts w:cs="Times New Roman"/>
      <w:b/>
      <w:bCs/>
      <w:lang w:val="x-none" w:eastAsia="en-US"/>
    </w:rPr>
  </w:style>
  <w:style w:type="paragraph" w:customStyle="1" w:styleId="Default">
    <w:name w:val="Default"/>
    <w:rsid w:val="001267AF"/>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6600F4"/>
    <w:rPr>
      <w:b/>
      <w:iCs/>
      <w:noProof/>
      <w:sz w:val="24"/>
      <w:szCs w:val="24"/>
      <w:lang w:eastAsia="zh-TW"/>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B55D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78842">
      <w:marLeft w:val="0"/>
      <w:marRight w:val="0"/>
      <w:marTop w:val="0"/>
      <w:marBottom w:val="0"/>
      <w:divBdr>
        <w:top w:val="none" w:sz="0" w:space="0" w:color="auto"/>
        <w:left w:val="none" w:sz="0" w:space="0" w:color="auto"/>
        <w:bottom w:val="none" w:sz="0" w:space="0" w:color="auto"/>
        <w:right w:val="none" w:sz="0" w:space="0" w:color="auto"/>
      </w:divBdr>
    </w:div>
    <w:div w:id="468978843">
      <w:marLeft w:val="0"/>
      <w:marRight w:val="0"/>
      <w:marTop w:val="0"/>
      <w:marBottom w:val="0"/>
      <w:divBdr>
        <w:top w:val="none" w:sz="0" w:space="0" w:color="auto"/>
        <w:left w:val="none" w:sz="0" w:space="0" w:color="auto"/>
        <w:bottom w:val="none" w:sz="0" w:space="0" w:color="auto"/>
        <w:right w:val="none" w:sz="0" w:space="0" w:color="auto"/>
      </w:divBdr>
    </w:div>
    <w:div w:id="468978844">
      <w:marLeft w:val="0"/>
      <w:marRight w:val="0"/>
      <w:marTop w:val="0"/>
      <w:marBottom w:val="0"/>
      <w:divBdr>
        <w:top w:val="none" w:sz="0" w:space="0" w:color="auto"/>
        <w:left w:val="none" w:sz="0" w:space="0" w:color="auto"/>
        <w:bottom w:val="none" w:sz="0" w:space="0" w:color="auto"/>
        <w:right w:val="none" w:sz="0" w:space="0" w:color="auto"/>
      </w:divBdr>
    </w:div>
    <w:div w:id="468978845">
      <w:marLeft w:val="0"/>
      <w:marRight w:val="0"/>
      <w:marTop w:val="0"/>
      <w:marBottom w:val="0"/>
      <w:divBdr>
        <w:top w:val="none" w:sz="0" w:space="0" w:color="auto"/>
        <w:left w:val="none" w:sz="0" w:space="0" w:color="auto"/>
        <w:bottom w:val="none" w:sz="0" w:space="0" w:color="auto"/>
        <w:right w:val="none" w:sz="0" w:space="0" w:color="auto"/>
      </w:divBdr>
    </w:div>
    <w:div w:id="468978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ECB8E-14F3-4598-A0B9-B8C7BAA8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3275</Words>
  <Characters>18011</Characters>
  <Application>Microsoft Office Word</Application>
  <DocSecurity>0</DocSecurity>
  <Lines>388</Lines>
  <Paragraphs>147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2020-05-05T07:01:00Z</cp:lastPrinted>
  <dcterms:created xsi:type="dcterms:W3CDTF">2020-05-06T02:35:00Z</dcterms:created>
  <dcterms:modified xsi:type="dcterms:W3CDTF">2020-05-06T02:35:00Z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A19157179</vt:lpwstr>
  </property>
  <property fmtid="{D5CDD505-2E9C-101B-9397-08002B2CF9AE}" pid="3" name="Objective-Title">
    <vt:lpwstr>Attachment C - Explanatory Statement</vt:lpwstr>
  </property>
  <property fmtid="{D5CDD505-2E9C-101B-9397-08002B2CF9AE}" pid="4" name="Objective-Comment">
    <vt:lpwstr/>
  </property>
  <property fmtid="{D5CDD505-2E9C-101B-9397-08002B2CF9AE}" pid="5" name="Objective-CreationStamp">
    <vt:filetime>2019-03-28T00:45:41Z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2019-04-26T01:41:01Z</vt:filetime>
  </property>
  <property fmtid="{D5CDD505-2E9C-101B-9397-08002B2CF9AE}" pid="9" name="Objective-ModificationStamp">
    <vt:filetime>2019-05-01T03:59:18Z</vt:filetime>
  </property>
  <property fmtid="{D5CDD505-2E9C-101B-9397-08002B2CF9AE}" pid="10" name="Objective-Owner">
    <vt:lpwstr>Ben Riches</vt:lpwstr>
  </property>
  <property fmtid="{D5CDD505-2E9C-101B-9397-08002B2CF9AE}" pid="11" name="Objective-Path">
    <vt:lpwstr>Whole of ACT Government:EPSDD - Environment Planning and Sustainable Development Directorate:07. Ministerial, Cabinet and Government Relations:05. Cabinet:01. 9th Assembly:02. EPSDD Active Cabinet Submissions:19/014 - Cabinet - Planning and Development (D</vt:lpwstr>
  </property>
  <property fmtid="{D5CDD505-2E9C-101B-9397-08002B2CF9AE}" pid="12" name="Objective-Parent">
    <vt:lpwstr>02. Final Review Documentation</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1-2018/34945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