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rsidR="00C17FAB" w:rsidRDefault="00D7093D">
      <w:pPr>
        <w:pStyle w:val="Billname"/>
        <w:spacing w:before="700"/>
      </w:pPr>
      <w:r>
        <w:t>Gambling and Racing Control</w:t>
      </w:r>
      <w:r w:rsidR="00FD75CE">
        <w:t xml:space="preserve"> (</w:t>
      </w:r>
      <w:r w:rsidR="00DA23E7">
        <w:t>Governing Board</w:t>
      </w:r>
      <w:r w:rsidR="00FD75CE">
        <w:t xml:space="preserve">) </w:t>
      </w:r>
      <w:r w:rsidR="00DA23E7">
        <w:t>Appointment 20</w:t>
      </w:r>
      <w:r w:rsidR="002C443D">
        <w:t>20</w:t>
      </w:r>
      <w:r w:rsidR="00FD75CE">
        <w:t xml:space="preserve"> (No </w:t>
      </w:r>
      <w:r w:rsidR="002C443D">
        <w:t>1</w:t>
      </w:r>
      <w:r w:rsidR="00FD75CE">
        <w:t>)</w:t>
      </w:r>
    </w:p>
    <w:p w:rsidR="00C17FAB" w:rsidRDefault="002D7C60" w:rsidP="00DA3B00">
      <w:pPr>
        <w:spacing w:before="340"/>
        <w:rPr>
          <w:rFonts w:ascii="Arial" w:hAnsi="Arial" w:cs="Arial"/>
          <w:b/>
          <w:bCs/>
        </w:rPr>
      </w:pPr>
      <w:r>
        <w:rPr>
          <w:rFonts w:ascii="Arial" w:hAnsi="Arial" w:cs="Arial"/>
          <w:b/>
          <w:bCs/>
        </w:rPr>
        <w:t xml:space="preserve">Disallowable instrument </w:t>
      </w:r>
      <w:r w:rsidRPr="00E2554E">
        <w:rPr>
          <w:rFonts w:ascii="Arial" w:hAnsi="Arial" w:cs="Arial"/>
          <w:b/>
          <w:bCs/>
        </w:rPr>
        <w:t>DI</w:t>
      </w:r>
      <w:r w:rsidR="00DA23E7" w:rsidRPr="00E2554E">
        <w:rPr>
          <w:rFonts w:ascii="Arial" w:hAnsi="Arial" w:cs="Arial"/>
          <w:b/>
          <w:bCs/>
        </w:rPr>
        <w:t>20</w:t>
      </w:r>
      <w:r w:rsidR="002C443D" w:rsidRPr="00E2554E">
        <w:rPr>
          <w:rFonts w:ascii="Arial" w:hAnsi="Arial" w:cs="Arial"/>
          <w:b/>
          <w:bCs/>
        </w:rPr>
        <w:t>20</w:t>
      </w:r>
      <w:r w:rsidR="00C17FAB" w:rsidRPr="00E2554E">
        <w:rPr>
          <w:rFonts w:ascii="Arial" w:hAnsi="Arial" w:cs="Arial"/>
          <w:b/>
          <w:bCs/>
        </w:rPr>
        <w:t>–</w:t>
      </w:r>
      <w:r w:rsidR="00195B0D">
        <w:rPr>
          <w:rFonts w:ascii="Arial" w:hAnsi="Arial" w:cs="Arial"/>
          <w:b/>
          <w:bCs/>
        </w:rPr>
        <w:t>131</w:t>
      </w:r>
    </w:p>
    <w:p w:rsidR="00C17FAB" w:rsidRDefault="00C17FAB" w:rsidP="00DA3B00">
      <w:pPr>
        <w:pStyle w:val="madeunder"/>
        <w:spacing w:before="300" w:after="0"/>
      </w:pPr>
      <w:r>
        <w:t xml:space="preserve">made under the  </w:t>
      </w:r>
    </w:p>
    <w:p w:rsidR="00C17FAB" w:rsidRDefault="00DA23E7" w:rsidP="00DA3B00">
      <w:pPr>
        <w:pStyle w:val="CoverActName"/>
        <w:spacing w:before="320" w:after="0"/>
        <w:rPr>
          <w:rFonts w:cs="Arial"/>
          <w:sz w:val="20"/>
        </w:rPr>
      </w:pPr>
      <w:r>
        <w:rPr>
          <w:rFonts w:cs="Arial"/>
          <w:i/>
          <w:sz w:val="20"/>
        </w:rPr>
        <w:t>Gambling and Racing Control Act 1999</w:t>
      </w:r>
      <w:r>
        <w:rPr>
          <w:rFonts w:cs="Arial"/>
          <w:sz w:val="20"/>
        </w:rPr>
        <w:t>, s 11 (Establishment of governing board), s 12 (Governing board members)</w:t>
      </w:r>
    </w:p>
    <w:p w:rsidR="00DA23E7" w:rsidRPr="00DA23E7" w:rsidRDefault="00DA23E7" w:rsidP="00DA3B00">
      <w:pPr>
        <w:pStyle w:val="CoverActName"/>
        <w:spacing w:before="320" w:after="0"/>
        <w:rPr>
          <w:rFonts w:cs="Arial"/>
          <w:sz w:val="20"/>
        </w:rPr>
      </w:pPr>
      <w:r>
        <w:rPr>
          <w:rFonts w:cs="Arial"/>
          <w:i/>
          <w:sz w:val="20"/>
        </w:rPr>
        <w:t>Financial Management Act 1996</w:t>
      </w:r>
      <w:r>
        <w:rPr>
          <w:rFonts w:cs="Arial"/>
          <w:sz w:val="20"/>
        </w:rPr>
        <w:t>, s 78 (Appointment of governing board members generally), s 79 (Appointment of chair and deputy chair)</w:t>
      </w:r>
    </w:p>
    <w:p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rsidR="00C17FAB" w:rsidRDefault="00C17FAB">
      <w:pPr>
        <w:pStyle w:val="N-line3"/>
        <w:pBdr>
          <w:bottom w:val="none" w:sz="0" w:space="0" w:color="auto"/>
        </w:pBdr>
      </w:pPr>
    </w:p>
    <w:p w:rsidR="00C17FAB" w:rsidRDefault="00C17FAB">
      <w:pPr>
        <w:pStyle w:val="N-line3"/>
        <w:pBdr>
          <w:top w:val="single" w:sz="12" w:space="1" w:color="auto"/>
          <w:bottom w:val="none" w:sz="0" w:space="0" w:color="auto"/>
        </w:pBdr>
      </w:pPr>
    </w:p>
    <w:bookmarkEnd w:id="0"/>
    <w:p w:rsidR="00C17FAB" w:rsidRDefault="00DA23E7">
      <w:r>
        <w:t xml:space="preserve">The </w:t>
      </w:r>
      <w:r w:rsidR="003234E4">
        <w:rPr>
          <w:i/>
        </w:rPr>
        <w:t>G</w:t>
      </w:r>
      <w:r>
        <w:rPr>
          <w:i/>
        </w:rPr>
        <w:t>ambling and Racing Contr</w:t>
      </w:r>
      <w:r w:rsidR="003A06F0">
        <w:rPr>
          <w:i/>
        </w:rPr>
        <w:t>o</w:t>
      </w:r>
      <w:r>
        <w:rPr>
          <w:i/>
        </w:rPr>
        <w:t>l Act 1999</w:t>
      </w:r>
      <w:r>
        <w:t xml:space="preserve"> (the Act) establishes the ACT Gambling and Racing Commission (the Commission) that is responsible for controlling and regulating all gaming, racing and betting activities in the ACT.</w:t>
      </w:r>
    </w:p>
    <w:p w:rsidR="00DA23E7" w:rsidRDefault="00DA23E7"/>
    <w:p w:rsidR="00DA23E7" w:rsidRDefault="00DA23E7">
      <w:r>
        <w:t>The Act, section 11 establishes a governing board for the Commission</w:t>
      </w:r>
      <w:r w:rsidR="00217B7E">
        <w:t>,</w:t>
      </w:r>
      <w:r>
        <w:t xml:space="preserve"> and section 12 sets out the requirements for governing board members.</w:t>
      </w:r>
    </w:p>
    <w:p w:rsidR="00DA23E7" w:rsidRDefault="00DA23E7"/>
    <w:p w:rsidR="00DA23E7" w:rsidRDefault="00DA23E7">
      <w:r>
        <w:t xml:space="preserve">The </w:t>
      </w:r>
      <w:r>
        <w:rPr>
          <w:i/>
        </w:rPr>
        <w:t>Financial Management Act 1996</w:t>
      </w:r>
      <w:r>
        <w:t>, section 78 enables the Minister to make appointments of governing board members generally</w:t>
      </w:r>
      <w:r w:rsidR="00217B7E">
        <w:t>,</w:t>
      </w:r>
      <w:r>
        <w:t xml:space="preserve"> and section 79 enables the Minister to makes appointments of a chair and deputy chair.</w:t>
      </w:r>
    </w:p>
    <w:p w:rsidR="00DA23E7" w:rsidRDefault="00DA23E7"/>
    <w:p w:rsidR="00DA23E7" w:rsidRDefault="00DA23E7">
      <w:r>
        <w:t xml:space="preserve">This instrument appoints </w:t>
      </w:r>
      <w:r w:rsidR="002C443D">
        <w:t>Ms Carmel Franklin</w:t>
      </w:r>
      <w:r>
        <w:t xml:space="preserve"> as </w:t>
      </w:r>
      <w:r w:rsidR="002C443D">
        <w:t>the</w:t>
      </w:r>
      <w:r>
        <w:t xml:space="preserve"> member of the governing board</w:t>
      </w:r>
      <w:r w:rsidR="002C443D">
        <w:t xml:space="preserve"> </w:t>
      </w:r>
      <w:r w:rsidR="002C443D" w:rsidRPr="002C443D">
        <w:t>who has knowledge, experience or qualifications related to providing counselling services to people experiencing gambling harm</w:t>
      </w:r>
      <w:r w:rsidR="002C443D">
        <w:t>,</w:t>
      </w:r>
      <w:r>
        <w:t xml:space="preserve"> commencing </w:t>
      </w:r>
      <w:r w:rsidR="002C443D">
        <w:t>6 June 2020</w:t>
      </w:r>
      <w:r w:rsidR="003A06F0">
        <w:t xml:space="preserve"> </w:t>
      </w:r>
      <w:r>
        <w:t>and is effect</w:t>
      </w:r>
      <w:r w:rsidR="003A06F0">
        <w:t>ive for three years from commen</w:t>
      </w:r>
      <w:r>
        <w:t>cement</w:t>
      </w:r>
      <w:r w:rsidR="003A06F0">
        <w:t>.</w:t>
      </w:r>
    </w:p>
    <w:p w:rsidR="003A06F0" w:rsidRDefault="003A06F0"/>
    <w:p w:rsidR="003A06F0" w:rsidRDefault="003A06F0">
      <w:r>
        <w:t xml:space="preserve">This instrument makes an appointment to which the </w:t>
      </w:r>
      <w:r>
        <w:rPr>
          <w:i/>
        </w:rPr>
        <w:t>Legislation Act 2001</w:t>
      </w:r>
      <w:r>
        <w:t xml:space="preserve">, division 19.3.3 applies. Accordingly, under section 229 of the </w:t>
      </w:r>
      <w:r>
        <w:rPr>
          <w:i/>
        </w:rPr>
        <w:t>Legislation Act 2001</w:t>
      </w:r>
      <w:r>
        <w:t xml:space="preserve"> the instrument is a disallowable instrument.</w:t>
      </w:r>
    </w:p>
    <w:p w:rsidR="003A06F0" w:rsidRDefault="003A06F0"/>
    <w:p w:rsidR="003A06F0" w:rsidRDefault="003A06F0">
      <w:r>
        <w:t xml:space="preserve">Pursuant to section 228 of the </w:t>
      </w:r>
      <w:r>
        <w:rPr>
          <w:i/>
        </w:rPr>
        <w:t>Legislation Act 2001</w:t>
      </w:r>
      <w:r>
        <w:t xml:space="preserve">, Ministers are required to consult the relevant Standing Committee of the ACT Legislative Assembly concerning appointments to a statutory position, unless the appointments come within the exemptions permitted by section 227 of that Act. Ms </w:t>
      </w:r>
      <w:r w:rsidR="002C443D">
        <w:t>Franklin</w:t>
      </w:r>
      <w:r>
        <w:t xml:space="preserve"> is not a public servant and this appointment was referred to the Standing Committee on Justice and Community Safety (the Committee). The Committee has considered the appointment and has advised that it has no recommendation to make.</w:t>
      </w:r>
    </w:p>
    <w:p w:rsidR="003A06F0" w:rsidRPr="003A06F0" w:rsidRDefault="003A06F0"/>
    <w:sectPr w:rsidR="003A06F0" w:rsidRPr="003A06F0"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C05" w:rsidRDefault="005C0C05" w:rsidP="00C17FAB">
      <w:r>
        <w:separator/>
      </w:r>
    </w:p>
  </w:endnote>
  <w:endnote w:type="continuationSeparator" w:id="0">
    <w:p w:rsidR="005C0C05" w:rsidRDefault="005C0C05"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98E" w:rsidRDefault="00B61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EE7" w:rsidRPr="00B6198E" w:rsidRDefault="00B6198E" w:rsidP="00B6198E">
    <w:pPr>
      <w:pStyle w:val="Footer"/>
      <w:jc w:val="center"/>
      <w:rPr>
        <w:rFonts w:cs="Arial"/>
        <w:sz w:val="14"/>
      </w:rPr>
    </w:pPr>
    <w:r w:rsidRPr="00B6198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98E" w:rsidRDefault="00B61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C05" w:rsidRDefault="005C0C05" w:rsidP="00C17FAB">
      <w:r>
        <w:separator/>
      </w:r>
    </w:p>
  </w:footnote>
  <w:footnote w:type="continuationSeparator" w:id="0">
    <w:p w:rsidR="005C0C05" w:rsidRDefault="005C0C05"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98E" w:rsidRDefault="00B61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98E" w:rsidRDefault="00B61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98E" w:rsidRDefault="00B61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D7C60"/>
    <w:rsid w:val="00074AFC"/>
    <w:rsid w:val="00095EE7"/>
    <w:rsid w:val="000C147D"/>
    <w:rsid w:val="001461A1"/>
    <w:rsid w:val="00195B0D"/>
    <w:rsid w:val="00217B7E"/>
    <w:rsid w:val="002C443D"/>
    <w:rsid w:val="002D7C60"/>
    <w:rsid w:val="003234E4"/>
    <w:rsid w:val="003A06F0"/>
    <w:rsid w:val="00575D1D"/>
    <w:rsid w:val="005C0C05"/>
    <w:rsid w:val="006917CC"/>
    <w:rsid w:val="006A4D8D"/>
    <w:rsid w:val="007346AC"/>
    <w:rsid w:val="007353C5"/>
    <w:rsid w:val="009508A5"/>
    <w:rsid w:val="009E150C"/>
    <w:rsid w:val="00A47A4D"/>
    <w:rsid w:val="00B02EEF"/>
    <w:rsid w:val="00B6198E"/>
    <w:rsid w:val="00BE47BE"/>
    <w:rsid w:val="00C17FAB"/>
    <w:rsid w:val="00CE599C"/>
    <w:rsid w:val="00D7093D"/>
    <w:rsid w:val="00DA23E7"/>
    <w:rsid w:val="00DA3B00"/>
    <w:rsid w:val="00E2554E"/>
    <w:rsid w:val="00F126AA"/>
    <w:rsid w:val="00F40EC4"/>
    <w:rsid w:val="00FD75CE"/>
    <w:rsid w:val="00FE7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458A72-492D-4900-9EE0-5411E25D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1716</Characters>
  <Application>Microsoft Office Word</Application>
  <DocSecurity>0</DocSecurity>
  <Lines>59</Lines>
  <Paragraphs>40</Paragraphs>
  <ScaleCrop>false</ScaleCrop>
  <Company>InTACT</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2</cp:revision>
  <cp:lastPrinted>2006-03-31T03:28:00Z</cp:lastPrinted>
  <dcterms:created xsi:type="dcterms:W3CDTF">2020-06-04T00:57:00Z</dcterms:created>
  <dcterms:modified xsi:type="dcterms:W3CDTF">2020-06-04T00:57:00Z</dcterms:modified>
</cp:coreProperties>
</file>