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6B" w:rsidRPr="00EB6042" w:rsidRDefault="00FE326B" w:rsidP="00EB6042">
      <w:pPr>
        <w:overflowPunct/>
        <w:autoSpaceDE/>
        <w:autoSpaceDN/>
        <w:adjustRightInd/>
        <w:spacing w:before="120"/>
        <w:textAlignment w:val="auto"/>
        <w:rPr>
          <w:szCs w:val="20"/>
        </w:rPr>
      </w:pPr>
      <w:bookmarkStart w:id="0" w:name="_GoBack"/>
      <w:bookmarkEnd w:id="0"/>
      <w:r w:rsidRPr="00EB6042">
        <w:rPr>
          <w:szCs w:val="20"/>
        </w:rPr>
        <w:t>Australian Capital Territory</w:t>
      </w:r>
    </w:p>
    <w:p w:rsidR="00FE326B" w:rsidRPr="00EB6042" w:rsidRDefault="00FE326B" w:rsidP="00EB6042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 w:rsidRPr="00EB6042">
        <w:rPr>
          <w:rFonts w:cs="Times New Roman"/>
          <w:bCs w:val="0"/>
          <w:szCs w:val="20"/>
        </w:rPr>
        <w:t>Lotteries (Fees)</w:t>
      </w:r>
      <w:r w:rsidR="00EB6042">
        <w:rPr>
          <w:rFonts w:cs="Times New Roman"/>
          <w:bCs w:val="0"/>
          <w:szCs w:val="20"/>
        </w:rPr>
        <w:t xml:space="preserve"> </w:t>
      </w:r>
      <w:r w:rsidRPr="00EB6042">
        <w:rPr>
          <w:rFonts w:cs="Times New Roman"/>
          <w:bCs w:val="0"/>
          <w:szCs w:val="20"/>
        </w:rPr>
        <w:t>Determination 20</w:t>
      </w:r>
      <w:r w:rsidR="0014153D" w:rsidRPr="00EB6042">
        <w:rPr>
          <w:rFonts w:cs="Times New Roman"/>
          <w:bCs w:val="0"/>
          <w:szCs w:val="20"/>
        </w:rPr>
        <w:t>20</w:t>
      </w:r>
      <w:r w:rsidRPr="00EB6042">
        <w:rPr>
          <w:rFonts w:cs="Times New Roman"/>
          <w:bCs w:val="0"/>
          <w:szCs w:val="20"/>
        </w:rPr>
        <w:t xml:space="preserve"> </w:t>
      </w:r>
    </w:p>
    <w:p w:rsidR="00FE326B" w:rsidRPr="00EB6042" w:rsidRDefault="00E605EA" w:rsidP="00EB6042">
      <w:pPr>
        <w:overflowPunct/>
        <w:autoSpaceDE/>
        <w:autoSpaceDN/>
        <w:adjustRightInd/>
        <w:spacing w:before="340"/>
        <w:textAlignment w:val="auto"/>
        <w:rPr>
          <w:b/>
          <w:bCs/>
          <w:szCs w:val="20"/>
        </w:rPr>
      </w:pPr>
      <w:r w:rsidRPr="00EB6042">
        <w:rPr>
          <w:b/>
          <w:bCs/>
          <w:szCs w:val="20"/>
        </w:rPr>
        <w:t>Disallowable Instrument DI20</w:t>
      </w:r>
      <w:r w:rsidR="0014153D" w:rsidRPr="00EB6042">
        <w:rPr>
          <w:b/>
          <w:bCs/>
          <w:szCs w:val="20"/>
        </w:rPr>
        <w:t>20</w:t>
      </w:r>
      <w:r w:rsidR="00FE326B" w:rsidRPr="00EB6042">
        <w:rPr>
          <w:b/>
          <w:bCs/>
          <w:szCs w:val="20"/>
        </w:rPr>
        <w:t>–</w:t>
      </w:r>
      <w:r w:rsidR="00D800BF">
        <w:rPr>
          <w:b/>
          <w:bCs/>
          <w:szCs w:val="20"/>
        </w:rPr>
        <w:t>132</w:t>
      </w:r>
    </w:p>
    <w:p w:rsidR="00FE326B" w:rsidRPr="00EB6042" w:rsidRDefault="00FE326B" w:rsidP="00EB6042">
      <w:pPr>
        <w:pStyle w:val="madeunder"/>
        <w:overflowPunct/>
        <w:autoSpaceDE/>
        <w:autoSpaceDN/>
        <w:adjustRightInd/>
        <w:spacing w:before="300" w:after="0"/>
        <w:textAlignment w:val="auto"/>
        <w:rPr>
          <w:rFonts w:ascii="Times New Roman" w:hAnsi="Times New Roman"/>
          <w:szCs w:val="20"/>
        </w:rPr>
      </w:pPr>
      <w:r w:rsidRPr="00EB6042">
        <w:rPr>
          <w:rFonts w:ascii="Times New Roman" w:hAnsi="Times New Roman"/>
          <w:szCs w:val="20"/>
        </w:rPr>
        <w:t xml:space="preserve">made under the  </w:t>
      </w:r>
    </w:p>
    <w:p w:rsidR="00FE326B" w:rsidRPr="00EB6042" w:rsidRDefault="00FE326B" w:rsidP="00EB6042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 w:rsidRPr="00EB6042">
        <w:rPr>
          <w:bCs w:val="0"/>
          <w:sz w:val="20"/>
          <w:szCs w:val="20"/>
        </w:rPr>
        <w:t>Lotteries Act 1964, section 18A (Determination of Fees)</w:t>
      </w:r>
    </w:p>
    <w:p w:rsidR="00FE326B" w:rsidRPr="00EB6042" w:rsidRDefault="00FE326B" w:rsidP="00EB6042">
      <w:pPr>
        <w:overflowPunct/>
        <w:autoSpaceDE/>
        <w:autoSpaceDN/>
        <w:adjustRightInd/>
        <w:spacing w:before="360"/>
        <w:ind w:right="565"/>
        <w:textAlignment w:val="auto"/>
        <w:rPr>
          <w:b/>
          <w:bCs/>
          <w:sz w:val="28"/>
          <w:szCs w:val="28"/>
        </w:rPr>
      </w:pPr>
      <w:r w:rsidRPr="00EB6042">
        <w:rPr>
          <w:b/>
          <w:bCs/>
          <w:sz w:val="28"/>
          <w:szCs w:val="28"/>
        </w:rPr>
        <w:t>EXPLANATORY STATEMENT</w:t>
      </w:r>
    </w:p>
    <w:p w:rsidR="00FE326B" w:rsidRDefault="00FE326B" w:rsidP="00B53682">
      <w:pPr>
        <w:jc w:val="both"/>
      </w:pPr>
    </w:p>
    <w:p w:rsidR="00EB6042" w:rsidRPr="00EB6042" w:rsidRDefault="00EB6042" w:rsidP="00EB6042">
      <w:pPr>
        <w:pStyle w:val="N-line3"/>
        <w:pBdr>
          <w:top w:val="single" w:sz="12" w:space="1" w:color="auto"/>
          <w:bottom w:val="none" w:sz="0" w:space="0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0"/>
        </w:rPr>
      </w:pPr>
    </w:p>
    <w:p w:rsidR="00FE326B" w:rsidRDefault="00FE326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>Lotteries Act 1964</w:t>
      </w:r>
      <w:r>
        <w:rPr>
          <w:rFonts w:ascii="Times New Roman" w:hAnsi="Times New Roman" w:cs="Times New Roman"/>
        </w:rPr>
        <w:t xml:space="preserve"> (the Act) provides for the approval and regulation of lotteries in the Territory.</w:t>
      </w:r>
    </w:p>
    <w:p w:rsidR="0002592D" w:rsidRDefault="0002592D" w:rsidP="00B53682">
      <w:pPr>
        <w:jc w:val="both"/>
        <w:rPr>
          <w:rFonts w:ascii="Times New Roman" w:hAnsi="Times New Roman" w:cs="Times New Roman"/>
        </w:rPr>
      </w:pPr>
    </w:p>
    <w:p w:rsidR="00FE326B" w:rsidRDefault="00FE326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18A of the Act provides that the </w:t>
      </w:r>
      <w:r w:rsidR="00EB6042">
        <w:rPr>
          <w:rFonts w:ascii="Times New Roman" w:hAnsi="Times New Roman" w:cs="Times New Roman"/>
        </w:rPr>
        <w:t xml:space="preserve">commission (the ACT Gambling and Racing Commission) </w:t>
      </w:r>
      <w:r>
        <w:rPr>
          <w:rFonts w:ascii="Times New Roman" w:hAnsi="Times New Roman" w:cs="Times New Roman"/>
        </w:rPr>
        <w:t xml:space="preserve">may determine fees for the Act. This instrument provides for fees in relation to applications to the </w:t>
      </w:r>
      <w:r w:rsidR="00EB6042">
        <w:rPr>
          <w:rFonts w:ascii="Times New Roman" w:hAnsi="Times New Roman" w:cs="Times New Roman"/>
        </w:rPr>
        <w:t>commission</w:t>
      </w:r>
      <w:r>
        <w:rPr>
          <w:rFonts w:ascii="Times New Roman" w:hAnsi="Times New Roman" w:cs="Times New Roman"/>
        </w:rPr>
        <w:t xml:space="preserve"> for approval to conduct lotteries in the Australian Capital Territory.</w:t>
      </w:r>
    </w:p>
    <w:p w:rsidR="00FE326B" w:rsidRDefault="00FE326B" w:rsidP="00B53682">
      <w:pPr>
        <w:jc w:val="both"/>
        <w:rPr>
          <w:rFonts w:ascii="Times New Roman" w:hAnsi="Times New Roman" w:cs="Times New Roman"/>
        </w:rPr>
      </w:pPr>
    </w:p>
    <w:p w:rsidR="00173EEA" w:rsidRDefault="00173EEA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instrument commences on the day after its notification day.</w:t>
      </w:r>
    </w:p>
    <w:p w:rsidR="00173EEA" w:rsidRDefault="00173EEA" w:rsidP="00B53682">
      <w:pPr>
        <w:jc w:val="both"/>
        <w:rPr>
          <w:rFonts w:ascii="Times New Roman" w:hAnsi="Times New Roman" w:cs="Times New Roman"/>
        </w:rPr>
      </w:pPr>
    </w:p>
    <w:p w:rsidR="00EB41C1" w:rsidRDefault="00173EEA" w:rsidP="00EB4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this instrument, the </w:t>
      </w:r>
      <w:r w:rsidRPr="00EB41C1">
        <w:rPr>
          <w:rFonts w:ascii="Times New Roman" w:hAnsi="Times New Roman" w:cs="Times New Roman"/>
          <w:i/>
          <w:iCs/>
        </w:rPr>
        <w:t>Lotteries (Fees) Determination 2019</w:t>
      </w:r>
      <w:r>
        <w:rPr>
          <w:rFonts w:ascii="Times New Roman" w:hAnsi="Times New Roman" w:cs="Times New Roman"/>
        </w:rPr>
        <w:t xml:space="preserve"> (</w:t>
      </w:r>
      <w:r w:rsidRPr="0002592D">
        <w:rPr>
          <w:rFonts w:ascii="Times New Roman" w:hAnsi="Times New Roman" w:cs="Times New Roman"/>
          <w:i/>
          <w:iCs/>
        </w:rPr>
        <w:t>No 1</w:t>
      </w:r>
      <w:r>
        <w:rPr>
          <w:rFonts w:ascii="Times New Roman" w:hAnsi="Times New Roman" w:cs="Times New Roman"/>
        </w:rPr>
        <w:t xml:space="preserve">) </w:t>
      </w:r>
      <w:r w:rsidRPr="009571F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2019-100 is revoked.</w:t>
      </w:r>
    </w:p>
    <w:p w:rsidR="00EB41C1" w:rsidRDefault="00EB41C1" w:rsidP="00EB41C1">
      <w:pPr>
        <w:jc w:val="both"/>
        <w:rPr>
          <w:rFonts w:ascii="Times New Roman" w:hAnsi="Times New Roman" w:cs="Times New Roman"/>
        </w:rPr>
      </w:pPr>
    </w:p>
    <w:p w:rsidR="00EB41C1" w:rsidRPr="00EB41C1" w:rsidRDefault="00EB41C1" w:rsidP="00EB4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also provides that the </w:t>
      </w:r>
      <w:r w:rsidRPr="00EB41C1">
        <w:rPr>
          <w:rFonts w:ascii="Times New Roman" w:hAnsi="Times New Roman" w:cs="Times New Roman"/>
        </w:rPr>
        <w:t>commission may, if satisfied that it is appropriate to do so, refund, waive or remit any fee or part of a fee payable for a matter stated in an item in the Schedule, column 2.</w:t>
      </w:r>
    </w:p>
    <w:p w:rsidR="00FE326B" w:rsidRDefault="00FE326B" w:rsidP="00173EEA">
      <w:pPr>
        <w:jc w:val="both"/>
        <w:rPr>
          <w:rFonts w:ascii="Times New Roman" w:hAnsi="Times New Roman" w:cs="Times New Roman"/>
        </w:rPr>
      </w:pPr>
    </w:p>
    <w:p w:rsidR="008814DB" w:rsidRDefault="00EB41C1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authority to refund, waive or remit any fee aims </w:t>
      </w:r>
      <w:r w:rsidR="007A0D24">
        <w:rPr>
          <w:rFonts w:ascii="Times New Roman" w:hAnsi="Times New Roman" w:cs="Times New Roman"/>
        </w:rPr>
        <w:t xml:space="preserve">to facilitate the consideration of refunds, or waivers of such fees, due to the impact of COVID-19 on </w:t>
      </w:r>
      <w:r w:rsidR="00003A9B">
        <w:rPr>
          <w:rFonts w:ascii="Times New Roman" w:hAnsi="Times New Roman" w:cs="Times New Roman"/>
        </w:rPr>
        <w:t xml:space="preserve">types of </w:t>
      </w:r>
      <w:r w:rsidR="007A0D24">
        <w:rPr>
          <w:rFonts w:ascii="Times New Roman" w:hAnsi="Times New Roman" w:cs="Times New Roman"/>
        </w:rPr>
        <w:t>lotteries that are currently approved.</w:t>
      </w:r>
      <w:r w:rsidR="00003A9B">
        <w:rPr>
          <w:rFonts w:ascii="Times New Roman" w:hAnsi="Times New Roman" w:cs="Times New Roman"/>
        </w:rPr>
        <w:t xml:space="preserve"> </w:t>
      </w:r>
      <w:r w:rsidR="005464DA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aims to provide</w:t>
      </w:r>
      <w:r w:rsidR="007A0D24">
        <w:rPr>
          <w:rFonts w:ascii="Times New Roman" w:hAnsi="Times New Roman" w:cs="Times New Roman"/>
        </w:rPr>
        <w:t xml:space="preserve"> a further means of supporting and encouraging businesses to continue operating, albeit with potentially varied prize offerings in order to ensure there is no breach of public health directions</w:t>
      </w:r>
      <w:r w:rsidR="00003A9B">
        <w:rPr>
          <w:rFonts w:ascii="Times New Roman" w:hAnsi="Times New Roman" w:cs="Times New Roman"/>
        </w:rPr>
        <w:t xml:space="preserve"> or other overt risk posed to entrants through the type of prize. </w:t>
      </w:r>
    </w:p>
    <w:p w:rsidR="008814DB" w:rsidRDefault="008814DB" w:rsidP="00B53682">
      <w:pPr>
        <w:jc w:val="both"/>
        <w:rPr>
          <w:rFonts w:ascii="Times New Roman" w:hAnsi="Times New Roman" w:cs="Times New Roman"/>
        </w:rPr>
      </w:pPr>
    </w:p>
    <w:p w:rsidR="007A0D24" w:rsidRDefault="008814D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inconsequential changes to the layout of the Instrument have been made in order to </w:t>
      </w:r>
      <w:r w:rsidR="005464DA">
        <w:rPr>
          <w:rFonts w:ascii="Times New Roman" w:hAnsi="Times New Roman" w:cs="Times New Roman"/>
        </w:rPr>
        <w:t xml:space="preserve">provide </w:t>
      </w:r>
      <w:r w:rsidR="007F589F">
        <w:rPr>
          <w:rFonts w:ascii="Times New Roman" w:hAnsi="Times New Roman" w:cs="Times New Roman"/>
        </w:rPr>
        <w:t xml:space="preserve">a simplified layout that is consistent </w:t>
      </w:r>
      <w:r>
        <w:rPr>
          <w:rFonts w:ascii="Times New Roman" w:hAnsi="Times New Roman" w:cs="Times New Roman"/>
        </w:rPr>
        <w:t xml:space="preserve">with </w:t>
      </w:r>
      <w:r w:rsidR="005464DA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>Fee Instruments</w:t>
      </w:r>
      <w:r w:rsidR="007F589F">
        <w:rPr>
          <w:rFonts w:ascii="Times New Roman" w:hAnsi="Times New Roman" w:cs="Times New Roman"/>
        </w:rPr>
        <w:t xml:space="preserve"> in-force </w:t>
      </w:r>
      <w:r>
        <w:rPr>
          <w:rFonts w:ascii="Times New Roman" w:hAnsi="Times New Roman" w:cs="Times New Roman"/>
        </w:rPr>
        <w:t>under Gaming</w:t>
      </w:r>
      <w:r w:rsidR="007F589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Laws within the Territory.  </w:t>
      </w:r>
      <w:r w:rsidR="00003A9B">
        <w:rPr>
          <w:rFonts w:ascii="Times New Roman" w:hAnsi="Times New Roman" w:cs="Times New Roman"/>
        </w:rPr>
        <w:t xml:space="preserve"> </w:t>
      </w:r>
    </w:p>
    <w:p w:rsidR="00FE326B" w:rsidRDefault="00FE326B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</w:p>
    <w:p w:rsidR="00FE326B" w:rsidRDefault="00FE326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determination under section 18A is a disallowable instrument and must be tabled in the Legislative Assembly.</w:t>
      </w:r>
    </w:p>
    <w:p w:rsidR="00FE326B" w:rsidRDefault="00FE326B" w:rsidP="00B53682">
      <w:pPr>
        <w:jc w:val="both"/>
        <w:rPr>
          <w:rFonts w:ascii="Times New Roman" w:hAnsi="Times New Roman" w:cs="Times New Roman"/>
        </w:rPr>
      </w:pPr>
    </w:p>
    <w:p w:rsidR="00FE326B" w:rsidRDefault="00FE326B">
      <w:pPr>
        <w:rPr>
          <w:rFonts w:ascii="Times New Roman" w:hAnsi="Times New Roman" w:cs="Times New Roman"/>
        </w:rPr>
      </w:pPr>
    </w:p>
    <w:sectPr w:rsidR="00FE326B" w:rsidSect="00EE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418" w:bottom="851" w:left="1418" w:header="1134" w:footer="720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CE" w:rsidRDefault="00BE6ACE">
      <w:r>
        <w:separator/>
      </w:r>
    </w:p>
  </w:endnote>
  <w:endnote w:type="continuationSeparator" w:id="0">
    <w:p w:rsidR="00BE6ACE" w:rsidRDefault="00BE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Default="0015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Pr="00156B95" w:rsidRDefault="00156B95" w:rsidP="00156B95">
    <w:pPr>
      <w:pStyle w:val="Footer"/>
      <w:jc w:val="center"/>
      <w:rPr>
        <w:sz w:val="14"/>
      </w:rPr>
    </w:pPr>
    <w:r w:rsidRPr="00156B95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Pr="00156B95" w:rsidRDefault="00156B95" w:rsidP="00156B95">
    <w:pPr>
      <w:pStyle w:val="Footer"/>
      <w:jc w:val="center"/>
      <w:rPr>
        <w:sz w:val="14"/>
      </w:rPr>
    </w:pPr>
    <w:r w:rsidRPr="00156B95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CE" w:rsidRDefault="00BE6ACE">
      <w:r>
        <w:separator/>
      </w:r>
    </w:p>
  </w:footnote>
  <w:footnote w:type="continuationSeparator" w:id="0">
    <w:p w:rsidR="00BE6ACE" w:rsidRDefault="00BE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Default="0015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Default="00156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95" w:rsidRDefault="00156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E0E"/>
    <w:multiLevelType w:val="hybridMultilevel"/>
    <w:tmpl w:val="97A87638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1651"/>
    <w:multiLevelType w:val="hybridMultilevel"/>
    <w:tmpl w:val="FB06D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C58F6"/>
    <w:multiLevelType w:val="hybridMultilevel"/>
    <w:tmpl w:val="52C47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C0340"/>
    <w:multiLevelType w:val="hybridMultilevel"/>
    <w:tmpl w:val="68DA077C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B14BD"/>
    <w:multiLevelType w:val="hybridMultilevel"/>
    <w:tmpl w:val="B0346684"/>
    <w:lvl w:ilvl="0" w:tplc="DCBCD8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C8725D"/>
    <w:multiLevelType w:val="hybridMultilevel"/>
    <w:tmpl w:val="D0EC66FA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141619"/>
    <w:multiLevelType w:val="hybridMultilevel"/>
    <w:tmpl w:val="5D6A379E"/>
    <w:lvl w:ilvl="0" w:tplc="18DAA814">
      <w:start w:val="2"/>
      <w:numFmt w:val="low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165E21"/>
    <w:multiLevelType w:val="hybridMultilevel"/>
    <w:tmpl w:val="C6D4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D7FF6"/>
    <w:multiLevelType w:val="hybridMultilevel"/>
    <w:tmpl w:val="C8169E42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26FE8"/>
    <w:multiLevelType w:val="hybridMultilevel"/>
    <w:tmpl w:val="ABF6818A"/>
    <w:lvl w:ilvl="0" w:tplc="4164072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766878"/>
    <w:multiLevelType w:val="singleLevel"/>
    <w:tmpl w:val="10303C92"/>
    <w:lvl w:ilvl="0">
      <w:start w:val="1"/>
      <w:numFmt w:val="lowerRoman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73A25D97"/>
    <w:multiLevelType w:val="hybridMultilevel"/>
    <w:tmpl w:val="491ABB68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70C"/>
    <w:rsid w:val="000031B5"/>
    <w:rsid w:val="00003A9B"/>
    <w:rsid w:val="00020046"/>
    <w:rsid w:val="0002592D"/>
    <w:rsid w:val="00036EC3"/>
    <w:rsid w:val="00073A9F"/>
    <w:rsid w:val="000934B6"/>
    <w:rsid w:val="000E650A"/>
    <w:rsid w:val="000F1029"/>
    <w:rsid w:val="0014153D"/>
    <w:rsid w:val="00156B95"/>
    <w:rsid w:val="00173EEA"/>
    <w:rsid w:val="00186390"/>
    <w:rsid w:val="001B23FA"/>
    <w:rsid w:val="001D770C"/>
    <w:rsid w:val="001E5463"/>
    <w:rsid w:val="00276BF7"/>
    <w:rsid w:val="00287E9D"/>
    <w:rsid w:val="00295098"/>
    <w:rsid w:val="002B47D9"/>
    <w:rsid w:val="002D4A8C"/>
    <w:rsid w:val="002E5C13"/>
    <w:rsid w:val="00325E35"/>
    <w:rsid w:val="00327A9D"/>
    <w:rsid w:val="00330B57"/>
    <w:rsid w:val="0033287E"/>
    <w:rsid w:val="00340396"/>
    <w:rsid w:val="003D1EC5"/>
    <w:rsid w:val="003E4263"/>
    <w:rsid w:val="004171C1"/>
    <w:rsid w:val="00480786"/>
    <w:rsid w:val="004858D9"/>
    <w:rsid w:val="004A575E"/>
    <w:rsid w:val="004F249F"/>
    <w:rsid w:val="00531FEB"/>
    <w:rsid w:val="005464DA"/>
    <w:rsid w:val="005A2E7F"/>
    <w:rsid w:val="005A317A"/>
    <w:rsid w:val="005D21B5"/>
    <w:rsid w:val="005E199C"/>
    <w:rsid w:val="006015FF"/>
    <w:rsid w:val="00611EAF"/>
    <w:rsid w:val="0066509C"/>
    <w:rsid w:val="00684E6D"/>
    <w:rsid w:val="006B664B"/>
    <w:rsid w:val="006D3395"/>
    <w:rsid w:val="0071356D"/>
    <w:rsid w:val="007555BF"/>
    <w:rsid w:val="00757D58"/>
    <w:rsid w:val="007705CC"/>
    <w:rsid w:val="007726D3"/>
    <w:rsid w:val="00795F07"/>
    <w:rsid w:val="007A0D24"/>
    <w:rsid w:val="007A6042"/>
    <w:rsid w:val="007D1E5B"/>
    <w:rsid w:val="007E0EFE"/>
    <w:rsid w:val="007F589F"/>
    <w:rsid w:val="00804189"/>
    <w:rsid w:val="008814DB"/>
    <w:rsid w:val="00913557"/>
    <w:rsid w:val="009261DF"/>
    <w:rsid w:val="009571FE"/>
    <w:rsid w:val="00986EE3"/>
    <w:rsid w:val="009C6EEC"/>
    <w:rsid w:val="009E6FF4"/>
    <w:rsid w:val="00A15E0C"/>
    <w:rsid w:val="00A42066"/>
    <w:rsid w:val="00A540E1"/>
    <w:rsid w:val="00AE4C08"/>
    <w:rsid w:val="00AF5FC7"/>
    <w:rsid w:val="00B00715"/>
    <w:rsid w:val="00B11A9D"/>
    <w:rsid w:val="00B53682"/>
    <w:rsid w:val="00B73D20"/>
    <w:rsid w:val="00BE1B4A"/>
    <w:rsid w:val="00BE6ACE"/>
    <w:rsid w:val="00BF6E54"/>
    <w:rsid w:val="00C042F3"/>
    <w:rsid w:val="00C1634E"/>
    <w:rsid w:val="00C7779A"/>
    <w:rsid w:val="00CB51D7"/>
    <w:rsid w:val="00CC10F7"/>
    <w:rsid w:val="00CE19DF"/>
    <w:rsid w:val="00CE2E4E"/>
    <w:rsid w:val="00D20226"/>
    <w:rsid w:val="00D5698E"/>
    <w:rsid w:val="00D7011B"/>
    <w:rsid w:val="00D800BF"/>
    <w:rsid w:val="00D84837"/>
    <w:rsid w:val="00DA1BD2"/>
    <w:rsid w:val="00DB06B3"/>
    <w:rsid w:val="00DC793C"/>
    <w:rsid w:val="00E31625"/>
    <w:rsid w:val="00E43AA0"/>
    <w:rsid w:val="00E605EA"/>
    <w:rsid w:val="00E61CF8"/>
    <w:rsid w:val="00EB41C1"/>
    <w:rsid w:val="00EB6042"/>
    <w:rsid w:val="00EE2EFF"/>
    <w:rsid w:val="00F27B7A"/>
    <w:rsid w:val="00FB6DE3"/>
    <w:rsid w:val="00FC70AF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B6EFC21-169A-4B92-8429-D57E813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pPr>
      <w:tabs>
        <w:tab w:val="left" w:pos="2880"/>
      </w:tabs>
    </w:pPr>
    <w:rPr>
      <w:rFonts w:cs="Times New Roman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sz w:val="18"/>
      <w:szCs w:val="18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rFonts w:cs="Times New Roman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rFonts w:cs="Times New Roman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Status">
    <w:name w:val="Status"/>
    <w:basedOn w:val="Normal"/>
    <w:pPr>
      <w:tabs>
        <w:tab w:val="left" w:pos="2880"/>
      </w:tabs>
      <w:spacing w:before="280"/>
      <w:jc w:val="center"/>
    </w:pPr>
    <w:rPr>
      <w:sz w:val="14"/>
      <w:szCs w:val="1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4">
    <w:name w:val="H4"/>
    <w:basedOn w:val="Normal"/>
    <w:next w:val="Normal"/>
    <w:pPr>
      <w:keepNext/>
      <w:spacing w:before="100" w:after="100"/>
    </w:pPr>
    <w:rPr>
      <w:rFonts w:cs="Times New Roman"/>
      <w:b/>
      <w:bCs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tabs>
        <w:tab w:val="left" w:pos="567"/>
        <w:tab w:val="left" w:pos="1134"/>
        <w:tab w:val="left" w:pos="7230"/>
      </w:tabs>
      <w:overflowPunct/>
      <w:autoSpaceDE/>
      <w:autoSpaceDN/>
      <w:adjustRightInd/>
      <w:ind w:right="-51"/>
      <w:textAlignment w:val="auto"/>
    </w:pPr>
    <w:rPr>
      <w:rFonts w:cs="Times New Roman"/>
    </w:rPr>
  </w:style>
  <w:style w:type="paragraph" w:styleId="BodyTextIndent2">
    <w:name w:val="Body Text Indent 2"/>
    <w:basedOn w:val="Normal"/>
    <w:pPr>
      <w:ind w:firstLine="426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141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153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EB41C1"/>
    <w:pPr>
      <w:widowControl w:val="0"/>
      <w:overflowPunct/>
      <w:adjustRightInd/>
      <w:ind w:left="497" w:hanging="360"/>
      <w:jc w:val="both"/>
      <w:textAlignment w:val="auto"/>
    </w:pPr>
    <w:rPr>
      <w:rFonts w:ascii="Times New Roman" w:hAnsi="Times New Roman" w:cs="Times New Roman"/>
      <w:sz w:val="22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1461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InTACT</dc:creator>
  <cp:keywords/>
  <dc:description/>
  <cp:lastModifiedBy>Moxon, KarenL</cp:lastModifiedBy>
  <cp:revision>5</cp:revision>
  <cp:lastPrinted>2015-05-06T00:30:00Z</cp:lastPrinted>
  <dcterms:created xsi:type="dcterms:W3CDTF">2020-06-03T00:36:00Z</dcterms:created>
  <dcterms:modified xsi:type="dcterms:W3CDTF">2020-06-04T01:38:00Z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Objective-Id">
    <vt:lpwstr>A25614421</vt:lpwstr>
  </property>
  <property fmtid="{D5CDD505-2E9C-101B-9397-08002B2CF9AE}" pid="4" name="Objective-Title">
    <vt:lpwstr>Attachment B - Lotteries (Fees) Determination 2020 ES</vt:lpwstr>
  </property>
  <property fmtid="{D5CDD505-2E9C-101B-9397-08002B2CF9AE}" pid="5" name="Objective-Comment">
    <vt:lpwstr/>
  </property>
  <property fmtid="{D5CDD505-2E9C-101B-9397-08002B2CF9AE}" pid="6" name="Objective-CreationStamp">
    <vt:filetime>2020-05-20T02:21:06Z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2020-05-20T03:36:06Z</vt:filetime>
  </property>
  <property fmtid="{D5CDD505-2E9C-101B-9397-08002B2CF9AE}" pid="10" name="Objective-ModificationStamp">
    <vt:filetime>2020-05-20T03:36:06Z</vt:filetime>
  </property>
  <property fmtid="{D5CDD505-2E9C-101B-9397-08002B2CF9AE}" pid="11" name="Objective-Owner">
    <vt:lpwstr>Andrew Nowlan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Regulation:GRC Board Documents:May 2020:Lotte</vt:lpwstr>
  </property>
  <property fmtid="{D5CDD505-2E9C-101B-9397-08002B2CF9AE}" pid="13" name="Objective-Parent">
    <vt:lpwstr>Lotteries Fee DI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