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9435"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bookmarkStart w:id="0" w:name="_GoBack"/>
      <w:bookmarkEnd w:id="0"/>
      <w:r w:rsidRPr="00A05055">
        <w:rPr>
          <w:rFonts w:asciiTheme="minorHAnsi" w:hAnsiTheme="minorHAnsi" w:cstheme="minorHAnsi"/>
          <w:b/>
          <w:bCs/>
          <w:sz w:val="32"/>
          <w:szCs w:val="32"/>
        </w:rPr>
        <w:t>2020</w:t>
      </w:r>
    </w:p>
    <w:p w14:paraId="265E8BCC"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p>
    <w:p w14:paraId="1425E315"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r w:rsidRPr="00A05055">
        <w:rPr>
          <w:rFonts w:asciiTheme="minorHAnsi" w:hAnsiTheme="minorHAnsi" w:cstheme="minorHAnsi"/>
          <w:b/>
          <w:bCs/>
          <w:sz w:val="32"/>
          <w:szCs w:val="32"/>
        </w:rPr>
        <w:t>THE LEGISLATIVE ASSEMBLY FOR THE</w:t>
      </w:r>
    </w:p>
    <w:p w14:paraId="0C856B88"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r w:rsidRPr="00A05055">
        <w:rPr>
          <w:rFonts w:asciiTheme="minorHAnsi" w:hAnsiTheme="minorHAnsi" w:cstheme="minorHAnsi"/>
          <w:b/>
          <w:bCs/>
          <w:sz w:val="32"/>
          <w:szCs w:val="32"/>
        </w:rPr>
        <w:t>AUSTRALIAN CAPITAL TERRITORY</w:t>
      </w:r>
    </w:p>
    <w:p w14:paraId="757AFE25"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p>
    <w:p w14:paraId="3CB88E6A"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p>
    <w:p w14:paraId="0F3C5AAB"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p>
    <w:p w14:paraId="1BB0DEE8" w14:textId="301999F4"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r w:rsidRPr="00A05055">
        <w:rPr>
          <w:rFonts w:asciiTheme="minorHAnsi" w:hAnsiTheme="minorHAnsi" w:cstheme="minorHAnsi"/>
          <w:b/>
          <w:bCs/>
          <w:sz w:val="32"/>
          <w:szCs w:val="32"/>
        </w:rPr>
        <w:t>ELECTRICITY FEED-IN (RENEWABLE ENERGY PREMIUM) AMENDMENT BILL 2020</w:t>
      </w:r>
    </w:p>
    <w:p w14:paraId="61340207"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p>
    <w:p w14:paraId="09347F4A"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b/>
          <w:bCs/>
          <w:sz w:val="32"/>
          <w:szCs w:val="32"/>
        </w:rPr>
      </w:pPr>
    </w:p>
    <w:p w14:paraId="03F19745" w14:textId="77777777" w:rsidR="00A05055" w:rsidRPr="00A05055" w:rsidRDefault="00A05055" w:rsidP="00A05055">
      <w:pPr>
        <w:autoSpaceDE w:val="0"/>
        <w:autoSpaceDN w:val="0"/>
        <w:adjustRightInd w:val="0"/>
        <w:spacing w:after="0" w:line="360" w:lineRule="auto"/>
        <w:jc w:val="center"/>
        <w:rPr>
          <w:rFonts w:asciiTheme="minorHAnsi" w:hAnsiTheme="minorHAnsi" w:cstheme="minorHAnsi"/>
          <w:b/>
          <w:bCs/>
          <w:sz w:val="32"/>
          <w:szCs w:val="32"/>
        </w:rPr>
      </w:pPr>
      <w:r w:rsidRPr="00A05055">
        <w:rPr>
          <w:rFonts w:asciiTheme="minorHAnsi" w:hAnsiTheme="minorHAnsi" w:cstheme="minorHAnsi"/>
          <w:b/>
          <w:bCs/>
          <w:sz w:val="32"/>
          <w:szCs w:val="32"/>
        </w:rPr>
        <w:t>EXPLANATORY STATEMENT</w:t>
      </w:r>
    </w:p>
    <w:p w14:paraId="0512BA52" w14:textId="380070BB" w:rsidR="00A05055" w:rsidRPr="00A05055" w:rsidRDefault="00A05055" w:rsidP="00A05055">
      <w:pPr>
        <w:autoSpaceDE w:val="0"/>
        <w:autoSpaceDN w:val="0"/>
        <w:adjustRightInd w:val="0"/>
        <w:spacing w:after="0" w:line="360" w:lineRule="auto"/>
        <w:jc w:val="center"/>
        <w:rPr>
          <w:rFonts w:asciiTheme="minorHAnsi" w:hAnsiTheme="minorHAnsi" w:cstheme="minorHAnsi"/>
          <w:b/>
          <w:bCs/>
          <w:sz w:val="32"/>
          <w:szCs w:val="32"/>
        </w:rPr>
      </w:pPr>
      <w:r w:rsidRPr="00A05055">
        <w:rPr>
          <w:rFonts w:asciiTheme="minorHAnsi" w:hAnsiTheme="minorHAnsi" w:cstheme="minorHAnsi"/>
          <w:b/>
          <w:bCs/>
          <w:sz w:val="32"/>
          <w:szCs w:val="32"/>
        </w:rPr>
        <w:t>and</w:t>
      </w:r>
    </w:p>
    <w:p w14:paraId="3A829004" w14:textId="77777777" w:rsidR="00A05055" w:rsidRPr="00A05055" w:rsidRDefault="00A05055" w:rsidP="00A05055">
      <w:pPr>
        <w:pStyle w:val="NoSpacing"/>
        <w:jc w:val="center"/>
        <w:rPr>
          <w:rFonts w:asciiTheme="minorHAnsi" w:hAnsiTheme="minorHAnsi" w:cstheme="minorHAnsi"/>
          <w:b/>
          <w:bCs/>
          <w:sz w:val="32"/>
          <w:szCs w:val="32"/>
        </w:rPr>
      </w:pPr>
      <w:r w:rsidRPr="00A05055">
        <w:rPr>
          <w:rFonts w:asciiTheme="minorHAnsi" w:hAnsiTheme="minorHAnsi" w:cstheme="minorHAnsi"/>
          <w:b/>
          <w:bCs/>
          <w:sz w:val="32"/>
          <w:szCs w:val="32"/>
        </w:rPr>
        <w:t>HUMAN RIGHTS COMPATIBILITY STATEMENT</w:t>
      </w:r>
    </w:p>
    <w:p w14:paraId="3DDBB415" w14:textId="77777777" w:rsidR="00A05055" w:rsidRPr="00A05055" w:rsidRDefault="00A05055" w:rsidP="00A05055">
      <w:pPr>
        <w:pStyle w:val="NoSpacing"/>
        <w:jc w:val="center"/>
        <w:rPr>
          <w:rFonts w:asciiTheme="minorHAnsi" w:hAnsiTheme="minorHAnsi" w:cstheme="minorHAnsi"/>
          <w:b/>
          <w:bCs/>
          <w:sz w:val="32"/>
          <w:szCs w:val="32"/>
        </w:rPr>
      </w:pPr>
      <w:r w:rsidRPr="00A05055">
        <w:rPr>
          <w:rFonts w:asciiTheme="minorHAnsi" w:hAnsiTheme="minorHAnsi" w:cstheme="minorHAnsi"/>
          <w:b/>
          <w:bCs/>
          <w:sz w:val="32"/>
          <w:szCs w:val="32"/>
        </w:rPr>
        <w:t>(</w:t>
      </w:r>
      <w:r w:rsidRPr="00A05055">
        <w:rPr>
          <w:rFonts w:asciiTheme="minorHAnsi" w:hAnsiTheme="minorHAnsi" w:cstheme="minorHAnsi"/>
          <w:b/>
          <w:bCs/>
          <w:i/>
          <w:iCs/>
          <w:sz w:val="32"/>
          <w:szCs w:val="32"/>
        </w:rPr>
        <w:t xml:space="preserve">Human Rights Act 2004, </w:t>
      </w:r>
      <w:r w:rsidRPr="00A05055">
        <w:rPr>
          <w:rFonts w:asciiTheme="minorHAnsi" w:hAnsiTheme="minorHAnsi" w:cstheme="minorHAnsi"/>
          <w:b/>
          <w:bCs/>
          <w:sz w:val="32"/>
          <w:szCs w:val="32"/>
        </w:rPr>
        <w:t>s 37)</w:t>
      </w:r>
    </w:p>
    <w:p w14:paraId="60AE49F4" w14:textId="77777777" w:rsidR="00A05055" w:rsidRPr="00A05055" w:rsidRDefault="00A05055" w:rsidP="00A05055">
      <w:pPr>
        <w:autoSpaceDE w:val="0"/>
        <w:autoSpaceDN w:val="0"/>
        <w:adjustRightInd w:val="0"/>
        <w:spacing w:after="240" w:line="360" w:lineRule="auto"/>
        <w:rPr>
          <w:rFonts w:asciiTheme="minorHAnsi" w:hAnsiTheme="minorHAnsi" w:cstheme="minorHAnsi"/>
          <w:szCs w:val="24"/>
        </w:rPr>
      </w:pPr>
    </w:p>
    <w:p w14:paraId="19580AE8" w14:textId="77777777" w:rsidR="00A05055" w:rsidRPr="00A05055" w:rsidRDefault="00A05055" w:rsidP="00A05055">
      <w:pPr>
        <w:autoSpaceDE w:val="0"/>
        <w:autoSpaceDN w:val="0"/>
        <w:adjustRightInd w:val="0"/>
        <w:spacing w:after="240" w:line="360" w:lineRule="auto"/>
        <w:jc w:val="center"/>
        <w:rPr>
          <w:rFonts w:asciiTheme="minorHAnsi" w:hAnsiTheme="minorHAnsi" w:cstheme="minorHAnsi"/>
          <w:szCs w:val="24"/>
        </w:rPr>
      </w:pPr>
    </w:p>
    <w:p w14:paraId="61A72405" w14:textId="77777777" w:rsidR="00A05055" w:rsidRPr="00A05055" w:rsidRDefault="00A05055" w:rsidP="00A05055">
      <w:pPr>
        <w:autoSpaceDE w:val="0"/>
        <w:autoSpaceDN w:val="0"/>
        <w:adjustRightInd w:val="0"/>
        <w:spacing w:after="240" w:line="360" w:lineRule="auto"/>
        <w:jc w:val="right"/>
        <w:rPr>
          <w:rFonts w:asciiTheme="minorHAnsi" w:hAnsiTheme="minorHAnsi" w:cstheme="minorHAnsi"/>
          <w:sz w:val="23"/>
          <w:szCs w:val="23"/>
        </w:rPr>
      </w:pPr>
      <w:r w:rsidRPr="00A05055">
        <w:rPr>
          <w:rFonts w:asciiTheme="minorHAnsi" w:hAnsiTheme="minorHAnsi" w:cstheme="minorHAnsi"/>
          <w:sz w:val="23"/>
          <w:szCs w:val="23"/>
        </w:rPr>
        <w:t>Presented by</w:t>
      </w:r>
    </w:p>
    <w:p w14:paraId="641DC76E" w14:textId="79E4FA85" w:rsidR="00A05055" w:rsidRPr="00A05055" w:rsidRDefault="00A05055" w:rsidP="00A05055">
      <w:pPr>
        <w:autoSpaceDE w:val="0"/>
        <w:autoSpaceDN w:val="0"/>
        <w:adjustRightInd w:val="0"/>
        <w:spacing w:after="240" w:line="360" w:lineRule="auto"/>
        <w:jc w:val="right"/>
        <w:rPr>
          <w:rFonts w:asciiTheme="minorHAnsi" w:hAnsiTheme="minorHAnsi" w:cstheme="minorHAnsi"/>
          <w:sz w:val="23"/>
          <w:szCs w:val="23"/>
        </w:rPr>
      </w:pPr>
      <w:r w:rsidRPr="00A05055">
        <w:rPr>
          <w:rFonts w:asciiTheme="minorHAnsi" w:hAnsiTheme="minorHAnsi" w:cstheme="minorHAnsi"/>
          <w:sz w:val="23"/>
          <w:szCs w:val="23"/>
        </w:rPr>
        <w:t xml:space="preserve">Mr Shane </w:t>
      </w:r>
      <w:proofErr w:type="spellStart"/>
      <w:r w:rsidRPr="00A05055">
        <w:rPr>
          <w:rFonts w:asciiTheme="minorHAnsi" w:hAnsiTheme="minorHAnsi" w:cstheme="minorHAnsi"/>
          <w:sz w:val="23"/>
          <w:szCs w:val="23"/>
        </w:rPr>
        <w:t>Rattenbury</w:t>
      </w:r>
      <w:proofErr w:type="spellEnd"/>
      <w:r w:rsidRPr="00A05055">
        <w:rPr>
          <w:rFonts w:asciiTheme="minorHAnsi" w:hAnsiTheme="minorHAnsi" w:cstheme="minorHAnsi"/>
          <w:sz w:val="23"/>
          <w:szCs w:val="23"/>
        </w:rPr>
        <w:t xml:space="preserve"> MLA</w:t>
      </w:r>
    </w:p>
    <w:p w14:paraId="6578AB37" w14:textId="6C860654" w:rsidR="00A05055" w:rsidRPr="00A05055" w:rsidRDefault="00A05055" w:rsidP="00A05055">
      <w:pPr>
        <w:spacing w:after="240" w:line="360" w:lineRule="auto"/>
        <w:jc w:val="right"/>
        <w:rPr>
          <w:rFonts w:asciiTheme="minorHAnsi" w:hAnsiTheme="minorHAnsi" w:cstheme="minorHAnsi"/>
          <w:sz w:val="23"/>
          <w:szCs w:val="23"/>
        </w:rPr>
      </w:pPr>
      <w:r w:rsidRPr="00A05055">
        <w:rPr>
          <w:rFonts w:asciiTheme="minorHAnsi" w:hAnsiTheme="minorHAnsi" w:cstheme="minorHAnsi"/>
          <w:sz w:val="23"/>
          <w:szCs w:val="23"/>
        </w:rPr>
        <w:t>Minister for Climate Change and Sustainability</w:t>
      </w:r>
    </w:p>
    <w:p w14:paraId="29D58DC6" w14:textId="233E9EF6" w:rsidR="00DC5912" w:rsidRPr="00A05055" w:rsidRDefault="00DC5912">
      <w:pPr>
        <w:spacing w:after="0" w:line="240" w:lineRule="auto"/>
        <w:rPr>
          <w:rFonts w:asciiTheme="minorHAnsi" w:hAnsiTheme="minorHAnsi" w:cstheme="minorHAnsi"/>
          <w:b/>
          <w:bCs/>
          <w:sz w:val="24"/>
          <w:szCs w:val="24"/>
          <w:u w:val="single"/>
        </w:rPr>
        <w:sectPr w:rsidR="00DC5912" w:rsidRPr="00A05055" w:rsidSect="00DC5912">
          <w:headerReference w:type="default" r:id="rId9"/>
          <w:footerReference w:type="default" r:id="rId10"/>
          <w:footerReference w:type="first" r:id="rId11"/>
          <w:pgSz w:w="11906" w:h="16838"/>
          <w:pgMar w:top="1276" w:right="1440" w:bottom="1440" w:left="1440" w:header="709" w:footer="675" w:gutter="0"/>
          <w:pgNumType w:start="1"/>
          <w:cols w:space="708"/>
          <w:docGrid w:linePitch="360"/>
        </w:sectPr>
      </w:pPr>
    </w:p>
    <w:p w14:paraId="7BD217BF" w14:textId="1B4C9314" w:rsidR="00790FE4" w:rsidRDefault="00A05055" w:rsidP="00A05055">
      <w:pPr>
        <w:spacing w:after="0"/>
        <w:contextualSpacing/>
        <w:rPr>
          <w:rFonts w:asciiTheme="minorHAnsi" w:hAnsiTheme="minorHAnsi" w:cstheme="minorHAnsi"/>
          <w:bCs/>
          <w:sz w:val="24"/>
          <w:szCs w:val="24"/>
        </w:rPr>
      </w:pPr>
      <w:r>
        <w:rPr>
          <w:rFonts w:asciiTheme="minorHAnsi" w:hAnsiTheme="minorHAnsi" w:cstheme="minorHAnsi"/>
          <w:bCs/>
          <w:sz w:val="24"/>
          <w:szCs w:val="24"/>
        </w:rPr>
        <w:lastRenderedPageBreak/>
        <w:t>This explanatory statement relates to the Electricity Feed-in (Renewable Energy Premium) Amendment Bill 2020 as presented to the Legislative Assembly. It has been prepared in order to assist the reader of the Bill and to help inform debate. It does not form part of the Bill and has not been endorsed by the Legislative Assembly.</w:t>
      </w:r>
    </w:p>
    <w:p w14:paraId="63B32A86" w14:textId="46EC6118" w:rsidR="00A05055" w:rsidRDefault="00A05055">
      <w:pPr>
        <w:spacing w:after="0"/>
        <w:contextualSpacing/>
        <w:rPr>
          <w:rFonts w:asciiTheme="minorHAnsi" w:hAnsiTheme="minorHAnsi" w:cstheme="minorHAnsi"/>
          <w:bCs/>
          <w:sz w:val="24"/>
          <w:szCs w:val="24"/>
        </w:rPr>
      </w:pPr>
    </w:p>
    <w:p w14:paraId="49A1DD9C" w14:textId="142A7E0E" w:rsidR="00A05055" w:rsidRPr="006600DF" w:rsidRDefault="00A05055">
      <w:pPr>
        <w:spacing w:after="0"/>
        <w:contextualSpacing/>
        <w:rPr>
          <w:rFonts w:asciiTheme="minorHAnsi" w:hAnsiTheme="minorHAnsi" w:cstheme="minorHAnsi"/>
          <w:bCs/>
          <w:sz w:val="24"/>
          <w:szCs w:val="24"/>
        </w:rPr>
      </w:pPr>
      <w:r>
        <w:rPr>
          <w:rFonts w:asciiTheme="minorHAnsi" w:hAnsiTheme="minorHAnsi" w:cstheme="minorHAnsi"/>
          <w:bCs/>
          <w:sz w:val="24"/>
          <w:szCs w:val="24"/>
        </w:rPr>
        <w:t>The statement must be read in conjunction with the Bill. It is not, and is not meant to be, a comprehensive description of the Bill. What is said about a provision is not to be taken as an authoritative guide to the meaning of the provision, this being a task for the courts.</w:t>
      </w:r>
    </w:p>
    <w:p w14:paraId="29C29316" w14:textId="059CBE34" w:rsidR="007B6A78" w:rsidRPr="00A05055" w:rsidRDefault="00A05055" w:rsidP="007109AC">
      <w:pPr>
        <w:pStyle w:val="Heading2"/>
        <w:spacing w:line="276" w:lineRule="auto"/>
        <w:rPr>
          <w:rFonts w:asciiTheme="minorHAnsi" w:hAnsiTheme="minorHAnsi" w:cstheme="minorHAnsi"/>
        </w:rPr>
      </w:pPr>
      <w:r>
        <w:rPr>
          <w:rFonts w:asciiTheme="minorHAnsi" w:hAnsiTheme="minorHAnsi" w:cstheme="minorHAnsi"/>
        </w:rPr>
        <w:t>BACKGROUND</w:t>
      </w:r>
    </w:p>
    <w:p w14:paraId="59279090" w14:textId="03C14D77" w:rsidR="007B6A78" w:rsidRPr="00A05055" w:rsidRDefault="00835CA8">
      <w:pPr>
        <w:rPr>
          <w:rFonts w:asciiTheme="minorHAnsi" w:hAnsiTheme="minorHAnsi" w:cstheme="minorHAnsi"/>
          <w:iCs/>
          <w:sz w:val="24"/>
          <w:szCs w:val="24"/>
        </w:rPr>
      </w:pPr>
      <w:r w:rsidRPr="00A05055">
        <w:rPr>
          <w:rFonts w:asciiTheme="minorHAnsi" w:hAnsiTheme="minorHAnsi" w:cstheme="minorHAnsi"/>
          <w:iCs/>
          <w:sz w:val="24"/>
          <w:szCs w:val="24"/>
        </w:rPr>
        <w:t>The purpose of this Bill is to implement</w:t>
      </w:r>
      <w:r w:rsidR="00A05055">
        <w:rPr>
          <w:rFonts w:asciiTheme="minorHAnsi" w:hAnsiTheme="minorHAnsi" w:cstheme="minorHAnsi"/>
          <w:iCs/>
          <w:sz w:val="24"/>
          <w:szCs w:val="24"/>
        </w:rPr>
        <w:t xml:space="preserve"> certain</w:t>
      </w:r>
      <w:r w:rsidRPr="00A05055">
        <w:rPr>
          <w:rFonts w:asciiTheme="minorHAnsi" w:hAnsiTheme="minorHAnsi" w:cstheme="minorHAnsi"/>
          <w:iCs/>
          <w:sz w:val="24"/>
          <w:szCs w:val="24"/>
        </w:rPr>
        <w:t xml:space="preserve"> recommendations of the 2018 review of the </w:t>
      </w:r>
      <w:r w:rsidRPr="00A05055">
        <w:rPr>
          <w:rFonts w:asciiTheme="minorHAnsi" w:hAnsiTheme="minorHAnsi" w:cstheme="minorHAnsi"/>
          <w:i/>
          <w:sz w:val="24"/>
          <w:szCs w:val="24"/>
        </w:rPr>
        <w:t>Electricity Feed-in (Renewable Energy Premium) Act 2008</w:t>
      </w:r>
      <w:r w:rsidR="00FA291F">
        <w:rPr>
          <w:rFonts w:asciiTheme="minorHAnsi" w:hAnsiTheme="minorHAnsi" w:cstheme="minorHAnsi"/>
          <w:i/>
          <w:sz w:val="24"/>
          <w:szCs w:val="24"/>
        </w:rPr>
        <w:t xml:space="preserve"> </w:t>
      </w:r>
      <w:r w:rsidR="00FA291F">
        <w:rPr>
          <w:rFonts w:asciiTheme="minorHAnsi" w:hAnsiTheme="minorHAnsi" w:cstheme="minorHAnsi"/>
          <w:iCs/>
          <w:sz w:val="24"/>
          <w:szCs w:val="24"/>
        </w:rPr>
        <w:t>(the Act)</w:t>
      </w:r>
      <w:r w:rsidRPr="00A05055">
        <w:rPr>
          <w:rFonts w:asciiTheme="minorHAnsi" w:hAnsiTheme="minorHAnsi" w:cstheme="minorHAnsi"/>
          <w:iCs/>
          <w:sz w:val="24"/>
          <w:szCs w:val="24"/>
        </w:rPr>
        <w:t>, and the associated 2019 audit of data on the ACT Small and Medium-scale Feed-in Tariff Scheme</w:t>
      </w:r>
      <w:r w:rsidR="003755C9" w:rsidRPr="00A05055">
        <w:rPr>
          <w:rFonts w:asciiTheme="minorHAnsi" w:hAnsiTheme="minorHAnsi" w:cstheme="minorHAnsi"/>
          <w:iCs/>
          <w:sz w:val="24"/>
          <w:szCs w:val="24"/>
        </w:rPr>
        <w:t xml:space="preserve"> (the Scheme)</w:t>
      </w:r>
      <w:r w:rsidRPr="00A05055">
        <w:rPr>
          <w:rFonts w:asciiTheme="minorHAnsi" w:hAnsiTheme="minorHAnsi" w:cstheme="minorHAnsi"/>
          <w:iCs/>
          <w:sz w:val="24"/>
          <w:szCs w:val="24"/>
        </w:rPr>
        <w:t>, which had been provided to the ACT Government for annual reporting purposes.</w:t>
      </w:r>
    </w:p>
    <w:p w14:paraId="1966EEC1" w14:textId="4C5C24BB" w:rsidR="0066679A" w:rsidRPr="00A05055" w:rsidRDefault="0066679A">
      <w:pPr>
        <w:rPr>
          <w:rFonts w:asciiTheme="minorHAnsi" w:hAnsiTheme="minorHAnsi" w:cstheme="minorHAnsi"/>
          <w:iCs/>
          <w:sz w:val="24"/>
          <w:szCs w:val="24"/>
        </w:rPr>
      </w:pPr>
      <w:r w:rsidRPr="00A05055">
        <w:rPr>
          <w:rFonts w:asciiTheme="minorHAnsi" w:hAnsiTheme="minorHAnsi" w:cstheme="minorHAnsi"/>
          <w:iCs/>
          <w:sz w:val="24"/>
          <w:szCs w:val="24"/>
        </w:rPr>
        <w:t xml:space="preserve">The recommendations addressed by this Bill relate to </w:t>
      </w:r>
      <w:r w:rsidR="00667B99">
        <w:rPr>
          <w:rFonts w:asciiTheme="minorHAnsi" w:hAnsiTheme="minorHAnsi" w:cstheme="minorHAnsi"/>
          <w:iCs/>
          <w:sz w:val="24"/>
          <w:szCs w:val="24"/>
        </w:rPr>
        <w:t>seeking</w:t>
      </w:r>
      <w:r w:rsidR="004600BE">
        <w:rPr>
          <w:rFonts w:asciiTheme="minorHAnsi" w:hAnsiTheme="minorHAnsi" w:cstheme="minorHAnsi"/>
          <w:iCs/>
          <w:sz w:val="24"/>
          <w:szCs w:val="24"/>
        </w:rPr>
        <w:t xml:space="preserve"> further information from the reporting entity for annual reporting purposes, </w:t>
      </w:r>
      <w:r w:rsidRPr="00A05055">
        <w:rPr>
          <w:rFonts w:asciiTheme="minorHAnsi" w:hAnsiTheme="minorHAnsi" w:cstheme="minorHAnsi"/>
          <w:iCs/>
          <w:sz w:val="24"/>
          <w:szCs w:val="24"/>
        </w:rPr>
        <w:t>recovery of reasonable administration costs for the ACT electricity distributor</w:t>
      </w:r>
      <w:r w:rsidR="004600BE">
        <w:rPr>
          <w:rFonts w:asciiTheme="minorHAnsi" w:hAnsiTheme="minorHAnsi" w:cstheme="minorHAnsi"/>
          <w:iCs/>
          <w:sz w:val="24"/>
          <w:szCs w:val="24"/>
        </w:rPr>
        <w:t xml:space="preserve"> (the costs as determined by the Minister)</w:t>
      </w:r>
      <w:r w:rsidRPr="00A05055">
        <w:rPr>
          <w:rFonts w:asciiTheme="minorHAnsi" w:hAnsiTheme="minorHAnsi" w:cstheme="minorHAnsi"/>
          <w:iCs/>
          <w:sz w:val="24"/>
          <w:szCs w:val="24"/>
        </w:rPr>
        <w:t>, and</w:t>
      </w:r>
      <w:r w:rsidR="004600BE">
        <w:rPr>
          <w:rFonts w:asciiTheme="minorHAnsi" w:hAnsiTheme="minorHAnsi" w:cstheme="minorHAnsi"/>
          <w:iCs/>
          <w:sz w:val="24"/>
          <w:szCs w:val="24"/>
        </w:rPr>
        <w:t xml:space="preserve"> clarification of existing</w:t>
      </w:r>
      <w:r w:rsidRPr="00A05055">
        <w:rPr>
          <w:rFonts w:asciiTheme="minorHAnsi" w:hAnsiTheme="minorHAnsi" w:cstheme="minorHAnsi"/>
          <w:iCs/>
          <w:sz w:val="24"/>
          <w:szCs w:val="24"/>
        </w:rPr>
        <w:t xml:space="preserve"> penalty provisions</w:t>
      </w:r>
      <w:r w:rsidR="004600BE">
        <w:rPr>
          <w:rFonts w:asciiTheme="minorHAnsi" w:hAnsiTheme="minorHAnsi" w:cstheme="minorHAnsi"/>
          <w:iCs/>
          <w:sz w:val="24"/>
          <w:szCs w:val="24"/>
        </w:rPr>
        <w:t xml:space="preserve"> in the Act,</w:t>
      </w:r>
      <w:r w:rsidRPr="00A05055">
        <w:rPr>
          <w:rFonts w:asciiTheme="minorHAnsi" w:hAnsiTheme="minorHAnsi" w:cstheme="minorHAnsi"/>
          <w:iCs/>
          <w:sz w:val="24"/>
          <w:szCs w:val="24"/>
        </w:rPr>
        <w:t xml:space="preserve"> to strengthen requirements around the reliability of reported information.</w:t>
      </w:r>
    </w:p>
    <w:p w14:paraId="509181BC" w14:textId="5A2DA638" w:rsidR="004E146F" w:rsidRDefault="004E146F">
      <w:pPr>
        <w:rPr>
          <w:rFonts w:asciiTheme="minorHAnsi" w:hAnsiTheme="minorHAnsi" w:cstheme="minorHAnsi"/>
          <w:iCs/>
          <w:sz w:val="24"/>
          <w:szCs w:val="24"/>
        </w:rPr>
      </w:pPr>
      <w:r w:rsidRPr="00A05055">
        <w:rPr>
          <w:rFonts w:asciiTheme="minorHAnsi" w:hAnsiTheme="minorHAnsi" w:cstheme="minorHAnsi"/>
          <w:iCs/>
          <w:sz w:val="24"/>
          <w:szCs w:val="24"/>
        </w:rPr>
        <w:t xml:space="preserve">The amendments </w:t>
      </w:r>
      <w:r w:rsidR="00A05055">
        <w:rPr>
          <w:rFonts w:asciiTheme="minorHAnsi" w:hAnsiTheme="minorHAnsi" w:cstheme="minorHAnsi"/>
          <w:iCs/>
          <w:sz w:val="24"/>
          <w:szCs w:val="24"/>
        </w:rPr>
        <w:t xml:space="preserve">are intended to improve the reliability and timeliness of reporting of Scheme data, </w:t>
      </w:r>
      <w:r w:rsidR="00052DE1" w:rsidRPr="00A05055">
        <w:rPr>
          <w:rFonts w:asciiTheme="minorHAnsi" w:hAnsiTheme="minorHAnsi" w:cstheme="minorHAnsi"/>
          <w:iCs/>
          <w:sz w:val="24"/>
          <w:szCs w:val="24"/>
        </w:rPr>
        <w:t xml:space="preserve">and </w:t>
      </w:r>
      <w:r w:rsidR="00A05055">
        <w:rPr>
          <w:rFonts w:asciiTheme="minorHAnsi" w:hAnsiTheme="minorHAnsi" w:cstheme="minorHAnsi"/>
          <w:iCs/>
          <w:sz w:val="24"/>
          <w:szCs w:val="24"/>
        </w:rPr>
        <w:t xml:space="preserve">ensure that </w:t>
      </w:r>
      <w:r w:rsidR="003755C9" w:rsidRPr="00A05055">
        <w:rPr>
          <w:rFonts w:asciiTheme="minorHAnsi" w:hAnsiTheme="minorHAnsi" w:cstheme="minorHAnsi"/>
          <w:iCs/>
          <w:sz w:val="24"/>
          <w:szCs w:val="24"/>
        </w:rPr>
        <w:t>the Scheme continues to provide value to the ACT community</w:t>
      </w:r>
      <w:r w:rsidR="00052DE1" w:rsidRPr="00A05055">
        <w:rPr>
          <w:rFonts w:asciiTheme="minorHAnsi" w:hAnsiTheme="minorHAnsi" w:cstheme="minorHAnsi"/>
          <w:iCs/>
          <w:sz w:val="24"/>
          <w:szCs w:val="24"/>
        </w:rPr>
        <w:t xml:space="preserve">. </w:t>
      </w:r>
    </w:p>
    <w:p w14:paraId="244E8C56" w14:textId="4655AE5A" w:rsidR="00A85E2E" w:rsidRDefault="00A85E2E">
      <w:pPr>
        <w:rPr>
          <w:rFonts w:asciiTheme="minorHAnsi" w:hAnsiTheme="minorHAnsi" w:cstheme="minorHAnsi"/>
          <w:iCs/>
          <w:sz w:val="24"/>
          <w:szCs w:val="24"/>
        </w:rPr>
      </w:pPr>
      <w:r w:rsidRPr="00C8789C">
        <w:rPr>
          <w:rFonts w:asciiTheme="minorHAnsi" w:hAnsiTheme="minorHAnsi" w:cstheme="minorHAnsi"/>
          <w:iCs/>
          <w:sz w:val="24"/>
          <w:szCs w:val="24"/>
        </w:rPr>
        <w:t>The</w:t>
      </w:r>
      <w:r>
        <w:rPr>
          <w:rFonts w:asciiTheme="minorHAnsi" w:hAnsiTheme="minorHAnsi" w:cstheme="minorHAnsi"/>
          <w:iCs/>
          <w:sz w:val="24"/>
          <w:szCs w:val="24"/>
        </w:rPr>
        <w:t xml:space="preserve"> Bill</w:t>
      </w:r>
      <w:r w:rsidRPr="00C8789C">
        <w:rPr>
          <w:rFonts w:asciiTheme="minorHAnsi" w:hAnsiTheme="minorHAnsi" w:cstheme="minorHAnsi"/>
          <w:iCs/>
          <w:sz w:val="24"/>
          <w:szCs w:val="24"/>
        </w:rPr>
        <w:t xml:space="preserve"> </w:t>
      </w:r>
      <w:r>
        <w:rPr>
          <w:rFonts w:asciiTheme="minorHAnsi" w:hAnsiTheme="minorHAnsi" w:cstheme="minorHAnsi"/>
          <w:iCs/>
          <w:sz w:val="24"/>
          <w:szCs w:val="24"/>
        </w:rPr>
        <w:t>is not</w:t>
      </w:r>
      <w:r w:rsidRPr="00C8789C">
        <w:rPr>
          <w:rFonts w:asciiTheme="minorHAnsi" w:hAnsiTheme="minorHAnsi" w:cstheme="minorHAnsi"/>
          <w:iCs/>
          <w:sz w:val="24"/>
          <w:szCs w:val="24"/>
        </w:rPr>
        <w:t xml:space="preserve"> a Significant Bill. Significant Bills are bills that have been assessed as likely to have significant engagement of human rights and require more detailed reasoning in relation to compatibility with the </w:t>
      </w:r>
      <w:r w:rsidRPr="009560A4">
        <w:rPr>
          <w:rFonts w:asciiTheme="minorHAnsi" w:hAnsiTheme="minorHAnsi" w:cstheme="minorHAnsi"/>
          <w:i/>
          <w:sz w:val="24"/>
          <w:szCs w:val="24"/>
        </w:rPr>
        <w:t>Human Rights Act 2004</w:t>
      </w:r>
      <w:r w:rsidRPr="00C8789C">
        <w:rPr>
          <w:rFonts w:asciiTheme="minorHAnsi" w:hAnsiTheme="minorHAnsi" w:cstheme="minorHAnsi"/>
          <w:iCs/>
          <w:sz w:val="24"/>
          <w:szCs w:val="24"/>
        </w:rPr>
        <w:t>.</w:t>
      </w:r>
    </w:p>
    <w:p w14:paraId="52EC761E" w14:textId="644865EC" w:rsidR="00A05055" w:rsidRPr="007109AC" w:rsidRDefault="00A05055">
      <w:pPr>
        <w:rPr>
          <w:rFonts w:asciiTheme="minorHAnsi" w:hAnsiTheme="minorHAnsi" w:cstheme="minorHAnsi"/>
          <w:b/>
          <w:bCs/>
          <w:iCs/>
          <w:sz w:val="24"/>
          <w:szCs w:val="24"/>
        </w:rPr>
      </w:pPr>
      <w:r>
        <w:rPr>
          <w:rFonts w:asciiTheme="minorHAnsi" w:hAnsiTheme="minorHAnsi" w:cstheme="minorHAnsi"/>
          <w:b/>
          <w:bCs/>
          <w:iCs/>
          <w:sz w:val="24"/>
          <w:szCs w:val="24"/>
        </w:rPr>
        <w:t>OVERVIEW OF THE BILL</w:t>
      </w:r>
    </w:p>
    <w:p w14:paraId="7921F3A3" w14:textId="3135EABB" w:rsidR="003755C9" w:rsidRPr="00A05055" w:rsidRDefault="004E146F">
      <w:pPr>
        <w:rPr>
          <w:rFonts w:asciiTheme="minorHAnsi" w:hAnsiTheme="minorHAnsi" w:cstheme="minorHAnsi"/>
          <w:iCs/>
          <w:sz w:val="24"/>
          <w:szCs w:val="24"/>
        </w:rPr>
      </w:pPr>
      <w:r w:rsidRPr="00A05055">
        <w:rPr>
          <w:rFonts w:asciiTheme="minorHAnsi" w:hAnsiTheme="minorHAnsi" w:cstheme="minorHAnsi"/>
          <w:iCs/>
          <w:sz w:val="24"/>
          <w:szCs w:val="24"/>
        </w:rPr>
        <w:t xml:space="preserve">In summary, the </w:t>
      </w:r>
      <w:r w:rsidR="00667B99">
        <w:rPr>
          <w:rFonts w:asciiTheme="minorHAnsi" w:hAnsiTheme="minorHAnsi" w:cstheme="minorHAnsi"/>
          <w:iCs/>
          <w:sz w:val="24"/>
          <w:szCs w:val="24"/>
        </w:rPr>
        <w:t>amendments</w:t>
      </w:r>
      <w:r w:rsidR="003755C9" w:rsidRPr="00A05055">
        <w:rPr>
          <w:rFonts w:asciiTheme="minorHAnsi" w:hAnsiTheme="minorHAnsi" w:cstheme="minorHAnsi"/>
          <w:iCs/>
          <w:sz w:val="24"/>
          <w:szCs w:val="24"/>
        </w:rPr>
        <w:t>:</w:t>
      </w:r>
    </w:p>
    <w:p w14:paraId="14222194" w14:textId="1624288F" w:rsidR="003755C9" w:rsidRPr="007109AC" w:rsidRDefault="00667B99" w:rsidP="007109AC">
      <w:pPr>
        <w:pStyle w:val="ListParagraph"/>
        <w:numPr>
          <w:ilvl w:val="0"/>
          <w:numId w:val="5"/>
        </w:numPr>
        <w:spacing w:line="276" w:lineRule="auto"/>
        <w:rPr>
          <w:rFonts w:asciiTheme="minorHAnsi" w:hAnsiTheme="minorHAnsi" w:cstheme="minorHAnsi"/>
          <w:iCs/>
          <w:sz w:val="24"/>
          <w:szCs w:val="24"/>
        </w:rPr>
      </w:pPr>
      <w:r>
        <w:rPr>
          <w:rFonts w:asciiTheme="minorHAnsi" w:hAnsiTheme="minorHAnsi" w:cstheme="minorHAnsi"/>
          <w:iCs/>
          <w:sz w:val="24"/>
          <w:szCs w:val="24"/>
        </w:rPr>
        <w:t>Allow for electricity distributors to pass on reasonable costs of administering the Scheme to eligible entities. E</w:t>
      </w:r>
      <w:r w:rsidR="003755C9" w:rsidRPr="007109AC">
        <w:rPr>
          <w:rFonts w:asciiTheme="minorHAnsi" w:hAnsiTheme="minorHAnsi" w:cstheme="minorHAnsi"/>
          <w:iCs/>
          <w:sz w:val="24"/>
          <w:szCs w:val="24"/>
        </w:rPr>
        <w:t xml:space="preserve">lectricity distributors </w:t>
      </w:r>
      <w:r>
        <w:rPr>
          <w:rFonts w:asciiTheme="minorHAnsi" w:hAnsiTheme="minorHAnsi" w:cstheme="minorHAnsi"/>
          <w:iCs/>
          <w:sz w:val="24"/>
          <w:szCs w:val="24"/>
        </w:rPr>
        <w:t>can</w:t>
      </w:r>
      <w:r w:rsidRPr="007109AC">
        <w:rPr>
          <w:rFonts w:asciiTheme="minorHAnsi" w:hAnsiTheme="minorHAnsi" w:cstheme="minorHAnsi"/>
          <w:iCs/>
          <w:sz w:val="24"/>
          <w:szCs w:val="24"/>
        </w:rPr>
        <w:t xml:space="preserve"> </w:t>
      </w:r>
      <w:r w:rsidR="003755C9" w:rsidRPr="007109AC">
        <w:rPr>
          <w:rFonts w:asciiTheme="minorHAnsi" w:hAnsiTheme="minorHAnsi" w:cstheme="minorHAnsi"/>
          <w:iCs/>
          <w:sz w:val="24"/>
          <w:szCs w:val="24"/>
        </w:rPr>
        <w:t>apply to the Minister for a determination of the maximum amount they can pass on</w:t>
      </w:r>
      <w:r>
        <w:rPr>
          <w:rFonts w:asciiTheme="minorHAnsi" w:hAnsiTheme="minorHAnsi" w:cstheme="minorHAnsi"/>
          <w:iCs/>
          <w:sz w:val="24"/>
          <w:szCs w:val="24"/>
        </w:rPr>
        <w:t xml:space="preserve">, </w:t>
      </w:r>
      <w:r w:rsidR="003755C9" w:rsidRPr="007109AC">
        <w:rPr>
          <w:rFonts w:asciiTheme="minorHAnsi" w:hAnsiTheme="minorHAnsi" w:cstheme="minorHAnsi"/>
          <w:iCs/>
          <w:sz w:val="24"/>
          <w:szCs w:val="24"/>
        </w:rPr>
        <w:t>an</w:t>
      </w:r>
      <w:r>
        <w:rPr>
          <w:rFonts w:asciiTheme="minorHAnsi" w:hAnsiTheme="minorHAnsi" w:cstheme="minorHAnsi"/>
          <w:iCs/>
          <w:sz w:val="24"/>
          <w:szCs w:val="24"/>
        </w:rPr>
        <w:t xml:space="preserve">d </w:t>
      </w:r>
      <w:r w:rsidR="003755C9" w:rsidRPr="007109AC">
        <w:rPr>
          <w:rFonts w:asciiTheme="minorHAnsi" w:hAnsiTheme="minorHAnsi" w:cstheme="minorHAnsi"/>
          <w:iCs/>
          <w:sz w:val="24"/>
          <w:szCs w:val="24"/>
        </w:rPr>
        <w:t xml:space="preserve">the Minister </w:t>
      </w:r>
      <w:r>
        <w:rPr>
          <w:rFonts w:asciiTheme="minorHAnsi" w:hAnsiTheme="minorHAnsi" w:cstheme="minorHAnsi"/>
          <w:iCs/>
          <w:sz w:val="24"/>
          <w:szCs w:val="24"/>
        </w:rPr>
        <w:t>must make a determination</w:t>
      </w:r>
      <w:r w:rsidR="00A96313">
        <w:rPr>
          <w:rFonts w:asciiTheme="minorHAnsi" w:hAnsiTheme="minorHAnsi" w:cstheme="minorHAnsi"/>
          <w:iCs/>
          <w:sz w:val="24"/>
          <w:szCs w:val="24"/>
        </w:rPr>
        <w:t xml:space="preserve"> </w:t>
      </w:r>
      <w:r w:rsidR="00FB4893">
        <w:rPr>
          <w:rFonts w:asciiTheme="minorHAnsi" w:hAnsiTheme="minorHAnsi" w:cstheme="minorHAnsi"/>
          <w:iCs/>
          <w:sz w:val="24"/>
          <w:szCs w:val="24"/>
        </w:rPr>
        <w:t>for this amount</w:t>
      </w:r>
      <w:r w:rsidR="00A96313">
        <w:rPr>
          <w:rFonts w:asciiTheme="minorHAnsi" w:hAnsiTheme="minorHAnsi" w:cstheme="minorHAnsi"/>
          <w:iCs/>
          <w:sz w:val="24"/>
          <w:szCs w:val="24"/>
        </w:rPr>
        <w:t>,</w:t>
      </w:r>
      <w:r>
        <w:rPr>
          <w:rFonts w:asciiTheme="minorHAnsi" w:hAnsiTheme="minorHAnsi" w:cstheme="minorHAnsi"/>
          <w:iCs/>
          <w:sz w:val="24"/>
          <w:szCs w:val="24"/>
        </w:rPr>
        <w:t xml:space="preserve"> if a distributor has made an application. </w:t>
      </w:r>
    </w:p>
    <w:p w14:paraId="4528587F" w14:textId="44278F23" w:rsidR="003755C9" w:rsidRPr="00A05055" w:rsidRDefault="003755C9" w:rsidP="007109AC">
      <w:pPr>
        <w:pStyle w:val="ListParagraph"/>
        <w:numPr>
          <w:ilvl w:val="0"/>
          <w:numId w:val="5"/>
        </w:numPr>
        <w:spacing w:line="276" w:lineRule="auto"/>
        <w:rPr>
          <w:rFonts w:asciiTheme="minorHAnsi" w:hAnsiTheme="minorHAnsi" w:cstheme="minorHAnsi"/>
          <w:iCs/>
          <w:sz w:val="24"/>
          <w:szCs w:val="24"/>
        </w:rPr>
      </w:pPr>
      <w:r w:rsidRPr="00A05055">
        <w:rPr>
          <w:rFonts w:asciiTheme="minorHAnsi" w:hAnsiTheme="minorHAnsi" w:cstheme="minorHAnsi"/>
          <w:iCs/>
          <w:sz w:val="24"/>
          <w:szCs w:val="24"/>
        </w:rPr>
        <w:t xml:space="preserve">Introduce a new </w:t>
      </w:r>
      <w:r w:rsidR="00416B5A">
        <w:rPr>
          <w:rFonts w:asciiTheme="minorHAnsi" w:hAnsiTheme="minorHAnsi" w:cstheme="minorHAnsi"/>
          <w:iCs/>
          <w:sz w:val="24"/>
          <w:szCs w:val="24"/>
        </w:rPr>
        <w:t xml:space="preserve">requirement for </w:t>
      </w:r>
      <w:r w:rsidRPr="00A05055">
        <w:rPr>
          <w:rFonts w:asciiTheme="minorHAnsi" w:hAnsiTheme="minorHAnsi" w:cstheme="minorHAnsi"/>
          <w:iCs/>
          <w:sz w:val="24"/>
          <w:szCs w:val="24"/>
        </w:rPr>
        <w:t>reporting entities to give the Minister</w:t>
      </w:r>
      <w:r w:rsidR="00416B5A">
        <w:rPr>
          <w:rFonts w:asciiTheme="minorHAnsi" w:hAnsiTheme="minorHAnsi" w:cstheme="minorHAnsi"/>
          <w:iCs/>
          <w:sz w:val="24"/>
          <w:szCs w:val="24"/>
        </w:rPr>
        <w:t xml:space="preserve"> any other</w:t>
      </w:r>
      <w:r w:rsidRPr="00A05055">
        <w:rPr>
          <w:rFonts w:asciiTheme="minorHAnsi" w:hAnsiTheme="minorHAnsi" w:cstheme="minorHAnsi"/>
          <w:iCs/>
          <w:sz w:val="24"/>
          <w:szCs w:val="24"/>
        </w:rPr>
        <w:t xml:space="preserve"> information reasonably required to ensure the accuracy of the information provided for annual reporting purposes.</w:t>
      </w:r>
    </w:p>
    <w:p w14:paraId="6E7061E3" w14:textId="097F7168" w:rsidR="003755C9" w:rsidRPr="00A05055" w:rsidRDefault="00F45A58" w:rsidP="007109AC">
      <w:pPr>
        <w:pStyle w:val="ListParagraph"/>
        <w:numPr>
          <w:ilvl w:val="0"/>
          <w:numId w:val="5"/>
        </w:numPr>
        <w:spacing w:line="276" w:lineRule="auto"/>
        <w:rPr>
          <w:rFonts w:asciiTheme="minorHAnsi" w:hAnsiTheme="minorHAnsi" w:cstheme="minorHAnsi"/>
          <w:iCs/>
          <w:sz w:val="24"/>
          <w:szCs w:val="24"/>
        </w:rPr>
      </w:pPr>
      <w:r>
        <w:rPr>
          <w:rFonts w:asciiTheme="minorHAnsi" w:hAnsiTheme="minorHAnsi" w:cstheme="minorHAnsi"/>
          <w:iCs/>
          <w:sz w:val="24"/>
          <w:szCs w:val="24"/>
        </w:rPr>
        <w:t>Make</w:t>
      </w:r>
      <w:r w:rsidR="00416B5A">
        <w:rPr>
          <w:rFonts w:asciiTheme="minorHAnsi" w:hAnsiTheme="minorHAnsi" w:cstheme="minorHAnsi"/>
          <w:iCs/>
          <w:sz w:val="24"/>
          <w:szCs w:val="24"/>
        </w:rPr>
        <w:t xml:space="preserve"> clear</w:t>
      </w:r>
      <w:r w:rsidR="003755C9" w:rsidRPr="00A05055">
        <w:rPr>
          <w:rFonts w:asciiTheme="minorHAnsi" w:hAnsiTheme="minorHAnsi" w:cstheme="minorHAnsi"/>
          <w:iCs/>
          <w:sz w:val="24"/>
          <w:szCs w:val="24"/>
        </w:rPr>
        <w:t xml:space="preserve"> that it is an offence if a reporting entity is required to give the Minister information and either fails to do so, or the information is false or misleading and the reporting entity knows this or is reckless about it.</w:t>
      </w:r>
    </w:p>
    <w:p w14:paraId="009B26AB" w14:textId="03620020" w:rsidR="003755C9" w:rsidRPr="00A05055" w:rsidRDefault="00AB20F5" w:rsidP="007109AC">
      <w:pPr>
        <w:pStyle w:val="ListParagraph"/>
        <w:numPr>
          <w:ilvl w:val="0"/>
          <w:numId w:val="5"/>
        </w:numPr>
        <w:spacing w:line="276" w:lineRule="auto"/>
        <w:rPr>
          <w:rFonts w:asciiTheme="minorHAnsi" w:hAnsiTheme="minorHAnsi" w:cstheme="minorHAnsi"/>
          <w:iCs/>
          <w:sz w:val="24"/>
          <w:szCs w:val="24"/>
        </w:rPr>
      </w:pPr>
      <w:r>
        <w:rPr>
          <w:rFonts w:asciiTheme="minorHAnsi" w:hAnsiTheme="minorHAnsi" w:cstheme="minorHAnsi"/>
          <w:iCs/>
          <w:sz w:val="24"/>
          <w:szCs w:val="24"/>
        </w:rPr>
        <w:lastRenderedPageBreak/>
        <w:t>Broaden</w:t>
      </w:r>
      <w:r w:rsidR="00F45A58">
        <w:rPr>
          <w:rFonts w:asciiTheme="minorHAnsi" w:hAnsiTheme="minorHAnsi" w:cstheme="minorHAnsi"/>
          <w:iCs/>
          <w:sz w:val="24"/>
          <w:szCs w:val="24"/>
        </w:rPr>
        <w:t xml:space="preserve"> the ability for the Minister to request a reporting entity undertake an audit of information provided for annual reporting purposes if </w:t>
      </w:r>
      <w:r w:rsidR="003755C9" w:rsidRPr="00A05055">
        <w:rPr>
          <w:rFonts w:asciiTheme="minorHAnsi" w:hAnsiTheme="minorHAnsi" w:cstheme="minorHAnsi"/>
          <w:iCs/>
          <w:sz w:val="24"/>
          <w:szCs w:val="24"/>
        </w:rPr>
        <w:t>the Minister reasonably believes the information is false, misleading or incomplete, or there is a risk that it is false, misleading or incomplete.</w:t>
      </w:r>
      <w:r>
        <w:rPr>
          <w:rFonts w:asciiTheme="minorHAnsi" w:hAnsiTheme="minorHAnsi" w:cstheme="minorHAnsi"/>
          <w:iCs/>
          <w:sz w:val="24"/>
          <w:szCs w:val="24"/>
        </w:rPr>
        <w:t xml:space="preserve"> The audit must be completed within 3 months of a request being made.</w:t>
      </w:r>
    </w:p>
    <w:p w14:paraId="06E1E087" w14:textId="2F974362" w:rsidR="003755C9" w:rsidRPr="00A05055" w:rsidRDefault="00AB20F5" w:rsidP="007109AC">
      <w:pPr>
        <w:pStyle w:val="ListParagraph"/>
        <w:numPr>
          <w:ilvl w:val="0"/>
          <w:numId w:val="5"/>
        </w:numPr>
        <w:spacing w:after="200" w:line="276" w:lineRule="auto"/>
        <w:ind w:left="714" w:hanging="357"/>
        <w:rPr>
          <w:rFonts w:asciiTheme="minorHAnsi" w:hAnsiTheme="minorHAnsi" w:cstheme="minorHAnsi"/>
          <w:iCs/>
          <w:sz w:val="24"/>
          <w:szCs w:val="24"/>
        </w:rPr>
      </w:pPr>
      <w:r>
        <w:rPr>
          <w:rFonts w:asciiTheme="minorHAnsi" w:hAnsiTheme="minorHAnsi" w:cstheme="minorHAnsi"/>
          <w:iCs/>
          <w:sz w:val="24"/>
          <w:szCs w:val="24"/>
        </w:rPr>
        <w:t xml:space="preserve">Clarify the existing offence provision to make clear that </w:t>
      </w:r>
      <w:r w:rsidR="003755C9" w:rsidRPr="00A05055">
        <w:rPr>
          <w:rFonts w:asciiTheme="minorHAnsi" w:hAnsiTheme="minorHAnsi" w:cstheme="minorHAnsi"/>
          <w:iCs/>
          <w:sz w:val="24"/>
          <w:szCs w:val="24"/>
        </w:rPr>
        <w:t xml:space="preserve">a reporting entity commits an offence if the Ministers requests </w:t>
      </w:r>
      <w:r>
        <w:rPr>
          <w:rFonts w:asciiTheme="minorHAnsi" w:hAnsiTheme="minorHAnsi" w:cstheme="minorHAnsi"/>
          <w:iCs/>
          <w:sz w:val="24"/>
          <w:szCs w:val="24"/>
        </w:rPr>
        <w:t>an</w:t>
      </w:r>
      <w:r w:rsidRPr="00A05055">
        <w:rPr>
          <w:rFonts w:asciiTheme="minorHAnsi" w:hAnsiTheme="minorHAnsi" w:cstheme="minorHAnsi"/>
          <w:iCs/>
          <w:sz w:val="24"/>
          <w:szCs w:val="24"/>
        </w:rPr>
        <w:t xml:space="preserve"> </w:t>
      </w:r>
      <w:r w:rsidR="003755C9" w:rsidRPr="00A05055">
        <w:rPr>
          <w:rFonts w:asciiTheme="minorHAnsi" w:hAnsiTheme="minorHAnsi" w:cstheme="minorHAnsi"/>
          <w:iCs/>
          <w:sz w:val="24"/>
          <w:szCs w:val="24"/>
        </w:rPr>
        <w:t>audit and the reporting entity fails to undertake that audit</w:t>
      </w:r>
      <w:r>
        <w:rPr>
          <w:rFonts w:asciiTheme="minorHAnsi" w:hAnsiTheme="minorHAnsi" w:cstheme="minorHAnsi"/>
          <w:iCs/>
          <w:sz w:val="24"/>
          <w:szCs w:val="24"/>
        </w:rPr>
        <w:t xml:space="preserve"> within three months. </w:t>
      </w:r>
    </w:p>
    <w:p w14:paraId="5D5C6C0D" w14:textId="5A7FA71C" w:rsidR="00E65AA5" w:rsidRPr="00A05055" w:rsidRDefault="00AC59DF" w:rsidP="007109AC">
      <w:pPr>
        <w:spacing w:after="0"/>
        <w:rPr>
          <w:rFonts w:asciiTheme="minorHAnsi" w:hAnsiTheme="minorHAnsi" w:cstheme="minorHAnsi"/>
          <w:b/>
          <w:sz w:val="24"/>
          <w:szCs w:val="24"/>
        </w:rPr>
      </w:pPr>
      <w:r w:rsidRPr="00A05055">
        <w:rPr>
          <w:rFonts w:asciiTheme="minorHAnsi" w:hAnsiTheme="minorHAnsi" w:cstheme="minorHAnsi"/>
          <w:b/>
          <w:sz w:val="24"/>
          <w:szCs w:val="24"/>
        </w:rPr>
        <w:t>CONSULTATION ON THE PROPOSED APPROACH</w:t>
      </w:r>
    </w:p>
    <w:p w14:paraId="41A79204" w14:textId="6AB06AD3" w:rsidR="00AB20F5" w:rsidRPr="00A05055" w:rsidRDefault="00260C75" w:rsidP="00414921">
      <w:pPr>
        <w:rPr>
          <w:rFonts w:asciiTheme="minorHAnsi" w:hAnsiTheme="minorHAnsi" w:cstheme="minorHAnsi"/>
          <w:iCs/>
          <w:sz w:val="24"/>
          <w:szCs w:val="24"/>
        </w:rPr>
      </w:pPr>
      <w:proofErr w:type="spellStart"/>
      <w:r w:rsidRPr="00A05055">
        <w:rPr>
          <w:rFonts w:asciiTheme="minorHAnsi" w:hAnsiTheme="minorHAnsi" w:cstheme="minorHAnsi"/>
          <w:iCs/>
          <w:sz w:val="24"/>
          <w:szCs w:val="24"/>
        </w:rPr>
        <w:t>Evoenergy</w:t>
      </w:r>
      <w:proofErr w:type="spellEnd"/>
      <w:r w:rsidRPr="00A05055">
        <w:rPr>
          <w:rFonts w:asciiTheme="minorHAnsi" w:hAnsiTheme="minorHAnsi" w:cstheme="minorHAnsi"/>
          <w:iCs/>
          <w:sz w:val="24"/>
          <w:szCs w:val="24"/>
        </w:rPr>
        <w:t xml:space="preserve"> has been consulted regarding the audit findings and how it proposes to rectify any data issues.</w:t>
      </w:r>
      <w:r w:rsidR="00D66F2B">
        <w:rPr>
          <w:rFonts w:asciiTheme="minorHAnsi" w:hAnsiTheme="minorHAnsi" w:cstheme="minorHAnsi"/>
          <w:iCs/>
          <w:sz w:val="24"/>
          <w:szCs w:val="24"/>
        </w:rPr>
        <w:t xml:space="preserve"> The</w:t>
      </w:r>
      <w:r w:rsidR="00D62563">
        <w:rPr>
          <w:rFonts w:asciiTheme="minorHAnsi" w:hAnsiTheme="minorHAnsi" w:cstheme="minorHAnsi"/>
          <w:iCs/>
          <w:sz w:val="24"/>
          <w:szCs w:val="24"/>
        </w:rPr>
        <w:t xml:space="preserve"> Human Rights and Criminal Law units at the </w:t>
      </w:r>
      <w:r w:rsidR="00D66F2B">
        <w:rPr>
          <w:rFonts w:asciiTheme="minorHAnsi" w:hAnsiTheme="minorHAnsi" w:cstheme="minorHAnsi"/>
          <w:iCs/>
          <w:sz w:val="24"/>
          <w:szCs w:val="24"/>
        </w:rPr>
        <w:t xml:space="preserve">Justice and Community Safety Directorate </w:t>
      </w:r>
      <w:r w:rsidR="00EC5A0C">
        <w:rPr>
          <w:rFonts w:asciiTheme="minorHAnsi" w:hAnsiTheme="minorHAnsi" w:cstheme="minorHAnsi"/>
          <w:iCs/>
          <w:sz w:val="24"/>
          <w:szCs w:val="24"/>
        </w:rPr>
        <w:t>were</w:t>
      </w:r>
      <w:r w:rsidR="00D66F2B">
        <w:rPr>
          <w:rFonts w:asciiTheme="minorHAnsi" w:hAnsiTheme="minorHAnsi" w:cstheme="minorHAnsi"/>
          <w:iCs/>
          <w:sz w:val="24"/>
          <w:szCs w:val="24"/>
        </w:rPr>
        <w:t xml:space="preserve"> consulted regarding human rights impacts of the Bill and amendments to offence provisions of the Act.</w:t>
      </w:r>
    </w:p>
    <w:p w14:paraId="1A2BA5E1" w14:textId="6E3769AB" w:rsidR="00790FE4" w:rsidRPr="00A05055" w:rsidRDefault="00503AAB" w:rsidP="008C225D">
      <w:pPr>
        <w:pStyle w:val="Heading2"/>
        <w:rPr>
          <w:rFonts w:asciiTheme="minorHAnsi" w:hAnsiTheme="minorHAnsi" w:cstheme="minorHAnsi"/>
        </w:rPr>
      </w:pPr>
      <w:r w:rsidRPr="00A05055">
        <w:rPr>
          <w:rFonts w:asciiTheme="minorHAnsi" w:hAnsiTheme="minorHAnsi" w:cstheme="minorHAnsi"/>
        </w:rPr>
        <w:t xml:space="preserve">CONSISTENCY WITH </w:t>
      </w:r>
      <w:r w:rsidR="00790FE4" w:rsidRPr="00A05055">
        <w:rPr>
          <w:rFonts w:asciiTheme="minorHAnsi" w:hAnsiTheme="minorHAnsi" w:cstheme="minorHAnsi"/>
        </w:rPr>
        <w:t>HUMAN RIGHTS</w:t>
      </w:r>
    </w:p>
    <w:p w14:paraId="1918D628" w14:textId="031E67C4" w:rsidR="00C753C2" w:rsidRDefault="00C753C2" w:rsidP="007D660F">
      <w:pPr>
        <w:rPr>
          <w:rFonts w:asciiTheme="minorHAnsi" w:hAnsiTheme="minorHAnsi" w:cstheme="minorHAnsi"/>
          <w:b/>
          <w:bCs/>
          <w:iCs/>
          <w:sz w:val="24"/>
          <w:szCs w:val="24"/>
        </w:rPr>
      </w:pPr>
      <w:r w:rsidRPr="00A05055">
        <w:rPr>
          <w:rFonts w:asciiTheme="minorHAnsi" w:hAnsiTheme="minorHAnsi" w:cstheme="minorHAnsi"/>
          <w:b/>
          <w:bCs/>
          <w:iCs/>
          <w:sz w:val="24"/>
          <w:szCs w:val="24"/>
        </w:rPr>
        <w:t>Rights engaged</w:t>
      </w:r>
    </w:p>
    <w:p w14:paraId="407F7177" w14:textId="5F738503" w:rsidR="00A215E4" w:rsidRDefault="00A215E4" w:rsidP="007D660F">
      <w:pPr>
        <w:rPr>
          <w:rFonts w:asciiTheme="minorHAnsi" w:hAnsiTheme="minorHAnsi" w:cstheme="minorHAnsi"/>
          <w:iCs/>
          <w:sz w:val="24"/>
          <w:szCs w:val="24"/>
        </w:rPr>
      </w:pPr>
      <w:r>
        <w:rPr>
          <w:rFonts w:asciiTheme="minorHAnsi" w:hAnsiTheme="minorHAnsi" w:cstheme="minorHAnsi"/>
          <w:iCs/>
          <w:sz w:val="24"/>
          <w:szCs w:val="24"/>
        </w:rPr>
        <w:t>The Bill</w:t>
      </w:r>
      <w:r w:rsidR="002746B8">
        <w:rPr>
          <w:rFonts w:asciiTheme="minorHAnsi" w:hAnsiTheme="minorHAnsi" w:cstheme="minorHAnsi"/>
          <w:iCs/>
          <w:sz w:val="24"/>
          <w:szCs w:val="24"/>
        </w:rPr>
        <w:t xml:space="preserve"> primarily</w:t>
      </w:r>
      <w:r>
        <w:rPr>
          <w:rFonts w:asciiTheme="minorHAnsi" w:hAnsiTheme="minorHAnsi" w:cstheme="minorHAnsi"/>
          <w:iCs/>
          <w:sz w:val="24"/>
          <w:szCs w:val="24"/>
        </w:rPr>
        <w:t xml:space="preserve"> introduces obligations on a corporate entity; the ACT electricity distributor</w:t>
      </w:r>
      <w:r w:rsidR="002746B8">
        <w:rPr>
          <w:rFonts w:asciiTheme="minorHAnsi" w:hAnsiTheme="minorHAnsi" w:cstheme="minorHAnsi"/>
          <w:iCs/>
          <w:sz w:val="24"/>
          <w:szCs w:val="24"/>
        </w:rPr>
        <w:t xml:space="preserve">, and </w:t>
      </w:r>
      <w:r w:rsidR="000E2CAB">
        <w:rPr>
          <w:rFonts w:asciiTheme="minorHAnsi" w:hAnsiTheme="minorHAnsi" w:cstheme="minorHAnsi"/>
          <w:iCs/>
          <w:sz w:val="24"/>
          <w:szCs w:val="24"/>
        </w:rPr>
        <w:t>as such</w:t>
      </w:r>
      <w:r w:rsidR="002746B8">
        <w:rPr>
          <w:rFonts w:asciiTheme="minorHAnsi" w:hAnsiTheme="minorHAnsi" w:cstheme="minorHAnsi"/>
          <w:iCs/>
          <w:sz w:val="24"/>
          <w:szCs w:val="24"/>
        </w:rPr>
        <w:t xml:space="preserve"> </w:t>
      </w:r>
      <w:r w:rsidR="00A41145">
        <w:rPr>
          <w:rFonts w:asciiTheme="minorHAnsi" w:hAnsiTheme="minorHAnsi" w:cstheme="minorHAnsi"/>
          <w:iCs/>
          <w:sz w:val="24"/>
          <w:szCs w:val="24"/>
        </w:rPr>
        <w:t>the Bill’s</w:t>
      </w:r>
      <w:r w:rsidR="002746B8">
        <w:rPr>
          <w:rFonts w:asciiTheme="minorHAnsi" w:hAnsiTheme="minorHAnsi" w:cstheme="minorHAnsi"/>
          <w:iCs/>
          <w:sz w:val="24"/>
          <w:szCs w:val="24"/>
        </w:rPr>
        <w:t xml:space="preserve"> engagement of human rights</w:t>
      </w:r>
      <w:r w:rsidR="007109AC">
        <w:rPr>
          <w:rFonts w:asciiTheme="minorHAnsi" w:hAnsiTheme="minorHAnsi" w:cstheme="minorHAnsi"/>
          <w:iCs/>
          <w:sz w:val="24"/>
          <w:szCs w:val="24"/>
        </w:rPr>
        <w:t xml:space="preserve"> contained in the </w:t>
      </w:r>
      <w:r w:rsidR="007109AC">
        <w:rPr>
          <w:rFonts w:asciiTheme="minorHAnsi" w:hAnsiTheme="minorHAnsi" w:cstheme="minorHAnsi"/>
          <w:i/>
          <w:sz w:val="24"/>
          <w:szCs w:val="24"/>
        </w:rPr>
        <w:t>Human Rights Act 200</w:t>
      </w:r>
      <w:r w:rsidR="00FA291F">
        <w:rPr>
          <w:rFonts w:asciiTheme="minorHAnsi" w:hAnsiTheme="minorHAnsi" w:cstheme="minorHAnsi"/>
          <w:i/>
          <w:sz w:val="24"/>
          <w:szCs w:val="24"/>
        </w:rPr>
        <w:t>4</w:t>
      </w:r>
      <w:r w:rsidR="002746B8">
        <w:rPr>
          <w:rFonts w:asciiTheme="minorHAnsi" w:hAnsiTheme="minorHAnsi" w:cstheme="minorHAnsi"/>
          <w:iCs/>
          <w:sz w:val="24"/>
          <w:szCs w:val="24"/>
        </w:rPr>
        <w:t xml:space="preserve"> is limited</w:t>
      </w:r>
      <w:r w:rsidR="00A731D1">
        <w:rPr>
          <w:rFonts w:asciiTheme="minorHAnsi" w:hAnsiTheme="minorHAnsi" w:cstheme="minorHAnsi"/>
          <w:iCs/>
          <w:sz w:val="24"/>
          <w:szCs w:val="24"/>
        </w:rPr>
        <w:t xml:space="preserve">. </w:t>
      </w:r>
    </w:p>
    <w:p w14:paraId="53A2DB01" w14:textId="3B0044BE" w:rsidR="00A85E2E" w:rsidRDefault="00A41145" w:rsidP="007D660F">
      <w:pPr>
        <w:rPr>
          <w:rFonts w:asciiTheme="minorHAnsi" w:hAnsiTheme="minorHAnsi" w:cstheme="minorHAnsi"/>
          <w:iCs/>
          <w:sz w:val="24"/>
          <w:szCs w:val="24"/>
        </w:rPr>
      </w:pPr>
      <w:r>
        <w:rPr>
          <w:rFonts w:asciiTheme="minorHAnsi" w:hAnsiTheme="minorHAnsi" w:cstheme="minorHAnsi"/>
          <w:iCs/>
          <w:sz w:val="24"/>
          <w:szCs w:val="24"/>
        </w:rPr>
        <w:t>However, the Bill does have some impact o</w:t>
      </w:r>
      <w:r w:rsidR="002746B8">
        <w:rPr>
          <w:rFonts w:asciiTheme="minorHAnsi" w:hAnsiTheme="minorHAnsi" w:cstheme="minorHAnsi"/>
          <w:iCs/>
          <w:sz w:val="24"/>
          <w:szCs w:val="24"/>
        </w:rPr>
        <w:t>n eligible entities. An eligible entity</w:t>
      </w:r>
      <w:r w:rsidR="00C90EA2">
        <w:rPr>
          <w:rFonts w:asciiTheme="minorHAnsi" w:hAnsiTheme="minorHAnsi" w:cstheme="minorHAnsi"/>
          <w:iCs/>
          <w:sz w:val="24"/>
          <w:szCs w:val="24"/>
        </w:rPr>
        <w:t xml:space="preserve">, </w:t>
      </w:r>
      <w:r w:rsidR="002746B8">
        <w:rPr>
          <w:rFonts w:asciiTheme="minorHAnsi" w:hAnsiTheme="minorHAnsi" w:cstheme="minorHAnsi"/>
          <w:iCs/>
          <w:sz w:val="24"/>
          <w:szCs w:val="24"/>
        </w:rPr>
        <w:t>as defined in section 5F of the Act</w:t>
      </w:r>
      <w:r w:rsidR="00C90EA2">
        <w:rPr>
          <w:rFonts w:asciiTheme="minorHAnsi" w:hAnsiTheme="minorHAnsi" w:cstheme="minorHAnsi"/>
          <w:iCs/>
          <w:sz w:val="24"/>
          <w:szCs w:val="24"/>
        </w:rPr>
        <w:t xml:space="preserve">, </w:t>
      </w:r>
      <w:r w:rsidR="002746B8">
        <w:rPr>
          <w:rFonts w:asciiTheme="minorHAnsi" w:hAnsiTheme="minorHAnsi" w:cstheme="minorHAnsi"/>
          <w:iCs/>
          <w:sz w:val="24"/>
          <w:szCs w:val="24"/>
        </w:rPr>
        <w:t>may include a natural person; a person who owns, leases or occupies premises on which there is a generator.</w:t>
      </w:r>
      <w:r w:rsidR="00C913B6">
        <w:rPr>
          <w:rFonts w:asciiTheme="minorHAnsi" w:hAnsiTheme="minorHAnsi" w:cstheme="minorHAnsi"/>
          <w:iCs/>
          <w:sz w:val="24"/>
          <w:szCs w:val="24"/>
        </w:rPr>
        <w:t xml:space="preserve"> </w:t>
      </w:r>
    </w:p>
    <w:p w14:paraId="0C7D5383" w14:textId="0751F9DF" w:rsidR="00C208CE" w:rsidRDefault="00C208CE" w:rsidP="007D660F">
      <w:pPr>
        <w:rPr>
          <w:rFonts w:asciiTheme="minorHAnsi" w:hAnsiTheme="minorHAnsi" w:cstheme="minorHAnsi"/>
          <w:b/>
          <w:bCs/>
          <w:i/>
          <w:sz w:val="24"/>
          <w:szCs w:val="24"/>
        </w:rPr>
      </w:pPr>
      <w:r>
        <w:rPr>
          <w:rFonts w:asciiTheme="minorHAnsi" w:hAnsiTheme="minorHAnsi" w:cstheme="minorHAnsi"/>
          <w:b/>
          <w:bCs/>
          <w:i/>
          <w:sz w:val="24"/>
          <w:szCs w:val="24"/>
        </w:rPr>
        <w:t>Right to a fair trial</w:t>
      </w:r>
    </w:p>
    <w:p w14:paraId="6EEB86E6" w14:textId="025BD6D8" w:rsidR="00A85E2E" w:rsidRPr="00A85E2E" w:rsidRDefault="00A85E2E" w:rsidP="007D660F">
      <w:pPr>
        <w:rPr>
          <w:rFonts w:asciiTheme="minorHAnsi" w:hAnsiTheme="minorHAnsi" w:cstheme="minorHAnsi"/>
          <w:iCs/>
          <w:sz w:val="24"/>
          <w:szCs w:val="24"/>
        </w:rPr>
      </w:pPr>
      <w:r w:rsidRPr="00A85E2E">
        <w:rPr>
          <w:rFonts w:asciiTheme="minorHAnsi" w:hAnsiTheme="minorHAnsi" w:cstheme="minorHAnsi"/>
          <w:iCs/>
          <w:sz w:val="24"/>
          <w:szCs w:val="24"/>
        </w:rPr>
        <w:t xml:space="preserve">Section 21(1) of the </w:t>
      </w:r>
      <w:r w:rsidRPr="00A85E2E">
        <w:rPr>
          <w:rFonts w:asciiTheme="minorHAnsi" w:hAnsiTheme="minorHAnsi" w:cstheme="minorHAnsi"/>
          <w:i/>
          <w:sz w:val="24"/>
          <w:szCs w:val="24"/>
        </w:rPr>
        <w:t xml:space="preserve">Human Rights Act 2004 </w:t>
      </w:r>
      <w:r w:rsidRPr="00A85E2E">
        <w:rPr>
          <w:rFonts w:asciiTheme="minorHAnsi" w:hAnsiTheme="minorHAnsi" w:cstheme="minorHAnsi"/>
          <w:iCs/>
          <w:sz w:val="24"/>
          <w:szCs w:val="24"/>
        </w:rPr>
        <w:t>provides that:</w:t>
      </w:r>
    </w:p>
    <w:p w14:paraId="39CFF1EF" w14:textId="220837DD" w:rsidR="00A85E2E" w:rsidRPr="00A85E2E" w:rsidRDefault="00A85E2E" w:rsidP="007D660F">
      <w:pPr>
        <w:rPr>
          <w:rFonts w:asciiTheme="minorHAnsi" w:hAnsiTheme="minorHAnsi" w:cstheme="minorHAnsi"/>
          <w:i/>
          <w:iCs/>
          <w:sz w:val="24"/>
          <w:szCs w:val="24"/>
        </w:rPr>
      </w:pPr>
      <w:r w:rsidRPr="00A85E2E">
        <w:rPr>
          <w:i/>
          <w:iCs/>
          <w:sz w:val="24"/>
          <w:szCs w:val="24"/>
        </w:rPr>
        <w:t>Everyone has the right to have criminal charges, and rights and obligations recognised by law, decided by a competent, independent and impartial court or tribunal after a fair and public hearing.</w:t>
      </w:r>
    </w:p>
    <w:p w14:paraId="6682C8A7" w14:textId="6544D7FD" w:rsidR="00A85E2E" w:rsidRPr="00A85E2E" w:rsidRDefault="00A85E2E" w:rsidP="00A85E2E">
      <w:pPr>
        <w:pStyle w:val="ListParagraph"/>
        <w:numPr>
          <w:ilvl w:val="0"/>
          <w:numId w:val="8"/>
        </w:numPr>
        <w:rPr>
          <w:rFonts w:asciiTheme="minorHAnsi" w:hAnsiTheme="minorHAnsi" w:cstheme="minorHAnsi"/>
          <w:iCs/>
          <w:sz w:val="24"/>
          <w:szCs w:val="24"/>
        </w:rPr>
      </w:pPr>
      <w:r w:rsidRPr="00A85E2E">
        <w:rPr>
          <w:rFonts w:ascii="Arial" w:hAnsi="Arial" w:cs="Arial"/>
          <w:b/>
          <w:bCs/>
          <w:i/>
          <w:szCs w:val="24"/>
        </w:rPr>
        <w:t>Nature of the right and the limitation (s28(a) and (c))</w:t>
      </w:r>
    </w:p>
    <w:p w14:paraId="78AE5EF5" w14:textId="43B083B6" w:rsidR="00A85E2E" w:rsidRDefault="00A85E2E" w:rsidP="00A85E2E">
      <w:pPr>
        <w:rPr>
          <w:rFonts w:asciiTheme="minorHAnsi" w:hAnsiTheme="minorHAnsi" w:cstheme="minorHAnsi"/>
          <w:iCs/>
          <w:sz w:val="24"/>
          <w:szCs w:val="24"/>
        </w:rPr>
      </w:pPr>
      <w:r>
        <w:rPr>
          <w:rFonts w:asciiTheme="minorHAnsi" w:hAnsiTheme="minorHAnsi" w:cstheme="minorHAnsi"/>
          <w:iCs/>
          <w:sz w:val="24"/>
          <w:szCs w:val="24"/>
        </w:rPr>
        <w:t xml:space="preserve">The Bill allows the Minister to make a determination of the maximum costs of administering the </w:t>
      </w:r>
      <w:r w:rsidR="002A3295">
        <w:rPr>
          <w:rFonts w:asciiTheme="minorHAnsi" w:hAnsiTheme="minorHAnsi" w:cstheme="minorHAnsi"/>
          <w:iCs/>
          <w:sz w:val="24"/>
          <w:szCs w:val="24"/>
        </w:rPr>
        <w:t>S</w:t>
      </w:r>
      <w:r>
        <w:rPr>
          <w:rFonts w:asciiTheme="minorHAnsi" w:hAnsiTheme="minorHAnsi" w:cstheme="minorHAnsi"/>
          <w:iCs/>
          <w:sz w:val="24"/>
          <w:szCs w:val="24"/>
        </w:rPr>
        <w:t>cheme that the electricity distributor may pass on to an eligible entity. Although the Bill merely authorises the passing on of the costs, instead of requiring it, this may still be considered to engage the right to a fair trial: individuals entered the scheme with an expectation of certain rights and obligations, and are now subject to a new scheme, with costs potentially passed on to them.</w:t>
      </w:r>
    </w:p>
    <w:p w14:paraId="1CAC54B7" w14:textId="77777777" w:rsidR="00B21C32" w:rsidRDefault="00B21C32">
      <w:pPr>
        <w:spacing w:after="0" w:line="240" w:lineRule="auto"/>
        <w:rPr>
          <w:rFonts w:asciiTheme="minorHAnsi" w:hAnsiTheme="minorHAnsi" w:cstheme="minorHAnsi"/>
          <w:iCs/>
          <w:sz w:val="24"/>
          <w:szCs w:val="24"/>
        </w:rPr>
      </w:pPr>
      <w:r>
        <w:rPr>
          <w:rFonts w:asciiTheme="minorHAnsi" w:hAnsiTheme="minorHAnsi" w:cstheme="minorHAnsi"/>
          <w:iCs/>
          <w:sz w:val="24"/>
          <w:szCs w:val="24"/>
        </w:rPr>
        <w:br w:type="page"/>
      </w:r>
    </w:p>
    <w:p w14:paraId="3FD85271" w14:textId="7FA29EA0" w:rsidR="00082E29" w:rsidRDefault="006E0649" w:rsidP="007D660F">
      <w:pPr>
        <w:rPr>
          <w:rFonts w:asciiTheme="minorHAnsi" w:hAnsiTheme="minorHAnsi" w:cstheme="minorHAnsi"/>
          <w:iCs/>
          <w:sz w:val="24"/>
          <w:szCs w:val="24"/>
        </w:rPr>
      </w:pPr>
      <w:r>
        <w:rPr>
          <w:rFonts w:asciiTheme="minorHAnsi" w:hAnsiTheme="minorHAnsi" w:cstheme="minorHAnsi"/>
          <w:iCs/>
          <w:sz w:val="24"/>
          <w:szCs w:val="24"/>
        </w:rPr>
        <w:lastRenderedPageBreak/>
        <w:t xml:space="preserve">However, the Bill’s </w:t>
      </w:r>
      <w:r w:rsidR="00082E29">
        <w:rPr>
          <w:rFonts w:asciiTheme="minorHAnsi" w:hAnsiTheme="minorHAnsi" w:cstheme="minorHAnsi"/>
          <w:iCs/>
          <w:sz w:val="24"/>
          <w:szCs w:val="24"/>
        </w:rPr>
        <w:t xml:space="preserve">engagement with the right </w:t>
      </w:r>
      <w:r>
        <w:rPr>
          <w:rFonts w:asciiTheme="minorHAnsi" w:hAnsiTheme="minorHAnsi" w:cstheme="minorHAnsi"/>
          <w:iCs/>
          <w:sz w:val="24"/>
          <w:szCs w:val="24"/>
        </w:rPr>
        <w:t xml:space="preserve">to a fair trial </w:t>
      </w:r>
      <w:r w:rsidR="00082E29">
        <w:rPr>
          <w:rFonts w:asciiTheme="minorHAnsi" w:hAnsiTheme="minorHAnsi" w:cstheme="minorHAnsi"/>
          <w:iCs/>
          <w:sz w:val="24"/>
          <w:szCs w:val="24"/>
        </w:rPr>
        <w:t>is limited</w:t>
      </w:r>
      <w:r>
        <w:rPr>
          <w:rFonts w:asciiTheme="minorHAnsi" w:hAnsiTheme="minorHAnsi" w:cstheme="minorHAnsi"/>
          <w:iCs/>
          <w:sz w:val="24"/>
          <w:szCs w:val="24"/>
        </w:rPr>
        <w:t xml:space="preserve">; </w:t>
      </w:r>
      <w:r w:rsidR="00082E29">
        <w:rPr>
          <w:rFonts w:asciiTheme="minorHAnsi" w:hAnsiTheme="minorHAnsi" w:cstheme="minorHAnsi"/>
          <w:iCs/>
          <w:sz w:val="24"/>
          <w:szCs w:val="24"/>
        </w:rPr>
        <w:t xml:space="preserve">the Minister in making a maximum costs determination must </w:t>
      </w:r>
      <w:r w:rsidR="00A41145">
        <w:rPr>
          <w:rFonts w:asciiTheme="minorHAnsi" w:hAnsiTheme="minorHAnsi" w:cstheme="minorHAnsi"/>
          <w:iCs/>
          <w:sz w:val="24"/>
          <w:szCs w:val="24"/>
        </w:rPr>
        <w:t xml:space="preserve">ensure that eligible entities, in addition to ACT electricity consumers and the distributor, are not unreasonably financially disadvantaged by the determination. </w:t>
      </w:r>
      <w:r w:rsidR="006600DF">
        <w:rPr>
          <w:rFonts w:asciiTheme="minorHAnsi" w:hAnsiTheme="minorHAnsi" w:cstheme="minorHAnsi"/>
          <w:iCs/>
          <w:sz w:val="24"/>
          <w:szCs w:val="24"/>
        </w:rPr>
        <w:t>T</w:t>
      </w:r>
      <w:r w:rsidR="000E2CAB">
        <w:rPr>
          <w:rFonts w:asciiTheme="minorHAnsi" w:hAnsiTheme="minorHAnsi" w:cstheme="minorHAnsi"/>
          <w:iCs/>
          <w:sz w:val="24"/>
          <w:szCs w:val="24"/>
        </w:rPr>
        <w:t xml:space="preserve">he Minister’s determination is a disallowable instrument, and as such requires an accompanying explanatory statement, and is subject to scrutiny by the Legislative </w:t>
      </w:r>
      <w:r w:rsidR="00F745A8">
        <w:rPr>
          <w:rFonts w:asciiTheme="minorHAnsi" w:hAnsiTheme="minorHAnsi" w:cstheme="minorHAnsi"/>
          <w:iCs/>
          <w:sz w:val="24"/>
          <w:szCs w:val="24"/>
        </w:rPr>
        <w:t>Assembly.</w:t>
      </w:r>
      <w:r w:rsidR="000E2CAB">
        <w:rPr>
          <w:rFonts w:asciiTheme="minorHAnsi" w:hAnsiTheme="minorHAnsi" w:cstheme="minorHAnsi"/>
          <w:iCs/>
          <w:sz w:val="24"/>
          <w:szCs w:val="24"/>
        </w:rPr>
        <w:t xml:space="preserve"> </w:t>
      </w:r>
    </w:p>
    <w:p w14:paraId="0562FDA8" w14:textId="07418AAC" w:rsidR="00A85E2E" w:rsidRPr="00A85E2E" w:rsidRDefault="00A85E2E" w:rsidP="00A85E2E">
      <w:pPr>
        <w:pStyle w:val="ListParagraph"/>
        <w:numPr>
          <w:ilvl w:val="0"/>
          <w:numId w:val="8"/>
        </w:numPr>
        <w:contextualSpacing/>
        <w:rPr>
          <w:rFonts w:ascii="Arial" w:hAnsi="Arial" w:cs="Arial"/>
          <w:b/>
          <w:bCs/>
          <w:i/>
          <w:sz w:val="24"/>
          <w:szCs w:val="24"/>
        </w:rPr>
      </w:pPr>
      <w:r w:rsidRPr="00A85E2E">
        <w:rPr>
          <w:rFonts w:ascii="Arial" w:hAnsi="Arial" w:cs="Arial"/>
          <w:b/>
          <w:bCs/>
          <w:i/>
          <w:szCs w:val="24"/>
        </w:rPr>
        <w:t>Legitimate purpose (s28(b))</w:t>
      </w:r>
    </w:p>
    <w:p w14:paraId="58BA89B3" w14:textId="44B8A529" w:rsidR="00A85E2E" w:rsidRPr="00A85E2E" w:rsidRDefault="00A85E2E" w:rsidP="00A85E2E">
      <w:pPr>
        <w:rPr>
          <w:rFonts w:asciiTheme="minorHAnsi" w:hAnsiTheme="minorHAnsi" w:cstheme="minorHAnsi"/>
          <w:iCs/>
          <w:sz w:val="24"/>
          <w:szCs w:val="24"/>
        </w:rPr>
      </w:pPr>
      <w:r w:rsidRPr="00A85E2E">
        <w:rPr>
          <w:rFonts w:asciiTheme="minorHAnsi" w:hAnsiTheme="minorHAnsi" w:cstheme="minorHAnsi"/>
          <w:iCs/>
          <w:sz w:val="24"/>
          <w:szCs w:val="24"/>
        </w:rPr>
        <w:t>Th</w:t>
      </w:r>
      <w:r w:rsidR="002A3295">
        <w:rPr>
          <w:rFonts w:asciiTheme="minorHAnsi" w:hAnsiTheme="minorHAnsi" w:cstheme="minorHAnsi"/>
          <w:iCs/>
          <w:sz w:val="24"/>
          <w:szCs w:val="24"/>
        </w:rPr>
        <w:t>e</w:t>
      </w:r>
      <w:r w:rsidRPr="00A85E2E">
        <w:rPr>
          <w:rFonts w:asciiTheme="minorHAnsi" w:hAnsiTheme="minorHAnsi" w:cstheme="minorHAnsi"/>
          <w:iCs/>
          <w:sz w:val="24"/>
          <w:szCs w:val="24"/>
        </w:rPr>
        <w:t xml:space="preserve"> Bill seeks to </w:t>
      </w:r>
      <w:r w:rsidR="002A3295">
        <w:rPr>
          <w:rFonts w:asciiTheme="minorHAnsi" w:hAnsiTheme="minorHAnsi" w:cstheme="minorHAnsi"/>
          <w:iCs/>
          <w:sz w:val="24"/>
          <w:szCs w:val="24"/>
        </w:rPr>
        <w:t xml:space="preserve">facilitate improvements to administration of the Scheme, </w:t>
      </w:r>
      <w:r>
        <w:rPr>
          <w:rFonts w:asciiTheme="minorHAnsi" w:hAnsiTheme="minorHAnsi" w:cstheme="minorHAnsi"/>
          <w:iCs/>
          <w:sz w:val="24"/>
          <w:szCs w:val="24"/>
        </w:rPr>
        <w:t xml:space="preserve">including improving reporting processes and </w:t>
      </w:r>
      <w:r w:rsidR="002A3295">
        <w:rPr>
          <w:rFonts w:asciiTheme="minorHAnsi" w:hAnsiTheme="minorHAnsi" w:cstheme="minorHAnsi"/>
          <w:iCs/>
          <w:sz w:val="24"/>
          <w:szCs w:val="24"/>
        </w:rPr>
        <w:t>the</w:t>
      </w:r>
      <w:r>
        <w:rPr>
          <w:rFonts w:asciiTheme="minorHAnsi" w:hAnsiTheme="minorHAnsi" w:cstheme="minorHAnsi"/>
          <w:iCs/>
          <w:sz w:val="24"/>
          <w:szCs w:val="24"/>
        </w:rPr>
        <w:t xml:space="preserve"> accuracy</w:t>
      </w:r>
      <w:r w:rsidR="002A3295">
        <w:rPr>
          <w:rFonts w:asciiTheme="minorHAnsi" w:hAnsiTheme="minorHAnsi" w:cstheme="minorHAnsi"/>
          <w:iCs/>
          <w:sz w:val="24"/>
          <w:szCs w:val="24"/>
        </w:rPr>
        <w:t xml:space="preserve"> of data provided by the distributor</w:t>
      </w:r>
      <w:r>
        <w:rPr>
          <w:rFonts w:asciiTheme="minorHAnsi" w:hAnsiTheme="minorHAnsi" w:cstheme="minorHAnsi"/>
          <w:iCs/>
          <w:sz w:val="24"/>
          <w:szCs w:val="24"/>
        </w:rPr>
        <w:t>.</w:t>
      </w:r>
      <w:r w:rsidR="00A20E02">
        <w:rPr>
          <w:rFonts w:asciiTheme="minorHAnsi" w:hAnsiTheme="minorHAnsi" w:cstheme="minorHAnsi"/>
          <w:iCs/>
          <w:sz w:val="24"/>
          <w:szCs w:val="24"/>
        </w:rPr>
        <w:t xml:space="preserve"> </w:t>
      </w:r>
      <w:r>
        <w:rPr>
          <w:rFonts w:asciiTheme="minorHAnsi" w:hAnsiTheme="minorHAnsi" w:cstheme="minorHAnsi"/>
          <w:iCs/>
          <w:sz w:val="24"/>
          <w:szCs w:val="24"/>
        </w:rPr>
        <w:t xml:space="preserve">One of the means of achieving </w:t>
      </w:r>
      <w:r w:rsidR="002A3295">
        <w:rPr>
          <w:rFonts w:asciiTheme="minorHAnsi" w:hAnsiTheme="minorHAnsi" w:cstheme="minorHAnsi"/>
          <w:iCs/>
          <w:sz w:val="24"/>
          <w:szCs w:val="24"/>
        </w:rPr>
        <w:t>the Bill’s objective</w:t>
      </w:r>
      <w:r>
        <w:rPr>
          <w:rFonts w:asciiTheme="minorHAnsi" w:hAnsiTheme="minorHAnsi" w:cstheme="minorHAnsi"/>
          <w:iCs/>
          <w:sz w:val="24"/>
          <w:szCs w:val="24"/>
        </w:rPr>
        <w:t xml:space="preserve"> is allowing for the distributor to pass on reasonable costs </w:t>
      </w:r>
      <w:r w:rsidR="00A20E02">
        <w:rPr>
          <w:rFonts w:asciiTheme="minorHAnsi" w:hAnsiTheme="minorHAnsi" w:cstheme="minorHAnsi"/>
          <w:iCs/>
          <w:sz w:val="24"/>
          <w:szCs w:val="24"/>
        </w:rPr>
        <w:t xml:space="preserve">of administering the Act, including the new obligations introduced by this Bill, </w:t>
      </w:r>
      <w:r>
        <w:rPr>
          <w:rFonts w:asciiTheme="minorHAnsi" w:hAnsiTheme="minorHAnsi" w:cstheme="minorHAnsi"/>
          <w:iCs/>
          <w:sz w:val="24"/>
          <w:szCs w:val="24"/>
        </w:rPr>
        <w:t>to eligible entities.</w:t>
      </w:r>
    </w:p>
    <w:p w14:paraId="4AA34EE9" w14:textId="70C1A16A" w:rsidR="00A85E2E" w:rsidRPr="00A85E2E" w:rsidRDefault="00A85E2E" w:rsidP="00A85E2E">
      <w:pPr>
        <w:pStyle w:val="ListParagraph"/>
        <w:numPr>
          <w:ilvl w:val="0"/>
          <w:numId w:val="8"/>
        </w:numPr>
        <w:contextualSpacing/>
        <w:rPr>
          <w:rFonts w:ascii="Arial" w:hAnsi="Arial" w:cs="Arial"/>
          <w:b/>
          <w:bCs/>
          <w:i/>
          <w:sz w:val="24"/>
          <w:szCs w:val="24"/>
        </w:rPr>
      </w:pPr>
      <w:r w:rsidRPr="00A85E2E">
        <w:rPr>
          <w:rFonts w:ascii="Arial" w:hAnsi="Arial" w:cs="Arial"/>
          <w:b/>
          <w:bCs/>
          <w:i/>
          <w:sz w:val="24"/>
          <w:szCs w:val="24"/>
        </w:rPr>
        <w:t>Rational connection between the limitation and the purpose (s28(d))</w:t>
      </w:r>
    </w:p>
    <w:p w14:paraId="6C462B97" w14:textId="0082E066" w:rsidR="00A85E2E" w:rsidRPr="00A42BF1" w:rsidRDefault="002A3295" w:rsidP="00A85E2E">
      <w:pPr>
        <w:contextualSpacing/>
        <w:rPr>
          <w:rFonts w:asciiTheme="minorHAnsi" w:hAnsiTheme="minorHAnsi" w:cstheme="minorHAnsi"/>
          <w:iCs/>
          <w:sz w:val="24"/>
          <w:szCs w:val="24"/>
        </w:rPr>
      </w:pPr>
      <w:r>
        <w:rPr>
          <w:rFonts w:asciiTheme="minorHAnsi" w:hAnsiTheme="minorHAnsi" w:cstheme="minorHAnsi"/>
          <w:iCs/>
          <w:sz w:val="24"/>
          <w:szCs w:val="24"/>
        </w:rPr>
        <w:t>Allowing</w:t>
      </w:r>
      <w:r w:rsidR="00A85E2E" w:rsidRPr="00A85E2E">
        <w:rPr>
          <w:rFonts w:asciiTheme="minorHAnsi" w:hAnsiTheme="minorHAnsi" w:cstheme="minorHAnsi"/>
          <w:iCs/>
          <w:sz w:val="24"/>
          <w:szCs w:val="24"/>
        </w:rPr>
        <w:t xml:space="preserve"> distributors to pass on reasonable administration costs</w:t>
      </w:r>
      <w:r>
        <w:rPr>
          <w:rFonts w:asciiTheme="minorHAnsi" w:hAnsiTheme="minorHAnsi" w:cstheme="minorHAnsi"/>
          <w:iCs/>
          <w:sz w:val="24"/>
          <w:szCs w:val="24"/>
        </w:rPr>
        <w:t xml:space="preserve">, and </w:t>
      </w:r>
      <w:r w:rsidR="00371BB0">
        <w:rPr>
          <w:rFonts w:asciiTheme="minorHAnsi" w:hAnsiTheme="minorHAnsi" w:cstheme="minorHAnsi"/>
          <w:iCs/>
          <w:sz w:val="24"/>
          <w:szCs w:val="24"/>
        </w:rPr>
        <w:t>as such the</w:t>
      </w:r>
      <w:r>
        <w:rPr>
          <w:rFonts w:asciiTheme="minorHAnsi" w:hAnsiTheme="minorHAnsi" w:cstheme="minorHAnsi"/>
          <w:iCs/>
          <w:sz w:val="24"/>
          <w:szCs w:val="24"/>
        </w:rPr>
        <w:t xml:space="preserve"> associated limitation on the right to a fair trial,</w:t>
      </w:r>
      <w:r w:rsidR="00A85E2E" w:rsidRPr="00A85E2E">
        <w:rPr>
          <w:rFonts w:asciiTheme="minorHAnsi" w:hAnsiTheme="minorHAnsi" w:cstheme="minorHAnsi"/>
          <w:iCs/>
          <w:sz w:val="24"/>
          <w:szCs w:val="24"/>
        </w:rPr>
        <w:t xml:space="preserve"> is </w:t>
      </w:r>
      <w:r w:rsidR="00A85E2E">
        <w:rPr>
          <w:rFonts w:asciiTheme="minorHAnsi" w:hAnsiTheme="minorHAnsi" w:cstheme="minorHAnsi"/>
          <w:iCs/>
          <w:sz w:val="24"/>
          <w:szCs w:val="24"/>
        </w:rPr>
        <w:t xml:space="preserve">capable of achieving </w:t>
      </w:r>
      <w:r w:rsidR="00A85E2E" w:rsidRPr="00A85E2E">
        <w:rPr>
          <w:rFonts w:asciiTheme="minorHAnsi" w:hAnsiTheme="minorHAnsi" w:cstheme="minorHAnsi"/>
          <w:iCs/>
          <w:sz w:val="24"/>
          <w:szCs w:val="24"/>
        </w:rPr>
        <w:t xml:space="preserve">the </w:t>
      </w:r>
      <w:r>
        <w:rPr>
          <w:rFonts w:asciiTheme="minorHAnsi" w:hAnsiTheme="minorHAnsi" w:cstheme="minorHAnsi"/>
          <w:iCs/>
          <w:sz w:val="24"/>
          <w:szCs w:val="24"/>
        </w:rPr>
        <w:t xml:space="preserve">Bill’s </w:t>
      </w:r>
      <w:r w:rsidR="00A85E2E" w:rsidRPr="00A85E2E">
        <w:rPr>
          <w:rFonts w:asciiTheme="minorHAnsi" w:hAnsiTheme="minorHAnsi" w:cstheme="minorHAnsi"/>
          <w:iCs/>
          <w:sz w:val="24"/>
          <w:szCs w:val="24"/>
        </w:rPr>
        <w:t xml:space="preserve">objective. </w:t>
      </w:r>
      <w:r w:rsidR="00A20E02">
        <w:rPr>
          <w:rFonts w:asciiTheme="minorHAnsi" w:hAnsiTheme="minorHAnsi" w:cstheme="minorHAnsi"/>
          <w:iCs/>
          <w:sz w:val="24"/>
          <w:szCs w:val="24"/>
        </w:rPr>
        <w:t xml:space="preserve">The ability for the distributor to recover reasonable administration costs </w:t>
      </w:r>
      <w:r w:rsidR="00F4060C">
        <w:rPr>
          <w:rFonts w:asciiTheme="minorHAnsi" w:hAnsiTheme="minorHAnsi" w:cstheme="minorHAnsi"/>
          <w:iCs/>
          <w:sz w:val="24"/>
          <w:szCs w:val="24"/>
        </w:rPr>
        <w:t>is a key aspect of the Bill’</w:t>
      </w:r>
      <w:r w:rsidR="00CC5607">
        <w:rPr>
          <w:rFonts w:asciiTheme="minorHAnsi" w:hAnsiTheme="minorHAnsi" w:cstheme="minorHAnsi"/>
          <w:iCs/>
          <w:sz w:val="24"/>
          <w:szCs w:val="24"/>
        </w:rPr>
        <w:t xml:space="preserve">s provisions seeking to improve the overall administration of the Act. </w:t>
      </w:r>
    </w:p>
    <w:p w14:paraId="21C10A9E" w14:textId="452B1054" w:rsidR="00A85E2E" w:rsidRPr="00A42BF1" w:rsidRDefault="00A42BF1" w:rsidP="00A42BF1">
      <w:pPr>
        <w:pStyle w:val="ListParagraph"/>
        <w:numPr>
          <w:ilvl w:val="0"/>
          <w:numId w:val="8"/>
        </w:numPr>
        <w:contextualSpacing/>
        <w:rPr>
          <w:rFonts w:ascii="Arial" w:hAnsi="Arial" w:cs="Arial"/>
          <w:iCs/>
          <w:sz w:val="24"/>
          <w:szCs w:val="24"/>
        </w:rPr>
      </w:pPr>
      <w:r w:rsidRPr="00A42BF1">
        <w:rPr>
          <w:rFonts w:ascii="Arial" w:hAnsi="Arial" w:cs="Arial"/>
          <w:b/>
          <w:bCs/>
          <w:i/>
          <w:szCs w:val="24"/>
        </w:rPr>
        <w:t>Proportionality (s28 (e))</w:t>
      </w:r>
    </w:p>
    <w:p w14:paraId="25F85C2F" w14:textId="40B06C45" w:rsidR="007D6581" w:rsidRDefault="00AB4C7B" w:rsidP="007109AC">
      <w:pPr>
        <w:rPr>
          <w:rFonts w:asciiTheme="minorHAnsi" w:hAnsiTheme="minorHAnsi" w:cstheme="minorHAnsi"/>
          <w:iCs/>
          <w:sz w:val="24"/>
          <w:szCs w:val="24"/>
        </w:rPr>
      </w:pPr>
      <w:r>
        <w:rPr>
          <w:rFonts w:asciiTheme="minorHAnsi" w:hAnsiTheme="minorHAnsi" w:cstheme="minorHAnsi"/>
          <w:iCs/>
          <w:sz w:val="24"/>
          <w:szCs w:val="24"/>
        </w:rPr>
        <w:t>T</w:t>
      </w:r>
      <w:r w:rsidR="00BD4932">
        <w:rPr>
          <w:rFonts w:asciiTheme="minorHAnsi" w:hAnsiTheme="minorHAnsi" w:cstheme="minorHAnsi"/>
          <w:iCs/>
          <w:sz w:val="24"/>
          <w:szCs w:val="24"/>
        </w:rPr>
        <w:t>h</w:t>
      </w:r>
      <w:r>
        <w:rPr>
          <w:rFonts w:asciiTheme="minorHAnsi" w:hAnsiTheme="minorHAnsi" w:cstheme="minorHAnsi"/>
          <w:iCs/>
          <w:sz w:val="24"/>
          <w:szCs w:val="24"/>
        </w:rPr>
        <w:t>is ap</w:t>
      </w:r>
      <w:r w:rsidR="00BD4932">
        <w:rPr>
          <w:rFonts w:asciiTheme="minorHAnsi" w:hAnsiTheme="minorHAnsi" w:cstheme="minorHAnsi"/>
          <w:iCs/>
          <w:sz w:val="24"/>
          <w:szCs w:val="24"/>
        </w:rPr>
        <w:t xml:space="preserve">proach is the least restrictive means reasonably available to achieve the objective of the Bill of allowing reasonable costs to be passed onto eligible entities. </w:t>
      </w:r>
      <w:r w:rsidR="006E0649">
        <w:rPr>
          <w:rFonts w:asciiTheme="minorHAnsi" w:hAnsiTheme="minorHAnsi" w:cstheme="minorHAnsi"/>
          <w:iCs/>
          <w:sz w:val="24"/>
          <w:szCs w:val="24"/>
        </w:rPr>
        <w:t xml:space="preserve">A safeguard has been </w:t>
      </w:r>
      <w:r w:rsidR="00BD4932">
        <w:rPr>
          <w:rFonts w:asciiTheme="minorHAnsi" w:hAnsiTheme="minorHAnsi" w:cstheme="minorHAnsi"/>
          <w:iCs/>
          <w:sz w:val="24"/>
          <w:szCs w:val="24"/>
        </w:rPr>
        <w:t xml:space="preserve">incorporated into the </w:t>
      </w:r>
      <w:r w:rsidR="006E0649">
        <w:rPr>
          <w:rFonts w:asciiTheme="minorHAnsi" w:hAnsiTheme="minorHAnsi" w:cstheme="minorHAnsi"/>
          <w:iCs/>
          <w:sz w:val="24"/>
          <w:szCs w:val="24"/>
        </w:rPr>
        <w:t xml:space="preserve">Bill in providing that the Minister </w:t>
      </w:r>
      <w:r w:rsidR="002A3295">
        <w:rPr>
          <w:rFonts w:asciiTheme="minorHAnsi" w:hAnsiTheme="minorHAnsi" w:cstheme="minorHAnsi"/>
          <w:iCs/>
          <w:sz w:val="24"/>
          <w:szCs w:val="24"/>
        </w:rPr>
        <w:t>must not unreasonably financially disadvantage eligible entities, and making the determination a disallowable instrument will allow the Legislative Assembly to check the Minister’s compliance with this requirement.</w:t>
      </w:r>
    </w:p>
    <w:p w14:paraId="51C2374B" w14:textId="6EF46725" w:rsidR="002A3295" w:rsidRPr="006E0649" w:rsidRDefault="002A3295" w:rsidP="002A3295">
      <w:pPr>
        <w:rPr>
          <w:rFonts w:asciiTheme="minorHAnsi" w:hAnsiTheme="minorHAnsi" w:cstheme="minorHAnsi"/>
          <w:iCs/>
          <w:sz w:val="24"/>
          <w:szCs w:val="24"/>
        </w:rPr>
      </w:pPr>
      <w:r>
        <w:rPr>
          <w:rFonts w:asciiTheme="minorHAnsi" w:hAnsiTheme="minorHAnsi" w:cstheme="minorHAnsi"/>
          <w:iCs/>
          <w:sz w:val="24"/>
          <w:szCs w:val="24"/>
        </w:rPr>
        <w:t>It is not practical to build in an administrative review mechanism in section 11D because a ruling of the ACT Civil and Administrative Tribunal setting aside an electricity distributor’s decision to pass on the administration costs would impact, particularly financially, other eligible entities and the electricity distributor. To the extent possible, the Bill should not disturb the financial certainty of the eligible entities, electricity consumers and the energy distributors.</w:t>
      </w:r>
    </w:p>
    <w:p w14:paraId="3B62A0DE" w14:textId="77777777" w:rsidR="002A3295" w:rsidRPr="006E0649" w:rsidRDefault="002A3295" w:rsidP="007109AC">
      <w:pPr>
        <w:rPr>
          <w:rFonts w:asciiTheme="minorHAnsi" w:hAnsiTheme="minorHAnsi" w:cstheme="minorHAnsi"/>
          <w:iCs/>
          <w:sz w:val="24"/>
          <w:szCs w:val="24"/>
        </w:rPr>
      </w:pPr>
    </w:p>
    <w:p w14:paraId="2927A5DD" w14:textId="45CD764B" w:rsidR="00091E66" w:rsidRPr="00A05055" w:rsidRDefault="00A5201D" w:rsidP="004D1224">
      <w:pPr>
        <w:pageBreakBefore/>
        <w:spacing w:after="0"/>
        <w:rPr>
          <w:rFonts w:asciiTheme="minorHAnsi" w:hAnsiTheme="minorHAnsi" w:cstheme="minorHAnsi"/>
          <w:b/>
          <w:bCs/>
          <w:sz w:val="24"/>
          <w:szCs w:val="24"/>
        </w:rPr>
      </w:pPr>
      <w:r w:rsidRPr="00A05055">
        <w:rPr>
          <w:rFonts w:asciiTheme="minorHAnsi" w:hAnsiTheme="minorHAnsi" w:cstheme="minorHAnsi"/>
          <w:b/>
          <w:bCs/>
          <w:sz w:val="24"/>
          <w:szCs w:val="24"/>
        </w:rPr>
        <w:lastRenderedPageBreak/>
        <w:t>APPENDIX A</w:t>
      </w:r>
    </w:p>
    <w:p w14:paraId="04F50CE4" w14:textId="77777777" w:rsidR="00A5201D" w:rsidRPr="00A05055" w:rsidRDefault="00A5201D" w:rsidP="00E574DD">
      <w:pPr>
        <w:pStyle w:val="Heading2"/>
        <w:ind w:left="-108"/>
        <w:jc w:val="center"/>
        <w:rPr>
          <w:rFonts w:asciiTheme="minorHAnsi" w:hAnsiTheme="minorHAnsi" w:cstheme="minorHAnsi"/>
          <w:b w:val="0"/>
          <w:sz w:val="28"/>
          <w:szCs w:val="28"/>
          <w:lang w:eastAsia="en-AU"/>
        </w:rPr>
      </w:pPr>
      <w:bookmarkStart w:id="1" w:name="OLE_LINK1"/>
    </w:p>
    <w:p w14:paraId="79AD90A2" w14:textId="130EF885" w:rsidR="00E574DD" w:rsidRPr="00A05055" w:rsidRDefault="0062420B" w:rsidP="00E574DD">
      <w:pPr>
        <w:pStyle w:val="Heading2"/>
        <w:ind w:left="-108"/>
        <w:jc w:val="center"/>
        <w:rPr>
          <w:rFonts w:asciiTheme="minorHAnsi" w:hAnsiTheme="minorHAnsi" w:cstheme="minorHAnsi"/>
          <w:b w:val="0"/>
          <w:bCs/>
          <w:i/>
          <w:iCs/>
          <w:sz w:val="28"/>
          <w:szCs w:val="28"/>
        </w:rPr>
      </w:pPr>
      <w:r>
        <w:rPr>
          <w:rFonts w:asciiTheme="minorHAnsi" w:hAnsiTheme="minorHAnsi" w:cstheme="minorHAnsi"/>
          <w:b w:val="0"/>
          <w:sz w:val="28"/>
          <w:szCs w:val="28"/>
          <w:lang w:eastAsia="en-AU"/>
        </w:rPr>
        <w:t>Electricity Feed-in (Renewable Energy Premium) Amendment Bill 2020</w:t>
      </w:r>
    </w:p>
    <w:bookmarkEnd w:id="1"/>
    <w:p w14:paraId="12928F7D" w14:textId="77777777" w:rsidR="00E574DD" w:rsidRPr="00A05055" w:rsidRDefault="00E574DD" w:rsidP="00E574DD">
      <w:pPr>
        <w:pStyle w:val="Heading4"/>
        <w:ind w:left="-108"/>
        <w:jc w:val="center"/>
        <w:rPr>
          <w:rFonts w:asciiTheme="minorHAnsi" w:hAnsiTheme="minorHAnsi" w:cstheme="minorHAnsi"/>
          <w:sz w:val="24"/>
          <w:szCs w:val="24"/>
        </w:rPr>
      </w:pPr>
      <w:r w:rsidRPr="00A05055">
        <w:rPr>
          <w:rFonts w:asciiTheme="minorHAnsi" w:hAnsiTheme="minorHAnsi" w:cstheme="minorHAnsi"/>
          <w:sz w:val="24"/>
          <w:szCs w:val="24"/>
        </w:rPr>
        <w:t>Human Rights Act 2004 - Compatibility Statement</w:t>
      </w:r>
    </w:p>
    <w:p w14:paraId="1B9772F9" w14:textId="77777777" w:rsidR="00E574DD" w:rsidRPr="00A05055" w:rsidRDefault="00E574DD" w:rsidP="00E574DD">
      <w:pPr>
        <w:rPr>
          <w:rFonts w:asciiTheme="minorHAnsi" w:hAnsiTheme="minorHAnsi" w:cstheme="minorHAnsi"/>
        </w:rPr>
      </w:pPr>
    </w:p>
    <w:p w14:paraId="1C2275A7" w14:textId="77777777" w:rsidR="00E574DD" w:rsidRPr="00A05055" w:rsidRDefault="00E574DD" w:rsidP="00E574DD">
      <w:pPr>
        <w:rPr>
          <w:rFonts w:asciiTheme="minorHAnsi" w:hAnsiTheme="minorHAnsi" w:cstheme="minorHAnsi"/>
        </w:rPr>
      </w:pPr>
    </w:p>
    <w:p w14:paraId="71084E2C" w14:textId="50330893" w:rsidR="00E574DD" w:rsidRPr="00A05055" w:rsidRDefault="00E574DD" w:rsidP="00E574DD">
      <w:pPr>
        <w:jc w:val="both"/>
        <w:rPr>
          <w:rFonts w:asciiTheme="minorHAnsi" w:hAnsiTheme="minorHAnsi" w:cstheme="minorHAnsi"/>
        </w:rPr>
      </w:pPr>
      <w:r w:rsidRPr="00A05055">
        <w:rPr>
          <w:rFonts w:asciiTheme="minorHAnsi" w:hAnsiTheme="minorHAnsi" w:cstheme="minorHAnsi"/>
        </w:rPr>
        <w:t xml:space="preserve">In accordance with section 37 </w:t>
      </w:r>
      <w:r w:rsidRPr="0062420B">
        <w:rPr>
          <w:rFonts w:asciiTheme="minorHAnsi" w:hAnsiTheme="minorHAnsi" w:cstheme="minorHAnsi"/>
        </w:rPr>
        <w:t xml:space="preserve">of the </w:t>
      </w:r>
      <w:r w:rsidRPr="0062420B">
        <w:rPr>
          <w:rFonts w:asciiTheme="minorHAnsi" w:hAnsiTheme="minorHAnsi" w:cstheme="minorHAnsi"/>
          <w:i/>
          <w:iCs/>
        </w:rPr>
        <w:t>Human Rights Act 2004</w:t>
      </w:r>
      <w:r w:rsidRPr="0062420B">
        <w:rPr>
          <w:rFonts w:asciiTheme="minorHAnsi" w:hAnsiTheme="minorHAnsi" w:cstheme="minorHAnsi"/>
        </w:rPr>
        <w:t xml:space="preserve"> I have examined the</w:t>
      </w:r>
      <w:r w:rsidRPr="0062420B">
        <w:rPr>
          <w:rFonts w:asciiTheme="minorHAnsi" w:hAnsiTheme="minorHAnsi" w:cstheme="minorHAnsi"/>
          <w:b/>
        </w:rPr>
        <w:t xml:space="preserve"> </w:t>
      </w:r>
      <w:r w:rsidR="0062420B" w:rsidRPr="0062420B">
        <w:rPr>
          <w:rFonts w:asciiTheme="minorHAnsi" w:hAnsiTheme="minorHAnsi" w:cstheme="minorHAnsi"/>
          <w:b/>
        </w:rPr>
        <w:t>Electricity Feed-in (Renewable Energy Premium) Amendment Bill 2020</w:t>
      </w:r>
      <w:r w:rsidRPr="0062420B">
        <w:rPr>
          <w:rFonts w:asciiTheme="minorHAnsi" w:hAnsiTheme="minorHAnsi" w:cstheme="minorHAnsi"/>
        </w:rPr>
        <w:t>.  In my opinion,</w:t>
      </w:r>
      <w:r w:rsidR="000D758B" w:rsidRPr="0062420B">
        <w:rPr>
          <w:rFonts w:asciiTheme="minorHAnsi" w:hAnsiTheme="minorHAnsi" w:cstheme="minorHAnsi"/>
        </w:rPr>
        <w:t xml:space="preserve"> having regard to the </w:t>
      </w:r>
      <w:r w:rsidR="00A0291C" w:rsidRPr="0062420B">
        <w:rPr>
          <w:rFonts w:asciiTheme="minorHAnsi" w:hAnsiTheme="minorHAnsi" w:cstheme="minorHAnsi"/>
        </w:rPr>
        <w:t>outline</w:t>
      </w:r>
      <w:r w:rsidR="000D758B" w:rsidRPr="0062420B">
        <w:rPr>
          <w:rFonts w:asciiTheme="minorHAnsi" w:hAnsiTheme="minorHAnsi" w:cstheme="minorHAnsi"/>
        </w:rPr>
        <w:t xml:space="preserve"> of the policy </w:t>
      </w:r>
      <w:r w:rsidR="00040382" w:rsidRPr="0062420B">
        <w:rPr>
          <w:rFonts w:asciiTheme="minorHAnsi" w:hAnsiTheme="minorHAnsi" w:cstheme="minorHAnsi"/>
        </w:rPr>
        <w:t>considerati</w:t>
      </w:r>
      <w:r w:rsidR="00E61614" w:rsidRPr="0062420B">
        <w:rPr>
          <w:rFonts w:asciiTheme="minorHAnsi" w:hAnsiTheme="minorHAnsi" w:cstheme="minorHAnsi"/>
        </w:rPr>
        <w:t>ons</w:t>
      </w:r>
      <w:r w:rsidR="005162FA" w:rsidRPr="0062420B">
        <w:rPr>
          <w:rFonts w:asciiTheme="minorHAnsi" w:hAnsiTheme="minorHAnsi" w:cstheme="minorHAnsi"/>
        </w:rPr>
        <w:t xml:space="preserve"> and </w:t>
      </w:r>
      <w:r w:rsidR="00424FBB" w:rsidRPr="0062420B">
        <w:rPr>
          <w:rFonts w:asciiTheme="minorHAnsi" w:hAnsiTheme="minorHAnsi" w:cstheme="minorHAnsi"/>
        </w:rPr>
        <w:t xml:space="preserve">justification of </w:t>
      </w:r>
      <w:r w:rsidR="00741C4A" w:rsidRPr="0062420B">
        <w:rPr>
          <w:rFonts w:asciiTheme="minorHAnsi" w:hAnsiTheme="minorHAnsi" w:cstheme="minorHAnsi"/>
        </w:rPr>
        <w:t>any</w:t>
      </w:r>
      <w:r w:rsidR="005162FA" w:rsidRPr="0062420B">
        <w:rPr>
          <w:rFonts w:asciiTheme="minorHAnsi" w:hAnsiTheme="minorHAnsi" w:cstheme="minorHAnsi"/>
        </w:rPr>
        <w:t xml:space="preserve"> </w:t>
      </w:r>
      <w:r w:rsidR="00424FBB" w:rsidRPr="0062420B">
        <w:rPr>
          <w:rFonts w:asciiTheme="minorHAnsi" w:hAnsiTheme="minorHAnsi" w:cstheme="minorHAnsi"/>
        </w:rPr>
        <w:t>limitations</w:t>
      </w:r>
      <w:r w:rsidR="005162FA" w:rsidRPr="0062420B">
        <w:rPr>
          <w:rFonts w:asciiTheme="minorHAnsi" w:hAnsiTheme="minorHAnsi" w:cstheme="minorHAnsi"/>
        </w:rPr>
        <w:t xml:space="preserve"> on rights</w:t>
      </w:r>
      <w:r w:rsidR="00424FBB" w:rsidRPr="0062420B">
        <w:rPr>
          <w:rFonts w:asciiTheme="minorHAnsi" w:hAnsiTheme="minorHAnsi" w:cstheme="minorHAnsi"/>
        </w:rPr>
        <w:t xml:space="preserve"> </w:t>
      </w:r>
      <w:r w:rsidR="00E61614" w:rsidRPr="0062420B">
        <w:rPr>
          <w:rFonts w:asciiTheme="minorHAnsi" w:hAnsiTheme="minorHAnsi" w:cstheme="minorHAnsi"/>
        </w:rPr>
        <w:t xml:space="preserve">outlined </w:t>
      </w:r>
      <w:r w:rsidR="00424FBB" w:rsidRPr="0062420B">
        <w:rPr>
          <w:rFonts w:asciiTheme="minorHAnsi" w:hAnsiTheme="minorHAnsi" w:cstheme="minorHAnsi"/>
        </w:rPr>
        <w:t>in this explanatory statement, the Bill as presented to the Legislative Assembly</w:t>
      </w:r>
      <w:r w:rsidR="00424FBB" w:rsidRPr="007109AC">
        <w:rPr>
          <w:rFonts w:asciiTheme="minorHAnsi" w:hAnsiTheme="minorHAnsi" w:cstheme="minorHAnsi"/>
          <w:b/>
        </w:rPr>
        <w:t xml:space="preserve"> </w:t>
      </w:r>
      <w:r w:rsidRPr="007109AC">
        <w:rPr>
          <w:rFonts w:asciiTheme="minorHAnsi" w:hAnsiTheme="minorHAnsi" w:cstheme="minorHAnsi"/>
          <w:b/>
        </w:rPr>
        <w:t xml:space="preserve">is </w:t>
      </w:r>
      <w:r w:rsidRPr="0062420B">
        <w:rPr>
          <w:rFonts w:asciiTheme="minorHAnsi" w:hAnsiTheme="minorHAnsi" w:cstheme="minorHAnsi"/>
        </w:rPr>
        <w:t xml:space="preserve">consistent with the </w:t>
      </w:r>
      <w:r w:rsidRPr="0062420B">
        <w:rPr>
          <w:rFonts w:asciiTheme="minorHAnsi" w:hAnsiTheme="minorHAnsi" w:cstheme="minorHAnsi"/>
          <w:i/>
          <w:iCs/>
        </w:rPr>
        <w:t>Human Rights Act 2004</w:t>
      </w:r>
      <w:r w:rsidR="000D758B" w:rsidRPr="0062420B">
        <w:rPr>
          <w:rFonts w:asciiTheme="minorHAnsi" w:hAnsiTheme="minorHAnsi" w:cstheme="minorHAnsi"/>
          <w:i/>
          <w:iCs/>
        </w:rPr>
        <w:t>.</w:t>
      </w:r>
    </w:p>
    <w:p w14:paraId="66ABEB43" w14:textId="77777777" w:rsidR="00E574DD" w:rsidRPr="00A05055" w:rsidRDefault="00E574DD" w:rsidP="00E574DD">
      <w:pPr>
        <w:rPr>
          <w:rFonts w:asciiTheme="minorHAnsi" w:hAnsiTheme="minorHAnsi" w:cstheme="minorHAnsi"/>
        </w:rPr>
      </w:pPr>
    </w:p>
    <w:p w14:paraId="6C6D5E27" w14:textId="77777777" w:rsidR="00E574DD" w:rsidRPr="00A05055" w:rsidRDefault="00E574DD" w:rsidP="00E574DD">
      <w:pPr>
        <w:rPr>
          <w:rFonts w:asciiTheme="minorHAnsi" w:hAnsiTheme="minorHAnsi" w:cstheme="minorHAnsi"/>
        </w:rPr>
      </w:pPr>
    </w:p>
    <w:p w14:paraId="3AC1DED3" w14:textId="77777777" w:rsidR="00E574DD" w:rsidRPr="00A05055" w:rsidRDefault="00E574DD" w:rsidP="00E574DD">
      <w:pPr>
        <w:rPr>
          <w:rFonts w:asciiTheme="minorHAnsi" w:hAnsiTheme="minorHAnsi" w:cstheme="minorHAnsi"/>
        </w:rPr>
      </w:pPr>
      <w:r w:rsidRPr="00A05055">
        <w:rPr>
          <w:rFonts w:asciiTheme="minorHAnsi" w:hAnsiTheme="minorHAnsi" w:cstheme="minorHAnsi"/>
        </w:rPr>
        <w:t>………………………………………………….</w:t>
      </w:r>
    </w:p>
    <w:p w14:paraId="3A8E2AC8" w14:textId="77777777" w:rsidR="00E574DD" w:rsidRPr="00A05055" w:rsidRDefault="00E574DD" w:rsidP="00E574DD">
      <w:pPr>
        <w:rPr>
          <w:rFonts w:asciiTheme="minorHAnsi" w:hAnsiTheme="minorHAnsi" w:cstheme="minorHAnsi"/>
        </w:rPr>
      </w:pPr>
      <w:r w:rsidRPr="00A05055">
        <w:rPr>
          <w:rFonts w:asciiTheme="minorHAnsi" w:hAnsiTheme="minorHAnsi" w:cstheme="minorHAnsi"/>
        </w:rPr>
        <w:t>Gordon Ramsay MLA</w:t>
      </w:r>
      <w:r w:rsidRPr="00A05055">
        <w:rPr>
          <w:rFonts w:asciiTheme="minorHAnsi" w:hAnsiTheme="minorHAnsi" w:cstheme="minorHAnsi"/>
        </w:rPr>
        <w:br/>
        <w:t>Attorney-General</w:t>
      </w:r>
    </w:p>
    <w:p w14:paraId="1578DA22" w14:textId="77777777" w:rsidR="006D53B2" w:rsidRPr="00A05055" w:rsidRDefault="006D53B2" w:rsidP="006D53B2">
      <w:pPr>
        <w:spacing w:before="200"/>
        <w:rPr>
          <w:rFonts w:asciiTheme="minorHAnsi" w:hAnsiTheme="minorHAnsi" w:cstheme="minorHAnsi"/>
          <w:sz w:val="24"/>
          <w:szCs w:val="24"/>
        </w:rPr>
      </w:pPr>
    </w:p>
    <w:p w14:paraId="6173867E" w14:textId="11ABFDA6" w:rsidR="008C76C4" w:rsidRPr="00A05055" w:rsidRDefault="008C76C4">
      <w:pPr>
        <w:pStyle w:val="Heading2"/>
        <w:pageBreakBefore/>
        <w:spacing w:before="240" w:after="240"/>
        <w:rPr>
          <w:rFonts w:asciiTheme="minorHAnsi" w:hAnsiTheme="minorHAnsi" w:cstheme="minorHAnsi"/>
        </w:rPr>
      </w:pPr>
      <w:r w:rsidRPr="00A05055">
        <w:rPr>
          <w:rFonts w:asciiTheme="minorHAnsi" w:hAnsiTheme="minorHAnsi" w:cstheme="minorHAnsi"/>
        </w:rPr>
        <w:lastRenderedPageBreak/>
        <w:t>CLAUSE NOTES</w:t>
      </w:r>
    </w:p>
    <w:p w14:paraId="27FB735B" w14:textId="27950F97" w:rsidR="00C61B07" w:rsidRPr="00A05055" w:rsidRDefault="00C61B07" w:rsidP="00C65E0C">
      <w:pPr>
        <w:pStyle w:val="Heading3"/>
        <w:rPr>
          <w:rFonts w:asciiTheme="minorHAnsi" w:hAnsiTheme="minorHAnsi" w:cstheme="minorHAnsi"/>
        </w:rPr>
      </w:pPr>
      <w:r w:rsidRPr="00A05055">
        <w:rPr>
          <w:rFonts w:asciiTheme="minorHAnsi" w:hAnsiTheme="minorHAnsi" w:cstheme="minorHAnsi"/>
        </w:rPr>
        <w:t>Clause 1</w:t>
      </w:r>
      <w:r w:rsidRPr="00A05055">
        <w:rPr>
          <w:rFonts w:asciiTheme="minorHAnsi" w:hAnsiTheme="minorHAnsi" w:cstheme="minorHAnsi"/>
        </w:rPr>
        <w:tab/>
        <w:t>Name of Act</w:t>
      </w:r>
    </w:p>
    <w:p w14:paraId="440A29CF" w14:textId="3DABF0B4" w:rsidR="004E146F" w:rsidRPr="00A05055" w:rsidRDefault="004E146F" w:rsidP="0066679A">
      <w:pPr>
        <w:rPr>
          <w:rFonts w:asciiTheme="minorHAnsi" w:hAnsiTheme="minorHAnsi" w:cstheme="minorHAnsi"/>
          <w:sz w:val="24"/>
          <w:szCs w:val="24"/>
        </w:rPr>
      </w:pPr>
      <w:r w:rsidRPr="00A05055">
        <w:rPr>
          <w:rFonts w:asciiTheme="minorHAnsi" w:hAnsiTheme="minorHAnsi" w:cstheme="minorHAnsi"/>
          <w:sz w:val="24"/>
          <w:szCs w:val="24"/>
        </w:rPr>
        <w:t xml:space="preserve">This clause </w:t>
      </w:r>
      <w:r w:rsidR="003E1D27">
        <w:rPr>
          <w:rFonts w:asciiTheme="minorHAnsi" w:hAnsiTheme="minorHAnsi" w:cstheme="minorHAnsi"/>
          <w:sz w:val="24"/>
          <w:szCs w:val="24"/>
        </w:rPr>
        <w:t xml:space="preserve">names this Act as the </w:t>
      </w:r>
      <w:r w:rsidRPr="00A05055">
        <w:rPr>
          <w:rFonts w:asciiTheme="minorHAnsi" w:hAnsiTheme="minorHAnsi" w:cstheme="minorHAnsi"/>
          <w:i/>
          <w:iCs/>
          <w:sz w:val="24"/>
          <w:szCs w:val="24"/>
        </w:rPr>
        <w:t>Electricity Feed-in (Renewable Energy Premium) Amendment Act 2020</w:t>
      </w:r>
      <w:r w:rsidRPr="00A05055">
        <w:rPr>
          <w:rFonts w:asciiTheme="minorHAnsi" w:hAnsiTheme="minorHAnsi" w:cstheme="minorHAnsi"/>
          <w:sz w:val="24"/>
          <w:szCs w:val="24"/>
        </w:rPr>
        <w:t>.</w:t>
      </w:r>
    </w:p>
    <w:p w14:paraId="341827EE" w14:textId="068DBAB3" w:rsidR="00C61B07" w:rsidRPr="00A05055" w:rsidRDefault="00C61B07" w:rsidP="008C225D">
      <w:pPr>
        <w:pStyle w:val="Heading3"/>
        <w:rPr>
          <w:rFonts w:asciiTheme="minorHAnsi" w:hAnsiTheme="minorHAnsi" w:cstheme="minorHAnsi"/>
        </w:rPr>
      </w:pPr>
      <w:r w:rsidRPr="00A05055">
        <w:rPr>
          <w:rFonts w:asciiTheme="minorHAnsi" w:hAnsiTheme="minorHAnsi" w:cstheme="minorHAnsi"/>
        </w:rPr>
        <w:t>Clause 2</w:t>
      </w:r>
      <w:r w:rsidRPr="00A05055">
        <w:rPr>
          <w:rFonts w:asciiTheme="minorHAnsi" w:hAnsiTheme="minorHAnsi" w:cstheme="minorHAnsi"/>
        </w:rPr>
        <w:tab/>
        <w:t>Commencement</w:t>
      </w:r>
    </w:p>
    <w:p w14:paraId="06401DC0" w14:textId="795154A6" w:rsidR="0066679A" w:rsidRPr="00A05055" w:rsidRDefault="004E146F" w:rsidP="0066679A">
      <w:pPr>
        <w:rPr>
          <w:rFonts w:asciiTheme="minorHAnsi" w:hAnsiTheme="minorHAnsi" w:cstheme="minorHAnsi"/>
          <w:sz w:val="24"/>
          <w:szCs w:val="24"/>
        </w:rPr>
      </w:pPr>
      <w:r w:rsidRPr="00A05055">
        <w:rPr>
          <w:rFonts w:asciiTheme="minorHAnsi" w:hAnsiTheme="minorHAnsi" w:cstheme="minorHAnsi"/>
          <w:sz w:val="24"/>
          <w:szCs w:val="24"/>
        </w:rPr>
        <w:t>This clause provides that the Act commences on the day after its notification day.</w:t>
      </w:r>
    </w:p>
    <w:p w14:paraId="03E3F0B8" w14:textId="2DA236D6" w:rsidR="00C61B07" w:rsidRPr="00A05055" w:rsidRDefault="00C61B07" w:rsidP="008C225D">
      <w:pPr>
        <w:pStyle w:val="Heading3"/>
        <w:rPr>
          <w:rFonts w:asciiTheme="minorHAnsi" w:hAnsiTheme="minorHAnsi" w:cstheme="minorHAnsi"/>
        </w:rPr>
      </w:pPr>
      <w:r w:rsidRPr="00A05055">
        <w:rPr>
          <w:rFonts w:asciiTheme="minorHAnsi" w:hAnsiTheme="minorHAnsi" w:cstheme="minorHAnsi"/>
        </w:rPr>
        <w:t>Clause 3</w:t>
      </w:r>
      <w:r w:rsidRPr="00A05055">
        <w:rPr>
          <w:rFonts w:asciiTheme="minorHAnsi" w:hAnsiTheme="minorHAnsi" w:cstheme="minorHAnsi"/>
        </w:rPr>
        <w:tab/>
        <w:t>Legislation amended</w:t>
      </w:r>
    </w:p>
    <w:p w14:paraId="762B814C" w14:textId="21C63B4E" w:rsidR="004E146F" w:rsidRPr="00A05055" w:rsidRDefault="004E146F" w:rsidP="00D3034B">
      <w:pPr>
        <w:rPr>
          <w:rFonts w:asciiTheme="minorHAnsi" w:hAnsiTheme="minorHAnsi" w:cstheme="minorHAnsi"/>
          <w:sz w:val="23"/>
          <w:szCs w:val="23"/>
        </w:rPr>
      </w:pPr>
      <w:r w:rsidRPr="00A05055">
        <w:rPr>
          <w:rFonts w:asciiTheme="minorHAnsi" w:hAnsiTheme="minorHAnsi" w:cstheme="minorHAnsi"/>
          <w:sz w:val="24"/>
          <w:szCs w:val="24"/>
        </w:rPr>
        <w:t xml:space="preserve">This clause provides that the Act amends the </w:t>
      </w:r>
      <w:r w:rsidRPr="00A05055">
        <w:rPr>
          <w:rFonts w:asciiTheme="minorHAnsi" w:hAnsiTheme="minorHAnsi" w:cstheme="minorHAnsi"/>
          <w:i/>
          <w:iCs/>
          <w:sz w:val="24"/>
          <w:szCs w:val="24"/>
        </w:rPr>
        <w:t>Electricity Feed-in (Renewable Energy Premium) Act 2008</w:t>
      </w:r>
      <w:r w:rsidRPr="00A05055">
        <w:rPr>
          <w:rFonts w:asciiTheme="minorHAnsi" w:hAnsiTheme="minorHAnsi" w:cstheme="minorHAnsi"/>
          <w:sz w:val="23"/>
          <w:szCs w:val="23"/>
        </w:rPr>
        <w:t>.</w:t>
      </w:r>
    </w:p>
    <w:p w14:paraId="75072611" w14:textId="083DFFDD" w:rsidR="004E146F" w:rsidRDefault="004E146F" w:rsidP="004E146F">
      <w:pPr>
        <w:pStyle w:val="Heading3"/>
        <w:rPr>
          <w:rFonts w:asciiTheme="minorHAnsi" w:hAnsiTheme="minorHAnsi" w:cstheme="minorHAnsi"/>
        </w:rPr>
      </w:pPr>
      <w:r w:rsidRPr="00A05055">
        <w:rPr>
          <w:rFonts w:asciiTheme="minorHAnsi" w:hAnsiTheme="minorHAnsi" w:cstheme="minorHAnsi"/>
        </w:rPr>
        <w:t>Clause 4</w:t>
      </w:r>
      <w:r w:rsidRPr="00A05055">
        <w:rPr>
          <w:rFonts w:asciiTheme="minorHAnsi" w:hAnsiTheme="minorHAnsi" w:cstheme="minorHAnsi"/>
        </w:rPr>
        <w:tab/>
      </w:r>
      <w:r w:rsidR="00894713">
        <w:rPr>
          <w:rFonts w:asciiTheme="minorHAnsi" w:hAnsiTheme="minorHAnsi" w:cstheme="minorHAnsi"/>
        </w:rPr>
        <w:t>Electricity distributors to give information to Minister</w:t>
      </w:r>
    </w:p>
    <w:p w14:paraId="0C968554" w14:textId="61B5EED0" w:rsidR="00894713" w:rsidRPr="007109AC" w:rsidRDefault="00894713" w:rsidP="007109AC">
      <w:pPr>
        <w:tabs>
          <w:tab w:val="left" w:pos="1455"/>
        </w:tabs>
        <w:rPr>
          <w:b/>
          <w:bCs/>
          <w:sz w:val="24"/>
          <w:szCs w:val="24"/>
        </w:rPr>
      </w:pPr>
      <w:r>
        <w:tab/>
      </w:r>
      <w:r w:rsidRPr="007109AC">
        <w:rPr>
          <w:b/>
          <w:bCs/>
          <w:sz w:val="24"/>
          <w:szCs w:val="24"/>
        </w:rPr>
        <w:t>Section 11B</w:t>
      </w:r>
      <w:r w:rsidR="003C3FA6">
        <w:rPr>
          <w:b/>
          <w:bCs/>
          <w:sz w:val="24"/>
          <w:szCs w:val="24"/>
        </w:rPr>
        <w:t xml:space="preserve"> </w:t>
      </w:r>
      <w:r w:rsidRPr="007109AC">
        <w:rPr>
          <w:b/>
          <w:bCs/>
          <w:sz w:val="24"/>
          <w:szCs w:val="24"/>
        </w:rPr>
        <w:t>(4)</w:t>
      </w:r>
    </w:p>
    <w:p w14:paraId="01B687F2"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This clause introduces a new </w:t>
      </w:r>
      <w:r>
        <w:rPr>
          <w:rFonts w:asciiTheme="minorHAnsi" w:hAnsiTheme="minorHAnsi" w:cstheme="minorHAnsi"/>
          <w:sz w:val="24"/>
          <w:szCs w:val="24"/>
        </w:rPr>
        <w:t xml:space="preserve">section </w:t>
      </w:r>
      <w:r w:rsidRPr="00A05055">
        <w:rPr>
          <w:rFonts w:asciiTheme="minorHAnsi" w:hAnsiTheme="minorHAnsi" w:cstheme="minorHAnsi"/>
          <w:sz w:val="24"/>
          <w:szCs w:val="24"/>
        </w:rPr>
        <w:t>11B (</w:t>
      </w:r>
      <w:r>
        <w:rPr>
          <w:rFonts w:asciiTheme="minorHAnsi" w:hAnsiTheme="minorHAnsi" w:cstheme="minorHAnsi"/>
          <w:sz w:val="24"/>
          <w:szCs w:val="24"/>
        </w:rPr>
        <w:t>4</w:t>
      </w:r>
      <w:r w:rsidRPr="00A05055">
        <w:rPr>
          <w:rFonts w:asciiTheme="minorHAnsi" w:hAnsiTheme="minorHAnsi" w:cstheme="minorHAnsi"/>
          <w:sz w:val="24"/>
          <w:szCs w:val="24"/>
        </w:rPr>
        <w:t>) to the Act. It relates to the report that the Minister is required to prepare, within 6 months after the end of the financial year, under the existing section 11A. The existing section 11B (3) requires reporting entities to provide certain information to the Minister, to enable preparation of the report.</w:t>
      </w:r>
    </w:p>
    <w:p w14:paraId="5289EF22" w14:textId="765F3383"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The new section 11B (</w:t>
      </w:r>
      <w:r>
        <w:rPr>
          <w:rFonts w:asciiTheme="minorHAnsi" w:hAnsiTheme="minorHAnsi" w:cstheme="minorHAnsi"/>
          <w:sz w:val="24"/>
          <w:szCs w:val="24"/>
        </w:rPr>
        <w:t>4</w:t>
      </w:r>
      <w:r w:rsidRPr="00A05055">
        <w:rPr>
          <w:rFonts w:asciiTheme="minorHAnsi" w:hAnsiTheme="minorHAnsi" w:cstheme="minorHAnsi"/>
          <w:sz w:val="24"/>
          <w:szCs w:val="24"/>
        </w:rPr>
        <w:t>) provides that if requested in writing, a reporting entity must give the Minister any other information the Minister reasonably requires to ensure the accuracy of the information provided under section 11B (3).</w:t>
      </w:r>
      <w:r>
        <w:rPr>
          <w:rFonts w:asciiTheme="minorHAnsi" w:hAnsiTheme="minorHAnsi" w:cstheme="minorHAnsi"/>
          <w:sz w:val="24"/>
          <w:szCs w:val="24"/>
        </w:rPr>
        <w:t xml:space="preserve"> The additional information must be provided within 10 working days after a request has been made.</w:t>
      </w:r>
    </w:p>
    <w:p w14:paraId="10A7C93E"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Examples of other information that may be required include:</w:t>
      </w:r>
    </w:p>
    <w:p w14:paraId="0FE00A7F" w14:textId="77777777" w:rsidR="000A7C1F" w:rsidRPr="00A05055" w:rsidRDefault="000A7C1F" w:rsidP="000A7C1F">
      <w:pPr>
        <w:pStyle w:val="ListParagraph"/>
        <w:numPr>
          <w:ilvl w:val="0"/>
          <w:numId w:val="4"/>
        </w:numPr>
        <w:autoSpaceDE w:val="0"/>
        <w:autoSpaceDN w:val="0"/>
        <w:adjustRightInd w:val="0"/>
        <w:rPr>
          <w:rFonts w:asciiTheme="minorHAnsi" w:hAnsiTheme="minorHAnsi" w:cstheme="minorHAnsi"/>
          <w:sz w:val="24"/>
          <w:szCs w:val="24"/>
        </w:rPr>
      </w:pPr>
      <w:r w:rsidRPr="00A05055">
        <w:rPr>
          <w:rFonts w:asciiTheme="minorHAnsi" w:hAnsiTheme="minorHAnsi" w:cstheme="minorHAnsi"/>
          <w:sz w:val="24"/>
          <w:szCs w:val="24"/>
        </w:rPr>
        <w:t xml:space="preserve">Information about how required information is recorded </w:t>
      </w:r>
    </w:p>
    <w:p w14:paraId="20FF5BBE" w14:textId="77777777" w:rsidR="000A7C1F" w:rsidRPr="00A05055" w:rsidRDefault="000A7C1F" w:rsidP="000A7C1F">
      <w:pPr>
        <w:pStyle w:val="ListParagraph"/>
        <w:numPr>
          <w:ilvl w:val="0"/>
          <w:numId w:val="4"/>
        </w:numPr>
        <w:autoSpaceDE w:val="0"/>
        <w:autoSpaceDN w:val="0"/>
        <w:adjustRightInd w:val="0"/>
        <w:rPr>
          <w:rFonts w:asciiTheme="minorHAnsi" w:hAnsiTheme="minorHAnsi" w:cstheme="minorHAnsi"/>
          <w:sz w:val="24"/>
          <w:szCs w:val="24"/>
        </w:rPr>
      </w:pPr>
      <w:r w:rsidRPr="00A05055">
        <w:rPr>
          <w:rFonts w:asciiTheme="minorHAnsi" w:hAnsiTheme="minorHAnsi" w:cstheme="minorHAnsi"/>
          <w:sz w:val="24"/>
          <w:szCs w:val="24"/>
        </w:rPr>
        <w:t xml:space="preserve">Information about how the reporting entity ensures the accuracy of the required information </w:t>
      </w:r>
    </w:p>
    <w:p w14:paraId="7F6F44F0" w14:textId="21C576F5" w:rsidR="000A7C1F" w:rsidRPr="00A05055" w:rsidRDefault="000A7C1F" w:rsidP="000A7C1F">
      <w:pPr>
        <w:pStyle w:val="ListParagraph"/>
        <w:numPr>
          <w:ilvl w:val="0"/>
          <w:numId w:val="4"/>
        </w:numPr>
        <w:autoSpaceDE w:val="0"/>
        <w:autoSpaceDN w:val="0"/>
        <w:adjustRightInd w:val="0"/>
        <w:spacing w:after="200"/>
        <w:ind w:left="714" w:hanging="357"/>
        <w:rPr>
          <w:rFonts w:asciiTheme="minorHAnsi" w:hAnsiTheme="minorHAnsi" w:cstheme="minorHAnsi"/>
          <w:sz w:val="24"/>
          <w:szCs w:val="24"/>
        </w:rPr>
      </w:pPr>
      <w:r w:rsidRPr="00A05055">
        <w:rPr>
          <w:rFonts w:asciiTheme="minorHAnsi" w:hAnsiTheme="minorHAnsi" w:cstheme="minorHAnsi"/>
          <w:sz w:val="24"/>
          <w:szCs w:val="24"/>
        </w:rPr>
        <w:t>Information about the experience and training of staff responsible for recording and reporting on the required information</w:t>
      </w:r>
    </w:p>
    <w:p w14:paraId="6AB49EE0" w14:textId="77777777" w:rsidR="000A7C1F" w:rsidRDefault="000A7C1F" w:rsidP="000A7C1F">
      <w:pPr>
        <w:autoSpaceDE w:val="0"/>
        <w:autoSpaceDN w:val="0"/>
        <w:adjustRightInd w:val="0"/>
        <w:rPr>
          <w:rFonts w:asciiTheme="minorHAnsi" w:hAnsiTheme="minorHAnsi" w:cstheme="minorHAnsi"/>
          <w:sz w:val="24"/>
          <w:szCs w:val="24"/>
        </w:rPr>
      </w:pPr>
      <w:r w:rsidRPr="00A05055">
        <w:rPr>
          <w:rFonts w:asciiTheme="minorHAnsi" w:hAnsiTheme="minorHAnsi" w:cstheme="minorHAnsi"/>
          <w:sz w:val="24"/>
          <w:szCs w:val="24"/>
        </w:rPr>
        <w:t>The purpose of this requirement is to provide assurance that the information provided by the reporting entity is accurate and reliable.</w:t>
      </w:r>
    </w:p>
    <w:p w14:paraId="2E3FE299" w14:textId="729DAFA3" w:rsidR="000A7C1F" w:rsidRDefault="000A7C1F" w:rsidP="000A7C1F">
      <w:pPr>
        <w:rPr>
          <w:rFonts w:asciiTheme="minorHAnsi" w:hAnsiTheme="minorHAnsi" w:cstheme="minorHAnsi"/>
          <w:sz w:val="24"/>
          <w:szCs w:val="24"/>
        </w:rPr>
      </w:pPr>
      <w:r>
        <w:rPr>
          <w:rFonts w:asciiTheme="minorHAnsi" w:hAnsiTheme="minorHAnsi" w:cstheme="minorHAnsi"/>
          <w:sz w:val="24"/>
          <w:szCs w:val="24"/>
        </w:rPr>
        <w:t xml:space="preserve">The existing section 11B provides that is an offence for a person who is a reporting entity to engage in conduct, the result of which is that the person fails to give the Minister required information. References to both ‘conduct’ and ‘result’ in this section create uncertainty about </w:t>
      </w:r>
      <w:r w:rsidR="000A1330">
        <w:rPr>
          <w:rFonts w:asciiTheme="minorHAnsi" w:hAnsiTheme="minorHAnsi" w:cstheme="minorHAnsi"/>
          <w:sz w:val="24"/>
          <w:szCs w:val="24"/>
        </w:rPr>
        <w:t>what</w:t>
      </w:r>
      <w:r w:rsidR="00D75ED6">
        <w:rPr>
          <w:rFonts w:asciiTheme="minorHAnsi" w:hAnsiTheme="minorHAnsi" w:cstheme="minorHAnsi"/>
          <w:sz w:val="24"/>
          <w:szCs w:val="24"/>
        </w:rPr>
        <w:t xml:space="preserve"> </w:t>
      </w:r>
      <w:r w:rsidR="007109AC">
        <w:rPr>
          <w:rFonts w:asciiTheme="minorHAnsi" w:hAnsiTheme="minorHAnsi" w:cstheme="minorHAnsi"/>
          <w:sz w:val="24"/>
          <w:szCs w:val="24"/>
        </w:rPr>
        <w:t>action by the person may</w:t>
      </w:r>
      <w:r w:rsidR="00D75ED6">
        <w:rPr>
          <w:rFonts w:asciiTheme="minorHAnsi" w:hAnsiTheme="minorHAnsi" w:cstheme="minorHAnsi"/>
          <w:sz w:val="24"/>
          <w:szCs w:val="24"/>
        </w:rPr>
        <w:t xml:space="preserve"> constitute an offence</w:t>
      </w:r>
      <w:r>
        <w:rPr>
          <w:rFonts w:asciiTheme="minorHAnsi" w:hAnsiTheme="minorHAnsi" w:cstheme="minorHAnsi"/>
          <w:sz w:val="24"/>
          <w:szCs w:val="24"/>
        </w:rPr>
        <w:t>.</w:t>
      </w:r>
    </w:p>
    <w:p w14:paraId="5A5415C6" w14:textId="77777777" w:rsidR="00B21C32" w:rsidRDefault="00B21C3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3E4DEA6" w14:textId="1A3ABC3C" w:rsidR="000A7C1F" w:rsidRDefault="000A7C1F" w:rsidP="000A7C1F">
      <w:pPr>
        <w:rPr>
          <w:rFonts w:asciiTheme="minorHAnsi" w:hAnsiTheme="minorHAnsi" w:cstheme="minorHAnsi"/>
          <w:sz w:val="24"/>
          <w:szCs w:val="24"/>
        </w:rPr>
      </w:pPr>
      <w:r>
        <w:rPr>
          <w:rFonts w:asciiTheme="minorHAnsi" w:hAnsiTheme="minorHAnsi" w:cstheme="minorHAnsi"/>
          <w:sz w:val="24"/>
          <w:szCs w:val="24"/>
        </w:rPr>
        <w:lastRenderedPageBreak/>
        <w:t>New section 11B provides for two offences; section 11B</w:t>
      </w:r>
      <w:r w:rsidR="003C3FA6">
        <w:rPr>
          <w:rFonts w:asciiTheme="minorHAnsi" w:hAnsiTheme="minorHAnsi" w:cstheme="minorHAnsi"/>
          <w:sz w:val="24"/>
          <w:szCs w:val="24"/>
        </w:rPr>
        <w:t xml:space="preserve"> </w:t>
      </w:r>
      <w:r>
        <w:rPr>
          <w:rFonts w:asciiTheme="minorHAnsi" w:hAnsiTheme="minorHAnsi" w:cstheme="minorHAnsi"/>
          <w:sz w:val="24"/>
          <w:szCs w:val="24"/>
        </w:rPr>
        <w:t>(5) provides it is an offence for a reporting entity to fail to provide information, and section 11B</w:t>
      </w:r>
      <w:r w:rsidR="003C3FA6">
        <w:rPr>
          <w:rFonts w:asciiTheme="minorHAnsi" w:hAnsiTheme="minorHAnsi" w:cstheme="minorHAnsi"/>
          <w:sz w:val="24"/>
          <w:szCs w:val="24"/>
        </w:rPr>
        <w:t xml:space="preserve"> </w:t>
      </w:r>
      <w:r>
        <w:rPr>
          <w:rFonts w:asciiTheme="minorHAnsi" w:hAnsiTheme="minorHAnsi" w:cstheme="minorHAnsi"/>
          <w:sz w:val="24"/>
          <w:szCs w:val="24"/>
        </w:rPr>
        <w:t xml:space="preserve">(6) provides it is an offence for the reporting entity to knowingly or recklessly provide information which is false or misleading. </w:t>
      </w:r>
    </w:p>
    <w:p w14:paraId="5E3E62B1" w14:textId="496C93A9" w:rsidR="000A7C1F" w:rsidRPr="00A05055" w:rsidRDefault="000A7C1F" w:rsidP="000A7C1F">
      <w:pPr>
        <w:rPr>
          <w:rFonts w:asciiTheme="minorHAnsi" w:hAnsiTheme="minorHAnsi" w:cstheme="minorHAnsi"/>
          <w:sz w:val="24"/>
          <w:szCs w:val="24"/>
        </w:rPr>
      </w:pPr>
      <w:r>
        <w:rPr>
          <w:rFonts w:asciiTheme="minorHAnsi" w:hAnsiTheme="minorHAnsi" w:cstheme="minorHAnsi"/>
          <w:sz w:val="24"/>
          <w:szCs w:val="24"/>
        </w:rPr>
        <w:t xml:space="preserve">There has been no change to the maximum penalty under section 11B of </w:t>
      </w:r>
      <w:r w:rsidRPr="00A05055">
        <w:rPr>
          <w:rFonts w:asciiTheme="minorHAnsi" w:hAnsiTheme="minorHAnsi" w:cstheme="minorHAnsi"/>
          <w:sz w:val="24"/>
          <w:szCs w:val="24"/>
        </w:rPr>
        <w:t>30 penalty units</w:t>
      </w:r>
      <w:r>
        <w:rPr>
          <w:rFonts w:asciiTheme="minorHAnsi" w:hAnsiTheme="minorHAnsi" w:cstheme="minorHAnsi"/>
          <w:sz w:val="24"/>
          <w:szCs w:val="24"/>
        </w:rPr>
        <w:t>.</w:t>
      </w:r>
    </w:p>
    <w:p w14:paraId="1A5CF8B8"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The purpose of these offences is to provide a strong indication of the importance of reporting entities providing accurate and reliable information.</w:t>
      </w:r>
    </w:p>
    <w:p w14:paraId="73F3AA97" w14:textId="13288B12" w:rsidR="00D75ED6" w:rsidRDefault="004E146F" w:rsidP="00D75ED6">
      <w:pPr>
        <w:pStyle w:val="Heading3"/>
        <w:rPr>
          <w:rFonts w:asciiTheme="minorHAnsi" w:hAnsiTheme="minorHAnsi" w:cstheme="minorHAnsi"/>
        </w:rPr>
      </w:pPr>
      <w:r w:rsidRPr="00A05055">
        <w:rPr>
          <w:rFonts w:asciiTheme="minorHAnsi" w:hAnsiTheme="minorHAnsi" w:cstheme="minorHAnsi"/>
        </w:rPr>
        <w:t>Clause 5</w:t>
      </w:r>
      <w:r w:rsidRPr="00A05055">
        <w:rPr>
          <w:rFonts w:asciiTheme="minorHAnsi" w:hAnsiTheme="minorHAnsi" w:cstheme="minorHAnsi"/>
        </w:rPr>
        <w:tab/>
      </w:r>
      <w:r w:rsidR="00D75ED6">
        <w:rPr>
          <w:rFonts w:asciiTheme="minorHAnsi" w:hAnsiTheme="minorHAnsi" w:cstheme="minorHAnsi"/>
        </w:rPr>
        <w:t>Audit of information given to Minister</w:t>
      </w:r>
    </w:p>
    <w:p w14:paraId="206F3415" w14:textId="3CC9F25A" w:rsidR="00D75ED6" w:rsidRDefault="00D75ED6" w:rsidP="00D75ED6">
      <w:pPr>
        <w:tabs>
          <w:tab w:val="left" w:pos="1470"/>
        </w:tabs>
        <w:rPr>
          <w:b/>
          <w:bCs/>
          <w:sz w:val="24"/>
          <w:szCs w:val="24"/>
        </w:rPr>
      </w:pPr>
      <w:r>
        <w:tab/>
      </w:r>
      <w:r w:rsidRPr="007109AC">
        <w:rPr>
          <w:b/>
          <w:bCs/>
          <w:sz w:val="24"/>
          <w:szCs w:val="24"/>
        </w:rPr>
        <w:t>Section 11C</w:t>
      </w:r>
      <w:r w:rsidR="003C3FA6">
        <w:rPr>
          <w:b/>
          <w:bCs/>
          <w:sz w:val="24"/>
          <w:szCs w:val="24"/>
        </w:rPr>
        <w:t xml:space="preserve"> </w:t>
      </w:r>
      <w:r w:rsidRPr="007109AC">
        <w:rPr>
          <w:b/>
          <w:bCs/>
          <w:sz w:val="24"/>
          <w:szCs w:val="24"/>
        </w:rPr>
        <w:t>(1)</w:t>
      </w:r>
    </w:p>
    <w:p w14:paraId="725E9490" w14:textId="77777777" w:rsidR="007109AC" w:rsidRPr="00A05055" w:rsidRDefault="007109AC" w:rsidP="007109AC">
      <w:pPr>
        <w:rPr>
          <w:rFonts w:asciiTheme="minorHAnsi" w:hAnsiTheme="minorHAnsi" w:cstheme="minorHAnsi"/>
          <w:sz w:val="24"/>
          <w:szCs w:val="24"/>
        </w:rPr>
      </w:pPr>
      <w:r w:rsidRPr="00A05055">
        <w:rPr>
          <w:rFonts w:asciiTheme="minorHAnsi" w:hAnsiTheme="minorHAnsi" w:cstheme="minorHAnsi"/>
          <w:sz w:val="24"/>
          <w:szCs w:val="24"/>
        </w:rPr>
        <w:t>This clause substitutes a new section 11C (1). The existing sub-section 11C (1) provides that the Minister may require a reporting entity to undertake an audit of the information provided under section 11B, if the Minister believes on reasonable grounds the information is untrue, misleading or incomplete.</w:t>
      </w:r>
    </w:p>
    <w:p w14:paraId="317646D5" w14:textId="77777777" w:rsidR="007109AC" w:rsidRPr="007109AC" w:rsidRDefault="007109AC" w:rsidP="007109AC">
      <w:pPr>
        <w:rPr>
          <w:rFonts w:asciiTheme="minorHAnsi" w:hAnsiTheme="minorHAnsi" w:cstheme="minorHAnsi"/>
          <w:sz w:val="24"/>
          <w:szCs w:val="24"/>
        </w:rPr>
      </w:pPr>
      <w:r w:rsidRPr="00A05055">
        <w:rPr>
          <w:rFonts w:asciiTheme="minorHAnsi" w:hAnsiTheme="minorHAnsi" w:cstheme="minorHAnsi"/>
          <w:sz w:val="24"/>
          <w:szCs w:val="24"/>
        </w:rPr>
        <w:t xml:space="preserve">The new sub-section 11C (1) provides that the Minister may request this audit if they believe on reasonable grounds the information is false, misleading or incomplete, or there is </w:t>
      </w:r>
      <w:r w:rsidRPr="007109AC">
        <w:rPr>
          <w:rFonts w:asciiTheme="minorHAnsi" w:hAnsiTheme="minorHAnsi" w:cstheme="minorHAnsi"/>
          <w:sz w:val="24"/>
          <w:szCs w:val="24"/>
        </w:rPr>
        <w:t>a risk the information is false, misleading or incomplete.</w:t>
      </w:r>
    </w:p>
    <w:p w14:paraId="21883039" w14:textId="4650996D" w:rsidR="007109AC" w:rsidRDefault="007109AC" w:rsidP="007109AC">
      <w:r w:rsidRPr="007109AC">
        <w:rPr>
          <w:rFonts w:asciiTheme="minorHAnsi" w:hAnsiTheme="minorHAnsi" w:cstheme="minorHAnsi"/>
          <w:sz w:val="24"/>
          <w:szCs w:val="24"/>
        </w:rPr>
        <w:t>The purpose of this amendment is to address circumstances in which the information may have been received, but there are concerns about the likely accuracy of the information.</w:t>
      </w:r>
      <w:r>
        <w:rPr>
          <w:rFonts w:asciiTheme="minorHAnsi" w:hAnsiTheme="minorHAnsi" w:cstheme="minorHAnsi"/>
          <w:sz w:val="24"/>
          <w:szCs w:val="24"/>
        </w:rPr>
        <w:t xml:space="preserve"> </w:t>
      </w:r>
    </w:p>
    <w:p w14:paraId="00AEC231" w14:textId="6CF1E512" w:rsidR="007109AC" w:rsidRDefault="007109AC" w:rsidP="007109AC">
      <w:pPr>
        <w:pStyle w:val="Heading3"/>
        <w:rPr>
          <w:rFonts w:asciiTheme="minorHAnsi" w:hAnsiTheme="minorHAnsi" w:cstheme="minorHAnsi"/>
          <w:bCs/>
        </w:rPr>
      </w:pPr>
      <w:r w:rsidRPr="00A05055">
        <w:rPr>
          <w:rFonts w:asciiTheme="minorHAnsi" w:hAnsiTheme="minorHAnsi" w:cstheme="minorHAnsi"/>
        </w:rPr>
        <w:t xml:space="preserve">Clause </w:t>
      </w:r>
      <w:r>
        <w:rPr>
          <w:rFonts w:asciiTheme="minorHAnsi" w:hAnsiTheme="minorHAnsi" w:cstheme="minorHAnsi"/>
        </w:rPr>
        <w:t>6</w:t>
      </w:r>
      <w:r w:rsidRPr="00A05055">
        <w:rPr>
          <w:rFonts w:asciiTheme="minorHAnsi" w:hAnsiTheme="minorHAnsi" w:cstheme="minorHAnsi"/>
        </w:rPr>
        <w:tab/>
      </w:r>
      <w:r w:rsidRPr="00BE5F8D">
        <w:rPr>
          <w:rFonts w:asciiTheme="minorHAnsi" w:hAnsiTheme="minorHAnsi" w:cstheme="minorHAnsi"/>
          <w:bCs/>
        </w:rPr>
        <w:t>Section 11C (</w:t>
      </w:r>
      <w:r>
        <w:rPr>
          <w:rFonts w:asciiTheme="minorHAnsi" w:hAnsiTheme="minorHAnsi" w:cstheme="minorHAnsi"/>
          <w:bCs/>
        </w:rPr>
        <w:t>2) (aa)</w:t>
      </w:r>
    </w:p>
    <w:p w14:paraId="4B5C9037" w14:textId="2A6341F6" w:rsidR="007109AC" w:rsidRPr="007109AC" w:rsidRDefault="007109AC" w:rsidP="007109AC">
      <w:pPr>
        <w:rPr>
          <w:sz w:val="24"/>
          <w:szCs w:val="24"/>
        </w:rPr>
      </w:pPr>
      <w:r w:rsidRPr="007109AC">
        <w:rPr>
          <w:sz w:val="24"/>
          <w:szCs w:val="24"/>
        </w:rPr>
        <w:t>This clause introduces a requirement that an audit requested by the Minister under section 11C</w:t>
      </w:r>
      <w:r w:rsidR="003C3FA6">
        <w:rPr>
          <w:sz w:val="24"/>
          <w:szCs w:val="24"/>
        </w:rPr>
        <w:t xml:space="preserve"> </w:t>
      </w:r>
      <w:r w:rsidRPr="007109AC">
        <w:rPr>
          <w:sz w:val="24"/>
          <w:szCs w:val="24"/>
        </w:rPr>
        <w:t>(1) must be completed within 3 months after it is requested.</w:t>
      </w:r>
    </w:p>
    <w:p w14:paraId="39157396" w14:textId="3EE5062B" w:rsidR="007109AC" w:rsidRPr="00A05055" w:rsidRDefault="007109AC" w:rsidP="007109AC">
      <w:pPr>
        <w:pStyle w:val="Heading3"/>
        <w:rPr>
          <w:rFonts w:asciiTheme="minorHAnsi" w:hAnsiTheme="minorHAnsi" w:cstheme="minorHAnsi"/>
        </w:rPr>
      </w:pPr>
      <w:r w:rsidRPr="00A05055">
        <w:rPr>
          <w:rFonts w:asciiTheme="minorHAnsi" w:hAnsiTheme="minorHAnsi" w:cstheme="minorHAnsi"/>
        </w:rPr>
        <w:t xml:space="preserve">Clause </w:t>
      </w:r>
      <w:r>
        <w:rPr>
          <w:rFonts w:asciiTheme="minorHAnsi" w:hAnsiTheme="minorHAnsi" w:cstheme="minorHAnsi"/>
        </w:rPr>
        <w:t>7</w:t>
      </w:r>
      <w:r w:rsidRPr="00A05055">
        <w:rPr>
          <w:rFonts w:asciiTheme="minorHAnsi" w:hAnsiTheme="minorHAnsi" w:cstheme="minorHAnsi"/>
        </w:rPr>
        <w:tab/>
      </w:r>
      <w:r>
        <w:rPr>
          <w:rFonts w:asciiTheme="minorHAnsi" w:hAnsiTheme="minorHAnsi" w:cstheme="minorHAnsi"/>
        </w:rPr>
        <w:t>S</w:t>
      </w:r>
      <w:r w:rsidRPr="00A05055">
        <w:rPr>
          <w:rFonts w:asciiTheme="minorHAnsi" w:hAnsiTheme="minorHAnsi" w:cstheme="minorHAnsi"/>
        </w:rPr>
        <w:t>ection 11C (4)</w:t>
      </w:r>
    </w:p>
    <w:p w14:paraId="07000C20" w14:textId="58467363" w:rsidR="007109AC" w:rsidRDefault="007109AC" w:rsidP="007109AC">
      <w:pPr>
        <w:rPr>
          <w:rFonts w:asciiTheme="minorHAnsi" w:hAnsiTheme="minorHAnsi" w:cstheme="minorHAnsi"/>
          <w:sz w:val="24"/>
          <w:szCs w:val="24"/>
        </w:rPr>
      </w:pPr>
      <w:r w:rsidRPr="00A05055">
        <w:rPr>
          <w:rFonts w:asciiTheme="minorHAnsi" w:hAnsiTheme="minorHAnsi" w:cstheme="minorHAnsi"/>
          <w:sz w:val="24"/>
          <w:szCs w:val="24"/>
        </w:rPr>
        <w:t xml:space="preserve">This clause substitutes a new </w:t>
      </w:r>
      <w:r>
        <w:rPr>
          <w:rFonts w:asciiTheme="minorHAnsi" w:hAnsiTheme="minorHAnsi" w:cstheme="minorHAnsi"/>
          <w:sz w:val="24"/>
          <w:szCs w:val="24"/>
        </w:rPr>
        <w:t>section</w:t>
      </w:r>
      <w:r w:rsidRPr="00A05055">
        <w:rPr>
          <w:rFonts w:asciiTheme="minorHAnsi" w:hAnsiTheme="minorHAnsi" w:cstheme="minorHAnsi"/>
          <w:sz w:val="24"/>
          <w:szCs w:val="24"/>
        </w:rPr>
        <w:t xml:space="preserve"> 11C (4). The existing sub-section 11C (4) provides that a person commits an offence if the </w:t>
      </w:r>
      <w:r>
        <w:rPr>
          <w:rFonts w:asciiTheme="minorHAnsi" w:hAnsiTheme="minorHAnsi" w:cstheme="minorHAnsi"/>
          <w:sz w:val="24"/>
          <w:szCs w:val="24"/>
        </w:rPr>
        <w:t xml:space="preserve">person </w:t>
      </w:r>
      <w:r w:rsidRPr="00A05055">
        <w:rPr>
          <w:rFonts w:asciiTheme="minorHAnsi" w:hAnsiTheme="minorHAnsi" w:cstheme="minorHAnsi"/>
          <w:sz w:val="24"/>
          <w:szCs w:val="24"/>
        </w:rPr>
        <w:t xml:space="preserve">engages in conduct, as result of which they fail to </w:t>
      </w:r>
      <w:r>
        <w:rPr>
          <w:rFonts w:asciiTheme="minorHAnsi" w:hAnsiTheme="minorHAnsi" w:cstheme="minorHAnsi"/>
          <w:sz w:val="24"/>
          <w:szCs w:val="24"/>
        </w:rPr>
        <w:t>undertake</w:t>
      </w:r>
      <w:r w:rsidRPr="00A05055">
        <w:rPr>
          <w:rFonts w:asciiTheme="minorHAnsi" w:hAnsiTheme="minorHAnsi" w:cstheme="minorHAnsi"/>
          <w:sz w:val="24"/>
          <w:szCs w:val="24"/>
        </w:rPr>
        <w:t xml:space="preserve"> the audit.</w:t>
      </w:r>
      <w:r>
        <w:rPr>
          <w:rFonts w:asciiTheme="minorHAnsi" w:hAnsiTheme="minorHAnsi" w:cstheme="minorHAnsi"/>
          <w:sz w:val="24"/>
          <w:szCs w:val="24"/>
        </w:rPr>
        <w:t xml:space="preserve"> References to both ‘conduct’ and ‘result’ in this section create uncertainty about what action by the person may constitute an offence.</w:t>
      </w:r>
    </w:p>
    <w:p w14:paraId="27DDD7CE" w14:textId="77777777" w:rsidR="007109AC" w:rsidRDefault="007109AC" w:rsidP="007109AC">
      <w:pPr>
        <w:rPr>
          <w:rFonts w:asciiTheme="minorHAnsi" w:hAnsiTheme="minorHAnsi" w:cstheme="minorHAnsi"/>
          <w:sz w:val="24"/>
          <w:szCs w:val="24"/>
        </w:rPr>
      </w:pPr>
      <w:r w:rsidRPr="00A05055">
        <w:rPr>
          <w:rFonts w:asciiTheme="minorHAnsi" w:hAnsiTheme="minorHAnsi" w:cstheme="minorHAnsi"/>
          <w:sz w:val="24"/>
          <w:szCs w:val="24"/>
        </w:rPr>
        <w:t xml:space="preserve">The new sub-section 11C (4) </w:t>
      </w:r>
      <w:r>
        <w:rPr>
          <w:rFonts w:asciiTheme="minorHAnsi" w:hAnsiTheme="minorHAnsi" w:cstheme="minorHAnsi"/>
          <w:sz w:val="24"/>
          <w:szCs w:val="24"/>
        </w:rPr>
        <w:t>clarifies</w:t>
      </w:r>
      <w:r w:rsidRPr="00A05055">
        <w:rPr>
          <w:rFonts w:asciiTheme="minorHAnsi" w:hAnsiTheme="minorHAnsi" w:cstheme="minorHAnsi"/>
          <w:sz w:val="24"/>
          <w:szCs w:val="24"/>
        </w:rPr>
        <w:t xml:space="preserve"> that a reporting entity commits an offence if the Minister requires it to undertake an audit under subsection 11C (1) and the entity fails to undertake the audit</w:t>
      </w:r>
      <w:r>
        <w:rPr>
          <w:rFonts w:asciiTheme="minorHAnsi" w:hAnsiTheme="minorHAnsi" w:cstheme="minorHAnsi"/>
          <w:sz w:val="24"/>
          <w:szCs w:val="24"/>
        </w:rPr>
        <w:t xml:space="preserve">. </w:t>
      </w:r>
    </w:p>
    <w:p w14:paraId="04ACCBD0" w14:textId="77777777" w:rsidR="007109AC" w:rsidRPr="00A05055" w:rsidRDefault="007109AC" w:rsidP="007109AC">
      <w:pPr>
        <w:rPr>
          <w:rFonts w:asciiTheme="minorHAnsi" w:hAnsiTheme="minorHAnsi" w:cstheme="minorHAnsi"/>
          <w:sz w:val="24"/>
          <w:szCs w:val="24"/>
        </w:rPr>
      </w:pPr>
      <w:r w:rsidRPr="00A05055">
        <w:rPr>
          <w:rFonts w:asciiTheme="minorHAnsi" w:hAnsiTheme="minorHAnsi" w:cstheme="minorHAnsi"/>
          <w:sz w:val="24"/>
          <w:szCs w:val="24"/>
        </w:rPr>
        <w:t xml:space="preserve">A maximum penalty of 400 penalty units is set for this offence, which is consistent with the existing </w:t>
      </w:r>
      <w:r>
        <w:rPr>
          <w:rFonts w:asciiTheme="minorHAnsi" w:hAnsiTheme="minorHAnsi" w:cstheme="minorHAnsi"/>
          <w:sz w:val="24"/>
          <w:szCs w:val="24"/>
        </w:rPr>
        <w:t>section</w:t>
      </w:r>
      <w:r w:rsidRPr="00A05055">
        <w:rPr>
          <w:rFonts w:asciiTheme="minorHAnsi" w:hAnsiTheme="minorHAnsi" w:cstheme="minorHAnsi"/>
          <w:sz w:val="24"/>
          <w:szCs w:val="24"/>
        </w:rPr>
        <w:t xml:space="preserve"> 11C (4).</w:t>
      </w:r>
    </w:p>
    <w:p w14:paraId="3D2C91B4" w14:textId="67463BBC" w:rsidR="004E146F" w:rsidRPr="00A05055" w:rsidRDefault="007109AC" w:rsidP="003C3FA6">
      <w:pPr>
        <w:keepNext/>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lastRenderedPageBreak/>
        <w:t>Clause 8</w:t>
      </w:r>
      <w:r w:rsidR="004E146F" w:rsidRPr="00A05055">
        <w:rPr>
          <w:rFonts w:asciiTheme="minorHAnsi" w:eastAsiaTheme="majorEastAsia" w:hAnsiTheme="minorHAnsi" w:cstheme="minorHAnsi"/>
          <w:b/>
          <w:sz w:val="24"/>
          <w:szCs w:val="24"/>
        </w:rPr>
        <w:tab/>
        <w:t xml:space="preserve">New </w:t>
      </w:r>
      <w:r>
        <w:rPr>
          <w:rFonts w:asciiTheme="minorHAnsi" w:eastAsiaTheme="majorEastAsia" w:hAnsiTheme="minorHAnsi" w:cstheme="minorHAnsi"/>
          <w:b/>
          <w:sz w:val="24"/>
          <w:szCs w:val="24"/>
        </w:rPr>
        <w:t>part 3B</w:t>
      </w:r>
    </w:p>
    <w:p w14:paraId="50BC8D67" w14:textId="566B9DBC"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This clause introduces a new Part </w:t>
      </w:r>
      <w:r w:rsidR="007109AC">
        <w:rPr>
          <w:rFonts w:asciiTheme="minorHAnsi" w:hAnsiTheme="minorHAnsi" w:cstheme="minorHAnsi"/>
          <w:sz w:val="24"/>
          <w:szCs w:val="24"/>
        </w:rPr>
        <w:t>3B</w:t>
      </w:r>
      <w:r w:rsidRPr="00A05055">
        <w:rPr>
          <w:rFonts w:asciiTheme="minorHAnsi" w:hAnsiTheme="minorHAnsi" w:cstheme="minorHAnsi"/>
          <w:sz w:val="24"/>
          <w:szCs w:val="24"/>
        </w:rPr>
        <w:t>, ‘Passing on reasonable administration costs’. This part enables an electricity distributor to pass on reasonable costs for administering the ACT Small and Medium-scale Feed-in Tariff Scheme.</w:t>
      </w:r>
    </w:p>
    <w:p w14:paraId="6C899BCE" w14:textId="77777777" w:rsidR="000A7C1F"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Section 11D enables an electricity distributor to pass on its Scheme administration costs to an eligible entity, up to the maximum amount. </w:t>
      </w:r>
      <w:r>
        <w:rPr>
          <w:rFonts w:asciiTheme="minorHAnsi" w:hAnsiTheme="minorHAnsi" w:cstheme="minorHAnsi"/>
          <w:sz w:val="24"/>
          <w:szCs w:val="24"/>
        </w:rPr>
        <w:t>‘Administration costs’ are defined as costs reasonably incurred by the distributor in meeting its obligations under the Act and ‘maximum amount’ is that determined by the Minister under new section 11F.</w:t>
      </w:r>
    </w:p>
    <w:p w14:paraId="762B238C" w14:textId="47B9F2A0"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Section 11E </w:t>
      </w:r>
      <w:r>
        <w:rPr>
          <w:rFonts w:asciiTheme="minorHAnsi" w:hAnsiTheme="minorHAnsi" w:cstheme="minorHAnsi"/>
          <w:sz w:val="24"/>
          <w:szCs w:val="24"/>
        </w:rPr>
        <w:t>allows</w:t>
      </w:r>
      <w:r w:rsidRPr="00A05055">
        <w:rPr>
          <w:rFonts w:asciiTheme="minorHAnsi" w:hAnsiTheme="minorHAnsi" w:cstheme="minorHAnsi"/>
          <w:sz w:val="24"/>
          <w:szCs w:val="24"/>
        </w:rPr>
        <w:t xml:space="preserve"> an electricity distributor, in each financial year, to apply to the Minister for a determination of the maximum amount of administrative costs the distributor may pass on under section 11D. It specifies that the application must be made no later than 6 months </w:t>
      </w:r>
      <w:r>
        <w:rPr>
          <w:rFonts w:asciiTheme="minorHAnsi" w:hAnsiTheme="minorHAnsi" w:cstheme="minorHAnsi"/>
          <w:sz w:val="24"/>
          <w:szCs w:val="24"/>
        </w:rPr>
        <w:t>before</w:t>
      </w:r>
      <w:r w:rsidRPr="00A05055">
        <w:rPr>
          <w:rFonts w:asciiTheme="minorHAnsi" w:hAnsiTheme="minorHAnsi" w:cstheme="minorHAnsi"/>
          <w:sz w:val="24"/>
          <w:szCs w:val="24"/>
        </w:rPr>
        <w:t xml:space="preserve"> the beginning of the financial year</w:t>
      </w:r>
      <w:r>
        <w:rPr>
          <w:rFonts w:asciiTheme="minorHAnsi" w:hAnsiTheme="minorHAnsi" w:cstheme="minorHAnsi"/>
          <w:sz w:val="24"/>
          <w:szCs w:val="24"/>
        </w:rPr>
        <w:t xml:space="preserve"> for which the determination is sought</w:t>
      </w:r>
      <w:r w:rsidRPr="00A05055">
        <w:rPr>
          <w:rFonts w:asciiTheme="minorHAnsi" w:hAnsiTheme="minorHAnsi" w:cstheme="minorHAnsi"/>
          <w:sz w:val="24"/>
          <w:szCs w:val="24"/>
        </w:rPr>
        <w:t>,</w:t>
      </w:r>
      <w:r w:rsidR="007109AC">
        <w:rPr>
          <w:rFonts w:asciiTheme="minorHAnsi" w:hAnsiTheme="minorHAnsi" w:cstheme="minorHAnsi"/>
          <w:sz w:val="24"/>
          <w:szCs w:val="24"/>
        </w:rPr>
        <w:t xml:space="preserve"> </w:t>
      </w:r>
      <w:r w:rsidRPr="00A05055">
        <w:rPr>
          <w:rFonts w:asciiTheme="minorHAnsi" w:hAnsiTheme="minorHAnsi" w:cstheme="minorHAnsi"/>
          <w:sz w:val="24"/>
          <w:szCs w:val="24"/>
        </w:rPr>
        <w:t xml:space="preserve">and outlines the information that the application must include. </w:t>
      </w:r>
    </w:p>
    <w:p w14:paraId="6FFF997C"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This section also enables the Minister to require the distributor to provide further information within </w:t>
      </w:r>
      <w:r>
        <w:rPr>
          <w:rFonts w:asciiTheme="minorHAnsi" w:hAnsiTheme="minorHAnsi" w:cstheme="minorHAnsi"/>
          <w:sz w:val="24"/>
          <w:szCs w:val="24"/>
        </w:rPr>
        <w:t>1</w:t>
      </w:r>
      <w:r w:rsidRPr="00A05055">
        <w:rPr>
          <w:rFonts w:asciiTheme="minorHAnsi" w:hAnsiTheme="minorHAnsi" w:cstheme="minorHAnsi"/>
          <w:sz w:val="24"/>
          <w:szCs w:val="24"/>
        </w:rPr>
        <w:t xml:space="preserve"> month of receiving the application, if it does not contain sufficient information for the Minister to make a decision, and allows 10 working days for the distributor to provide this further information. </w:t>
      </w:r>
    </w:p>
    <w:p w14:paraId="3BB00BFB"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Section 11F provides that</w:t>
      </w:r>
      <w:r>
        <w:rPr>
          <w:rFonts w:asciiTheme="minorHAnsi" w:hAnsiTheme="minorHAnsi" w:cstheme="minorHAnsi"/>
          <w:sz w:val="24"/>
          <w:szCs w:val="24"/>
        </w:rPr>
        <w:t>, if the electricity distributor makes an application under section 11E,</w:t>
      </w:r>
      <w:r w:rsidRPr="00A05055">
        <w:rPr>
          <w:rFonts w:asciiTheme="minorHAnsi" w:hAnsiTheme="minorHAnsi" w:cstheme="minorHAnsi"/>
          <w:sz w:val="24"/>
          <w:szCs w:val="24"/>
        </w:rPr>
        <w:t xml:space="preserve"> the Minister must determine the maximum amount that an electricity distributor may pass on to an eligible entity, no later than 2 months after receiving an application. It provides that the Minister must consider the information the distributor has provided, as well </w:t>
      </w:r>
      <w:r>
        <w:rPr>
          <w:rFonts w:asciiTheme="minorHAnsi" w:hAnsiTheme="minorHAnsi" w:cstheme="minorHAnsi"/>
          <w:sz w:val="24"/>
          <w:szCs w:val="24"/>
        </w:rPr>
        <w:t xml:space="preserve">ensuring </w:t>
      </w:r>
      <w:r w:rsidRPr="00A05055">
        <w:rPr>
          <w:rFonts w:asciiTheme="minorHAnsi" w:hAnsiTheme="minorHAnsi" w:cstheme="minorHAnsi"/>
          <w:sz w:val="24"/>
          <w:szCs w:val="24"/>
        </w:rPr>
        <w:t xml:space="preserve">that neither eligible entities nor the electricity distributor are unreasonably financially disadvantaged by the determination. </w:t>
      </w:r>
    </w:p>
    <w:p w14:paraId="6BC85F3E"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This section further provides that the Minister may determine the reasonable costs to be the estimated </w:t>
      </w:r>
      <w:r>
        <w:rPr>
          <w:rFonts w:asciiTheme="minorHAnsi" w:hAnsiTheme="minorHAnsi" w:cstheme="minorHAnsi"/>
          <w:sz w:val="24"/>
          <w:szCs w:val="24"/>
        </w:rPr>
        <w:t xml:space="preserve">administration </w:t>
      </w:r>
      <w:r w:rsidRPr="00A05055">
        <w:rPr>
          <w:rFonts w:asciiTheme="minorHAnsi" w:hAnsiTheme="minorHAnsi" w:cstheme="minorHAnsi"/>
          <w:sz w:val="24"/>
          <w:szCs w:val="24"/>
        </w:rPr>
        <w:t xml:space="preserve">costs advised by the distributor in its application, or another amount. If the Minister does not make a determination within the required period, the maximum amount the distributor may pass on is taken to be the estimated </w:t>
      </w:r>
      <w:r>
        <w:rPr>
          <w:rFonts w:asciiTheme="minorHAnsi" w:hAnsiTheme="minorHAnsi" w:cstheme="minorHAnsi"/>
          <w:sz w:val="24"/>
          <w:szCs w:val="24"/>
        </w:rPr>
        <w:t>administration</w:t>
      </w:r>
      <w:r w:rsidRPr="00A05055">
        <w:rPr>
          <w:rFonts w:asciiTheme="minorHAnsi" w:hAnsiTheme="minorHAnsi" w:cstheme="minorHAnsi"/>
          <w:sz w:val="24"/>
          <w:szCs w:val="24"/>
        </w:rPr>
        <w:t xml:space="preserve"> costs advised in </w:t>
      </w:r>
      <w:r>
        <w:rPr>
          <w:rFonts w:asciiTheme="minorHAnsi" w:hAnsiTheme="minorHAnsi" w:cstheme="minorHAnsi"/>
          <w:sz w:val="24"/>
          <w:szCs w:val="24"/>
        </w:rPr>
        <w:t>the distributor’s</w:t>
      </w:r>
      <w:r w:rsidRPr="00A05055">
        <w:rPr>
          <w:rFonts w:asciiTheme="minorHAnsi" w:hAnsiTheme="minorHAnsi" w:cstheme="minorHAnsi"/>
          <w:sz w:val="24"/>
          <w:szCs w:val="24"/>
        </w:rPr>
        <w:t xml:space="preserve"> application.</w:t>
      </w:r>
    </w:p>
    <w:p w14:paraId="00FABD2C" w14:textId="77777777" w:rsidR="000A7C1F" w:rsidRPr="00A05055" w:rsidRDefault="000A7C1F" w:rsidP="000A7C1F">
      <w:pPr>
        <w:rPr>
          <w:rFonts w:asciiTheme="minorHAnsi" w:hAnsiTheme="minorHAnsi" w:cstheme="minorHAnsi"/>
          <w:sz w:val="24"/>
          <w:szCs w:val="24"/>
        </w:rPr>
      </w:pPr>
      <w:r w:rsidRPr="00A05055">
        <w:rPr>
          <w:rFonts w:asciiTheme="minorHAnsi" w:hAnsiTheme="minorHAnsi" w:cstheme="minorHAnsi"/>
          <w:sz w:val="24"/>
          <w:szCs w:val="24"/>
        </w:rPr>
        <w:t xml:space="preserve">A determination by the Minister under this section is a </w:t>
      </w:r>
      <w:r>
        <w:rPr>
          <w:rFonts w:asciiTheme="minorHAnsi" w:hAnsiTheme="minorHAnsi" w:cstheme="minorHAnsi"/>
          <w:sz w:val="24"/>
          <w:szCs w:val="24"/>
        </w:rPr>
        <w:t>disallowable</w:t>
      </w:r>
      <w:r w:rsidRPr="00A05055">
        <w:rPr>
          <w:rFonts w:asciiTheme="minorHAnsi" w:hAnsiTheme="minorHAnsi" w:cstheme="minorHAnsi"/>
          <w:sz w:val="24"/>
          <w:szCs w:val="24"/>
        </w:rPr>
        <w:t xml:space="preserve"> instrument</w:t>
      </w:r>
      <w:r>
        <w:rPr>
          <w:rFonts w:asciiTheme="minorHAnsi" w:hAnsiTheme="minorHAnsi" w:cstheme="minorHAnsi"/>
          <w:sz w:val="24"/>
          <w:szCs w:val="24"/>
        </w:rPr>
        <w:t xml:space="preserve">, subject to scrutiny by the Assembly. </w:t>
      </w:r>
    </w:p>
    <w:p w14:paraId="2ED09247" w14:textId="04633726" w:rsidR="004B69E0" w:rsidRPr="00A05055" w:rsidRDefault="004B69E0" w:rsidP="004B69E0">
      <w:pPr>
        <w:rPr>
          <w:rFonts w:asciiTheme="minorHAnsi" w:hAnsiTheme="minorHAnsi" w:cstheme="minorHAnsi"/>
          <w:sz w:val="24"/>
          <w:szCs w:val="24"/>
        </w:rPr>
      </w:pPr>
    </w:p>
    <w:sectPr w:rsidR="004B69E0" w:rsidRPr="00A05055" w:rsidSect="00F41A2F">
      <w:footerReference w:type="default" r:id="rId12"/>
      <w:footerReference w:type="first" r:id="rId13"/>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BEE9" w14:textId="77777777" w:rsidR="00533EF7" w:rsidRDefault="00533EF7">
      <w:pPr>
        <w:spacing w:after="0" w:line="240" w:lineRule="auto"/>
      </w:pPr>
      <w:r>
        <w:separator/>
      </w:r>
    </w:p>
  </w:endnote>
  <w:endnote w:type="continuationSeparator" w:id="0">
    <w:p w14:paraId="0F2572A0" w14:textId="77777777" w:rsidR="00533EF7" w:rsidRDefault="00533EF7">
      <w:pPr>
        <w:spacing w:after="0" w:line="240" w:lineRule="auto"/>
      </w:pPr>
      <w:r>
        <w:continuationSeparator/>
      </w:r>
    </w:p>
  </w:endnote>
  <w:endnote w:type="continuationNotice" w:id="1">
    <w:p w14:paraId="7F848E52" w14:textId="77777777" w:rsidR="00533EF7" w:rsidRDefault="00533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A205" w14:textId="204FD476" w:rsidR="00416B5A" w:rsidRPr="004578AF" w:rsidRDefault="004578AF" w:rsidP="004578AF">
    <w:pPr>
      <w:pStyle w:val="Footer"/>
      <w:jc w:val="center"/>
      <w:rPr>
        <w:rFonts w:cs="Arial"/>
        <w:sz w:val="14"/>
      </w:rPr>
    </w:pPr>
    <w:r w:rsidRPr="004578A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416B5A" w:rsidRDefault="00416B5A">
    <w:pPr>
      <w:pStyle w:val="Footer"/>
      <w:jc w:val="right"/>
    </w:pPr>
  </w:p>
  <w:p w14:paraId="1B19A0D3" w14:textId="77777777" w:rsidR="00416B5A" w:rsidRPr="00DC5912" w:rsidRDefault="00416B5A"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501C9A4A" w:rsidR="00416B5A" w:rsidRDefault="00416B5A"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7457DD2D" w14:textId="69CCEE72" w:rsidR="004578AF" w:rsidRPr="004578AF" w:rsidRDefault="004578AF" w:rsidP="004578AF">
    <w:pPr>
      <w:pStyle w:val="Footer"/>
      <w:spacing w:before="60" w:line="240" w:lineRule="auto"/>
      <w:jc w:val="center"/>
      <w:rPr>
        <w:rFonts w:cs="Arial"/>
        <w:sz w:val="14"/>
      </w:rPr>
    </w:pPr>
    <w:r w:rsidRPr="004578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31968969" w:rsidR="00416B5A" w:rsidRDefault="00416B5A">
    <w:pPr>
      <w:pStyle w:val="Footer"/>
      <w:jc w:val="right"/>
    </w:pPr>
    <w:r>
      <w:fldChar w:fldCharType="begin"/>
    </w:r>
    <w:r>
      <w:instrText xml:space="preserve"> PAGE   \* MERGEFORMAT </w:instrText>
    </w:r>
    <w:r>
      <w:fldChar w:fldCharType="separate"/>
    </w:r>
    <w:r>
      <w:rPr>
        <w:noProof/>
      </w:rPr>
      <w:t>1</w:t>
    </w:r>
    <w:r>
      <w:fldChar w:fldCharType="end"/>
    </w:r>
  </w:p>
  <w:p w14:paraId="7722531D" w14:textId="7ADB74CB" w:rsidR="004578AF" w:rsidRPr="004578AF" w:rsidRDefault="004578AF" w:rsidP="004578AF">
    <w:pPr>
      <w:pStyle w:val="Footer"/>
      <w:jc w:val="center"/>
      <w:rPr>
        <w:rFonts w:cs="Arial"/>
        <w:sz w:val="14"/>
      </w:rPr>
    </w:pPr>
    <w:r w:rsidRPr="004578A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09F7" w14:textId="77777777" w:rsidR="00533EF7" w:rsidRDefault="00533EF7">
      <w:pPr>
        <w:spacing w:after="0" w:line="240" w:lineRule="auto"/>
      </w:pPr>
      <w:r>
        <w:separator/>
      </w:r>
    </w:p>
  </w:footnote>
  <w:footnote w:type="continuationSeparator" w:id="0">
    <w:p w14:paraId="341A29CB" w14:textId="77777777" w:rsidR="00533EF7" w:rsidRDefault="00533EF7">
      <w:pPr>
        <w:spacing w:after="0" w:line="240" w:lineRule="auto"/>
      </w:pPr>
      <w:r>
        <w:continuationSeparator/>
      </w:r>
    </w:p>
  </w:footnote>
  <w:footnote w:type="continuationNotice" w:id="1">
    <w:p w14:paraId="35D18F33" w14:textId="77777777" w:rsidR="00533EF7" w:rsidRDefault="00533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79EB" w14:textId="3E57F49D" w:rsidR="00416B5A" w:rsidRPr="00105531" w:rsidRDefault="00416B5A" w:rsidP="00A05055">
    <w:pPr>
      <w:pStyle w:val="Header"/>
      <w:jc w:val="center"/>
      <w:rPr>
        <w:rFonts w:asciiTheme="minorHAnsi" w:hAnsiTheme="minorHAnsi" w:cstheme="minorHAnsi"/>
      </w:rPr>
    </w:pPr>
    <w:r w:rsidRPr="00105531">
      <w:rPr>
        <w:rFonts w:asciiTheme="minorHAnsi" w:hAnsiTheme="minorHAnsi" w:cstheme="minorHAnsi"/>
      </w:rPr>
      <w:t xml:space="preserve"> </w:t>
    </w:r>
  </w:p>
  <w:p w14:paraId="6573F41F" w14:textId="3F2ABA68" w:rsidR="00416B5A" w:rsidRDefault="00416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5C38E7"/>
    <w:multiLevelType w:val="hybridMultilevel"/>
    <w:tmpl w:val="2E2E0C58"/>
    <w:lvl w:ilvl="0" w:tplc="6CD80BCE">
      <w:start w:val="3"/>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D1E4531"/>
    <w:multiLevelType w:val="hybridMultilevel"/>
    <w:tmpl w:val="AF9EEFD6"/>
    <w:lvl w:ilvl="0" w:tplc="1110D78C">
      <w:start w:val="1"/>
      <w:numFmt w:val="decimal"/>
      <w:lvlText w:val="%1."/>
      <w:lvlJc w:val="left"/>
      <w:pPr>
        <w:ind w:left="720" w:hanging="360"/>
      </w:pPr>
      <w:rPr>
        <w:rFonts w:ascii="Arial" w:hAnsi="Arial" w:cs="Arial" w:hint="default"/>
        <w:b/>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24E93"/>
    <w:multiLevelType w:val="hybridMultilevel"/>
    <w:tmpl w:val="7CF2EB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B871833"/>
    <w:multiLevelType w:val="hybridMultilevel"/>
    <w:tmpl w:val="35847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9E000C"/>
    <w:multiLevelType w:val="hybridMultilevel"/>
    <w:tmpl w:val="739BB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3BD082"/>
    <w:multiLevelType w:val="hybridMultilevel"/>
    <w:tmpl w:val="81E1A1AC"/>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75BC00DF"/>
    <w:multiLevelType w:val="hybridMultilevel"/>
    <w:tmpl w:val="15DC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9"/>
  </w:num>
  <w:num w:numId="3">
    <w:abstractNumId w:val="0"/>
  </w:num>
  <w:num w:numId="4">
    <w:abstractNumId w:val="8"/>
  </w:num>
  <w:num w:numId="5">
    <w:abstractNumId w:val="4"/>
  </w:num>
  <w:num w:numId="6">
    <w:abstractNumId w:val="5"/>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2DE1"/>
    <w:rsid w:val="0005382B"/>
    <w:rsid w:val="00054677"/>
    <w:rsid w:val="0005467E"/>
    <w:rsid w:val="000554D5"/>
    <w:rsid w:val="000557CF"/>
    <w:rsid w:val="00057734"/>
    <w:rsid w:val="000577EC"/>
    <w:rsid w:val="00057D1D"/>
    <w:rsid w:val="0006013C"/>
    <w:rsid w:val="0006082A"/>
    <w:rsid w:val="00060A08"/>
    <w:rsid w:val="00060F09"/>
    <w:rsid w:val="00061144"/>
    <w:rsid w:val="0006129D"/>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036"/>
    <w:rsid w:val="00075D67"/>
    <w:rsid w:val="00076249"/>
    <w:rsid w:val="000762EC"/>
    <w:rsid w:val="00076783"/>
    <w:rsid w:val="00077549"/>
    <w:rsid w:val="00077D2E"/>
    <w:rsid w:val="00081B40"/>
    <w:rsid w:val="00081E18"/>
    <w:rsid w:val="00082E29"/>
    <w:rsid w:val="00083D69"/>
    <w:rsid w:val="000842CF"/>
    <w:rsid w:val="0008433C"/>
    <w:rsid w:val="000851B2"/>
    <w:rsid w:val="0008530E"/>
    <w:rsid w:val="00085645"/>
    <w:rsid w:val="000857B4"/>
    <w:rsid w:val="00085E95"/>
    <w:rsid w:val="0008657A"/>
    <w:rsid w:val="0008673D"/>
    <w:rsid w:val="00086C41"/>
    <w:rsid w:val="00086C90"/>
    <w:rsid w:val="00086E4A"/>
    <w:rsid w:val="00086FCA"/>
    <w:rsid w:val="0009047A"/>
    <w:rsid w:val="00090BC8"/>
    <w:rsid w:val="00090C73"/>
    <w:rsid w:val="00090D7D"/>
    <w:rsid w:val="00090EC6"/>
    <w:rsid w:val="00090FBF"/>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30"/>
    <w:rsid w:val="000A13F5"/>
    <w:rsid w:val="000A2470"/>
    <w:rsid w:val="000A2684"/>
    <w:rsid w:val="000A2A5C"/>
    <w:rsid w:val="000A2F6F"/>
    <w:rsid w:val="000A345B"/>
    <w:rsid w:val="000A3C79"/>
    <w:rsid w:val="000A4586"/>
    <w:rsid w:val="000A49BF"/>
    <w:rsid w:val="000A4DAA"/>
    <w:rsid w:val="000A5FDC"/>
    <w:rsid w:val="000A76D9"/>
    <w:rsid w:val="000A7C1F"/>
    <w:rsid w:val="000A7D8D"/>
    <w:rsid w:val="000B080D"/>
    <w:rsid w:val="000B136E"/>
    <w:rsid w:val="000B13E0"/>
    <w:rsid w:val="000B14AF"/>
    <w:rsid w:val="000B2446"/>
    <w:rsid w:val="000B29EF"/>
    <w:rsid w:val="000B31C6"/>
    <w:rsid w:val="000B3285"/>
    <w:rsid w:val="000B370E"/>
    <w:rsid w:val="000B3958"/>
    <w:rsid w:val="000B478E"/>
    <w:rsid w:val="000B4CEC"/>
    <w:rsid w:val="000B4FC7"/>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2CAB"/>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71A"/>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531"/>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710"/>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3E57"/>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1712"/>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3E58"/>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C75"/>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6B8"/>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95"/>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BD2"/>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6B5A"/>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B6B"/>
    <w:rsid w:val="00364DDC"/>
    <w:rsid w:val="00364FB7"/>
    <w:rsid w:val="00365205"/>
    <w:rsid w:val="00365BA7"/>
    <w:rsid w:val="00366ED8"/>
    <w:rsid w:val="00367061"/>
    <w:rsid w:val="0036776D"/>
    <w:rsid w:val="00367C46"/>
    <w:rsid w:val="00367E81"/>
    <w:rsid w:val="00370C00"/>
    <w:rsid w:val="00370D36"/>
    <w:rsid w:val="003713CE"/>
    <w:rsid w:val="00371A18"/>
    <w:rsid w:val="00371BB0"/>
    <w:rsid w:val="00371C4D"/>
    <w:rsid w:val="00372C2D"/>
    <w:rsid w:val="003731AA"/>
    <w:rsid w:val="00373697"/>
    <w:rsid w:val="003739E6"/>
    <w:rsid w:val="00374E13"/>
    <w:rsid w:val="003755C9"/>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4CD9"/>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3FA6"/>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1D27"/>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8CA"/>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B5A"/>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8AF"/>
    <w:rsid w:val="00457BAA"/>
    <w:rsid w:val="004600BE"/>
    <w:rsid w:val="004604F5"/>
    <w:rsid w:val="0046185D"/>
    <w:rsid w:val="00461B27"/>
    <w:rsid w:val="00461DF2"/>
    <w:rsid w:val="00463F4B"/>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46E3"/>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BE9"/>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9E0"/>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6F"/>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3E9B"/>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3EF7"/>
    <w:rsid w:val="005341B2"/>
    <w:rsid w:val="00534839"/>
    <w:rsid w:val="00534AD4"/>
    <w:rsid w:val="00534E94"/>
    <w:rsid w:val="005351FB"/>
    <w:rsid w:val="0053563A"/>
    <w:rsid w:val="005358FB"/>
    <w:rsid w:val="005363F2"/>
    <w:rsid w:val="00537541"/>
    <w:rsid w:val="00537760"/>
    <w:rsid w:val="00540411"/>
    <w:rsid w:val="00541BF4"/>
    <w:rsid w:val="00541C26"/>
    <w:rsid w:val="005429CB"/>
    <w:rsid w:val="00543111"/>
    <w:rsid w:val="005431F6"/>
    <w:rsid w:val="005437F5"/>
    <w:rsid w:val="00543DB4"/>
    <w:rsid w:val="00544371"/>
    <w:rsid w:val="00544A57"/>
    <w:rsid w:val="005463E1"/>
    <w:rsid w:val="00546E25"/>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4C9D"/>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6A3"/>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57B"/>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29F"/>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42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20B"/>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0DF"/>
    <w:rsid w:val="00660596"/>
    <w:rsid w:val="00660EB1"/>
    <w:rsid w:val="00661098"/>
    <w:rsid w:val="006613E7"/>
    <w:rsid w:val="006614E1"/>
    <w:rsid w:val="00662661"/>
    <w:rsid w:val="00665195"/>
    <w:rsid w:val="0066575D"/>
    <w:rsid w:val="00665791"/>
    <w:rsid w:val="00665C2E"/>
    <w:rsid w:val="00665E11"/>
    <w:rsid w:val="006662D8"/>
    <w:rsid w:val="0066679A"/>
    <w:rsid w:val="00666A23"/>
    <w:rsid w:val="00667B63"/>
    <w:rsid w:val="00667B99"/>
    <w:rsid w:val="00670515"/>
    <w:rsid w:val="00670A76"/>
    <w:rsid w:val="00670B9F"/>
    <w:rsid w:val="00670E1C"/>
    <w:rsid w:val="00672775"/>
    <w:rsid w:val="0067305E"/>
    <w:rsid w:val="006739F7"/>
    <w:rsid w:val="00673DA9"/>
    <w:rsid w:val="00674074"/>
    <w:rsid w:val="00674703"/>
    <w:rsid w:val="00675A64"/>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57D"/>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649"/>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9AC"/>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4D5D"/>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716"/>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3A9"/>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C82"/>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8EE"/>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5CA8"/>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1EFA"/>
    <w:rsid w:val="008822AA"/>
    <w:rsid w:val="008837A3"/>
    <w:rsid w:val="00884EDD"/>
    <w:rsid w:val="00884FF2"/>
    <w:rsid w:val="00885580"/>
    <w:rsid w:val="008859B7"/>
    <w:rsid w:val="0088608D"/>
    <w:rsid w:val="00886384"/>
    <w:rsid w:val="0088641E"/>
    <w:rsid w:val="00886F8C"/>
    <w:rsid w:val="00887DBF"/>
    <w:rsid w:val="00887F0E"/>
    <w:rsid w:val="0089386B"/>
    <w:rsid w:val="00893FE7"/>
    <w:rsid w:val="00894713"/>
    <w:rsid w:val="008947E4"/>
    <w:rsid w:val="00894A5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448"/>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371"/>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CE3"/>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900"/>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7AF"/>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0C31"/>
    <w:rsid w:val="009D1371"/>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6832"/>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055"/>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0E02"/>
    <w:rsid w:val="00A215E4"/>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145"/>
    <w:rsid w:val="00A41666"/>
    <w:rsid w:val="00A41CFB"/>
    <w:rsid w:val="00A42BF1"/>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1D1"/>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5E2E"/>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313"/>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0F5"/>
    <w:rsid w:val="00AB25F3"/>
    <w:rsid w:val="00AB4AEF"/>
    <w:rsid w:val="00AB4C7B"/>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04B6"/>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C32"/>
    <w:rsid w:val="00B21E45"/>
    <w:rsid w:val="00B21F9A"/>
    <w:rsid w:val="00B23781"/>
    <w:rsid w:val="00B25570"/>
    <w:rsid w:val="00B25A3E"/>
    <w:rsid w:val="00B26973"/>
    <w:rsid w:val="00B26AF2"/>
    <w:rsid w:val="00B27697"/>
    <w:rsid w:val="00B276EB"/>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745"/>
    <w:rsid w:val="00BC0A98"/>
    <w:rsid w:val="00BC0FB8"/>
    <w:rsid w:val="00BC12A1"/>
    <w:rsid w:val="00BC14F6"/>
    <w:rsid w:val="00BC217E"/>
    <w:rsid w:val="00BC22D0"/>
    <w:rsid w:val="00BC28C4"/>
    <w:rsid w:val="00BC3542"/>
    <w:rsid w:val="00BC38A4"/>
    <w:rsid w:val="00BC3ADE"/>
    <w:rsid w:val="00BC4929"/>
    <w:rsid w:val="00BC4CF8"/>
    <w:rsid w:val="00BC508B"/>
    <w:rsid w:val="00BC5224"/>
    <w:rsid w:val="00BC53CF"/>
    <w:rsid w:val="00BC5699"/>
    <w:rsid w:val="00BC5FFC"/>
    <w:rsid w:val="00BC6D7C"/>
    <w:rsid w:val="00BC74B5"/>
    <w:rsid w:val="00BC74B8"/>
    <w:rsid w:val="00BD0014"/>
    <w:rsid w:val="00BD034F"/>
    <w:rsid w:val="00BD059E"/>
    <w:rsid w:val="00BD0965"/>
    <w:rsid w:val="00BD0B6D"/>
    <w:rsid w:val="00BD0CE7"/>
    <w:rsid w:val="00BD0E68"/>
    <w:rsid w:val="00BD1B5E"/>
    <w:rsid w:val="00BD1E51"/>
    <w:rsid w:val="00BD22D9"/>
    <w:rsid w:val="00BD2CC5"/>
    <w:rsid w:val="00BD3433"/>
    <w:rsid w:val="00BD37D2"/>
    <w:rsid w:val="00BD3AA2"/>
    <w:rsid w:val="00BD4776"/>
    <w:rsid w:val="00BD4932"/>
    <w:rsid w:val="00BD575A"/>
    <w:rsid w:val="00BD6056"/>
    <w:rsid w:val="00BD6079"/>
    <w:rsid w:val="00BD6722"/>
    <w:rsid w:val="00BD752F"/>
    <w:rsid w:val="00BD756B"/>
    <w:rsid w:val="00BD7EA6"/>
    <w:rsid w:val="00BE0294"/>
    <w:rsid w:val="00BE0401"/>
    <w:rsid w:val="00BE1856"/>
    <w:rsid w:val="00BE2372"/>
    <w:rsid w:val="00BE268F"/>
    <w:rsid w:val="00BE3E6C"/>
    <w:rsid w:val="00BE4168"/>
    <w:rsid w:val="00BE455B"/>
    <w:rsid w:val="00BE4AF1"/>
    <w:rsid w:val="00BE4B47"/>
    <w:rsid w:val="00BE5D4F"/>
    <w:rsid w:val="00BE640F"/>
    <w:rsid w:val="00BE6537"/>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7BD"/>
    <w:rsid w:val="00C17C56"/>
    <w:rsid w:val="00C17D82"/>
    <w:rsid w:val="00C2040D"/>
    <w:rsid w:val="00C208CE"/>
    <w:rsid w:val="00C20B13"/>
    <w:rsid w:val="00C21160"/>
    <w:rsid w:val="00C211D7"/>
    <w:rsid w:val="00C21360"/>
    <w:rsid w:val="00C22961"/>
    <w:rsid w:val="00C2356C"/>
    <w:rsid w:val="00C236A9"/>
    <w:rsid w:val="00C2491E"/>
    <w:rsid w:val="00C252A5"/>
    <w:rsid w:val="00C256C7"/>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EA2"/>
    <w:rsid w:val="00C90F90"/>
    <w:rsid w:val="00C913B6"/>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A48"/>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607"/>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996"/>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49E2"/>
    <w:rsid w:val="00D158F8"/>
    <w:rsid w:val="00D15B74"/>
    <w:rsid w:val="00D161C0"/>
    <w:rsid w:val="00D173D2"/>
    <w:rsid w:val="00D17767"/>
    <w:rsid w:val="00D17ABD"/>
    <w:rsid w:val="00D17B78"/>
    <w:rsid w:val="00D2030E"/>
    <w:rsid w:val="00D2059D"/>
    <w:rsid w:val="00D206AE"/>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093"/>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2563"/>
    <w:rsid w:val="00D6332A"/>
    <w:rsid w:val="00D63E4E"/>
    <w:rsid w:val="00D63F85"/>
    <w:rsid w:val="00D6490A"/>
    <w:rsid w:val="00D64BE2"/>
    <w:rsid w:val="00D656C6"/>
    <w:rsid w:val="00D66190"/>
    <w:rsid w:val="00D661A2"/>
    <w:rsid w:val="00D665EE"/>
    <w:rsid w:val="00D66F2B"/>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5ED6"/>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1DB6"/>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1B13"/>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A0C"/>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070D"/>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2ADA"/>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60C"/>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681"/>
    <w:rsid w:val="00F44781"/>
    <w:rsid w:val="00F44EC0"/>
    <w:rsid w:val="00F45744"/>
    <w:rsid w:val="00F458AB"/>
    <w:rsid w:val="00F459F5"/>
    <w:rsid w:val="00F45A58"/>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4E"/>
    <w:rsid w:val="00F700BC"/>
    <w:rsid w:val="00F71C01"/>
    <w:rsid w:val="00F7289E"/>
    <w:rsid w:val="00F72A74"/>
    <w:rsid w:val="00F72DC7"/>
    <w:rsid w:val="00F73961"/>
    <w:rsid w:val="00F745A8"/>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2C94"/>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91F"/>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5BE"/>
    <w:rsid w:val="00FB17C3"/>
    <w:rsid w:val="00FB3244"/>
    <w:rsid w:val="00FB361C"/>
    <w:rsid w:val="00FB416D"/>
    <w:rsid w:val="00FB4676"/>
    <w:rsid w:val="00FB4893"/>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7850">
      <w:bodyDiv w:val="1"/>
      <w:marLeft w:val="0"/>
      <w:marRight w:val="0"/>
      <w:marTop w:val="0"/>
      <w:marBottom w:val="0"/>
      <w:divBdr>
        <w:top w:val="none" w:sz="0" w:space="0" w:color="auto"/>
        <w:left w:val="none" w:sz="0" w:space="0" w:color="auto"/>
        <w:bottom w:val="none" w:sz="0" w:space="0" w:color="auto"/>
        <w:right w:val="none" w:sz="0" w:space="0" w:color="auto"/>
      </w:divBdr>
      <w:divsChild>
        <w:div w:id="364795990">
          <w:marLeft w:val="0"/>
          <w:marRight w:val="0"/>
          <w:marTop w:val="0"/>
          <w:marBottom w:val="0"/>
          <w:divBdr>
            <w:top w:val="none" w:sz="0" w:space="0" w:color="auto"/>
            <w:left w:val="none" w:sz="0" w:space="0" w:color="auto"/>
            <w:bottom w:val="none" w:sz="0" w:space="0" w:color="auto"/>
            <w:right w:val="none" w:sz="0" w:space="0" w:color="auto"/>
          </w:divBdr>
        </w:div>
        <w:div w:id="2008710426">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08703815">
      <w:bodyDiv w:val="1"/>
      <w:marLeft w:val="0"/>
      <w:marRight w:val="0"/>
      <w:marTop w:val="0"/>
      <w:marBottom w:val="0"/>
      <w:divBdr>
        <w:top w:val="none" w:sz="0" w:space="0" w:color="auto"/>
        <w:left w:val="none" w:sz="0" w:space="0" w:color="auto"/>
        <w:bottom w:val="none" w:sz="0" w:space="0" w:color="auto"/>
        <w:right w:val="none" w:sz="0" w:space="0" w:color="auto"/>
      </w:divBdr>
      <w:divsChild>
        <w:div w:id="1817213802">
          <w:marLeft w:val="0"/>
          <w:marRight w:val="0"/>
          <w:marTop w:val="0"/>
          <w:marBottom w:val="0"/>
          <w:divBdr>
            <w:top w:val="none" w:sz="0" w:space="0" w:color="auto"/>
            <w:left w:val="none" w:sz="0" w:space="0" w:color="auto"/>
            <w:bottom w:val="none" w:sz="0" w:space="0" w:color="auto"/>
            <w:right w:val="none" w:sz="0" w:space="0" w:color="auto"/>
          </w:divBdr>
        </w:div>
        <w:div w:id="1134178230">
          <w:marLeft w:val="0"/>
          <w:marRight w:val="0"/>
          <w:marTop w:val="0"/>
          <w:marBottom w:val="0"/>
          <w:divBdr>
            <w:top w:val="none" w:sz="0" w:space="0" w:color="auto"/>
            <w:left w:val="none" w:sz="0" w:space="0" w:color="auto"/>
            <w:bottom w:val="none" w:sz="0" w:space="0" w:color="auto"/>
            <w:right w:val="none" w:sz="0" w:space="0" w:color="auto"/>
          </w:divBdr>
        </w:div>
        <w:div w:id="20253380">
          <w:marLeft w:val="0"/>
          <w:marRight w:val="0"/>
          <w:marTop w:val="0"/>
          <w:marBottom w:val="0"/>
          <w:divBdr>
            <w:top w:val="none" w:sz="0" w:space="0" w:color="auto"/>
            <w:left w:val="none" w:sz="0" w:space="0" w:color="auto"/>
            <w:bottom w:val="none" w:sz="0" w:space="0" w:color="auto"/>
            <w:right w:val="none" w:sz="0" w:space="0" w:color="auto"/>
          </w:divBdr>
        </w:div>
        <w:div w:id="2048723352">
          <w:marLeft w:val="0"/>
          <w:marRight w:val="0"/>
          <w:marTop w:val="0"/>
          <w:marBottom w:val="0"/>
          <w:divBdr>
            <w:top w:val="none" w:sz="0" w:space="0" w:color="auto"/>
            <w:left w:val="none" w:sz="0" w:space="0" w:color="auto"/>
            <w:bottom w:val="none" w:sz="0" w:space="0" w:color="auto"/>
            <w:right w:val="none" w:sz="0" w:space="0" w:color="auto"/>
          </w:divBdr>
        </w:div>
      </w:divsChild>
    </w:div>
    <w:div w:id="1546257158">
      <w:bodyDiv w:val="1"/>
      <w:marLeft w:val="0"/>
      <w:marRight w:val="0"/>
      <w:marTop w:val="0"/>
      <w:marBottom w:val="0"/>
      <w:divBdr>
        <w:top w:val="none" w:sz="0" w:space="0" w:color="auto"/>
        <w:left w:val="none" w:sz="0" w:space="0" w:color="auto"/>
        <w:bottom w:val="none" w:sz="0" w:space="0" w:color="auto"/>
        <w:right w:val="none" w:sz="0" w:space="0" w:color="auto"/>
      </w:divBdr>
    </w:div>
    <w:div w:id="1864711728">
      <w:bodyDiv w:val="1"/>
      <w:marLeft w:val="0"/>
      <w:marRight w:val="0"/>
      <w:marTop w:val="0"/>
      <w:marBottom w:val="0"/>
      <w:divBdr>
        <w:top w:val="none" w:sz="0" w:space="0" w:color="auto"/>
        <w:left w:val="none" w:sz="0" w:space="0" w:color="auto"/>
        <w:bottom w:val="none" w:sz="0" w:space="0" w:color="auto"/>
        <w:right w:val="none" w:sz="0" w:space="0" w:color="auto"/>
      </w:divBdr>
      <w:divsChild>
        <w:div w:id="1235045648">
          <w:marLeft w:val="0"/>
          <w:marRight w:val="0"/>
          <w:marTop w:val="0"/>
          <w:marBottom w:val="0"/>
          <w:divBdr>
            <w:top w:val="none" w:sz="0" w:space="0" w:color="auto"/>
            <w:left w:val="none" w:sz="0" w:space="0" w:color="auto"/>
            <w:bottom w:val="none" w:sz="0" w:space="0" w:color="auto"/>
            <w:right w:val="none" w:sz="0" w:space="0" w:color="auto"/>
          </w:divBdr>
          <w:divsChild>
            <w:div w:id="1593053099">
              <w:marLeft w:val="0"/>
              <w:marRight w:val="0"/>
              <w:marTop w:val="0"/>
              <w:marBottom w:val="0"/>
              <w:divBdr>
                <w:top w:val="none" w:sz="0" w:space="0" w:color="auto"/>
                <w:left w:val="none" w:sz="0" w:space="0" w:color="auto"/>
                <w:bottom w:val="none" w:sz="0" w:space="0" w:color="auto"/>
                <w:right w:val="none" w:sz="0" w:space="0" w:color="auto"/>
              </w:divBdr>
            </w:div>
            <w:div w:id="545801746">
              <w:marLeft w:val="0"/>
              <w:marRight w:val="0"/>
              <w:marTop w:val="0"/>
              <w:marBottom w:val="0"/>
              <w:divBdr>
                <w:top w:val="none" w:sz="0" w:space="0" w:color="auto"/>
                <w:left w:val="none" w:sz="0" w:space="0" w:color="auto"/>
                <w:bottom w:val="none" w:sz="0" w:space="0" w:color="auto"/>
                <w:right w:val="none" w:sz="0" w:space="0" w:color="auto"/>
              </w:divBdr>
            </w:div>
            <w:div w:id="1026324819">
              <w:marLeft w:val="0"/>
              <w:marRight w:val="0"/>
              <w:marTop w:val="0"/>
              <w:marBottom w:val="0"/>
              <w:divBdr>
                <w:top w:val="none" w:sz="0" w:space="0" w:color="auto"/>
                <w:left w:val="none" w:sz="0" w:space="0" w:color="auto"/>
                <w:bottom w:val="none" w:sz="0" w:space="0" w:color="auto"/>
                <w:right w:val="none" w:sz="0" w:space="0" w:color="auto"/>
              </w:divBdr>
            </w:div>
            <w:div w:id="94792998">
              <w:marLeft w:val="0"/>
              <w:marRight w:val="0"/>
              <w:marTop w:val="0"/>
              <w:marBottom w:val="0"/>
              <w:divBdr>
                <w:top w:val="none" w:sz="0" w:space="0" w:color="auto"/>
                <w:left w:val="none" w:sz="0" w:space="0" w:color="auto"/>
                <w:bottom w:val="none" w:sz="0" w:space="0" w:color="auto"/>
                <w:right w:val="none" w:sz="0" w:space="0" w:color="auto"/>
              </w:divBdr>
            </w:div>
            <w:div w:id="28335354">
              <w:marLeft w:val="0"/>
              <w:marRight w:val="0"/>
              <w:marTop w:val="0"/>
              <w:marBottom w:val="0"/>
              <w:divBdr>
                <w:top w:val="none" w:sz="0" w:space="0" w:color="auto"/>
                <w:left w:val="none" w:sz="0" w:space="0" w:color="auto"/>
                <w:bottom w:val="none" w:sz="0" w:space="0" w:color="auto"/>
                <w:right w:val="none" w:sz="0" w:space="0" w:color="auto"/>
              </w:divBdr>
            </w:div>
            <w:div w:id="1981307231">
              <w:marLeft w:val="0"/>
              <w:marRight w:val="0"/>
              <w:marTop w:val="0"/>
              <w:marBottom w:val="0"/>
              <w:divBdr>
                <w:top w:val="none" w:sz="0" w:space="0" w:color="auto"/>
                <w:left w:val="none" w:sz="0" w:space="0" w:color="auto"/>
                <w:bottom w:val="none" w:sz="0" w:space="0" w:color="auto"/>
                <w:right w:val="none" w:sz="0" w:space="0" w:color="auto"/>
              </w:divBdr>
            </w:div>
            <w:div w:id="11099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E302C-4055-4205-A85E-35045F170565}">
  <ds:schemaRefs>
    <ds:schemaRef ds:uri="http://schemas.openxmlformats.org/officeDocument/2006/bibliography"/>
  </ds:schemaRefs>
</ds:datastoreItem>
</file>

<file path=customXml/itemProps2.xml><?xml version="1.0" encoding="utf-8"?>
<ds:datastoreItem xmlns:ds="http://schemas.openxmlformats.org/officeDocument/2006/customXml" ds:itemID="{66611482-A928-41E7-9109-336B8D8B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12202</Characters>
  <Application>Microsoft Office Word</Application>
  <DocSecurity>0</DocSecurity>
  <Lines>234</Lines>
  <Paragraphs>105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2019-05-13T07:51:00Z</cp:lastPrinted>
  <dcterms:created xsi:type="dcterms:W3CDTF">2020-06-03T02:05:00Z</dcterms:created>
  <dcterms:modified xsi:type="dcterms:W3CDTF">2020-06-03T05:22:00Z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A25608263</vt:lpwstr>
  </property>
  <property fmtid="{D5CDD505-2E9C-101B-9397-08002B2CF9AE}" pid="4" name="Objective-Title">
    <vt:lpwstr>Explanatory Statement with Compatibility Statement - Electricity Feed-in (Renewable Energny)</vt:lpwstr>
  </property>
  <property fmtid="{D5CDD505-2E9C-101B-9397-08002B2CF9AE}" pid="5" name="Objective-Comment">
    <vt:lpwstr/>
  </property>
  <property fmtid="{D5CDD505-2E9C-101B-9397-08002B2CF9AE}" pid="6" name="Objective-CreationStamp">
    <vt:filetime>2020-05-19T03:43:35Z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2020-05-19T03:43:35Z</vt:filetime>
  </property>
  <property fmtid="{D5CDD505-2E9C-101B-9397-08002B2CF9AE}" pid="10" name="Objective-ModificationStamp">
    <vt:filetime>2020-05-19T03:44:14Z</vt:filetime>
  </property>
  <property fmtid="{D5CDD505-2E9C-101B-9397-08002B2CF9AE}" pid="11" name="Objective-Owner">
    <vt:lpwstr>Cara Weekes</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Submissions:19/633 - Cabinet - Electricity Feed-in (Renewa</vt:lpwstr>
  </property>
  <property fmtid="{D5CDD505-2E9C-101B-9397-08002B2CF9AE}" pid="13" name="Objective-Parent">
    <vt:lpwstr>05. Assembly Documents, Speeches, Media</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1-2019/27022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