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5F286497"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BF7D5E" w:rsidRPr="009E1EB3">
        <w:rPr>
          <w:rFonts w:ascii="Arial" w:hAnsi="Arial" w:cs="Arial"/>
          <w:b/>
          <w:bCs/>
          <w:sz w:val="24"/>
          <w:szCs w:val="24"/>
        </w:rPr>
        <w:t>PUBLIC HEALTH AMENDMENT</w:t>
      </w:r>
      <w:r w:rsidR="00741C4A" w:rsidRPr="009E1EB3">
        <w:rPr>
          <w:rFonts w:ascii="Arial" w:hAnsi="Arial" w:cs="Arial"/>
          <w:b/>
          <w:bCs/>
          <w:sz w:val="24"/>
          <w:szCs w:val="24"/>
        </w:rPr>
        <w:t xml:space="preserve"> BILL 20</w:t>
      </w:r>
      <w:r w:rsidR="00130A37" w:rsidRPr="009E1EB3">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4C240F21" w:rsidR="00BB387E" w:rsidRDefault="00BF7D5E" w:rsidP="00BB387E">
      <w:pPr>
        <w:spacing w:after="0"/>
        <w:ind w:right="686"/>
        <w:jc w:val="right"/>
        <w:rPr>
          <w:rFonts w:ascii="Arial" w:hAnsi="Arial" w:cs="Arial"/>
          <w:b/>
          <w:bCs/>
          <w:sz w:val="24"/>
          <w:szCs w:val="24"/>
        </w:rPr>
      </w:pPr>
      <w:r>
        <w:rPr>
          <w:rFonts w:ascii="Arial" w:hAnsi="Arial" w:cs="Arial"/>
          <w:b/>
          <w:bCs/>
          <w:sz w:val="24"/>
          <w:szCs w:val="24"/>
        </w:rPr>
        <w:t xml:space="preserve">Rachel Stephen-Smith </w:t>
      </w:r>
    </w:p>
    <w:p w14:paraId="1E654F9D" w14:textId="4E2F724C" w:rsidR="00BF7D5E" w:rsidRPr="00BB387E" w:rsidRDefault="00BF7D5E" w:rsidP="00BB387E">
      <w:pPr>
        <w:spacing w:after="0"/>
        <w:ind w:right="686"/>
        <w:jc w:val="right"/>
        <w:rPr>
          <w:rFonts w:ascii="Arial" w:hAnsi="Arial" w:cs="Arial"/>
          <w:b/>
          <w:bCs/>
          <w:sz w:val="24"/>
          <w:szCs w:val="24"/>
        </w:rPr>
      </w:pPr>
      <w:r>
        <w:rPr>
          <w:rFonts w:ascii="Arial" w:hAnsi="Arial" w:cs="Arial"/>
          <w:b/>
          <w:bCs/>
          <w:sz w:val="24"/>
          <w:szCs w:val="24"/>
        </w:rPr>
        <w:t>Minister for Health</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123C9C80" w:rsidR="00ED3B77" w:rsidRPr="00BB387E" w:rsidRDefault="00F15D37" w:rsidP="008C225D">
      <w:pPr>
        <w:pStyle w:val="Heading1"/>
        <w:jc w:val="center"/>
      </w:pPr>
      <w:r w:rsidRPr="009E1EB3">
        <w:lastRenderedPageBreak/>
        <w:t>PUBLIC HEALTH AMENDMENT</w:t>
      </w:r>
      <w:r w:rsidR="00ED3B77" w:rsidRPr="009E1EB3">
        <w:t xml:space="preserve"> BILL</w:t>
      </w:r>
      <w:r w:rsidR="00ED3B77" w:rsidRPr="00BB387E">
        <w:t xml:space="preserve"> </w:t>
      </w:r>
      <w:r w:rsidR="00130A37" w:rsidRPr="00BB387E">
        <w:t>20</w:t>
      </w:r>
      <w:r w:rsidR="00130A37">
        <w:t>20</w:t>
      </w:r>
    </w:p>
    <w:p w14:paraId="2612AE1F" w14:textId="77777777" w:rsidR="00834FC9" w:rsidRDefault="00834FC9" w:rsidP="007F3D56">
      <w:pPr>
        <w:spacing w:after="0"/>
        <w:contextualSpacing/>
        <w:rPr>
          <w:rFonts w:ascii="Arial" w:hAnsi="Arial" w:cs="Arial"/>
          <w:bCs/>
          <w:sz w:val="24"/>
          <w:szCs w:val="24"/>
        </w:rPr>
      </w:pPr>
    </w:p>
    <w:p w14:paraId="06EE45A3" w14:textId="0FC1DB2E" w:rsidR="00C37B79" w:rsidRPr="00B94A29" w:rsidRDefault="00834FC9" w:rsidP="00B94A29">
      <w:pPr>
        <w:ind w:right="-45"/>
        <w:contextualSpacing/>
        <w:mirrorIndents/>
        <w:rPr>
          <w:rFonts w:ascii="Arial" w:hAnsi="Arial" w:cs="Arial"/>
          <w:iCs/>
          <w:sz w:val="24"/>
          <w:szCs w:val="24"/>
        </w:rPr>
      </w:pPr>
      <w:r w:rsidRPr="00B94A29">
        <w:rPr>
          <w:rFonts w:ascii="Arial" w:hAnsi="Arial" w:cs="Arial"/>
          <w:iCs/>
          <w:sz w:val="24"/>
          <w:szCs w:val="24"/>
        </w:rPr>
        <w:t xml:space="preserve">The Bill </w:t>
      </w:r>
      <w:r w:rsidR="00CA6932" w:rsidRPr="00B94A29">
        <w:rPr>
          <w:rFonts w:ascii="Arial" w:hAnsi="Arial" w:cs="Arial"/>
          <w:iCs/>
          <w:sz w:val="24"/>
          <w:szCs w:val="24"/>
        </w:rPr>
        <w:t>is a</w:t>
      </w:r>
      <w:r w:rsidRPr="00B94A29">
        <w:rPr>
          <w:rFonts w:ascii="Arial" w:hAnsi="Arial" w:cs="Arial"/>
          <w:iCs/>
          <w:sz w:val="24"/>
          <w:szCs w:val="24"/>
        </w:rPr>
        <w:t xml:space="preserve"> Significant Bill. Significant Bills are bills that have been assessed </w:t>
      </w:r>
      <w:r w:rsidR="00EF5125">
        <w:rPr>
          <w:rFonts w:ascii="Arial" w:hAnsi="Arial" w:cs="Arial"/>
          <w:iCs/>
          <w:sz w:val="24"/>
          <w:szCs w:val="24"/>
        </w:rPr>
        <w:t>by reference to a range of criteria which warrant a</w:t>
      </w:r>
      <w:r w:rsidRPr="00B94A29">
        <w:rPr>
          <w:rFonts w:ascii="Arial" w:hAnsi="Arial" w:cs="Arial"/>
          <w:iCs/>
          <w:sz w:val="24"/>
          <w:szCs w:val="24"/>
        </w:rPr>
        <w:t xml:space="preserve"> more detailed reasoning in relation to compatibility with the </w:t>
      </w:r>
      <w:r w:rsidRPr="00B94A29">
        <w:rPr>
          <w:rFonts w:ascii="Arial" w:hAnsi="Arial" w:cs="Arial"/>
          <w:i/>
          <w:sz w:val="24"/>
          <w:szCs w:val="24"/>
        </w:rPr>
        <w:t>Human Rights Act 2004</w:t>
      </w:r>
      <w:r w:rsidRPr="00B94A29">
        <w:rPr>
          <w:rFonts w:ascii="Arial" w:hAnsi="Arial" w:cs="Arial"/>
          <w:iCs/>
          <w:sz w:val="24"/>
          <w:szCs w:val="24"/>
        </w:rPr>
        <w:t>.</w:t>
      </w:r>
    </w:p>
    <w:p w14:paraId="05910438" w14:textId="77777777" w:rsidR="00A02EC2" w:rsidRPr="003A3854" w:rsidRDefault="00A02EC2" w:rsidP="003364EC">
      <w:pPr>
        <w:pStyle w:val="Heading2"/>
        <w:spacing w:before="0" w:after="200"/>
        <w:contextualSpacing/>
        <w:mirrorIndents/>
        <w:rPr>
          <w:rFonts w:cs="Arial"/>
          <w:szCs w:val="24"/>
        </w:rPr>
      </w:pPr>
      <w:r w:rsidRPr="003A3854">
        <w:rPr>
          <w:rFonts w:cs="Arial"/>
          <w:szCs w:val="24"/>
        </w:rPr>
        <w:t xml:space="preserve">BACKGROUND </w:t>
      </w:r>
    </w:p>
    <w:p w14:paraId="69302608" w14:textId="77777777" w:rsidR="00B94A29" w:rsidRPr="00144FA9" w:rsidRDefault="00A02EC2" w:rsidP="003364EC">
      <w:pPr>
        <w:ind w:right="-45"/>
        <w:contextualSpacing/>
        <w:mirrorIndents/>
        <w:rPr>
          <w:rFonts w:ascii="Arial" w:hAnsi="Arial" w:cs="Arial"/>
          <w:iCs/>
          <w:sz w:val="24"/>
          <w:szCs w:val="24"/>
        </w:rPr>
      </w:pPr>
      <w:r w:rsidRPr="00144FA9">
        <w:rPr>
          <w:rFonts w:ascii="Arial" w:hAnsi="Arial" w:cs="Arial"/>
          <w:iCs/>
          <w:sz w:val="24"/>
          <w:szCs w:val="24"/>
        </w:rPr>
        <w:t>In December 2019, China reported cases of a viral pneumonia caused by a previously unknown pathogen in Wuhan City, in the Hubei Province of China. The pathogen was identified as a novel coronavirus</w:t>
      </w:r>
      <w:r w:rsidR="00D71E36" w:rsidRPr="00144FA9">
        <w:rPr>
          <w:rFonts w:ascii="Arial" w:hAnsi="Arial" w:cs="Arial"/>
          <w:iCs/>
          <w:sz w:val="24"/>
          <w:szCs w:val="24"/>
        </w:rPr>
        <w:t xml:space="preserve"> </w:t>
      </w:r>
      <w:r w:rsidRPr="00144FA9">
        <w:rPr>
          <w:rFonts w:ascii="Arial" w:hAnsi="Arial" w:cs="Arial"/>
          <w:iCs/>
          <w:sz w:val="24"/>
          <w:szCs w:val="24"/>
        </w:rPr>
        <w:t xml:space="preserve">genetically related to the virus that caused the outbreak of Severe Acute Respiratory Syndrome in 2003. </w:t>
      </w:r>
      <w:r w:rsidR="00D71E36" w:rsidRPr="00144FA9">
        <w:rPr>
          <w:rFonts w:ascii="Arial" w:hAnsi="Arial" w:cs="Arial"/>
          <w:iCs/>
          <w:sz w:val="24"/>
          <w:szCs w:val="24"/>
        </w:rPr>
        <w:t>The new strain of coronavirus is called SARS-CoV</w:t>
      </w:r>
      <w:r w:rsidR="003D4EAC" w:rsidRPr="00144FA9">
        <w:rPr>
          <w:rFonts w:ascii="Arial" w:hAnsi="Arial" w:cs="Arial"/>
          <w:iCs/>
          <w:sz w:val="24"/>
          <w:szCs w:val="24"/>
        </w:rPr>
        <w:t>-</w:t>
      </w:r>
      <w:r w:rsidR="00D71E36" w:rsidRPr="00144FA9">
        <w:rPr>
          <w:rFonts w:ascii="Arial" w:hAnsi="Arial" w:cs="Arial"/>
          <w:iCs/>
          <w:sz w:val="24"/>
          <w:szCs w:val="24"/>
        </w:rPr>
        <w:t xml:space="preserve">2 and the disease it causes is called COVID-19. COVID-19 is presently understood to most likely spread from person-to-person contact. </w:t>
      </w:r>
      <w:r w:rsidR="00170CC3" w:rsidRPr="00144FA9">
        <w:rPr>
          <w:rFonts w:ascii="Arial" w:hAnsi="Arial" w:cs="Arial"/>
          <w:iCs/>
          <w:sz w:val="24"/>
          <w:szCs w:val="24"/>
        </w:rPr>
        <w:t xml:space="preserve">The current estimates of the time it takes for symptoms to develop after being exposed to the virus that causes COVID-19 is a range of 2 to 14 days. </w:t>
      </w:r>
      <w:r w:rsidRPr="00144FA9">
        <w:rPr>
          <w:rFonts w:ascii="Arial" w:hAnsi="Arial" w:cs="Arial"/>
          <w:iCs/>
          <w:sz w:val="24"/>
          <w:szCs w:val="24"/>
        </w:rPr>
        <w:t xml:space="preserve">At this stage, there is no known vaccine or antiviral against COVID-19. </w:t>
      </w:r>
    </w:p>
    <w:p w14:paraId="072EA647" w14:textId="77777777" w:rsidR="00B94A29" w:rsidRPr="00144FA9" w:rsidRDefault="00B94A29" w:rsidP="003364EC">
      <w:pPr>
        <w:ind w:right="-45"/>
        <w:contextualSpacing/>
        <w:mirrorIndents/>
        <w:rPr>
          <w:rFonts w:ascii="Arial" w:hAnsi="Arial" w:cs="Arial"/>
          <w:iCs/>
          <w:sz w:val="24"/>
          <w:szCs w:val="24"/>
        </w:rPr>
      </w:pPr>
    </w:p>
    <w:p w14:paraId="546B1E99" w14:textId="772FFDF5" w:rsidR="00A02EC2" w:rsidRPr="00144FA9" w:rsidRDefault="00A02EC2" w:rsidP="003364EC">
      <w:pPr>
        <w:ind w:right="-45"/>
        <w:contextualSpacing/>
        <w:mirrorIndents/>
        <w:rPr>
          <w:rFonts w:ascii="Arial" w:hAnsi="Arial" w:cs="Arial"/>
          <w:iCs/>
          <w:sz w:val="24"/>
          <w:szCs w:val="24"/>
        </w:rPr>
      </w:pPr>
      <w:r w:rsidRPr="00144FA9">
        <w:rPr>
          <w:rFonts w:ascii="Arial" w:hAnsi="Arial" w:cs="Arial"/>
          <w:iCs/>
          <w:sz w:val="24"/>
          <w:szCs w:val="24"/>
        </w:rPr>
        <w:t>On 30</w:t>
      </w:r>
      <w:r w:rsidR="00170CC3" w:rsidRPr="00144FA9">
        <w:rPr>
          <w:rFonts w:ascii="Arial" w:hAnsi="Arial" w:cs="Arial"/>
          <w:iCs/>
          <w:sz w:val="24"/>
          <w:szCs w:val="24"/>
        </w:rPr>
        <w:t> </w:t>
      </w:r>
      <w:r w:rsidRPr="00144FA9">
        <w:rPr>
          <w:rFonts w:ascii="Arial" w:hAnsi="Arial" w:cs="Arial"/>
          <w:iCs/>
          <w:sz w:val="24"/>
          <w:szCs w:val="24"/>
        </w:rPr>
        <w:t xml:space="preserve">January 2020, the Director-General of the World Health Organisation (WHO) declared the outbreak of COVID-19 a Public Health Emergency of International Concern. On 11 March 2020, the Director-General of </w:t>
      </w:r>
      <w:r w:rsidR="009B446F" w:rsidRPr="00144FA9">
        <w:rPr>
          <w:rFonts w:ascii="Arial" w:hAnsi="Arial" w:cs="Arial"/>
          <w:iCs/>
          <w:sz w:val="24"/>
          <w:szCs w:val="24"/>
        </w:rPr>
        <w:t xml:space="preserve">the </w:t>
      </w:r>
      <w:r w:rsidRPr="00144FA9">
        <w:rPr>
          <w:rFonts w:ascii="Arial" w:hAnsi="Arial" w:cs="Arial"/>
          <w:iCs/>
          <w:sz w:val="24"/>
          <w:szCs w:val="24"/>
        </w:rPr>
        <w:t xml:space="preserve">WHO declared COVID-19 a global pandemic. </w:t>
      </w:r>
      <w:r w:rsidR="005069ED" w:rsidRPr="00144FA9">
        <w:rPr>
          <w:rFonts w:ascii="Arial" w:hAnsi="Arial" w:cs="Arial"/>
          <w:iCs/>
          <w:sz w:val="24"/>
          <w:szCs w:val="24"/>
        </w:rPr>
        <w:t xml:space="preserve">The WHO requested that every country urgently take necessary measures to ready emergency response systems. </w:t>
      </w:r>
    </w:p>
    <w:p w14:paraId="43A7A0E2" w14:textId="77777777" w:rsidR="008D743E" w:rsidRPr="00407B3A" w:rsidRDefault="008D743E" w:rsidP="003364EC">
      <w:pPr>
        <w:ind w:right="-45"/>
        <w:contextualSpacing/>
        <w:mirrorIndents/>
        <w:rPr>
          <w:rFonts w:ascii="Arial" w:hAnsi="Arial" w:cs="Arial"/>
          <w:iCs/>
          <w:sz w:val="24"/>
          <w:szCs w:val="24"/>
          <w:highlight w:val="yellow"/>
        </w:rPr>
      </w:pPr>
    </w:p>
    <w:p w14:paraId="2C81BC09" w14:textId="623B486F" w:rsidR="00A02EC2" w:rsidRPr="00407B3A" w:rsidRDefault="00A02EC2" w:rsidP="003364EC">
      <w:pPr>
        <w:ind w:right="-45"/>
        <w:contextualSpacing/>
        <w:mirrorIndents/>
        <w:rPr>
          <w:rFonts w:ascii="Arial" w:hAnsi="Arial" w:cs="Arial"/>
          <w:iCs/>
          <w:sz w:val="24"/>
          <w:szCs w:val="24"/>
          <w:highlight w:val="yellow"/>
        </w:rPr>
      </w:pPr>
      <w:r w:rsidRPr="002B7DA6">
        <w:rPr>
          <w:rFonts w:ascii="Arial" w:hAnsi="Arial" w:cs="Arial"/>
          <w:iCs/>
          <w:sz w:val="24"/>
          <w:szCs w:val="24"/>
        </w:rPr>
        <w:t xml:space="preserve">On 16 March 2020, the Minister for Health declared a public health emergency under section 119 of the </w:t>
      </w:r>
      <w:r w:rsidRPr="002B7DA6">
        <w:rPr>
          <w:rFonts w:ascii="Arial" w:hAnsi="Arial" w:cs="Arial"/>
          <w:i/>
          <w:sz w:val="24"/>
          <w:szCs w:val="24"/>
        </w:rPr>
        <w:t xml:space="preserve">Public Health Act 1997 </w:t>
      </w:r>
      <w:r w:rsidRPr="002B7DA6">
        <w:rPr>
          <w:rFonts w:ascii="Arial" w:hAnsi="Arial" w:cs="Arial"/>
          <w:iCs/>
          <w:sz w:val="24"/>
          <w:szCs w:val="24"/>
        </w:rPr>
        <w:t>(the Act) due to the public health risk to the ACT community posed by COVID-19</w:t>
      </w:r>
      <w:r w:rsidR="002B7DA6">
        <w:rPr>
          <w:rFonts w:ascii="Arial" w:hAnsi="Arial" w:cs="Arial"/>
          <w:iCs/>
          <w:sz w:val="24"/>
          <w:szCs w:val="24"/>
        </w:rPr>
        <w:t>.</w:t>
      </w:r>
      <w:r w:rsidRPr="00407B3A">
        <w:rPr>
          <w:rFonts w:ascii="Arial" w:hAnsi="Arial" w:cs="Arial"/>
          <w:iCs/>
          <w:sz w:val="24"/>
          <w:szCs w:val="24"/>
          <w:highlight w:val="yellow"/>
        </w:rPr>
        <w:t xml:space="preserve"> </w:t>
      </w:r>
    </w:p>
    <w:p w14:paraId="63FFA58D" w14:textId="77777777" w:rsidR="009B446F" w:rsidRPr="00136B30" w:rsidRDefault="009B446F" w:rsidP="003364EC">
      <w:pPr>
        <w:ind w:right="-45"/>
        <w:contextualSpacing/>
        <w:mirrorIndents/>
        <w:rPr>
          <w:rFonts w:ascii="Arial" w:hAnsi="Arial" w:cs="Arial"/>
          <w:iCs/>
          <w:sz w:val="24"/>
          <w:szCs w:val="24"/>
        </w:rPr>
      </w:pPr>
    </w:p>
    <w:p w14:paraId="081760B1" w14:textId="43F05FE1" w:rsidR="00A02EC2" w:rsidRPr="00136B30" w:rsidRDefault="00A02EC2" w:rsidP="003364EC">
      <w:pPr>
        <w:ind w:right="-45"/>
        <w:contextualSpacing/>
        <w:mirrorIndents/>
        <w:rPr>
          <w:rFonts w:ascii="Arial" w:hAnsi="Arial" w:cs="Arial"/>
          <w:iCs/>
          <w:sz w:val="24"/>
          <w:szCs w:val="24"/>
        </w:rPr>
      </w:pPr>
      <w:r w:rsidRPr="00136B30">
        <w:rPr>
          <w:rFonts w:ascii="Arial" w:hAnsi="Arial" w:cs="Arial"/>
          <w:iCs/>
          <w:sz w:val="24"/>
          <w:szCs w:val="24"/>
        </w:rPr>
        <w:t>As at</w:t>
      </w:r>
      <w:r w:rsidR="002B7DA6" w:rsidRPr="00136B30">
        <w:rPr>
          <w:rFonts w:ascii="Arial" w:hAnsi="Arial" w:cs="Arial"/>
          <w:iCs/>
          <w:sz w:val="24"/>
          <w:szCs w:val="24"/>
        </w:rPr>
        <w:t xml:space="preserve"> </w:t>
      </w:r>
      <w:r w:rsidR="00685CD5">
        <w:rPr>
          <w:rFonts w:ascii="Arial" w:hAnsi="Arial" w:cs="Arial"/>
          <w:iCs/>
          <w:sz w:val="24"/>
          <w:szCs w:val="24"/>
        </w:rPr>
        <w:t xml:space="preserve">1 June </w:t>
      </w:r>
      <w:r w:rsidR="00144AF8" w:rsidRPr="00136B30">
        <w:rPr>
          <w:rFonts w:ascii="Arial" w:hAnsi="Arial" w:cs="Arial"/>
          <w:iCs/>
          <w:sz w:val="24"/>
          <w:szCs w:val="24"/>
        </w:rPr>
        <w:t>2020</w:t>
      </w:r>
      <w:r w:rsidRPr="00136B30">
        <w:rPr>
          <w:rFonts w:ascii="Arial" w:hAnsi="Arial" w:cs="Arial"/>
          <w:iCs/>
          <w:sz w:val="24"/>
          <w:szCs w:val="24"/>
        </w:rPr>
        <w:t xml:space="preserve">, the WHO has reported that there are </w:t>
      </w:r>
      <w:r w:rsidR="00685CD5">
        <w:rPr>
          <w:rFonts w:ascii="Arial" w:hAnsi="Arial" w:cs="Arial"/>
          <w:iCs/>
          <w:sz w:val="24"/>
          <w:szCs w:val="24"/>
        </w:rPr>
        <w:t xml:space="preserve">6,057,853 </w:t>
      </w:r>
      <w:r w:rsidRPr="00136B30">
        <w:rPr>
          <w:rFonts w:ascii="Arial" w:hAnsi="Arial" w:cs="Arial"/>
          <w:iCs/>
          <w:sz w:val="24"/>
          <w:szCs w:val="24"/>
        </w:rPr>
        <w:t>confirmed cases of COVID-19 worldwide</w:t>
      </w:r>
      <w:r w:rsidR="00F94441" w:rsidRPr="00136B30">
        <w:rPr>
          <w:rFonts w:ascii="Arial" w:hAnsi="Arial" w:cs="Arial"/>
          <w:iCs/>
          <w:sz w:val="24"/>
          <w:szCs w:val="24"/>
        </w:rPr>
        <w:t>, and the Australian Government has reported</w:t>
      </w:r>
      <w:r w:rsidR="0020747C" w:rsidRPr="00136B30">
        <w:rPr>
          <w:rFonts w:ascii="Arial" w:hAnsi="Arial" w:cs="Arial"/>
          <w:iCs/>
          <w:sz w:val="24"/>
          <w:szCs w:val="24"/>
        </w:rPr>
        <w:t xml:space="preserve"> </w:t>
      </w:r>
      <w:r w:rsidR="00726D50" w:rsidRPr="00136B30">
        <w:rPr>
          <w:rFonts w:ascii="Arial" w:hAnsi="Arial" w:cs="Arial"/>
          <w:iCs/>
          <w:sz w:val="24"/>
          <w:szCs w:val="24"/>
        </w:rPr>
        <w:t>7,</w:t>
      </w:r>
      <w:r w:rsidR="00685CD5">
        <w:rPr>
          <w:rFonts w:ascii="Arial" w:hAnsi="Arial" w:cs="Arial"/>
          <w:iCs/>
          <w:sz w:val="24"/>
          <w:szCs w:val="24"/>
        </w:rPr>
        <w:t>204</w:t>
      </w:r>
      <w:r w:rsidR="00F94441" w:rsidRPr="00136B30">
        <w:rPr>
          <w:rFonts w:ascii="Arial" w:hAnsi="Arial" w:cs="Arial"/>
          <w:iCs/>
          <w:sz w:val="24"/>
          <w:szCs w:val="24"/>
        </w:rPr>
        <w:t xml:space="preserve"> </w:t>
      </w:r>
      <w:r w:rsidRPr="00136B30">
        <w:rPr>
          <w:rFonts w:ascii="Arial" w:hAnsi="Arial" w:cs="Arial"/>
          <w:iCs/>
          <w:sz w:val="24"/>
          <w:szCs w:val="24"/>
        </w:rPr>
        <w:t>confirmed cases in Australia</w:t>
      </w:r>
      <w:r w:rsidR="0020747C" w:rsidRPr="00136B30">
        <w:rPr>
          <w:rFonts w:ascii="Arial" w:hAnsi="Arial" w:cs="Arial"/>
          <w:iCs/>
          <w:sz w:val="24"/>
          <w:szCs w:val="24"/>
        </w:rPr>
        <w:t xml:space="preserve"> and </w:t>
      </w:r>
      <w:r w:rsidR="00726D50" w:rsidRPr="00136B30">
        <w:rPr>
          <w:rFonts w:ascii="Arial" w:hAnsi="Arial" w:cs="Arial"/>
          <w:iCs/>
          <w:sz w:val="24"/>
          <w:szCs w:val="24"/>
        </w:rPr>
        <w:t>10</w:t>
      </w:r>
      <w:r w:rsidR="00685CD5">
        <w:rPr>
          <w:rFonts w:ascii="Arial" w:hAnsi="Arial" w:cs="Arial"/>
          <w:iCs/>
          <w:sz w:val="24"/>
          <w:szCs w:val="24"/>
        </w:rPr>
        <w:t>3</w:t>
      </w:r>
      <w:r w:rsidRPr="00136B30">
        <w:rPr>
          <w:rFonts w:ascii="Arial" w:hAnsi="Arial" w:cs="Arial"/>
          <w:iCs/>
          <w:sz w:val="24"/>
          <w:szCs w:val="24"/>
        </w:rPr>
        <w:t xml:space="preserve"> deaths as a result of COVID-19. </w:t>
      </w:r>
      <w:r w:rsidR="00F94441" w:rsidRPr="00136B30">
        <w:rPr>
          <w:rFonts w:ascii="Arial" w:hAnsi="Arial" w:cs="Arial"/>
          <w:iCs/>
          <w:sz w:val="24"/>
          <w:szCs w:val="24"/>
        </w:rPr>
        <w:t xml:space="preserve">As of </w:t>
      </w:r>
      <w:r w:rsidR="00685CD5">
        <w:rPr>
          <w:rFonts w:ascii="Arial" w:hAnsi="Arial" w:cs="Arial"/>
          <w:iCs/>
          <w:sz w:val="24"/>
          <w:szCs w:val="24"/>
        </w:rPr>
        <w:t xml:space="preserve">1 June </w:t>
      </w:r>
      <w:r w:rsidR="00144AF8" w:rsidRPr="00136B30">
        <w:rPr>
          <w:rFonts w:ascii="Arial" w:hAnsi="Arial" w:cs="Arial"/>
          <w:iCs/>
          <w:sz w:val="24"/>
          <w:szCs w:val="24"/>
        </w:rPr>
        <w:t>2020</w:t>
      </w:r>
      <w:r w:rsidR="00F94441" w:rsidRPr="00136B30">
        <w:rPr>
          <w:rFonts w:ascii="Arial" w:hAnsi="Arial" w:cs="Arial"/>
          <w:iCs/>
          <w:sz w:val="24"/>
          <w:szCs w:val="24"/>
        </w:rPr>
        <w:t>, t</w:t>
      </w:r>
      <w:r w:rsidRPr="00136B30">
        <w:rPr>
          <w:rFonts w:ascii="Arial" w:hAnsi="Arial" w:cs="Arial"/>
          <w:iCs/>
          <w:sz w:val="24"/>
          <w:szCs w:val="24"/>
        </w:rPr>
        <w:t>he ACT ha</w:t>
      </w:r>
      <w:r w:rsidR="00F94441" w:rsidRPr="00136B30">
        <w:rPr>
          <w:rFonts w:ascii="Arial" w:hAnsi="Arial" w:cs="Arial"/>
          <w:iCs/>
          <w:sz w:val="24"/>
          <w:szCs w:val="24"/>
        </w:rPr>
        <w:t>d</w:t>
      </w:r>
      <w:r w:rsidRPr="00136B30">
        <w:rPr>
          <w:rFonts w:ascii="Arial" w:hAnsi="Arial" w:cs="Arial"/>
          <w:iCs/>
          <w:sz w:val="24"/>
          <w:szCs w:val="24"/>
        </w:rPr>
        <w:t xml:space="preserve"> </w:t>
      </w:r>
      <w:r w:rsidR="00144AF8" w:rsidRPr="00136B30">
        <w:rPr>
          <w:rFonts w:ascii="Arial" w:hAnsi="Arial" w:cs="Arial"/>
          <w:iCs/>
          <w:sz w:val="24"/>
          <w:szCs w:val="24"/>
        </w:rPr>
        <w:t>107</w:t>
      </w:r>
      <w:r w:rsidR="00F94441" w:rsidRPr="00136B30">
        <w:rPr>
          <w:rFonts w:ascii="Arial" w:hAnsi="Arial" w:cs="Arial"/>
          <w:iCs/>
          <w:sz w:val="24"/>
          <w:szCs w:val="24"/>
        </w:rPr>
        <w:t xml:space="preserve"> </w:t>
      </w:r>
      <w:r w:rsidRPr="00136B30">
        <w:rPr>
          <w:rFonts w:ascii="Arial" w:hAnsi="Arial" w:cs="Arial"/>
          <w:iCs/>
          <w:sz w:val="24"/>
          <w:szCs w:val="24"/>
        </w:rPr>
        <w:t xml:space="preserve">confirmed cases </w:t>
      </w:r>
      <w:r w:rsidR="0093575F" w:rsidRPr="00136B30">
        <w:rPr>
          <w:rFonts w:ascii="Arial" w:hAnsi="Arial" w:cs="Arial"/>
          <w:iCs/>
          <w:sz w:val="24"/>
          <w:szCs w:val="24"/>
        </w:rPr>
        <w:t xml:space="preserve">and </w:t>
      </w:r>
      <w:r w:rsidR="00144AF8" w:rsidRPr="00136B30">
        <w:rPr>
          <w:rFonts w:ascii="Arial" w:hAnsi="Arial" w:cs="Arial"/>
          <w:iCs/>
          <w:sz w:val="24"/>
          <w:szCs w:val="24"/>
        </w:rPr>
        <w:t>3 people</w:t>
      </w:r>
      <w:r w:rsidR="00F94441" w:rsidRPr="00136B30">
        <w:rPr>
          <w:rFonts w:ascii="Arial" w:hAnsi="Arial" w:cs="Arial"/>
          <w:iCs/>
          <w:sz w:val="24"/>
          <w:szCs w:val="24"/>
        </w:rPr>
        <w:t xml:space="preserve"> had died</w:t>
      </w:r>
      <w:r w:rsidR="0093575F" w:rsidRPr="00136B30">
        <w:rPr>
          <w:rFonts w:ascii="Arial" w:hAnsi="Arial" w:cs="Arial"/>
          <w:iCs/>
          <w:sz w:val="24"/>
          <w:szCs w:val="24"/>
        </w:rPr>
        <w:t xml:space="preserve"> from COVID-19. </w:t>
      </w:r>
    </w:p>
    <w:p w14:paraId="29C29316" w14:textId="191FC7DA" w:rsidR="007B6A78" w:rsidRPr="00726D50" w:rsidRDefault="003323FA" w:rsidP="003364EC">
      <w:pPr>
        <w:pStyle w:val="Heading2"/>
        <w:spacing w:before="0" w:after="200"/>
        <w:contextualSpacing/>
        <w:mirrorIndents/>
        <w:rPr>
          <w:rFonts w:cs="Arial"/>
          <w:szCs w:val="24"/>
        </w:rPr>
      </w:pPr>
      <w:r w:rsidRPr="00726D50">
        <w:rPr>
          <w:rFonts w:cs="Arial"/>
          <w:szCs w:val="24"/>
        </w:rPr>
        <w:t>OVERVIEW OF THE BILL</w:t>
      </w:r>
    </w:p>
    <w:p w14:paraId="59279090" w14:textId="1BEBB8A0" w:rsidR="007B6A78" w:rsidRPr="00726D50" w:rsidRDefault="00104B8D" w:rsidP="003364EC">
      <w:pPr>
        <w:ind w:right="-45"/>
        <w:contextualSpacing/>
        <w:mirrorIndents/>
        <w:rPr>
          <w:rFonts w:ascii="Arial" w:hAnsi="Arial" w:cs="Arial"/>
          <w:iCs/>
          <w:sz w:val="24"/>
          <w:szCs w:val="24"/>
        </w:rPr>
      </w:pPr>
      <w:r w:rsidRPr="00726D50">
        <w:rPr>
          <w:rFonts w:ascii="Arial" w:hAnsi="Arial" w:cs="Arial"/>
          <w:iCs/>
          <w:sz w:val="24"/>
          <w:szCs w:val="24"/>
        </w:rPr>
        <w:t>Part</w:t>
      </w:r>
      <w:r w:rsidR="007F42FD" w:rsidRPr="00726D50">
        <w:rPr>
          <w:rFonts w:ascii="Arial" w:hAnsi="Arial" w:cs="Arial"/>
          <w:iCs/>
          <w:sz w:val="24"/>
          <w:szCs w:val="24"/>
        </w:rPr>
        <w:t xml:space="preserve"> 7 of the </w:t>
      </w:r>
      <w:r w:rsidR="00A02EC2" w:rsidRPr="00726D50">
        <w:rPr>
          <w:rFonts w:ascii="Arial" w:hAnsi="Arial" w:cs="Arial"/>
          <w:iCs/>
          <w:sz w:val="24"/>
          <w:szCs w:val="24"/>
        </w:rPr>
        <w:t>Act</w:t>
      </w:r>
      <w:r w:rsidR="007F42FD" w:rsidRPr="00726D50">
        <w:rPr>
          <w:rFonts w:ascii="Arial" w:hAnsi="Arial" w:cs="Arial"/>
          <w:i/>
          <w:sz w:val="24"/>
          <w:szCs w:val="24"/>
        </w:rPr>
        <w:t xml:space="preserve"> </w:t>
      </w:r>
      <w:r w:rsidR="007F42FD" w:rsidRPr="00726D50">
        <w:rPr>
          <w:rFonts w:ascii="Arial" w:hAnsi="Arial" w:cs="Arial"/>
          <w:iCs/>
          <w:sz w:val="24"/>
          <w:szCs w:val="24"/>
        </w:rPr>
        <w:t xml:space="preserve">relates to public health emergencies. Section 119 of the Act provides that the Minister for Health may declare a public health emergency if satisfied that it is justified in the circumstances. </w:t>
      </w:r>
    </w:p>
    <w:p w14:paraId="5FFBDEE0" w14:textId="77777777" w:rsidR="009B446F" w:rsidRPr="00407B3A" w:rsidRDefault="009B446F" w:rsidP="003364EC">
      <w:pPr>
        <w:ind w:right="-45"/>
        <w:contextualSpacing/>
        <w:mirrorIndents/>
        <w:rPr>
          <w:rFonts w:ascii="Arial" w:hAnsi="Arial" w:cs="Arial"/>
          <w:iCs/>
          <w:sz w:val="24"/>
          <w:szCs w:val="24"/>
          <w:highlight w:val="yellow"/>
        </w:rPr>
      </w:pPr>
    </w:p>
    <w:p w14:paraId="3B303136" w14:textId="66831401" w:rsidR="0059422E" w:rsidRDefault="0059422E" w:rsidP="003364EC">
      <w:pPr>
        <w:ind w:right="-45"/>
        <w:contextualSpacing/>
        <w:mirrorIndents/>
        <w:rPr>
          <w:rFonts w:ascii="Arial" w:hAnsi="Arial" w:cs="Arial"/>
          <w:iCs/>
          <w:sz w:val="24"/>
          <w:szCs w:val="24"/>
        </w:rPr>
      </w:pPr>
      <w:r w:rsidRPr="00726D50">
        <w:rPr>
          <w:rFonts w:ascii="Arial" w:hAnsi="Arial" w:cs="Arial"/>
          <w:iCs/>
          <w:sz w:val="24"/>
          <w:szCs w:val="24"/>
        </w:rPr>
        <w:t>An emergency declaration activates a range of emergency actions and powers.</w:t>
      </w:r>
      <w:r w:rsidR="00CB4B87" w:rsidRPr="00726D50">
        <w:rPr>
          <w:rFonts w:ascii="Arial" w:hAnsi="Arial" w:cs="Arial"/>
          <w:iCs/>
          <w:sz w:val="24"/>
          <w:szCs w:val="24"/>
        </w:rPr>
        <w:t xml:space="preserve"> While an emergency declaration is in force, </w:t>
      </w:r>
      <w:r w:rsidR="00726D50">
        <w:rPr>
          <w:rFonts w:ascii="Arial" w:hAnsi="Arial" w:cs="Arial"/>
          <w:iCs/>
          <w:sz w:val="24"/>
          <w:szCs w:val="24"/>
        </w:rPr>
        <w:t xml:space="preserve">section 120 of the Act empowers </w:t>
      </w:r>
      <w:r w:rsidR="00CB4B87" w:rsidRPr="00726D50">
        <w:rPr>
          <w:rFonts w:ascii="Arial" w:hAnsi="Arial" w:cs="Arial"/>
          <w:iCs/>
          <w:sz w:val="24"/>
          <w:szCs w:val="24"/>
        </w:rPr>
        <w:t xml:space="preserve">the chief health officer </w:t>
      </w:r>
      <w:r w:rsidR="00726D50">
        <w:rPr>
          <w:rFonts w:ascii="Arial" w:hAnsi="Arial" w:cs="Arial"/>
          <w:iCs/>
          <w:sz w:val="24"/>
          <w:szCs w:val="24"/>
        </w:rPr>
        <w:t>to</w:t>
      </w:r>
      <w:r w:rsidR="00CB4B87" w:rsidRPr="00726D50">
        <w:rPr>
          <w:rFonts w:ascii="Arial" w:hAnsi="Arial" w:cs="Arial"/>
          <w:iCs/>
          <w:sz w:val="24"/>
          <w:szCs w:val="24"/>
        </w:rPr>
        <w:t xml:space="preserve"> take any action, or give any</w:t>
      </w:r>
      <w:r w:rsidR="00C37B79" w:rsidRPr="00726D50">
        <w:rPr>
          <w:rFonts w:ascii="Arial" w:hAnsi="Arial" w:cs="Arial"/>
          <w:iCs/>
          <w:sz w:val="24"/>
          <w:szCs w:val="24"/>
        </w:rPr>
        <w:t xml:space="preserve"> direction, he or she considers necessary or desirable to alleviate the emergency specified in the direction. </w:t>
      </w:r>
    </w:p>
    <w:p w14:paraId="4DA36911" w14:textId="50A818C6" w:rsidR="00726D50" w:rsidRDefault="00726D50" w:rsidP="003364EC">
      <w:pPr>
        <w:ind w:right="-45"/>
        <w:contextualSpacing/>
        <w:mirrorIndents/>
        <w:rPr>
          <w:rFonts w:ascii="Arial" w:hAnsi="Arial" w:cs="Arial"/>
          <w:iCs/>
          <w:sz w:val="24"/>
          <w:szCs w:val="24"/>
        </w:rPr>
      </w:pPr>
    </w:p>
    <w:p w14:paraId="75B310B1" w14:textId="2B2F27D7" w:rsidR="00AF04C1" w:rsidRDefault="00726D50" w:rsidP="003364EC">
      <w:pPr>
        <w:ind w:right="-45"/>
        <w:contextualSpacing/>
        <w:mirrorIndents/>
        <w:rPr>
          <w:rFonts w:ascii="Arial" w:hAnsi="Arial" w:cs="Arial"/>
          <w:iCs/>
          <w:sz w:val="24"/>
          <w:szCs w:val="24"/>
        </w:rPr>
      </w:pPr>
      <w:r>
        <w:rPr>
          <w:rFonts w:ascii="Arial" w:hAnsi="Arial" w:cs="Arial"/>
          <w:iCs/>
          <w:sz w:val="24"/>
          <w:szCs w:val="24"/>
        </w:rPr>
        <w:lastRenderedPageBreak/>
        <w:t>Under section 122 of the Act, a</w:t>
      </w:r>
      <w:r w:rsidR="00AF04C1">
        <w:rPr>
          <w:rFonts w:ascii="Arial" w:hAnsi="Arial" w:cs="Arial"/>
          <w:iCs/>
          <w:sz w:val="24"/>
          <w:szCs w:val="24"/>
        </w:rPr>
        <w:t>n eligible person may apply to the Minister for Health for compensation in relation to any loss or damage suffered by a person as a result of anything done in the exercise of a function under part 7, being a function exercised while an emergency declaration was in force.</w:t>
      </w:r>
    </w:p>
    <w:p w14:paraId="60859EAE" w14:textId="77777777" w:rsidR="00AF04C1" w:rsidRDefault="00AF04C1" w:rsidP="003364EC">
      <w:pPr>
        <w:ind w:right="-45"/>
        <w:contextualSpacing/>
        <w:mirrorIndents/>
        <w:rPr>
          <w:rFonts w:ascii="Arial" w:hAnsi="Arial" w:cs="Arial"/>
          <w:iCs/>
          <w:sz w:val="24"/>
          <w:szCs w:val="24"/>
        </w:rPr>
      </w:pPr>
    </w:p>
    <w:p w14:paraId="5BCB4F4D" w14:textId="58EE3CC8" w:rsidR="00726D50" w:rsidRDefault="00726D50" w:rsidP="003364EC">
      <w:pPr>
        <w:ind w:right="-45"/>
        <w:contextualSpacing/>
        <w:mirrorIndents/>
        <w:rPr>
          <w:rFonts w:ascii="Arial" w:hAnsi="Arial" w:cs="Arial"/>
          <w:iCs/>
          <w:sz w:val="24"/>
          <w:szCs w:val="24"/>
        </w:rPr>
      </w:pPr>
      <w:r>
        <w:rPr>
          <w:rFonts w:ascii="Arial" w:hAnsi="Arial" w:cs="Arial"/>
          <w:iCs/>
          <w:sz w:val="24"/>
          <w:szCs w:val="24"/>
        </w:rPr>
        <w:t>The Bill amends the Act to provide that compensation will not be payable to an otherwise eligible person</w:t>
      </w:r>
      <w:r w:rsidR="00AF04C1">
        <w:rPr>
          <w:rFonts w:ascii="Arial" w:hAnsi="Arial" w:cs="Arial"/>
          <w:iCs/>
          <w:sz w:val="24"/>
          <w:szCs w:val="24"/>
        </w:rPr>
        <w:t xml:space="preserve"> in relation to any loss or damage suffered as a result of anything done in the exercise of a function under part 7 in relation to a COVID-19 declaration while the declaration was in force</w:t>
      </w:r>
      <w:r w:rsidR="00D2144C">
        <w:rPr>
          <w:rFonts w:ascii="Arial" w:hAnsi="Arial" w:cs="Arial"/>
          <w:iCs/>
          <w:sz w:val="24"/>
          <w:szCs w:val="24"/>
        </w:rPr>
        <w:t xml:space="preserve">. An exception is provided for </w:t>
      </w:r>
      <w:r w:rsidR="00685CD5">
        <w:rPr>
          <w:rFonts w:ascii="Arial" w:hAnsi="Arial" w:cs="Arial"/>
          <w:iCs/>
          <w:sz w:val="24"/>
          <w:szCs w:val="24"/>
        </w:rPr>
        <w:t>anything done in relation to a direction given under section 120(1)(f)</w:t>
      </w:r>
      <w:r w:rsidR="00D2144C">
        <w:rPr>
          <w:rFonts w:ascii="Arial" w:hAnsi="Arial" w:cs="Arial"/>
          <w:iCs/>
          <w:sz w:val="24"/>
          <w:szCs w:val="24"/>
        </w:rPr>
        <w:t xml:space="preserve"> which relates to the power of the chief health officer to direct the occupier of property to place the property at the disposal or control of the chief health officer. The</w:t>
      </w:r>
      <w:r w:rsidR="00AF04C1">
        <w:rPr>
          <w:rFonts w:ascii="Arial" w:hAnsi="Arial" w:cs="Arial"/>
          <w:iCs/>
          <w:sz w:val="24"/>
          <w:szCs w:val="24"/>
        </w:rPr>
        <w:t xml:space="preserve"> amendment is taken to have commenced on 16 March 2020 when the Minister for Health declared the public health emergency in relation to COVID-19. </w:t>
      </w:r>
    </w:p>
    <w:p w14:paraId="46B15BB3" w14:textId="1D17AF35" w:rsidR="00F80B8D" w:rsidRDefault="00F80B8D" w:rsidP="003364EC">
      <w:pPr>
        <w:ind w:right="-45"/>
        <w:contextualSpacing/>
        <w:mirrorIndents/>
        <w:rPr>
          <w:rFonts w:ascii="Arial" w:hAnsi="Arial" w:cs="Arial"/>
          <w:iCs/>
          <w:sz w:val="24"/>
          <w:szCs w:val="24"/>
        </w:rPr>
      </w:pPr>
    </w:p>
    <w:p w14:paraId="30A946A4" w14:textId="13B3393D" w:rsidR="00F80B8D" w:rsidRPr="00136B30" w:rsidRDefault="00173334" w:rsidP="003364EC">
      <w:pPr>
        <w:ind w:right="-45"/>
        <w:contextualSpacing/>
        <w:mirrorIndents/>
        <w:rPr>
          <w:rFonts w:ascii="Arial" w:hAnsi="Arial" w:cs="Arial"/>
          <w:b/>
          <w:bCs/>
          <w:iCs/>
          <w:sz w:val="24"/>
          <w:szCs w:val="24"/>
        </w:rPr>
      </w:pPr>
      <w:r>
        <w:rPr>
          <w:rFonts w:ascii="Arial" w:hAnsi="Arial" w:cs="Arial"/>
          <w:b/>
          <w:bCs/>
          <w:iCs/>
          <w:sz w:val="24"/>
          <w:szCs w:val="24"/>
        </w:rPr>
        <w:t>JUSTIFICATION FOR THE BILL</w:t>
      </w:r>
    </w:p>
    <w:p w14:paraId="6599A756" w14:textId="52B57737" w:rsidR="00AF04C1" w:rsidRDefault="00AF04C1">
      <w:pPr>
        <w:ind w:right="-45"/>
        <w:contextualSpacing/>
        <w:mirrorIndents/>
        <w:rPr>
          <w:rFonts w:ascii="Arial" w:hAnsi="Arial" w:cs="Arial"/>
          <w:iCs/>
          <w:sz w:val="24"/>
          <w:szCs w:val="24"/>
        </w:rPr>
      </w:pPr>
    </w:p>
    <w:p w14:paraId="18E83427" w14:textId="77777777" w:rsidR="00834B23" w:rsidRDefault="00173334">
      <w:pPr>
        <w:ind w:right="-45"/>
        <w:contextualSpacing/>
        <w:mirrorIndents/>
        <w:rPr>
          <w:rFonts w:ascii="Arial" w:hAnsi="Arial" w:cs="Arial"/>
          <w:iCs/>
          <w:sz w:val="24"/>
          <w:szCs w:val="24"/>
        </w:rPr>
      </w:pPr>
      <w:r>
        <w:rPr>
          <w:rFonts w:ascii="Arial" w:hAnsi="Arial" w:cs="Arial"/>
          <w:iCs/>
          <w:sz w:val="24"/>
          <w:szCs w:val="24"/>
        </w:rPr>
        <w:t xml:space="preserve">It could never have been contemplated when section 122 was drafted that the Territory might face the current emergency circumstances.  The range and scope of possible claims that might be made by persons and organisations </w:t>
      </w:r>
      <w:r w:rsidR="00834B23">
        <w:rPr>
          <w:rFonts w:ascii="Arial" w:hAnsi="Arial" w:cs="Arial"/>
          <w:iCs/>
          <w:sz w:val="24"/>
          <w:szCs w:val="24"/>
        </w:rPr>
        <w:t>affected by</w:t>
      </w:r>
      <w:r>
        <w:rPr>
          <w:rFonts w:ascii="Arial" w:hAnsi="Arial" w:cs="Arial"/>
          <w:iCs/>
          <w:sz w:val="24"/>
          <w:szCs w:val="24"/>
        </w:rPr>
        <w:t xml:space="preserve"> the directions made by the Chief Health Officer are potentially of a scope beyond the financial means of the Territory to meet.  Even were attempts to be made to impose modest limits on the range and scope of claims that might be made, the </w:t>
      </w:r>
      <w:r w:rsidR="00834B23">
        <w:rPr>
          <w:rFonts w:ascii="Arial" w:hAnsi="Arial" w:cs="Arial"/>
          <w:iCs/>
          <w:sz w:val="24"/>
          <w:szCs w:val="24"/>
        </w:rPr>
        <w:t>all-</w:t>
      </w:r>
      <w:r>
        <w:rPr>
          <w:rFonts w:ascii="Arial" w:hAnsi="Arial" w:cs="Arial"/>
          <w:iCs/>
          <w:sz w:val="24"/>
          <w:szCs w:val="24"/>
        </w:rPr>
        <w:t xml:space="preserve">pervading effect of the directions </w:t>
      </w:r>
      <w:r w:rsidR="00834B23">
        <w:rPr>
          <w:rFonts w:ascii="Arial" w:hAnsi="Arial" w:cs="Arial"/>
          <w:iCs/>
          <w:sz w:val="24"/>
          <w:szCs w:val="24"/>
        </w:rPr>
        <w:t>would still involve amounts that would neuter the capacity of the Territory to continue the broad range of measures intended for the benefit of the community as a whole and indeed to plan for and conduct the ordinary business of government.</w:t>
      </w:r>
    </w:p>
    <w:p w14:paraId="7DCDD55B" w14:textId="77777777" w:rsidR="00834B23" w:rsidRDefault="00834B23">
      <w:pPr>
        <w:ind w:right="-45"/>
        <w:contextualSpacing/>
        <w:mirrorIndents/>
        <w:rPr>
          <w:rFonts w:ascii="Arial" w:hAnsi="Arial" w:cs="Arial"/>
          <w:iCs/>
          <w:sz w:val="24"/>
          <w:szCs w:val="24"/>
        </w:rPr>
      </w:pPr>
    </w:p>
    <w:p w14:paraId="212DCC48" w14:textId="02B964A3" w:rsidR="00F80B8D" w:rsidRDefault="00AF04C1">
      <w:pPr>
        <w:ind w:right="-45"/>
        <w:contextualSpacing/>
        <w:mirrorIndents/>
        <w:rPr>
          <w:rFonts w:ascii="Arial" w:hAnsi="Arial" w:cs="Arial"/>
          <w:sz w:val="24"/>
          <w:szCs w:val="24"/>
          <w:lang w:eastAsia="en-AU"/>
        </w:rPr>
      </w:pPr>
      <w:r w:rsidRPr="00611FAA">
        <w:rPr>
          <w:rFonts w:ascii="Arial" w:hAnsi="Arial" w:cs="Arial"/>
          <w:iCs/>
          <w:sz w:val="24"/>
          <w:szCs w:val="24"/>
        </w:rPr>
        <w:t xml:space="preserve">The amendment will </w:t>
      </w:r>
      <w:r w:rsidR="00611FAA" w:rsidRPr="00611FAA">
        <w:rPr>
          <w:rFonts w:ascii="Arial" w:hAnsi="Arial" w:cs="Arial"/>
          <w:iCs/>
          <w:sz w:val="24"/>
          <w:szCs w:val="24"/>
        </w:rPr>
        <w:t xml:space="preserve">ensure that the ACT Government can effectively target resources </w:t>
      </w:r>
      <w:r w:rsidR="00886A87">
        <w:rPr>
          <w:rFonts w:ascii="Arial" w:hAnsi="Arial" w:cs="Arial"/>
          <w:iCs/>
          <w:sz w:val="24"/>
          <w:szCs w:val="24"/>
        </w:rPr>
        <w:t xml:space="preserve">aimed </w:t>
      </w:r>
      <w:r w:rsidR="00611FAA" w:rsidRPr="00611FAA">
        <w:rPr>
          <w:rFonts w:ascii="Arial" w:hAnsi="Arial" w:cs="Arial"/>
          <w:iCs/>
          <w:sz w:val="24"/>
          <w:szCs w:val="24"/>
        </w:rPr>
        <w:t xml:space="preserve">at achieving goals </w:t>
      </w:r>
      <w:r w:rsidR="00C97E94">
        <w:rPr>
          <w:rFonts w:ascii="Arial" w:hAnsi="Arial" w:cs="Arial"/>
          <w:iCs/>
          <w:sz w:val="24"/>
          <w:szCs w:val="24"/>
        </w:rPr>
        <w:t xml:space="preserve">including </w:t>
      </w:r>
      <w:r w:rsidR="00834B23">
        <w:rPr>
          <w:rFonts w:ascii="Arial" w:hAnsi="Arial" w:cs="Arial"/>
          <w:iCs/>
          <w:sz w:val="24"/>
          <w:szCs w:val="24"/>
        </w:rPr>
        <w:t>supporting the</w:t>
      </w:r>
      <w:r w:rsidR="00834B23" w:rsidRPr="00611FAA">
        <w:rPr>
          <w:rFonts w:ascii="Arial" w:hAnsi="Arial" w:cs="Arial"/>
          <w:iCs/>
          <w:sz w:val="24"/>
          <w:szCs w:val="24"/>
        </w:rPr>
        <w:t xml:space="preserve"> </w:t>
      </w:r>
      <w:r w:rsidR="00611FAA" w:rsidRPr="00611FAA">
        <w:rPr>
          <w:rFonts w:ascii="Arial" w:hAnsi="Arial" w:cs="Arial"/>
          <w:iCs/>
          <w:sz w:val="24"/>
          <w:szCs w:val="24"/>
        </w:rPr>
        <w:t xml:space="preserve">medium to longer term health </w:t>
      </w:r>
      <w:r w:rsidR="00834B23">
        <w:rPr>
          <w:rFonts w:ascii="Arial" w:hAnsi="Arial" w:cs="Arial"/>
          <w:iCs/>
          <w:sz w:val="24"/>
          <w:szCs w:val="24"/>
        </w:rPr>
        <w:t>of</w:t>
      </w:r>
      <w:r w:rsidR="00834B23" w:rsidRPr="00611FAA">
        <w:rPr>
          <w:rFonts w:ascii="Arial" w:hAnsi="Arial" w:cs="Arial"/>
          <w:iCs/>
          <w:sz w:val="24"/>
          <w:szCs w:val="24"/>
        </w:rPr>
        <w:t xml:space="preserve"> </w:t>
      </w:r>
      <w:r w:rsidR="00611FAA" w:rsidRPr="00611FAA">
        <w:rPr>
          <w:rFonts w:ascii="Arial" w:hAnsi="Arial" w:cs="Arial"/>
          <w:iCs/>
          <w:sz w:val="24"/>
          <w:szCs w:val="24"/>
        </w:rPr>
        <w:t xml:space="preserve">the Territory economy. </w:t>
      </w:r>
      <w:r w:rsidR="00C97E94">
        <w:rPr>
          <w:rFonts w:ascii="Arial" w:hAnsi="Arial" w:cs="Arial"/>
          <w:iCs/>
          <w:sz w:val="24"/>
          <w:szCs w:val="24"/>
        </w:rPr>
        <w:t>It will</w:t>
      </w:r>
      <w:r w:rsidR="00C97E94" w:rsidRPr="00C97E94">
        <w:rPr>
          <w:rFonts w:ascii="Arial" w:hAnsi="Arial" w:cs="Arial"/>
          <w:iCs/>
          <w:sz w:val="24"/>
          <w:szCs w:val="24"/>
        </w:rPr>
        <w:t xml:space="preserve"> protect the ongoing financial viability and sustainability of the Territory and allow the ACT Government to deliver essential services</w:t>
      </w:r>
      <w:r w:rsidR="000B141C">
        <w:rPr>
          <w:rFonts w:ascii="Arial" w:hAnsi="Arial" w:cs="Arial"/>
          <w:iCs/>
          <w:sz w:val="24"/>
          <w:szCs w:val="24"/>
        </w:rPr>
        <w:t>,</w:t>
      </w:r>
      <w:r w:rsidR="00C97E94" w:rsidRPr="00C97E94">
        <w:rPr>
          <w:rFonts w:ascii="Arial" w:hAnsi="Arial" w:cs="Arial"/>
          <w:iCs/>
          <w:sz w:val="24"/>
          <w:szCs w:val="24"/>
        </w:rPr>
        <w:t xml:space="preserve"> address needs in the Canberra community</w:t>
      </w:r>
      <w:r w:rsidR="000B141C">
        <w:rPr>
          <w:rFonts w:ascii="Arial" w:hAnsi="Arial" w:cs="Arial"/>
          <w:iCs/>
          <w:sz w:val="24"/>
          <w:szCs w:val="24"/>
        </w:rPr>
        <w:t xml:space="preserve"> </w:t>
      </w:r>
      <w:r w:rsidR="000B141C" w:rsidRPr="000B141C">
        <w:rPr>
          <w:rFonts w:ascii="Arial" w:hAnsi="Arial" w:cs="Arial"/>
          <w:iCs/>
          <w:sz w:val="24"/>
          <w:szCs w:val="24"/>
        </w:rPr>
        <w:t>and respond effectively to the ongoing COVID-19 emergency.</w:t>
      </w:r>
    </w:p>
    <w:p w14:paraId="37A9CD4F" w14:textId="77777777" w:rsidR="00C97E94" w:rsidRPr="00F80B8D" w:rsidRDefault="00C97E94" w:rsidP="00F80B8D">
      <w:pPr>
        <w:ind w:right="-45"/>
        <w:contextualSpacing/>
        <w:mirrorIndents/>
        <w:rPr>
          <w:rFonts w:ascii="Arial" w:hAnsi="Arial" w:cs="Arial"/>
          <w:iCs/>
          <w:sz w:val="24"/>
          <w:szCs w:val="24"/>
        </w:rPr>
      </w:pPr>
    </w:p>
    <w:p w14:paraId="201977CB" w14:textId="36E234AF" w:rsidR="000B141C" w:rsidRPr="000B141C" w:rsidRDefault="00C97E94" w:rsidP="000B141C">
      <w:pPr>
        <w:ind w:right="-45"/>
        <w:contextualSpacing/>
        <w:mirrorIndents/>
        <w:rPr>
          <w:rFonts w:ascii="Arial" w:hAnsi="Arial" w:cs="Arial"/>
          <w:iCs/>
          <w:sz w:val="24"/>
          <w:szCs w:val="24"/>
        </w:rPr>
      </w:pPr>
      <w:r>
        <w:rPr>
          <w:rFonts w:ascii="Arial" w:hAnsi="Arial" w:cs="Arial"/>
          <w:iCs/>
          <w:sz w:val="24"/>
          <w:szCs w:val="24"/>
        </w:rPr>
        <w:t>In the context of the COVID-19 pandemic, t</w:t>
      </w:r>
      <w:r w:rsidR="00F80B8D" w:rsidRPr="00F80B8D">
        <w:rPr>
          <w:rFonts w:ascii="Arial" w:hAnsi="Arial" w:cs="Arial"/>
          <w:iCs/>
          <w:sz w:val="24"/>
          <w:szCs w:val="24"/>
        </w:rPr>
        <w:t xml:space="preserve">he chief health officer has made a range of directions with respect to the public health emergency and these may continue in some form for some months in order to protect the Canberra community from COVID-19. COVID-19 presents a significant risk to the health and livelihoods of everyone in the ACT community. The scale of the COVID-19 pandemic, and the response required to protect the community, is unprecedented. </w:t>
      </w:r>
      <w:r w:rsidR="00834B23">
        <w:rPr>
          <w:rFonts w:ascii="Arial" w:hAnsi="Arial" w:cs="Arial"/>
          <w:iCs/>
          <w:sz w:val="24"/>
          <w:szCs w:val="24"/>
        </w:rPr>
        <w:t>S</w:t>
      </w:r>
      <w:r>
        <w:rPr>
          <w:rFonts w:ascii="Arial" w:hAnsi="Arial" w:cs="Arial"/>
          <w:iCs/>
          <w:sz w:val="24"/>
          <w:szCs w:val="24"/>
        </w:rPr>
        <w:t>ection 122</w:t>
      </w:r>
      <w:r w:rsidRPr="00C97E94">
        <w:rPr>
          <w:rFonts w:ascii="Arial" w:hAnsi="Arial" w:cs="Arial"/>
          <w:iCs/>
          <w:sz w:val="24"/>
          <w:szCs w:val="24"/>
        </w:rPr>
        <w:t xml:space="preserve"> </w:t>
      </w:r>
      <w:r w:rsidR="00834B23">
        <w:rPr>
          <w:rFonts w:ascii="Arial" w:hAnsi="Arial" w:cs="Arial"/>
          <w:iCs/>
          <w:sz w:val="24"/>
          <w:szCs w:val="24"/>
        </w:rPr>
        <w:t>of</w:t>
      </w:r>
      <w:r w:rsidR="00834B23" w:rsidRPr="00C97E94">
        <w:rPr>
          <w:rFonts w:ascii="Arial" w:hAnsi="Arial" w:cs="Arial"/>
          <w:iCs/>
          <w:sz w:val="24"/>
          <w:szCs w:val="24"/>
        </w:rPr>
        <w:t xml:space="preserve"> </w:t>
      </w:r>
      <w:r w:rsidRPr="00C97E94">
        <w:rPr>
          <w:rFonts w:ascii="Arial" w:hAnsi="Arial" w:cs="Arial"/>
          <w:iCs/>
          <w:sz w:val="24"/>
          <w:szCs w:val="24"/>
        </w:rPr>
        <w:t xml:space="preserve">the Act </w:t>
      </w:r>
      <w:r>
        <w:rPr>
          <w:rFonts w:ascii="Arial" w:hAnsi="Arial" w:cs="Arial"/>
          <w:iCs/>
          <w:sz w:val="24"/>
          <w:szCs w:val="24"/>
        </w:rPr>
        <w:t xml:space="preserve">is not well targeted to the current environment </w:t>
      </w:r>
      <w:r w:rsidRPr="00C97E94">
        <w:rPr>
          <w:rFonts w:ascii="Arial" w:hAnsi="Arial" w:cs="Arial"/>
          <w:iCs/>
          <w:sz w:val="24"/>
          <w:szCs w:val="24"/>
        </w:rPr>
        <w:t xml:space="preserve">and opens the Territory to </w:t>
      </w:r>
      <w:r w:rsidR="00834B23">
        <w:rPr>
          <w:rFonts w:ascii="Arial" w:hAnsi="Arial" w:cs="Arial"/>
          <w:iCs/>
          <w:sz w:val="24"/>
          <w:szCs w:val="24"/>
        </w:rPr>
        <w:t xml:space="preserve">significant </w:t>
      </w:r>
      <w:r w:rsidRPr="00C97E94">
        <w:rPr>
          <w:rFonts w:ascii="Arial" w:hAnsi="Arial" w:cs="Arial"/>
          <w:iCs/>
          <w:sz w:val="24"/>
          <w:szCs w:val="24"/>
        </w:rPr>
        <w:t>potential liability for unpredictable claims.</w:t>
      </w:r>
      <w:r w:rsidR="000B141C">
        <w:rPr>
          <w:rFonts w:ascii="Arial" w:hAnsi="Arial" w:cs="Arial"/>
          <w:iCs/>
          <w:sz w:val="24"/>
          <w:szCs w:val="24"/>
        </w:rPr>
        <w:t xml:space="preserve"> </w:t>
      </w:r>
      <w:r w:rsidR="00E26B19">
        <w:rPr>
          <w:rFonts w:ascii="Arial" w:hAnsi="Arial" w:cs="Arial"/>
          <w:iCs/>
          <w:sz w:val="24"/>
          <w:szCs w:val="24"/>
        </w:rPr>
        <w:t>I</w:t>
      </w:r>
      <w:r w:rsidR="00E26B19" w:rsidRPr="00E26B19">
        <w:rPr>
          <w:rFonts w:ascii="Arial" w:hAnsi="Arial" w:cs="Arial"/>
          <w:iCs/>
          <w:sz w:val="24"/>
          <w:szCs w:val="24"/>
        </w:rPr>
        <w:t xml:space="preserve">t has the potential to significantly divert assistance from the broader ACT community. </w:t>
      </w:r>
      <w:r w:rsidR="000B141C" w:rsidRPr="000B141C">
        <w:rPr>
          <w:rFonts w:ascii="Arial" w:hAnsi="Arial" w:cs="Arial"/>
          <w:iCs/>
          <w:sz w:val="24"/>
          <w:szCs w:val="24"/>
        </w:rPr>
        <w:t xml:space="preserve">The retrospective </w:t>
      </w:r>
      <w:r w:rsidR="000B141C" w:rsidRPr="000B141C">
        <w:rPr>
          <w:rFonts w:ascii="Arial" w:hAnsi="Arial" w:cs="Arial"/>
          <w:iCs/>
          <w:sz w:val="24"/>
          <w:szCs w:val="24"/>
        </w:rPr>
        <w:lastRenderedPageBreak/>
        <w:t xml:space="preserve">application of the amendment is necessary </w:t>
      </w:r>
      <w:r w:rsidR="000B141C">
        <w:rPr>
          <w:rFonts w:ascii="Arial" w:hAnsi="Arial" w:cs="Arial"/>
          <w:iCs/>
          <w:sz w:val="24"/>
          <w:szCs w:val="24"/>
        </w:rPr>
        <w:t xml:space="preserve">noting the context of the public health directions having been made. </w:t>
      </w:r>
    </w:p>
    <w:p w14:paraId="31DA01F2" w14:textId="77777777" w:rsidR="00C97E94" w:rsidRDefault="00C97E94" w:rsidP="00F80B8D">
      <w:pPr>
        <w:ind w:right="-45"/>
        <w:contextualSpacing/>
        <w:mirrorIndents/>
        <w:rPr>
          <w:rFonts w:ascii="Arial" w:hAnsi="Arial" w:cs="Arial"/>
          <w:iCs/>
          <w:sz w:val="24"/>
          <w:szCs w:val="24"/>
        </w:rPr>
      </w:pPr>
    </w:p>
    <w:p w14:paraId="402DFDC4" w14:textId="779B04C4" w:rsidR="00154497" w:rsidRDefault="00C97E94" w:rsidP="00F80B8D">
      <w:pPr>
        <w:ind w:right="-45"/>
        <w:contextualSpacing/>
        <w:mirrorIndents/>
        <w:rPr>
          <w:rFonts w:ascii="Arial" w:hAnsi="Arial" w:cs="Arial"/>
          <w:iCs/>
          <w:sz w:val="24"/>
          <w:szCs w:val="24"/>
        </w:rPr>
      </w:pPr>
      <w:r>
        <w:rPr>
          <w:rFonts w:ascii="Arial" w:hAnsi="Arial" w:cs="Arial"/>
          <w:iCs/>
          <w:sz w:val="24"/>
          <w:szCs w:val="24"/>
        </w:rPr>
        <w:t>The amendment is a law which allows the Territory to respond to the COVID-19 emergency including</w:t>
      </w:r>
      <w:r w:rsidR="00154497">
        <w:rPr>
          <w:rFonts w:ascii="Arial" w:hAnsi="Arial" w:cs="Arial"/>
          <w:iCs/>
          <w:sz w:val="24"/>
          <w:szCs w:val="24"/>
        </w:rPr>
        <w:t xml:space="preserve"> providing</w:t>
      </w:r>
      <w:r>
        <w:rPr>
          <w:rFonts w:ascii="Arial" w:hAnsi="Arial" w:cs="Arial"/>
          <w:iCs/>
          <w:sz w:val="24"/>
          <w:szCs w:val="24"/>
        </w:rPr>
        <w:t xml:space="preserve"> target</w:t>
      </w:r>
      <w:r w:rsidR="009E1002">
        <w:rPr>
          <w:rFonts w:ascii="Arial" w:hAnsi="Arial" w:cs="Arial"/>
          <w:iCs/>
          <w:sz w:val="24"/>
          <w:szCs w:val="24"/>
        </w:rPr>
        <w:t>ed</w:t>
      </w:r>
      <w:r>
        <w:rPr>
          <w:rFonts w:ascii="Arial" w:hAnsi="Arial" w:cs="Arial"/>
          <w:iCs/>
          <w:sz w:val="24"/>
          <w:szCs w:val="24"/>
        </w:rPr>
        <w:t xml:space="preserve"> financial support</w:t>
      </w:r>
      <w:r w:rsidR="000B141C">
        <w:rPr>
          <w:rFonts w:ascii="Arial" w:hAnsi="Arial" w:cs="Arial"/>
          <w:iCs/>
          <w:sz w:val="24"/>
          <w:szCs w:val="24"/>
        </w:rPr>
        <w:t xml:space="preserve"> to areas of need</w:t>
      </w:r>
      <w:r w:rsidR="000B141C" w:rsidRPr="000B141C">
        <w:rPr>
          <w:rFonts w:ascii="Arial" w:hAnsi="Arial" w:cs="Arial"/>
          <w:iCs/>
          <w:sz w:val="24"/>
          <w:szCs w:val="24"/>
        </w:rPr>
        <w:t xml:space="preserve"> </w:t>
      </w:r>
      <w:r w:rsidR="00154497">
        <w:rPr>
          <w:rFonts w:ascii="Arial" w:hAnsi="Arial" w:cs="Arial"/>
          <w:iCs/>
          <w:sz w:val="24"/>
          <w:szCs w:val="24"/>
        </w:rPr>
        <w:t>in a way that</w:t>
      </w:r>
      <w:r w:rsidR="000B141C" w:rsidRPr="000B141C">
        <w:rPr>
          <w:rFonts w:ascii="Arial" w:hAnsi="Arial" w:cs="Arial"/>
          <w:iCs/>
          <w:sz w:val="24"/>
          <w:szCs w:val="24"/>
        </w:rPr>
        <w:t xml:space="preserve"> represent</w:t>
      </w:r>
      <w:r w:rsidR="00154497">
        <w:rPr>
          <w:rFonts w:ascii="Arial" w:hAnsi="Arial" w:cs="Arial"/>
          <w:iCs/>
          <w:sz w:val="24"/>
          <w:szCs w:val="24"/>
        </w:rPr>
        <w:t xml:space="preserve">s </w:t>
      </w:r>
      <w:r w:rsidR="000B141C" w:rsidRPr="000B141C">
        <w:rPr>
          <w:rFonts w:ascii="Arial" w:hAnsi="Arial" w:cs="Arial"/>
          <w:iCs/>
          <w:sz w:val="24"/>
          <w:szCs w:val="24"/>
        </w:rPr>
        <w:t>the best use of</w:t>
      </w:r>
      <w:r w:rsidR="000B141C">
        <w:rPr>
          <w:rFonts w:ascii="Arial" w:hAnsi="Arial" w:cs="Arial"/>
          <w:iCs/>
          <w:sz w:val="24"/>
          <w:szCs w:val="24"/>
        </w:rPr>
        <w:t xml:space="preserve"> limited</w:t>
      </w:r>
      <w:r w:rsidR="000B141C" w:rsidRPr="000B141C">
        <w:rPr>
          <w:rFonts w:ascii="Arial" w:hAnsi="Arial" w:cs="Arial"/>
          <w:iCs/>
          <w:sz w:val="24"/>
          <w:szCs w:val="24"/>
        </w:rPr>
        <w:t xml:space="preserve"> public monies</w:t>
      </w:r>
      <w:r>
        <w:rPr>
          <w:rFonts w:ascii="Arial" w:hAnsi="Arial" w:cs="Arial"/>
          <w:iCs/>
          <w:sz w:val="24"/>
          <w:szCs w:val="24"/>
        </w:rPr>
        <w:t xml:space="preserve">. </w:t>
      </w:r>
      <w:r w:rsidR="00834B23">
        <w:rPr>
          <w:rFonts w:ascii="Arial" w:hAnsi="Arial" w:cs="Arial"/>
          <w:iCs/>
          <w:sz w:val="24"/>
          <w:szCs w:val="24"/>
        </w:rPr>
        <w:t xml:space="preserve"> It is </w:t>
      </w:r>
      <w:r w:rsidR="00730FE6">
        <w:rPr>
          <w:rFonts w:ascii="Arial" w:hAnsi="Arial" w:cs="Arial"/>
          <w:iCs/>
          <w:sz w:val="24"/>
          <w:szCs w:val="24"/>
        </w:rPr>
        <w:t xml:space="preserve">a law </w:t>
      </w:r>
      <w:r w:rsidR="00834B23">
        <w:rPr>
          <w:rFonts w:ascii="Arial" w:hAnsi="Arial" w:cs="Arial"/>
          <w:iCs/>
          <w:sz w:val="24"/>
          <w:szCs w:val="24"/>
        </w:rPr>
        <w:t xml:space="preserve">within the power of the Legislative Assembly and </w:t>
      </w:r>
      <w:r w:rsidR="00730FE6">
        <w:rPr>
          <w:rFonts w:ascii="Arial" w:hAnsi="Arial" w:cs="Arial"/>
          <w:iCs/>
          <w:sz w:val="24"/>
          <w:szCs w:val="24"/>
        </w:rPr>
        <w:t>is not</w:t>
      </w:r>
      <w:r w:rsidR="00834B23" w:rsidRPr="00834B23">
        <w:rPr>
          <w:rFonts w:ascii="Arial" w:hAnsi="Arial" w:cs="Arial"/>
          <w:iCs/>
          <w:sz w:val="24"/>
          <w:szCs w:val="24"/>
        </w:rPr>
        <w:t xml:space="preserve"> a law for the acquisition of property other than on just terms</w:t>
      </w:r>
      <w:r w:rsidR="00834B23">
        <w:rPr>
          <w:rFonts w:ascii="Arial" w:hAnsi="Arial" w:cs="Arial"/>
          <w:iCs/>
          <w:sz w:val="24"/>
          <w:szCs w:val="24"/>
        </w:rPr>
        <w:t xml:space="preserve">.  </w:t>
      </w:r>
      <w:r w:rsidR="00F80B8D" w:rsidRPr="00F80B8D">
        <w:rPr>
          <w:rFonts w:ascii="Arial" w:hAnsi="Arial" w:cs="Arial"/>
          <w:iCs/>
          <w:sz w:val="24"/>
          <w:szCs w:val="24"/>
        </w:rPr>
        <w:t xml:space="preserve">Since the start of the COVID-19 emergency, the ACT Government has provided significant support to the community to deal with the impacts of COVID-19 on the community. The stimulus packages have totalled over $350 million. In particular, the ACT Government has implemented measures to provide significant support to small and medium businesses who are facing a downturn in the local economy as a result of the public health directions. </w:t>
      </w:r>
    </w:p>
    <w:p w14:paraId="572A83E7" w14:textId="77777777" w:rsidR="00154497" w:rsidRDefault="00154497" w:rsidP="00F80B8D">
      <w:pPr>
        <w:ind w:right="-45"/>
        <w:contextualSpacing/>
        <w:mirrorIndents/>
        <w:rPr>
          <w:rFonts w:ascii="Arial" w:hAnsi="Arial" w:cs="Arial"/>
          <w:iCs/>
          <w:sz w:val="24"/>
          <w:szCs w:val="24"/>
        </w:rPr>
      </w:pPr>
    </w:p>
    <w:p w14:paraId="46D0D286" w14:textId="7968E7A6" w:rsidR="00F80B8D" w:rsidRDefault="00F80B8D" w:rsidP="00F80B8D">
      <w:pPr>
        <w:ind w:right="-45"/>
        <w:contextualSpacing/>
        <w:mirrorIndents/>
        <w:rPr>
          <w:rFonts w:ascii="Arial" w:hAnsi="Arial" w:cs="Arial"/>
          <w:iCs/>
          <w:sz w:val="24"/>
          <w:szCs w:val="24"/>
        </w:rPr>
      </w:pPr>
      <w:r w:rsidRPr="00F80B8D">
        <w:rPr>
          <w:rFonts w:ascii="Arial" w:hAnsi="Arial" w:cs="Arial"/>
          <w:iCs/>
          <w:sz w:val="24"/>
          <w:szCs w:val="24"/>
        </w:rPr>
        <w:t xml:space="preserve">These initiatives include: </w:t>
      </w:r>
    </w:p>
    <w:p w14:paraId="2E97D4BA" w14:textId="77777777" w:rsidR="00177C52" w:rsidRPr="00F80B8D" w:rsidRDefault="00177C52" w:rsidP="00F80B8D">
      <w:pPr>
        <w:ind w:right="-45"/>
        <w:contextualSpacing/>
        <w:mirrorIndents/>
        <w:rPr>
          <w:rFonts w:ascii="Arial" w:hAnsi="Arial" w:cs="Arial"/>
          <w:iCs/>
          <w:sz w:val="24"/>
          <w:szCs w:val="24"/>
        </w:rPr>
      </w:pPr>
    </w:p>
    <w:p w14:paraId="54292A48"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Waiver of food business registration, liquor licensing and outdoor dining fees for 12 months; </w:t>
      </w:r>
    </w:p>
    <w:p w14:paraId="4A47F08F"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Waiver of rideshare vehicle licence, hire care licence and taxi plate fees for 12 months; </w:t>
      </w:r>
    </w:p>
    <w:p w14:paraId="44E48713"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Waiver of infection control licence fees (for businesses such as beauty therapists, nail salons and tattoo parlours) for 12 months;</w:t>
      </w:r>
    </w:p>
    <w:p w14:paraId="0E1EB7AD"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Waiver of payroll tax for all businesses whose operations are directly affected by the public health directions (such as gyms, indoor sporting venues and cinemas); </w:t>
      </w:r>
    </w:p>
    <w:p w14:paraId="4B791E2C"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Interest-free deferral of payroll tax for businesses with wages of up to $10 million until 1 July 2022; </w:t>
      </w:r>
    </w:p>
    <w:p w14:paraId="00874BEA"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Interest-free deferral of payroll tax for businesses in the construction industry until 1 September 2020; </w:t>
      </w:r>
    </w:p>
    <w:p w14:paraId="6177FFE3"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Extension of time to pay commercial general rates and an automatic credit of the annual fixed charge; </w:t>
      </w:r>
    </w:p>
    <w:p w14:paraId="53A083ED"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Interest-free deferral of commercial general rates for property owners who have been affected by COVID-19 until 1 October 2020; </w:t>
      </w:r>
    </w:p>
    <w:p w14:paraId="4FF205F2"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Rental relief to tenants of ACT Government owned properties;</w:t>
      </w:r>
    </w:p>
    <w:p w14:paraId="12DAEF81"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Electricity rebates for small businesses; and </w:t>
      </w:r>
    </w:p>
    <w:p w14:paraId="7422F27D" w14:textId="77777777" w:rsidR="00F80B8D" w:rsidRPr="00F80B8D" w:rsidRDefault="00F80B8D" w:rsidP="00F80B8D">
      <w:pPr>
        <w:numPr>
          <w:ilvl w:val="0"/>
          <w:numId w:val="9"/>
        </w:numPr>
        <w:ind w:right="-45"/>
        <w:contextualSpacing/>
        <w:mirrorIndents/>
        <w:rPr>
          <w:rFonts w:ascii="Arial" w:hAnsi="Arial" w:cs="Arial"/>
          <w:iCs/>
          <w:sz w:val="24"/>
          <w:szCs w:val="24"/>
        </w:rPr>
      </w:pPr>
      <w:r w:rsidRPr="00F80B8D">
        <w:rPr>
          <w:rFonts w:ascii="Arial" w:hAnsi="Arial" w:cs="Arial"/>
          <w:iCs/>
          <w:sz w:val="24"/>
          <w:szCs w:val="24"/>
        </w:rPr>
        <w:t xml:space="preserve">A tiered category system to provide relief to commercial property landlords and owner-occupiers. </w:t>
      </w:r>
    </w:p>
    <w:p w14:paraId="7BBDA250" w14:textId="77777777" w:rsidR="00F80B8D" w:rsidRPr="00F80B8D" w:rsidRDefault="00F80B8D" w:rsidP="00F80B8D">
      <w:pPr>
        <w:ind w:right="-45"/>
        <w:contextualSpacing/>
        <w:mirrorIndents/>
        <w:rPr>
          <w:rFonts w:ascii="Arial" w:hAnsi="Arial" w:cs="Arial"/>
          <w:iCs/>
          <w:sz w:val="24"/>
          <w:szCs w:val="24"/>
        </w:rPr>
      </w:pPr>
    </w:p>
    <w:p w14:paraId="3508CF79" w14:textId="74E5E1E7" w:rsidR="00F80B8D" w:rsidRDefault="00F80B8D" w:rsidP="00F80B8D">
      <w:pPr>
        <w:ind w:right="-45"/>
        <w:contextualSpacing/>
        <w:mirrorIndents/>
        <w:rPr>
          <w:rFonts w:ascii="Arial" w:hAnsi="Arial" w:cs="Arial"/>
          <w:iCs/>
          <w:sz w:val="24"/>
          <w:szCs w:val="24"/>
        </w:rPr>
      </w:pPr>
      <w:r w:rsidRPr="00F80B8D">
        <w:rPr>
          <w:rFonts w:ascii="Arial" w:hAnsi="Arial" w:cs="Arial"/>
          <w:iCs/>
          <w:sz w:val="24"/>
          <w:szCs w:val="24"/>
        </w:rPr>
        <w:t xml:space="preserve">The ACT Government has also implemented employment-related measures to assist to reduce the financial effects of the COVID-19 emergency and keep the local economy moving. For example, the Government is fast tracking additional infrastructure projects that will support local jobs and businesses and provide the community with better infrastructure and services into the future. The Government has also created additional roles within the ACT Public Service to provide work </w:t>
      </w:r>
      <w:r w:rsidRPr="00F80B8D">
        <w:rPr>
          <w:rFonts w:ascii="Arial" w:hAnsi="Arial" w:cs="Arial"/>
          <w:iCs/>
          <w:sz w:val="24"/>
          <w:szCs w:val="24"/>
        </w:rPr>
        <w:lastRenderedPageBreak/>
        <w:t xml:space="preserve">opportunities for people in the casual or semi-skilled workforce who have lost their jobs or been significantly impacted due to COVID-19.  </w:t>
      </w:r>
    </w:p>
    <w:p w14:paraId="32185C2C" w14:textId="77777777" w:rsidR="00C97E94" w:rsidRPr="00F80B8D" w:rsidRDefault="00C97E94" w:rsidP="00F80B8D">
      <w:pPr>
        <w:ind w:right="-45"/>
        <w:contextualSpacing/>
        <w:mirrorIndents/>
        <w:rPr>
          <w:rFonts w:ascii="Arial" w:hAnsi="Arial" w:cs="Arial"/>
          <w:iCs/>
          <w:sz w:val="24"/>
          <w:szCs w:val="24"/>
        </w:rPr>
      </w:pPr>
    </w:p>
    <w:p w14:paraId="2E0C2AE7" w14:textId="1112BEBA" w:rsidR="00F80B8D" w:rsidRPr="00F80B8D" w:rsidRDefault="00F80B8D" w:rsidP="00F80B8D">
      <w:pPr>
        <w:ind w:right="-45"/>
        <w:contextualSpacing/>
        <w:mirrorIndents/>
        <w:rPr>
          <w:rFonts w:ascii="Arial" w:hAnsi="Arial" w:cs="Arial"/>
          <w:iCs/>
          <w:sz w:val="24"/>
          <w:szCs w:val="24"/>
        </w:rPr>
      </w:pPr>
      <w:r w:rsidRPr="00F80B8D">
        <w:rPr>
          <w:rFonts w:ascii="Arial" w:hAnsi="Arial" w:cs="Arial"/>
          <w:iCs/>
          <w:sz w:val="24"/>
          <w:szCs w:val="24"/>
        </w:rPr>
        <w:t xml:space="preserve">In addition, the ACT Government has extended $9 million in financial support to the non-government sector through the COVID-19 Community Support Package. The funding will provide direct relief to members of the community, support the not-for profit sector to deliver further mental health and community support, and boost the capacity of critical community services to meet demand. These measures have required significant, immediate financial investment from the Government to ensure that help is getting to the parts of our community that need it the most. This investment has been aimed at supporting our community to deal with and survive the immediate impacts of COVID-19, but also the medium and longer term </w:t>
      </w:r>
      <w:r w:rsidR="009E1002">
        <w:rPr>
          <w:rFonts w:ascii="Arial" w:hAnsi="Arial" w:cs="Arial"/>
          <w:iCs/>
          <w:sz w:val="24"/>
          <w:szCs w:val="24"/>
        </w:rPr>
        <w:t>e</w:t>
      </w:r>
      <w:r w:rsidRPr="00F80B8D">
        <w:rPr>
          <w:rFonts w:ascii="Arial" w:hAnsi="Arial" w:cs="Arial"/>
          <w:iCs/>
          <w:sz w:val="24"/>
          <w:szCs w:val="24"/>
        </w:rPr>
        <w:t xml:space="preserve">ffects that the pandemic will have on the health of our economy. </w:t>
      </w:r>
    </w:p>
    <w:p w14:paraId="23D6A082" w14:textId="77777777" w:rsidR="00F80B8D" w:rsidRPr="00F80B8D" w:rsidRDefault="00F80B8D" w:rsidP="00F80B8D">
      <w:pPr>
        <w:ind w:right="-45"/>
        <w:contextualSpacing/>
        <w:mirrorIndents/>
        <w:rPr>
          <w:rFonts w:ascii="Arial" w:hAnsi="Arial" w:cs="Arial"/>
          <w:iCs/>
          <w:sz w:val="24"/>
          <w:szCs w:val="24"/>
        </w:rPr>
      </w:pPr>
    </w:p>
    <w:p w14:paraId="6F546BA3" w14:textId="60EBD98F" w:rsidR="000B141C" w:rsidRDefault="00F80B8D" w:rsidP="00F80B8D">
      <w:pPr>
        <w:ind w:right="-45"/>
        <w:contextualSpacing/>
        <w:mirrorIndents/>
        <w:rPr>
          <w:rFonts w:ascii="Arial" w:hAnsi="Arial" w:cs="Arial"/>
          <w:sz w:val="24"/>
          <w:szCs w:val="24"/>
          <w:lang w:eastAsia="en-AU"/>
        </w:rPr>
      </w:pPr>
      <w:r w:rsidRPr="00F80B8D">
        <w:rPr>
          <w:rFonts w:ascii="Arial" w:hAnsi="Arial" w:cs="Arial"/>
          <w:iCs/>
          <w:sz w:val="24"/>
          <w:szCs w:val="24"/>
        </w:rPr>
        <w:t>The ACT Government has also implemented a range of other initiatives to assist the community in relation to the impact of COVID-19 and the necessary steps taken to protect the community as a result. This includes temporary amendments to residential tenancy laws and laws dealing with commercial leases to assist landlords and tenants.</w:t>
      </w:r>
      <w:r w:rsidRPr="00F80B8D">
        <w:rPr>
          <w:rFonts w:ascii="Arial" w:hAnsi="Arial" w:cs="Arial"/>
          <w:iCs/>
          <w:sz w:val="24"/>
          <w:szCs w:val="24"/>
          <w:vertAlign w:val="superscript"/>
        </w:rPr>
        <w:footnoteReference w:id="2"/>
      </w:r>
      <w:r w:rsidRPr="00F80B8D">
        <w:rPr>
          <w:rFonts w:ascii="Arial" w:hAnsi="Arial" w:cs="Arial"/>
          <w:iCs/>
          <w:sz w:val="24"/>
          <w:szCs w:val="24"/>
        </w:rPr>
        <w:t xml:space="preserve"> Other measures include a moratorium on evictions for failure to pay rent and a restriction on rental increases for households impacted by COVID-19.</w:t>
      </w:r>
      <w:r w:rsidRPr="00F80B8D">
        <w:rPr>
          <w:rFonts w:ascii="Arial" w:hAnsi="Arial" w:cs="Arial"/>
          <w:iCs/>
          <w:sz w:val="24"/>
          <w:szCs w:val="24"/>
          <w:vertAlign w:val="superscript"/>
        </w:rPr>
        <w:footnoteReference w:id="3"/>
      </w:r>
      <w:r w:rsidRPr="00F80B8D">
        <w:rPr>
          <w:rFonts w:ascii="Arial" w:hAnsi="Arial" w:cs="Arial"/>
          <w:iCs/>
          <w:sz w:val="24"/>
          <w:szCs w:val="24"/>
        </w:rPr>
        <w:t xml:space="preserve"> The ACT government has also introduced land tax/rate relief for landlords who agree to rent reductions and provided mediation services to assist landlords and tenants to resolve disputes. This reflects that all governments in Australia have adopted a holistic approach to support the entire community through a suite of measures designed to assist the community and those parts of it particularly affected, of which financial assistance forms a part.</w:t>
      </w:r>
      <w:r w:rsidR="00C97E94" w:rsidRPr="00C97E94">
        <w:rPr>
          <w:rFonts w:ascii="Arial" w:hAnsi="Arial" w:cs="Arial"/>
          <w:sz w:val="24"/>
          <w:szCs w:val="24"/>
          <w:lang w:eastAsia="en-AU"/>
        </w:rPr>
        <w:t xml:space="preserve"> </w:t>
      </w:r>
    </w:p>
    <w:p w14:paraId="53061C90" w14:textId="3A48F537" w:rsidR="00834B23" w:rsidRDefault="00834B23" w:rsidP="00F80B8D">
      <w:pPr>
        <w:ind w:right="-45"/>
        <w:contextualSpacing/>
        <w:mirrorIndents/>
        <w:rPr>
          <w:rFonts w:ascii="Arial" w:hAnsi="Arial" w:cs="Arial"/>
          <w:sz w:val="24"/>
          <w:szCs w:val="24"/>
          <w:lang w:eastAsia="en-AU"/>
        </w:rPr>
      </w:pPr>
    </w:p>
    <w:p w14:paraId="1BF40BB6" w14:textId="374C00CB" w:rsidR="00834B23" w:rsidRDefault="00834B23" w:rsidP="00F80B8D">
      <w:pPr>
        <w:ind w:right="-45"/>
        <w:contextualSpacing/>
        <w:mirrorIndents/>
        <w:rPr>
          <w:rFonts w:ascii="Arial" w:hAnsi="Arial" w:cs="Arial"/>
          <w:sz w:val="24"/>
          <w:szCs w:val="24"/>
          <w:lang w:eastAsia="en-AU"/>
        </w:rPr>
      </w:pPr>
      <w:r>
        <w:rPr>
          <w:rFonts w:ascii="Arial" w:hAnsi="Arial" w:cs="Arial"/>
          <w:sz w:val="24"/>
          <w:szCs w:val="24"/>
          <w:lang w:eastAsia="en-AU"/>
        </w:rPr>
        <w:t xml:space="preserve">Without this amendment the </w:t>
      </w:r>
      <w:r w:rsidR="00730FE6">
        <w:rPr>
          <w:rFonts w:ascii="Arial" w:hAnsi="Arial" w:cs="Arial"/>
          <w:sz w:val="24"/>
          <w:szCs w:val="24"/>
          <w:lang w:eastAsia="en-AU"/>
        </w:rPr>
        <w:t>Territory’s</w:t>
      </w:r>
      <w:r>
        <w:rPr>
          <w:rFonts w:ascii="Arial" w:hAnsi="Arial" w:cs="Arial"/>
          <w:sz w:val="24"/>
          <w:szCs w:val="24"/>
          <w:lang w:eastAsia="en-AU"/>
        </w:rPr>
        <w:t xml:space="preserve"> capacity to undertake these</w:t>
      </w:r>
      <w:r w:rsidR="00730FE6">
        <w:rPr>
          <w:rFonts w:ascii="Arial" w:hAnsi="Arial" w:cs="Arial"/>
          <w:sz w:val="24"/>
          <w:szCs w:val="24"/>
          <w:lang w:eastAsia="en-AU"/>
        </w:rPr>
        <w:t xml:space="preserve"> measures to assist all Canberrans will be in jeopardy. The amendment enables</w:t>
      </w:r>
      <w:r w:rsidR="009E1002">
        <w:rPr>
          <w:rFonts w:ascii="Arial" w:hAnsi="Arial" w:cs="Arial"/>
          <w:sz w:val="24"/>
          <w:szCs w:val="24"/>
          <w:lang w:eastAsia="en-AU"/>
        </w:rPr>
        <w:t xml:space="preserve"> the Government</w:t>
      </w:r>
      <w:r w:rsidR="00730FE6">
        <w:rPr>
          <w:rFonts w:ascii="Arial" w:hAnsi="Arial" w:cs="Arial"/>
          <w:sz w:val="24"/>
          <w:szCs w:val="24"/>
          <w:lang w:eastAsia="en-AU"/>
        </w:rPr>
        <w:t xml:space="preserve"> to assist those affected by the COVID-19 emergency and who have been impacted by the directions.  Those directions have been a critical element in preventing the spread of the COVID-19 virus in the ACT and preserving the lives of those who might otherwise been </w:t>
      </w:r>
      <w:r w:rsidR="008F0AE8">
        <w:rPr>
          <w:rFonts w:ascii="Arial" w:hAnsi="Arial" w:cs="Arial"/>
          <w:sz w:val="24"/>
          <w:szCs w:val="24"/>
          <w:lang w:eastAsia="en-AU"/>
        </w:rPr>
        <w:t>affected</w:t>
      </w:r>
      <w:r w:rsidR="00730FE6">
        <w:rPr>
          <w:rFonts w:ascii="Arial" w:hAnsi="Arial" w:cs="Arial"/>
          <w:sz w:val="24"/>
          <w:szCs w:val="24"/>
          <w:lang w:eastAsia="en-AU"/>
        </w:rPr>
        <w:t>, as is tragically on display in other jurisdictions and parts of the world.</w:t>
      </w:r>
    </w:p>
    <w:p w14:paraId="14F9EFC4" w14:textId="77777777" w:rsidR="000B141C" w:rsidRDefault="000B141C" w:rsidP="00F80B8D">
      <w:pPr>
        <w:ind w:right="-45"/>
        <w:contextualSpacing/>
        <w:mirrorIndents/>
        <w:rPr>
          <w:rFonts w:ascii="Arial" w:hAnsi="Arial" w:cs="Arial"/>
          <w:sz w:val="24"/>
          <w:szCs w:val="24"/>
          <w:lang w:eastAsia="en-AU"/>
        </w:rPr>
      </w:pPr>
    </w:p>
    <w:p w14:paraId="3EC5D6DE" w14:textId="087929C1" w:rsidR="00F80B8D" w:rsidRPr="00F80B8D" w:rsidRDefault="007C0739" w:rsidP="00F80B8D">
      <w:pPr>
        <w:ind w:right="-45"/>
        <w:contextualSpacing/>
        <w:mirrorIndents/>
        <w:rPr>
          <w:rFonts w:ascii="Arial" w:hAnsi="Arial" w:cs="Arial"/>
          <w:iCs/>
          <w:sz w:val="24"/>
          <w:szCs w:val="24"/>
        </w:rPr>
      </w:pPr>
      <w:r>
        <w:rPr>
          <w:rFonts w:ascii="Arial" w:hAnsi="Arial" w:cs="Arial"/>
          <w:iCs/>
          <w:sz w:val="24"/>
          <w:szCs w:val="24"/>
        </w:rPr>
        <w:t>A person who suffers loss or damage as a result of anything done in relation to a direction given under section 120(1)(f) (which relates to placing property under the control or at the disposal of the chief health officer) will not be excluded from making an application for compensation under section 122. In addition, t</w:t>
      </w:r>
      <w:r w:rsidR="00C97E94" w:rsidRPr="00C97E94">
        <w:rPr>
          <w:rFonts w:ascii="Arial" w:hAnsi="Arial" w:cs="Arial"/>
          <w:iCs/>
          <w:sz w:val="24"/>
          <w:szCs w:val="24"/>
        </w:rPr>
        <w:t xml:space="preserve">he ACT Government will also still retain the discretionary ‘act of grace’ framework under the </w:t>
      </w:r>
      <w:r w:rsidR="00C97E94" w:rsidRPr="00C97E94">
        <w:rPr>
          <w:rFonts w:ascii="Arial" w:hAnsi="Arial" w:cs="Arial"/>
          <w:i/>
          <w:iCs/>
          <w:sz w:val="24"/>
          <w:szCs w:val="24"/>
        </w:rPr>
        <w:t xml:space="preserve">Financial </w:t>
      </w:r>
      <w:r w:rsidR="00C97E94" w:rsidRPr="00C97E94">
        <w:rPr>
          <w:rFonts w:ascii="Arial" w:hAnsi="Arial" w:cs="Arial"/>
          <w:i/>
          <w:iCs/>
          <w:sz w:val="24"/>
          <w:szCs w:val="24"/>
        </w:rPr>
        <w:lastRenderedPageBreak/>
        <w:t>Management Act 1996</w:t>
      </w:r>
      <w:r w:rsidR="00C97E94" w:rsidRPr="00C97E94">
        <w:rPr>
          <w:rFonts w:ascii="Arial" w:hAnsi="Arial" w:cs="Arial"/>
          <w:iCs/>
          <w:sz w:val="24"/>
          <w:szCs w:val="24"/>
        </w:rPr>
        <w:t xml:space="preserve"> to provide direct financial support in </w:t>
      </w:r>
      <w:r w:rsidR="00730FE6">
        <w:rPr>
          <w:rFonts w:ascii="Arial" w:hAnsi="Arial" w:cs="Arial"/>
          <w:iCs/>
          <w:sz w:val="24"/>
          <w:szCs w:val="24"/>
        </w:rPr>
        <w:t xml:space="preserve">appropriate and </w:t>
      </w:r>
      <w:r w:rsidR="00C97E94" w:rsidRPr="00C97E94">
        <w:rPr>
          <w:rFonts w:ascii="Arial" w:hAnsi="Arial" w:cs="Arial"/>
          <w:iCs/>
          <w:sz w:val="24"/>
          <w:szCs w:val="24"/>
        </w:rPr>
        <w:t>exceptional circumstances.</w:t>
      </w:r>
    </w:p>
    <w:p w14:paraId="49786692" w14:textId="77777777" w:rsidR="00A275BB" w:rsidRPr="00A275BB" w:rsidRDefault="00A275BB" w:rsidP="008D743E">
      <w:pPr>
        <w:ind w:right="-45"/>
        <w:contextualSpacing/>
        <w:mirrorIndents/>
        <w:rPr>
          <w:rFonts w:ascii="Arial" w:hAnsi="Arial" w:cs="Arial"/>
          <w:iCs/>
          <w:sz w:val="24"/>
          <w:szCs w:val="24"/>
        </w:rPr>
      </w:pPr>
    </w:p>
    <w:p w14:paraId="6FF5ADBC" w14:textId="75518C3A" w:rsidR="00B065BC" w:rsidRPr="00726D50" w:rsidRDefault="00AC59DF" w:rsidP="008D743E">
      <w:pPr>
        <w:mirrorIndents/>
        <w:rPr>
          <w:rFonts w:ascii="Arial" w:hAnsi="Arial" w:cs="Arial"/>
          <w:b/>
          <w:sz w:val="24"/>
          <w:szCs w:val="24"/>
        </w:rPr>
      </w:pPr>
      <w:r w:rsidRPr="00726D50">
        <w:rPr>
          <w:rFonts w:ascii="Arial" w:hAnsi="Arial" w:cs="Arial"/>
          <w:b/>
          <w:sz w:val="24"/>
          <w:szCs w:val="24"/>
        </w:rPr>
        <w:t>CONSULTATION ON THE PROPOSED APPROAC</w:t>
      </w:r>
      <w:r w:rsidR="00B065BC" w:rsidRPr="00726D50">
        <w:rPr>
          <w:rFonts w:ascii="Arial" w:hAnsi="Arial" w:cs="Arial"/>
          <w:b/>
          <w:sz w:val="24"/>
          <w:szCs w:val="24"/>
        </w:rPr>
        <w:t>H</w:t>
      </w:r>
    </w:p>
    <w:p w14:paraId="0FD54283" w14:textId="0E5DBEE0" w:rsidR="00726D50" w:rsidRDefault="00B065BC" w:rsidP="003364EC">
      <w:pPr>
        <w:contextualSpacing/>
        <w:mirrorIndents/>
        <w:rPr>
          <w:rFonts w:ascii="Arial" w:hAnsi="Arial" w:cs="Arial"/>
          <w:iCs/>
          <w:sz w:val="24"/>
          <w:szCs w:val="24"/>
        </w:rPr>
      </w:pPr>
      <w:r w:rsidRPr="00726D50">
        <w:rPr>
          <w:rFonts w:ascii="Arial" w:hAnsi="Arial" w:cs="Arial"/>
          <w:iCs/>
          <w:sz w:val="24"/>
          <w:szCs w:val="24"/>
        </w:rPr>
        <w:t>Due to the urgent nature of the Bill, consultation with the community and stakeholders was not possible.</w:t>
      </w:r>
      <w:r w:rsidR="00B80F4A">
        <w:rPr>
          <w:rFonts w:ascii="Arial" w:hAnsi="Arial" w:cs="Arial"/>
          <w:iCs/>
          <w:sz w:val="24"/>
          <w:szCs w:val="24"/>
        </w:rPr>
        <w:t xml:space="preserve"> The Security and Emergency Management Committee of Cabinet, the Justice and Community Safety Directorate and the Chief Minister, Treasury and Economic Development Directorate were consulted in relation to the amendment.</w:t>
      </w:r>
    </w:p>
    <w:p w14:paraId="3D705079" w14:textId="18CBF52C" w:rsidR="00B80F4A" w:rsidRDefault="00B80F4A" w:rsidP="003364EC">
      <w:pPr>
        <w:contextualSpacing/>
        <w:mirrorIndents/>
        <w:rPr>
          <w:rFonts w:ascii="Arial" w:hAnsi="Arial" w:cs="Arial"/>
          <w:iCs/>
          <w:sz w:val="24"/>
          <w:szCs w:val="24"/>
        </w:rPr>
      </w:pPr>
    </w:p>
    <w:p w14:paraId="2D00F476" w14:textId="1D9C4F6A" w:rsidR="00E2246F" w:rsidRPr="00150780" w:rsidRDefault="00B80F4A" w:rsidP="003364EC">
      <w:pPr>
        <w:contextualSpacing/>
        <w:mirrorIndents/>
        <w:rPr>
          <w:rFonts w:ascii="Arial" w:hAnsi="Arial" w:cs="Arial"/>
          <w:iCs/>
          <w:sz w:val="24"/>
          <w:szCs w:val="24"/>
          <w:highlight w:val="yellow"/>
        </w:rPr>
      </w:pPr>
      <w:r w:rsidRPr="00150780">
        <w:rPr>
          <w:rFonts w:ascii="Arial" w:hAnsi="Arial" w:cs="Arial"/>
          <w:iCs/>
          <w:sz w:val="24"/>
          <w:szCs w:val="24"/>
        </w:rPr>
        <w:t>The amendment is consistent with</w:t>
      </w:r>
      <w:r w:rsidR="00E2246F" w:rsidRPr="00150780">
        <w:rPr>
          <w:rFonts w:ascii="Arial" w:hAnsi="Arial" w:cs="Arial"/>
          <w:iCs/>
          <w:sz w:val="24"/>
          <w:szCs w:val="24"/>
        </w:rPr>
        <w:t xml:space="preserve"> recent amendments made in Queensland and Tasmania to their respective public health legislation. Section 36</w:t>
      </w:r>
      <w:r w:rsidR="00150780" w:rsidRPr="00150780">
        <w:rPr>
          <w:rFonts w:ascii="Arial" w:hAnsi="Arial" w:cs="Arial"/>
          <w:iCs/>
          <w:sz w:val="24"/>
          <w:szCs w:val="24"/>
        </w:rPr>
        <w:t>6</w:t>
      </w:r>
      <w:r w:rsidR="00E2246F" w:rsidRPr="00150780">
        <w:rPr>
          <w:rFonts w:ascii="Arial" w:hAnsi="Arial" w:cs="Arial"/>
          <w:iCs/>
          <w:sz w:val="24"/>
          <w:szCs w:val="24"/>
        </w:rPr>
        <w:t xml:space="preserve"> </w:t>
      </w:r>
      <w:r w:rsidR="00150780" w:rsidRPr="00150780">
        <w:rPr>
          <w:rFonts w:ascii="Arial" w:hAnsi="Arial" w:cs="Arial"/>
          <w:iCs/>
          <w:sz w:val="24"/>
          <w:szCs w:val="24"/>
        </w:rPr>
        <w:t xml:space="preserve">of </w:t>
      </w:r>
      <w:r w:rsidR="00E2246F" w:rsidRPr="00150780">
        <w:rPr>
          <w:rFonts w:ascii="Arial" w:hAnsi="Arial" w:cs="Arial"/>
          <w:iCs/>
          <w:sz w:val="24"/>
          <w:szCs w:val="24"/>
        </w:rPr>
        <w:t xml:space="preserve">the </w:t>
      </w:r>
      <w:bookmarkStart w:id="1" w:name="_Hlk42082321"/>
      <w:r w:rsidR="00E2246F" w:rsidRPr="00150780">
        <w:rPr>
          <w:rFonts w:ascii="Arial" w:hAnsi="Arial" w:cs="Arial"/>
          <w:i/>
          <w:sz w:val="24"/>
          <w:szCs w:val="24"/>
        </w:rPr>
        <w:t xml:space="preserve">Public Health Act 2005 </w:t>
      </w:r>
      <w:r w:rsidR="00E2246F" w:rsidRPr="00150780">
        <w:rPr>
          <w:rFonts w:ascii="Arial" w:hAnsi="Arial" w:cs="Arial"/>
          <w:iCs/>
          <w:sz w:val="24"/>
          <w:szCs w:val="24"/>
        </w:rPr>
        <w:t>(QLD)</w:t>
      </w:r>
      <w:bookmarkEnd w:id="1"/>
      <w:r w:rsidR="00E2246F" w:rsidRPr="00150780">
        <w:rPr>
          <w:rFonts w:ascii="Arial" w:hAnsi="Arial" w:cs="Arial"/>
          <w:iCs/>
          <w:sz w:val="24"/>
          <w:szCs w:val="24"/>
        </w:rPr>
        <w:t xml:space="preserve"> </w:t>
      </w:r>
      <w:r w:rsidR="00150780" w:rsidRPr="00150780">
        <w:rPr>
          <w:rFonts w:ascii="Arial" w:hAnsi="Arial" w:cs="Arial"/>
          <w:iCs/>
          <w:sz w:val="24"/>
          <w:szCs w:val="24"/>
        </w:rPr>
        <w:t xml:space="preserve">was amended to provide that a person is not entitled to be paid any compensation for loss or damage if a power was exercised, or purportedly exercised, in relation to the COVID-19 emergency. </w:t>
      </w:r>
      <w:r w:rsidR="00E26B19" w:rsidRPr="00E26B19">
        <w:rPr>
          <w:rFonts w:ascii="Arial" w:hAnsi="Arial" w:cs="Arial"/>
          <w:iCs/>
          <w:sz w:val="24"/>
          <w:szCs w:val="24"/>
        </w:rPr>
        <w:t xml:space="preserve">The explanatory </w:t>
      </w:r>
      <w:r w:rsidR="00E26B19">
        <w:rPr>
          <w:rFonts w:ascii="Arial" w:hAnsi="Arial" w:cs="Arial"/>
          <w:iCs/>
          <w:sz w:val="24"/>
          <w:szCs w:val="24"/>
        </w:rPr>
        <w:t>notes</w:t>
      </w:r>
      <w:r w:rsidR="00E26B19" w:rsidRPr="00E26B19">
        <w:rPr>
          <w:rFonts w:ascii="Arial" w:hAnsi="Arial" w:cs="Arial"/>
          <w:iCs/>
          <w:sz w:val="24"/>
          <w:szCs w:val="24"/>
        </w:rPr>
        <w:t xml:space="preserve"> to the </w:t>
      </w:r>
      <w:hyperlink r:id="rId15" w:history="1">
        <w:r w:rsidR="00E26B19" w:rsidRPr="00E26B19">
          <w:rPr>
            <w:rStyle w:val="Hyperlink"/>
            <w:rFonts w:ascii="Arial" w:hAnsi="Arial" w:cs="Arial"/>
            <w:i/>
            <w:iCs/>
            <w:sz w:val="24"/>
            <w:szCs w:val="24"/>
          </w:rPr>
          <w:t xml:space="preserve">Public Health and Other Legislation (Public Health Emergency) Amendment </w:t>
        </w:r>
        <w:r w:rsidR="008D0FC7">
          <w:rPr>
            <w:rStyle w:val="Hyperlink"/>
            <w:rFonts w:ascii="Arial" w:hAnsi="Arial" w:cs="Arial"/>
            <w:i/>
            <w:iCs/>
            <w:sz w:val="24"/>
            <w:szCs w:val="24"/>
          </w:rPr>
          <w:t xml:space="preserve">Act </w:t>
        </w:r>
        <w:r w:rsidR="00E26B19" w:rsidRPr="00E26B19">
          <w:rPr>
            <w:rStyle w:val="Hyperlink"/>
            <w:rFonts w:ascii="Arial" w:hAnsi="Arial" w:cs="Arial"/>
            <w:i/>
            <w:iCs/>
            <w:sz w:val="24"/>
            <w:szCs w:val="24"/>
          </w:rPr>
          <w:t>2020</w:t>
        </w:r>
      </w:hyperlink>
      <w:r w:rsidR="00E26B19" w:rsidRPr="00E26B19">
        <w:rPr>
          <w:rFonts w:ascii="Arial" w:hAnsi="Arial" w:cs="Arial"/>
          <w:i/>
          <w:iCs/>
          <w:sz w:val="24"/>
          <w:szCs w:val="24"/>
        </w:rPr>
        <w:t xml:space="preserve"> </w:t>
      </w:r>
      <w:r w:rsidR="00E26B19" w:rsidRPr="00E26B19">
        <w:rPr>
          <w:rFonts w:ascii="Arial" w:hAnsi="Arial" w:cs="Arial"/>
          <w:iCs/>
          <w:sz w:val="24"/>
          <w:szCs w:val="24"/>
        </w:rPr>
        <w:t>(QLD)</w:t>
      </w:r>
      <w:r w:rsidR="00E26B19">
        <w:rPr>
          <w:rFonts w:ascii="Arial" w:hAnsi="Arial" w:cs="Arial"/>
          <w:iCs/>
          <w:sz w:val="24"/>
          <w:szCs w:val="24"/>
        </w:rPr>
        <w:t xml:space="preserve"> </w:t>
      </w:r>
      <w:r w:rsidR="00E26B19" w:rsidRPr="00E26B19">
        <w:rPr>
          <w:rFonts w:ascii="Arial" w:hAnsi="Arial" w:cs="Arial"/>
          <w:iCs/>
          <w:sz w:val="24"/>
          <w:szCs w:val="24"/>
        </w:rPr>
        <w:t>acknowledge that it was considered imprudent for the Queensland Government to be potentially liable to uncapped and unpredictable compensation claims arising from the pandemic.</w:t>
      </w:r>
      <w:r w:rsidR="00E26B19">
        <w:rPr>
          <w:rStyle w:val="FootnoteReference"/>
          <w:rFonts w:ascii="Arial" w:hAnsi="Arial"/>
          <w:iCs/>
          <w:sz w:val="24"/>
          <w:szCs w:val="24"/>
        </w:rPr>
        <w:footnoteReference w:id="4"/>
      </w:r>
      <w:r w:rsidR="00E26B19">
        <w:rPr>
          <w:rFonts w:ascii="Arial" w:hAnsi="Arial" w:cs="Arial"/>
          <w:iCs/>
          <w:sz w:val="24"/>
          <w:szCs w:val="24"/>
        </w:rPr>
        <w:t xml:space="preserve"> </w:t>
      </w:r>
      <w:r w:rsidR="00150780" w:rsidRPr="00150780">
        <w:rPr>
          <w:rFonts w:ascii="Arial" w:hAnsi="Arial" w:cs="Arial"/>
          <w:iCs/>
          <w:sz w:val="24"/>
          <w:szCs w:val="24"/>
        </w:rPr>
        <w:t xml:space="preserve">Similarly, section 26 of the </w:t>
      </w:r>
      <w:r w:rsidR="00150780" w:rsidRPr="00150780">
        <w:rPr>
          <w:rFonts w:ascii="Arial" w:hAnsi="Arial" w:cs="Arial"/>
          <w:i/>
          <w:sz w:val="24"/>
          <w:szCs w:val="24"/>
        </w:rPr>
        <w:t xml:space="preserve">COVID-19 Disease Emergency (Miscellaneous Provisions) Act 2020 </w:t>
      </w:r>
      <w:r w:rsidR="00150780" w:rsidRPr="00150780">
        <w:rPr>
          <w:rFonts w:ascii="Arial" w:hAnsi="Arial" w:cs="Arial"/>
          <w:iCs/>
          <w:sz w:val="24"/>
          <w:szCs w:val="24"/>
        </w:rPr>
        <w:t xml:space="preserve">(TAS) provides that the compensation provision in the Tasmanian public health legislation does not apply in relation to any loss or damage suffered as a result of certain public health actions taken as a result of COVID-19. In South Australia, </w:t>
      </w:r>
      <w:r w:rsidR="000E27E6">
        <w:rPr>
          <w:rFonts w:ascii="Arial" w:hAnsi="Arial" w:cs="Arial"/>
          <w:iCs/>
          <w:sz w:val="24"/>
          <w:szCs w:val="24"/>
        </w:rPr>
        <w:t>section 103A</w:t>
      </w:r>
      <w:r w:rsidR="00150780" w:rsidRPr="00150780">
        <w:rPr>
          <w:rFonts w:ascii="Arial" w:hAnsi="Arial" w:cs="Arial"/>
          <w:iCs/>
          <w:sz w:val="24"/>
          <w:szCs w:val="24"/>
        </w:rPr>
        <w:t xml:space="preserve"> was recently inserted into the </w:t>
      </w:r>
      <w:r w:rsidR="000E27E6">
        <w:rPr>
          <w:rFonts w:ascii="Arial" w:hAnsi="Arial" w:cs="Arial"/>
          <w:i/>
          <w:sz w:val="24"/>
          <w:szCs w:val="24"/>
        </w:rPr>
        <w:t xml:space="preserve">South Australian Public Health Act 2011 </w:t>
      </w:r>
      <w:r w:rsidR="000E27E6">
        <w:rPr>
          <w:rFonts w:ascii="Arial" w:hAnsi="Arial" w:cs="Arial"/>
          <w:iCs/>
          <w:sz w:val="24"/>
          <w:szCs w:val="24"/>
        </w:rPr>
        <w:t>(SA)</w:t>
      </w:r>
      <w:r w:rsidR="00150780" w:rsidRPr="00150780">
        <w:rPr>
          <w:rFonts w:ascii="Arial" w:hAnsi="Arial" w:cs="Arial"/>
          <w:iCs/>
          <w:sz w:val="24"/>
          <w:szCs w:val="24"/>
        </w:rPr>
        <w:t xml:space="preserve"> to expressly provide that no liability attaches to the Crown in relation to any acts or omissions in connection with the exercise of functions under the Act, or any failure to exercise or discharged a function under the Act in relation to COVID-19.</w:t>
      </w:r>
    </w:p>
    <w:p w14:paraId="1E29D3C0" w14:textId="7F6E2D7E" w:rsidR="00FE4FA4" w:rsidRPr="00407B3A" w:rsidRDefault="00FE4FA4" w:rsidP="003364EC">
      <w:pPr>
        <w:contextualSpacing/>
        <w:mirrorIndents/>
        <w:rPr>
          <w:rFonts w:ascii="Arial" w:hAnsi="Arial" w:cs="Arial"/>
          <w:iCs/>
          <w:sz w:val="24"/>
          <w:szCs w:val="24"/>
          <w:highlight w:val="yellow"/>
        </w:rPr>
      </w:pPr>
    </w:p>
    <w:p w14:paraId="75C24C4B" w14:textId="6C6A1BF6" w:rsidR="00BA15FA" w:rsidRPr="00726D50" w:rsidRDefault="00503AAB" w:rsidP="003364EC">
      <w:pPr>
        <w:pStyle w:val="Heading2"/>
        <w:spacing w:before="0" w:after="200"/>
        <w:contextualSpacing/>
        <w:mirrorIndents/>
        <w:rPr>
          <w:rFonts w:cs="Arial"/>
          <w:szCs w:val="24"/>
        </w:rPr>
      </w:pPr>
      <w:r w:rsidRPr="00726D50">
        <w:rPr>
          <w:rFonts w:cs="Arial"/>
          <w:szCs w:val="24"/>
        </w:rPr>
        <w:t xml:space="preserve">CONSISTENCY WITH </w:t>
      </w:r>
      <w:r w:rsidR="00790FE4" w:rsidRPr="00726D50">
        <w:rPr>
          <w:rFonts w:cs="Arial"/>
          <w:szCs w:val="24"/>
        </w:rPr>
        <w:t>HUMAN RIGHTS</w:t>
      </w:r>
    </w:p>
    <w:p w14:paraId="24C0B255" w14:textId="7C7B2D84" w:rsidR="008D0FC7" w:rsidRPr="004A60E2" w:rsidRDefault="008D0FC7" w:rsidP="008D743E">
      <w:pPr>
        <w:mirrorIndents/>
        <w:rPr>
          <w:rFonts w:ascii="Arial" w:hAnsi="Arial" w:cs="Arial"/>
          <w:iCs/>
          <w:sz w:val="24"/>
          <w:szCs w:val="24"/>
        </w:rPr>
      </w:pPr>
      <w:r w:rsidRPr="004A60E2">
        <w:rPr>
          <w:rFonts w:ascii="Arial" w:hAnsi="Arial" w:cs="Arial"/>
          <w:iCs/>
          <w:sz w:val="24"/>
          <w:szCs w:val="24"/>
        </w:rPr>
        <w:t xml:space="preserve">The Bill is compatible with the rights set out in the </w:t>
      </w:r>
      <w:r w:rsidRPr="004A60E2">
        <w:rPr>
          <w:rFonts w:ascii="Arial" w:hAnsi="Arial" w:cs="Arial"/>
          <w:i/>
          <w:sz w:val="24"/>
          <w:szCs w:val="24"/>
        </w:rPr>
        <w:t>Human Rights Act 2004</w:t>
      </w:r>
      <w:r w:rsidRPr="004A60E2">
        <w:rPr>
          <w:rFonts w:ascii="Arial" w:hAnsi="Arial" w:cs="Arial"/>
          <w:iCs/>
          <w:sz w:val="24"/>
          <w:szCs w:val="24"/>
        </w:rPr>
        <w:t xml:space="preserve"> (HRA)</w:t>
      </w:r>
      <w:r>
        <w:rPr>
          <w:rFonts w:ascii="Arial" w:hAnsi="Arial" w:cs="Arial"/>
          <w:iCs/>
          <w:sz w:val="24"/>
          <w:szCs w:val="24"/>
        </w:rPr>
        <w:t xml:space="preserve"> and for completeness the analysis below is provided</w:t>
      </w:r>
      <w:r w:rsidRPr="004A60E2">
        <w:rPr>
          <w:rFonts w:ascii="Arial" w:hAnsi="Arial" w:cs="Arial"/>
          <w:iCs/>
          <w:sz w:val="24"/>
          <w:szCs w:val="24"/>
        </w:rPr>
        <w:t>.</w:t>
      </w:r>
    </w:p>
    <w:p w14:paraId="6156B926" w14:textId="39DB14FB" w:rsidR="00A10C0A" w:rsidRPr="00726D50" w:rsidRDefault="00C753C2" w:rsidP="008D743E">
      <w:pPr>
        <w:mirrorIndents/>
        <w:rPr>
          <w:rFonts w:ascii="Arial" w:hAnsi="Arial" w:cs="Arial"/>
          <w:b/>
          <w:bCs/>
          <w:iCs/>
          <w:sz w:val="24"/>
          <w:szCs w:val="24"/>
        </w:rPr>
      </w:pPr>
      <w:r w:rsidRPr="00726D50">
        <w:rPr>
          <w:rFonts w:ascii="Arial" w:hAnsi="Arial" w:cs="Arial"/>
          <w:b/>
          <w:bCs/>
          <w:iCs/>
          <w:sz w:val="24"/>
          <w:szCs w:val="24"/>
        </w:rPr>
        <w:t xml:space="preserve">Rights </w:t>
      </w:r>
      <w:r w:rsidR="00F80B8D">
        <w:rPr>
          <w:rFonts w:ascii="Arial" w:hAnsi="Arial" w:cs="Arial"/>
          <w:b/>
          <w:bCs/>
          <w:iCs/>
          <w:sz w:val="24"/>
          <w:szCs w:val="24"/>
        </w:rPr>
        <w:t xml:space="preserve">which may be </w:t>
      </w:r>
      <w:r w:rsidRPr="00726D50">
        <w:rPr>
          <w:rFonts w:ascii="Arial" w:hAnsi="Arial" w:cs="Arial"/>
          <w:b/>
          <w:bCs/>
          <w:iCs/>
          <w:sz w:val="24"/>
          <w:szCs w:val="24"/>
        </w:rPr>
        <w:t>engaged</w:t>
      </w:r>
    </w:p>
    <w:p w14:paraId="501429FB" w14:textId="4FCF04F3" w:rsidR="004E5564" w:rsidRPr="00726D50" w:rsidRDefault="00A10C0A" w:rsidP="008D743E">
      <w:pPr>
        <w:mirrorIndents/>
        <w:rPr>
          <w:rFonts w:ascii="Arial" w:hAnsi="Arial" w:cs="Arial"/>
          <w:iCs/>
          <w:sz w:val="24"/>
          <w:szCs w:val="24"/>
        </w:rPr>
      </w:pPr>
      <w:r w:rsidRPr="00726D50">
        <w:rPr>
          <w:rFonts w:ascii="Arial" w:hAnsi="Arial" w:cs="Arial"/>
          <w:iCs/>
          <w:sz w:val="24"/>
          <w:szCs w:val="24"/>
        </w:rPr>
        <w:t xml:space="preserve">The Bill </w:t>
      </w:r>
      <w:r w:rsidR="00A02EC2" w:rsidRPr="00726D50">
        <w:rPr>
          <w:rFonts w:ascii="Arial" w:hAnsi="Arial" w:cs="Arial"/>
          <w:iCs/>
          <w:sz w:val="24"/>
          <w:szCs w:val="24"/>
        </w:rPr>
        <w:t xml:space="preserve">may engage </w:t>
      </w:r>
      <w:r w:rsidR="007C7A19">
        <w:rPr>
          <w:rFonts w:ascii="Arial" w:hAnsi="Arial" w:cs="Arial"/>
          <w:iCs/>
          <w:sz w:val="24"/>
          <w:szCs w:val="24"/>
        </w:rPr>
        <w:t>a number of</w:t>
      </w:r>
      <w:r w:rsidR="00A02EC2" w:rsidRPr="00726D50">
        <w:rPr>
          <w:rFonts w:ascii="Arial" w:hAnsi="Arial" w:cs="Arial"/>
          <w:iCs/>
          <w:sz w:val="24"/>
          <w:szCs w:val="24"/>
        </w:rPr>
        <w:t xml:space="preserve"> rights under the</w:t>
      </w:r>
      <w:r w:rsidR="008D0FC7">
        <w:rPr>
          <w:rFonts w:ascii="Arial" w:hAnsi="Arial" w:cs="Arial"/>
          <w:i/>
          <w:sz w:val="24"/>
          <w:szCs w:val="24"/>
        </w:rPr>
        <w:t xml:space="preserve"> </w:t>
      </w:r>
      <w:r w:rsidR="00A02EC2" w:rsidRPr="00726D50">
        <w:rPr>
          <w:rFonts w:ascii="Arial" w:hAnsi="Arial" w:cs="Arial"/>
          <w:iCs/>
          <w:sz w:val="24"/>
          <w:szCs w:val="24"/>
        </w:rPr>
        <w:t>HRA</w:t>
      </w:r>
      <w:r w:rsidR="007C7A19">
        <w:rPr>
          <w:rFonts w:ascii="Arial" w:hAnsi="Arial" w:cs="Arial"/>
          <w:iCs/>
          <w:sz w:val="24"/>
          <w:szCs w:val="24"/>
        </w:rPr>
        <w:t>, directly or indirectly, including</w:t>
      </w:r>
      <w:r w:rsidR="00A02EC2" w:rsidRPr="00726D50">
        <w:rPr>
          <w:rFonts w:ascii="Arial" w:hAnsi="Arial" w:cs="Arial"/>
          <w:iCs/>
          <w:sz w:val="24"/>
          <w:szCs w:val="24"/>
        </w:rPr>
        <w:t xml:space="preserve">: </w:t>
      </w:r>
    </w:p>
    <w:p w14:paraId="43F1D61E" w14:textId="53FDCAD9" w:rsidR="007C7A19" w:rsidRDefault="005F2F0D" w:rsidP="000A7535">
      <w:pPr>
        <w:pStyle w:val="ListParagraph"/>
        <w:numPr>
          <w:ilvl w:val="0"/>
          <w:numId w:val="4"/>
        </w:numPr>
        <w:spacing w:after="200"/>
        <w:rPr>
          <w:rFonts w:ascii="Arial" w:hAnsi="Arial" w:cs="Arial"/>
          <w:iCs/>
          <w:sz w:val="24"/>
          <w:szCs w:val="24"/>
        </w:rPr>
      </w:pPr>
      <w:r w:rsidRPr="000A7535">
        <w:rPr>
          <w:rFonts w:ascii="Arial" w:hAnsi="Arial" w:cs="Arial"/>
          <w:iCs/>
          <w:sz w:val="24"/>
          <w:szCs w:val="24"/>
        </w:rPr>
        <w:t xml:space="preserve">Section </w:t>
      </w:r>
      <w:r w:rsidR="000A7535" w:rsidRPr="000A7535">
        <w:rPr>
          <w:rFonts w:ascii="Arial" w:hAnsi="Arial" w:cs="Arial"/>
          <w:iCs/>
          <w:sz w:val="24"/>
          <w:szCs w:val="24"/>
        </w:rPr>
        <w:t xml:space="preserve">21 – right to a </w:t>
      </w:r>
      <w:r w:rsidR="000A7535">
        <w:rPr>
          <w:rFonts w:ascii="Arial" w:hAnsi="Arial" w:cs="Arial"/>
          <w:iCs/>
          <w:sz w:val="24"/>
          <w:szCs w:val="24"/>
        </w:rPr>
        <w:t xml:space="preserve">fair </w:t>
      </w:r>
      <w:r w:rsidR="008D0FC7">
        <w:rPr>
          <w:rFonts w:ascii="Arial" w:hAnsi="Arial" w:cs="Arial"/>
          <w:iCs/>
          <w:sz w:val="24"/>
          <w:szCs w:val="24"/>
        </w:rPr>
        <w:t>hearing</w:t>
      </w:r>
      <w:r w:rsidR="007C7A19">
        <w:rPr>
          <w:rFonts w:ascii="Arial" w:hAnsi="Arial" w:cs="Arial"/>
          <w:iCs/>
          <w:sz w:val="24"/>
          <w:szCs w:val="24"/>
        </w:rPr>
        <w:t>;</w:t>
      </w:r>
    </w:p>
    <w:p w14:paraId="3F75A6B9" w14:textId="7CD09415" w:rsidR="007C7A19" w:rsidRDefault="007C7A19" w:rsidP="000A7535">
      <w:pPr>
        <w:pStyle w:val="ListParagraph"/>
        <w:numPr>
          <w:ilvl w:val="0"/>
          <w:numId w:val="4"/>
        </w:numPr>
        <w:spacing w:after="200"/>
        <w:rPr>
          <w:rFonts w:ascii="Arial" w:hAnsi="Arial" w:cs="Arial"/>
          <w:iCs/>
          <w:sz w:val="24"/>
          <w:szCs w:val="24"/>
        </w:rPr>
      </w:pPr>
      <w:r>
        <w:rPr>
          <w:rFonts w:ascii="Arial" w:hAnsi="Arial" w:cs="Arial"/>
          <w:iCs/>
          <w:sz w:val="24"/>
          <w:szCs w:val="24"/>
        </w:rPr>
        <w:t xml:space="preserve">Section 13 – right to freedom of movement; </w:t>
      </w:r>
    </w:p>
    <w:p w14:paraId="2DB7AE64" w14:textId="35327EC7" w:rsidR="007C7A19" w:rsidRPr="00B20EE1" w:rsidRDefault="007C7A19" w:rsidP="007C7A19">
      <w:pPr>
        <w:pStyle w:val="ListParagraph"/>
        <w:numPr>
          <w:ilvl w:val="0"/>
          <w:numId w:val="4"/>
        </w:numPr>
        <w:spacing w:after="200"/>
        <w:rPr>
          <w:rFonts w:ascii="Arial" w:hAnsi="Arial" w:cs="Arial"/>
          <w:iCs/>
          <w:sz w:val="24"/>
          <w:szCs w:val="24"/>
        </w:rPr>
      </w:pPr>
      <w:r>
        <w:rPr>
          <w:rFonts w:ascii="Arial" w:hAnsi="Arial" w:cs="Arial"/>
          <w:iCs/>
          <w:sz w:val="24"/>
          <w:szCs w:val="24"/>
        </w:rPr>
        <w:lastRenderedPageBreak/>
        <w:t xml:space="preserve">Section 15 – </w:t>
      </w:r>
      <w:r w:rsidR="00105AF7">
        <w:rPr>
          <w:rFonts w:ascii="Arial" w:hAnsi="Arial" w:cs="Arial"/>
          <w:iCs/>
          <w:sz w:val="24"/>
          <w:szCs w:val="24"/>
        </w:rPr>
        <w:t xml:space="preserve">the right to </w:t>
      </w:r>
      <w:r>
        <w:rPr>
          <w:rFonts w:ascii="Arial" w:hAnsi="Arial" w:cs="Arial"/>
          <w:iCs/>
          <w:sz w:val="24"/>
          <w:szCs w:val="24"/>
        </w:rPr>
        <w:t>freedom of association;</w:t>
      </w:r>
    </w:p>
    <w:p w14:paraId="6A910D09" w14:textId="1AF35520" w:rsidR="007C7A19" w:rsidRDefault="007C7A19" w:rsidP="007C7A19">
      <w:pPr>
        <w:pStyle w:val="ListParagraph"/>
        <w:numPr>
          <w:ilvl w:val="0"/>
          <w:numId w:val="4"/>
        </w:numPr>
        <w:spacing w:after="200"/>
        <w:rPr>
          <w:rFonts w:ascii="Arial" w:hAnsi="Arial" w:cs="Arial"/>
          <w:iCs/>
          <w:sz w:val="24"/>
          <w:szCs w:val="24"/>
        </w:rPr>
      </w:pPr>
      <w:r>
        <w:rPr>
          <w:rFonts w:ascii="Arial" w:hAnsi="Arial" w:cs="Arial"/>
          <w:iCs/>
          <w:sz w:val="24"/>
          <w:szCs w:val="24"/>
        </w:rPr>
        <w:t xml:space="preserve">Section 18 – </w:t>
      </w:r>
      <w:r w:rsidR="00105AF7">
        <w:rPr>
          <w:rFonts w:ascii="Arial" w:hAnsi="Arial" w:cs="Arial"/>
          <w:iCs/>
          <w:sz w:val="24"/>
          <w:szCs w:val="24"/>
        </w:rPr>
        <w:t xml:space="preserve">the </w:t>
      </w:r>
      <w:r>
        <w:rPr>
          <w:rFonts w:ascii="Arial" w:hAnsi="Arial" w:cs="Arial"/>
          <w:iCs/>
          <w:sz w:val="24"/>
          <w:szCs w:val="24"/>
        </w:rPr>
        <w:t>right to liberty;</w:t>
      </w:r>
    </w:p>
    <w:p w14:paraId="62CC6DD0" w14:textId="303A445B" w:rsidR="008D0FC7" w:rsidRDefault="007C7A19" w:rsidP="008D0FC7">
      <w:pPr>
        <w:pStyle w:val="ListParagraph"/>
        <w:numPr>
          <w:ilvl w:val="0"/>
          <w:numId w:val="4"/>
        </w:numPr>
        <w:spacing w:after="200"/>
        <w:rPr>
          <w:rFonts w:ascii="Arial" w:hAnsi="Arial" w:cs="Arial"/>
          <w:iCs/>
          <w:sz w:val="24"/>
          <w:szCs w:val="24"/>
        </w:rPr>
      </w:pPr>
      <w:r>
        <w:rPr>
          <w:rFonts w:ascii="Arial" w:hAnsi="Arial" w:cs="Arial"/>
          <w:iCs/>
          <w:sz w:val="24"/>
          <w:szCs w:val="24"/>
        </w:rPr>
        <w:t xml:space="preserve">Section 9 – </w:t>
      </w:r>
      <w:r w:rsidR="00105AF7">
        <w:rPr>
          <w:rFonts w:ascii="Arial" w:hAnsi="Arial" w:cs="Arial"/>
          <w:iCs/>
          <w:sz w:val="24"/>
          <w:szCs w:val="24"/>
        </w:rPr>
        <w:t xml:space="preserve">the </w:t>
      </w:r>
      <w:r>
        <w:rPr>
          <w:rFonts w:ascii="Arial" w:hAnsi="Arial" w:cs="Arial"/>
          <w:iCs/>
          <w:sz w:val="24"/>
          <w:szCs w:val="24"/>
        </w:rPr>
        <w:t>right to life</w:t>
      </w:r>
      <w:r w:rsidR="000A7535" w:rsidRPr="00B20EE1">
        <w:rPr>
          <w:rFonts w:ascii="Arial" w:hAnsi="Arial" w:cs="Arial"/>
          <w:iCs/>
          <w:sz w:val="24"/>
          <w:szCs w:val="24"/>
        </w:rPr>
        <w:t xml:space="preserve">.  </w:t>
      </w:r>
    </w:p>
    <w:p w14:paraId="465D133A" w14:textId="49D8CE7F" w:rsidR="008D0FC7" w:rsidRPr="004A60E2" w:rsidRDefault="008D0FC7" w:rsidP="004A60E2">
      <w:pPr>
        <w:rPr>
          <w:rFonts w:ascii="Arial" w:hAnsi="Arial" w:cs="Arial"/>
          <w:iCs/>
          <w:sz w:val="24"/>
          <w:szCs w:val="24"/>
        </w:rPr>
      </w:pPr>
    </w:p>
    <w:p w14:paraId="6D094EBB" w14:textId="26385866" w:rsidR="007C7A19" w:rsidRPr="00B20EE1" w:rsidRDefault="00A921AD" w:rsidP="008D743E">
      <w:pPr>
        <w:mirrorIndents/>
        <w:rPr>
          <w:rFonts w:ascii="Arial" w:hAnsi="Arial" w:cs="Arial"/>
          <w:b/>
          <w:bCs/>
          <w:i/>
          <w:sz w:val="24"/>
          <w:szCs w:val="24"/>
        </w:rPr>
      </w:pPr>
      <w:bookmarkStart w:id="2" w:name="_Hlk40964668"/>
      <w:r>
        <w:rPr>
          <w:rFonts w:ascii="Arial" w:hAnsi="Arial" w:cs="Arial"/>
          <w:b/>
          <w:bCs/>
          <w:i/>
          <w:sz w:val="24"/>
          <w:szCs w:val="24"/>
        </w:rPr>
        <w:t>Compatibility of the measure with the r</w:t>
      </w:r>
      <w:r w:rsidR="007C7A19">
        <w:rPr>
          <w:rFonts w:ascii="Arial" w:hAnsi="Arial" w:cs="Arial"/>
          <w:b/>
          <w:bCs/>
          <w:i/>
          <w:sz w:val="24"/>
          <w:szCs w:val="24"/>
        </w:rPr>
        <w:t xml:space="preserve">ight to a fair hearing </w:t>
      </w:r>
    </w:p>
    <w:bookmarkEnd w:id="2"/>
    <w:p w14:paraId="0CAD1DDA" w14:textId="6B7CC250" w:rsidR="00BA44D3" w:rsidRDefault="00BA44D3" w:rsidP="003364EC">
      <w:pPr>
        <w:pStyle w:val="ListParagraph"/>
        <w:spacing w:after="200" w:line="276" w:lineRule="auto"/>
        <w:ind w:left="360"/>
        <w:contextualSpacing/>
        <w:mirrorIndents/>
        <w:rPr>
          <w:rFonts w:ascii="Arial" w:hAnsi="Arial" w:cs="Arial"/>
          <w:iCs/>
          <w:sz w:val="24"/>
          <w:szCs w:val="24"/>
        </w:rPr>
      </w:pPr>
      <w:r w:rsidRPr="00F6232C">
        <w:rPr>
          <w:rFonts w:ascii="Arial" w:hAnsi="Arial" w:cs="Arial"/>
          <w:iCs/>
          <w:sz w:val="24"/>
          <w:szCs w:val="24"/>
        </w:rPr>
        <w:t xml:space="preserve">Section 21 of the HRA provides that </w:t>
      </w:r>
      <w:r w:rsidR="00F6232C" w:rsidRPr="00F6232C">
        <w:rPr>
          <w:rFonts w:ascii="Arial" w:hAnsi="Arial" w:cs="Arial"/>
          <w:iCs/>
          <w:sz w:val="24"/>
          <w:szCs w:val="24"/>
        </w:rPr>
        <w:t>everyone has the right to have rights and obligations recognised by law, decided by a competent, independent and impartial court or tribunal after a fair and public hearing.</w:t>
      </w:r>
    </w:p>
    <w:p w14:paraId="523666BD" w14:textId="79C73EB0" w:rsidR="00D2144C" w:rsidRDefault="00036ABC" w:rsidP="00D2144C">
      <w:pPr>
        <w:mirrorIndents/>
        <w:rPr>
          <w:rFonts w:ascii="Arial" w:hAnsi="Arial" w:cs="Arial"/>
          <w:iCs/>
          <w:sz w:val="24"/>
          <w:szCs w:val="24"/>
        </w:rPr>
      </w:pPr>
      <w:r>
        <w:rPr>
          <w:rFonts w:ascii="Arial" w:hAnsi="Arial" w:cs="Arial"/>
          <w:iCs/>
          <w:sz w:val="24"/>
          <w:szCs w:val="24"/>
        </w:rPr>
        <w:t>Section 21 of the HRA</w:t>
      </w:r>
      <w:r w:rsidRPr="00036ABC">
        <w:rPr>
          <w:rFonts w:ascii="Arial" w:hAnsi="Arial" w:cs="Arial"/>
          <w:iCs/>
          <w:sz w:val="24"/>
          <w:szCs w:val="24"/>
        </w:rPr>
        <w:t xml:space="preserve"> is drawn from Article 14 of the International Covenant on Civil and Political Rights</w:t>
      </w:r>
      <w:r w:rsidR="00105AF7">
        <w:rPr>
          <w:rFonts w:ascii="Arial" w:hAnsi="Arial" w:cs="Arial"/>
          <w:iCs/>
          <w:sz w:val="24"/>
          <w:szCs w:val="24"/>
        </w:rPr>
        <w:t xml:space="preserve"> (ICCPR)</w:t>
      </w:r>
      <w:r w:rsidRPr="00036ABC">
        <w:rPr>
          <w:rFonts w:ascii="Arial" w:hAnsi="Arial" w:cs="Arial"/>
          <w:iCs/>
          <w:sz w:val="24"/>
          <w:szCs w:val="24"/>
        </w:rPr>
        <w:t xml:space="preserve"> and is required under the </w:t>
      </w:r>
      <w:r>
        <w:rPr>
          <w:rFonts w:ascii="Arial" w:hAnsi="Arial" w:cs="Arial"/>
          <w:iCs/>
          <w:sz w:val="24"/>
          <w:szCs w:val="24"/>
        </w:rPr>
        <w:t xml:space="preserve">HRA </w:t>
      </w:r>
      <w:r w:rsidRPr="00036ABC">
        <w:rPr>
          <w:rFonts w:ascii="Arial" w:hAnsi="Arial" w:cs="Arial"/>
          <w:iCs/>
          <w:sz w:val="24"/>
          <w:szCs w:val="24"/>
        </w:rPr>
        <w:t xml:space="preserve">to be interpreted </w:t>
      </w:r>
      <w:r w:rsidR="00105AF7">
        <w:rPr>
          <w:rFonts w:ascii="Arial" w:hAnsi="Arial" w:cs="Arial"/>
          <w:iCs/>
          <w:sz w:val="24"/>
          <w:szCs w:val="24"/>
        </w:rPr>
        <w:t>with reference</w:t>
      </w:r>
      <w:r w:rsidRPr="00036ABC">
        <w:rPr>
          <w:rFonts w:ascii="Arial" w:hAnsi="Arial" w:cs="Arial"/>
          <w:iCs/>
          <w:sz w:val="24"/>
          <w:szCs w:val="24"/>
        </w:rPr>
        <w:t xml:space="preserve"> </w:t>
      </w:r>
      <w:r w:rsidR="00105AF7">
        <w:rPr>
          <w:rFonts w:ascii="Arial" w:hAnsi="Arial" w:cs="Arial"/>
          <w:iCs/>
          <w:sz w:val="24"/>
          <w:szCs w:val="24"/>
        </w:rPr>
        <w:t xml:space="preserve">to </w:t>
      </w:r>
      <w:r w:rsidRPr="00036ABC">
        <w:rPr>
          <w:rFonts w:ascii="Arial" w:hAnsi="Arial" w:cs="Arial"/>
          <w:iCs/>
          <w:sz w:val="24"/>
          <w:szCs w:val="24"/>
        </w:rPr>
        <w:t>international law.</w:t>
      </w:r>
      <w:r w:rsidR="00886A87">
        <w:rPr>
          <w:rStyle w:val="FootnoteReference"/>
          <w:rFonts w:ascii="Arial" w:hAnsi="Arial"/>
          <w:iCs/>
          <w:sz w:val="24"/>
          <w:szCs w:val="24"/>
        </w:rPr>
        <w:footnoteReference w:id="5"/>
      </w:r>
      <w:r w:rsidRPr="00036ABC">
        <w:rPr>
          <w:rFonts w:ascii="Arial" w:hAnsi="Arial" w:cs="Arial"/>
          <w:iCs/>
          <w:sz w:val="24"/>
          <w:szCs w:val="24"/>
        </w:rPr>
        <w:t xml:space="preserve"> Article 14 of the ICCPR and relevant international jurisprudence </w:t>
      </w:r>
      <w:r>
        <w:rPr>
          <w:rFonts w:ascii="Arial" w:hAnsi="Arial" w:cs="Arial"/>
          <w:iCs/>
          <w:sz w:val="24"/>
          <w:szCs w:val="24"/>
        </w:rPr>
        <w:t xml:space="preserve">indicate </w:t>
      </w:r>
      <w:r w:rsidRPr="00036ABC">
        <w:rPr>
          <w:rFonts w:ascii="Arial" w:hAnsi="Arial" w:cs="Arial"/>
          <w:iCs/>
          <w:sz w:val="24"/>
          <w:szCs w:val="24"/>
        </w:rPr>
        <w:t xml:space="preserve">that in civil and administrative matters, the right to a fair hearing will </w:t>
      </w:r>
      <w:r>
        <w:rPr>
          <w:rFonts w:ascii="Arial" w:hAnsi="Arial" w:cs="Arial"/>
          <w:iCs/>
          <w:sz w:val="24"/>
          <w:szCs w:val="24"/>
        </w:rPr>
        <w:t xml:space="preserve">generally </w:t>
      </w:r>
      <w:r w:rsidRPr="00036ABC">
        <w:rPr>
          <w:rFonts w:ascii="Arial" w:hAnsi="Arial" w:cs="Arial"/>
          <w:iCs/>
          <w:sz w:val="24"/>
          <w:szCs w:val="24"/>
        </w:rPr>
        <w:t xml:space="preserve">apply </w:t>
      </w:r>
      <w:r>
        <w:rPr>
          <w:rFonts w:ascii="Arial" w:hAnsi="Arial" w:cs="Arial"/>
          <w:iCs/>
          <w:sz w:val="24"/>
          <w:szCs w:val="24"/>
        </w:rPr>
        <w:t>to</w:t>
      </w:r>
      <w:r w:rsidRPr="00036ABC">
        <w:rPr>
          <w:rFonts w:ascii="Arial" w:hAnsi="Arial" w:cs="Arial"/>
          <w:iCs/>
          <w:sz w:val="24"/>
          <w:szCs w:val="24"/>
        </w:rPr>
        <w:t xml:space="preserve"> determining rights and obligations in a ‘suit at law</w:t>
      </w:r>
      <w:r>
        <w:rPr>
          <w:rFonts w:ascii="Arial" w:hAnsi="Arial" w:cs="Arial"/>
          <w:iCs/>
          <w:sz w:val="24"/>
          <w:szCs w:val="24"/>
        </w:rPr>
        <w:t>.</w:t>
      </w:r>
      <w:r w:rsidRPr="00036ABC">
        <w:rPr>
          <w:rFonts w:ascii="Arial" w:hAnsi="Arial" w:cs="Arial"/>
          <w:iCs/>
          <w:sz w:val="24"/>
          <w:szCs w:val="24"/>
        </w:rPr>
        <w:t>’ The concept of</w:t>
      </w:r>
      <w:r w:rsidR="00105AF7">
        <w:rPr>
          <w:rFonts w:ascii="Arial" w:hAnsi="Arial" w:cs="Arial"/>
          <w:iCs/>
          <w:sz w:val="24"/>
          <w:szCs w:val="24"/>
        </w:rPr>
        <w:t xml:space="preserve"> a</w:t>
      </w:r>
      <w:r w:rsidRPr="00036ABC">
        <w:rPr>
          <w:rFonts w:ascii="Arial" w:hAnsi="Arial" w:cs="Arial"/>
          <w:iCs/>
          <w:sz w:val="24"/>
          <w:szCs w:val="24"/>
        </w:rPr>
        <w:t xml:space="preserve"> 'suit at law' encompasses judicial procedures aimed at determining rights and obligations</w:t>
      </w:r>
      <w:r>
        <w:rPr>
          <w:rFonts w:ascii="Arial" w:hAnsi="Arial" w:cs="Arial"/>
          <w:iCs/>
          <w:sz w:val="24"/>
          <w:szCs w:val="24"/>
        </w:rPr>
        <w:t xml:space="preserve"> pertaining to the areas of contract property and torts in the areas of private law</w:t>
      </w:r>
      <w:r w:rsidRPr="00036ABC">
        <w:rPr>
          <w:rFonts w:ascii="Arial" w:hAnsi="Arial" w:cs="Arial"/>
          <w:iCs/>
          <w:sz w:val="24"/>
          <w:szCs w:val="24"/>
        </w:rPr>
        <w:t>, equivalent notions in the area of administrative law</w:t>
      </w:r>
      <w:r>
        <w:rPr>
          <w:rFonts w:ascii="Arial" w:hAnsi="Arial" w:cs="Arial"/>
          <w:iCs/>
          <w:sz w:val="24"/>
          <w:szCs w:val="24"/>
        </w:rPr>
        <w:t xml:space="preserve"> including</w:t>
      </w:r>
      <w:r w:rsidR="00A3434B">
        <w:rPr>
          <w:rFonts w:ascii="Arial" w:hAnsi="Arial" w:cs="Arial"/>
          <w:iCs/>
          <w:sz w:val="24"/>
          <w:szCs w:val="24"/>
        </w:rPr>
        <w:t xml:space="preserve"> the use of public land or the taking or private property</w:t>
      </w:r>
      <w:r w:rsidRPr="00036ABC">
        <w:rPr>
          <w:rFonts w:ascii="Arial" w:hAnsi="Arial" w:cs="Arial"/>
          <w:iCs/>
          <w:sz w:val="24"/>
          <w:szCs w:val="24"/>
        </w:rPr>
        <w:t xml:space="preserve"> and also extends to other procedures assessed on a case-by-case basis in light of the nature of the right in question.</w:t>
      </w:r>
      <w:r w:rsidRPr="00036ABC">
        <w:rPr>
          <w:rFonts w:ascii="Arial" w:hAnsi="Arial" w:cs="Arial"/>
          <w:iCs/>
          <w:sz w:val="24"/>
          <w:szCs w:val="24"/>
          <w:vertAlign w:val="superscript"/>
        </w:rPr>
        <w:footnoteReference w:id="6"/>
      </w:r>
      <w:r w:rsidR="00A3434B">
        <w:rPr>
          <w:rFonts w:ascii="Arial" w:hAnsi="Arial" w:cs="Arial"/>
          <w:iCs/>
          <w:sz w:val="24"/>
          <w:szCs w:val="24"/>
        </w:rPr>
        <w:t xml:space="preserve"> Jurisprudence in relation to whether a ‘suit of law’ exists in a particular case is complex</w:t>
      </w:r>
      <w:r w:rsidR="008755DE">
        <w:rPr>
          <w:rFonts w:ascii="Arial" w:hAnsi="Arial" w:cs="Arial"/>
          <w:iCs/>
          <w:sz w:val="24"/>
          <w:szCs w:val="24"/>
        </w:rPr>
        <w:t xml:space="preserve">. However, on a </w:t>
      </w:r>
      <w:r w:rsidR="00730FE6">
        <w:rPr>
          <w:rFonts w:ascii="Arial" w:hAnsi="Arial" w:cs="Arial"/>
          <w:iCs/>
          <w:sz w:val="24"/>
          <w:szCs w:val="24"/>
        </w:rPr>
        <w:t>proper</w:t>
      </w:r>
      <w:r w:rsidR="008755DE">
        <w:rPr>
          <w:rFonts w:ascii="Arial" w:hAnsi="Arial" w:cs="Arial"/>
          <w:iCs/>
          <w:sz w:val="24"/>
          <w:szCs w:val="24"/>
        </w:rPr>
        <w:t xml:space="preserve"> construction of section 122</w:t>
      </w:r>
      <w:r w:rsidR="009E1002">
        <w:rPr>
          <w:rFonts w:ascii="Arial" w:hAnsi="Arial" w:cs="Arial"/>
          <w:iCs/>
          <w:sz w:val="24"/>
          <w:szCs w:val="24"/>
        </w:rPr>
        <w:t xml:space="preserve"> </w:t>
      </w:r>
      <w:r w:rsidR="00730FE6">
        <w:rPr>
          <w:rFonts w:ascii="Arial" w:hAnsi="Arial" w:cs="Arial"/>
          <w:iCs/>
          <w:sz w:val="24"/>
          <w:szCs w:val="24"/>
        </w:rPr>
        <w:t>it</w:t>
      </w:r>
      <w:r w:rsidR="008755DE">
        <w:rPr>
          <w:rFonts w:ascii="Arial" w:hAnsi="Arial" w:cs="Arial"/>
          <w:iCs/>
          <w:sz w:val="24"/>
          <w:szCs w:val="24"/>
        </w:rPr>
        <w:t xml:space="preserve"> does not give rise </w:t>
      </w:r>
      <w:r w:rsidR="00486AC3">
        <w:rPr>
          <w:rFonts w:ascii="Arial" w:hAnsi="Arial" w:cs="Arial"/>
          <w:iCs/>
          <w:sz w:val="24"/>
          <w:szCs w:val="24"/>
        </w:rPr>
        <w:t xml:space="preserve">to </w:t>
      </w:r>
      <w:r w:rsidR="00A3434B">
        <w:rPr>
          <w:rFonts w:ascii="Arial" w:hAnsi="Arial" w:cs="Arial"/>
          <w:iCs/>
          <w:sz w:val="24"/>
          <w:szCs w:val="24"/>
        </w:rPr>
        <w:t>a ‘suit of law’</w:t>
      </w:r>
      <w:r w:rsidR="008755DE">
        <w:rPr>
          <w:rFonts w:ascii="Arial" w:hAnsi="Arial" w:cs="Arial"/>
          <w:iCs/>
          <w:sz w:val="24"/>
          <w:szCs w:val="24"/>
        </w:rPr>
        <w:t xml:space="preserve"> because of the nature of that section</w:t>
      </w:r>
      <w:r w:rsidR="00730FE6">
        <w:rPr>
          <w:rFonts w:ascii="Arial" w:hAnsi="Arial" w:cs="Arial"/>
          <w:iCs/>
          <w:sz w:val="24"/>
          <w:szCs w:val="24"/>
        </w:rPr>
        <w:t xml:space="preserve"> – it creates a right to apply</w:t>
      </w:r>
      <w:r w:rsidR="00E41BD5">
        <w:rPr>
          <w:rFonts w:ascii="Arial" w:hAnsi="Arial" w:cs="Arial"/>
          <w:iCs/>
          <w:sz w:val="24"/>
          <w:szCs w:val="24"/>
        </w:rPr>
        <w:t xml:space="preserve"> for compensation. I</w:t>
      </w:r>
      <w:r w:rsidR="00730FE6">
        <w:rPr>
          <w:rFonts w:ascii="Arial" w:hAnsi="Arial" w:cs="Arial"/>
          <w:iCs/>
          <w:sz w:val="24"/>
          <w:szCs w:val="24"/>
        </w:rPr>
        <w:t>ts amendment</w:t>
      </w:r>
      <w:r w:rsidR="00E41BD5">
        <w:rPr>
          <w:rFonts w:ascii="Arial" w:hAnsi="Arial" w:cs="Arial"/>
          <w:iCs/>
          <w:sz w:val="24"/>
          <w:szCs w:val="24"/>
        </w:rPr>
        <w:t xml:space="preserve"> </w:t>
      </w:r>
      <w:r w:rsidR="00730FE6">
        <w:rPr>
          <w:rFonts w:ascii="Arial" w:hAnsi="Arial" w:cs="Arial"/>
          <w:iCs/>
          <w:sz w:val="24"/>
          <w:szCs w:val="24"/>
        </w:rPr>
        <w:t xml:space="preserve">does not </w:t>
      </w:r>
      <w:r w:rsidR="00E41BD5">
        <w:rPr>
          <w:rFonts w:ascii="Arial" w:hAnsi="Arial" w:cs="Arial"/>
          <w:iCs/>
          <w:sz w:val="24"/>
          <w:szCs w:val="24"/>
        </w:rPr>
        <w:t>affect</w:t>
      </w:r>
      <w:r w:rsidR="00730FE6">
        <w:rPr>
          <w:rFonts w:ascii="Arial" w:hAnsi="Arial" w:cs="Arial"/>
          <w:iCs/>
          <w:sz w:val="24"/>
          <w:szCs w:val="24"/>
        </w:rPr>
        <w:t xml:space="preserve"> any </w:t>
      </w:r>
      <w:r w:rsidR="008755DE">
        <w:rPr>
          <w:rFonts w:ascii="Arial" w:hAnsi="Arial" w:cs="Arial"/>
          <w:iCs/>
          <w:sz w:val="24"/>
          <w:szCs w:val="24"/>
        </w:rPr>
        <w:t xml:space="preserve">‘suit of law’ </w:t>
      </w:r>
      <w:r w:rsidR="00E41BD5">
        <w:rPr>
          <w:rFonts w:ascii="Arial" w:hAnsi="Arial" w:cs="Arial"/>
          <w:iCs/>
          <w:sz w:val="24"/>
          <w:szCs w:val="24"/>
        </w:rPr>
        <w:t xml:space="preserve">and thus </w:t>
      </w:r>
      <w:r w:rsidR="008755DE">
        <w:rPr>
          <w:rFonts w:ascii="Arial" w:hAnsi="Arial" w:cs="Arial"/>
          <w:iCs/>
          <w:sz w:val="24"/>
          <w:szCs w:val="24"/>
        </w:rPr>
        <w:t>there will be no</w:t>
      </w:r>
      <w:r w:rsidR="00A3434B">
        <w:rPr>
          <w:rFonts w:ascii="Arial" w:hAnsi="Arial" w:cs="Arial"/>
          <w:iCs/>
          <w:sz w:val="24"/>
          <w:szCs w:val="24"/>
        </w:rPr>
        <w:t xml:space="preserve"> enga</w:t>
      </w:r>
      <w:r w:rsidR="008755DE">
        <w:rPr>
          <w:rFonts w:ascii="Arial" w:hAnsi="Arial" w:cs="Arial"/>
          <w:iCs/>
          <w:sz w:val="24"/>
          <w:szCs w:val="24"/>
        </w:rPr>
        <w:t>gement of</w:t>
      </w:r>
      <w:r w:rsidR="00A3434B">
        <w:rPr>
          <w:rFonts w:ascii="Arial" w:hAnsi="Arial" w:cs="Arial"/>
          <w:iCs/>
          <w:sz w:val="24"/>
          <w:szCs w:val="24"/>
        </w:rPr>
        <w:t xml:space="preserve"> the right to a fair hearing</w:t>
      </w:r>
      <w:r w:rsidR="008755DE">
        <w:rPr>
          <w:rFonts w:ascii="Arial" w:hAnsi="Arial" w:cs="Arial"/>
          <w:iCs/>
          <w:sz w:val="24"/>
          <w:szCs w:val="24"/>
        </w:rPr>
        <w:t xml:space="preserve"> through the amendment</w:t>
      </w:r>
      <w:r w:rsidR="00A3434B">
        <w:rPr>
          <w:rFonts w:ascii="Arial" w:hAnsi="Arial" w:cs="Arial"/>
          <w:iCs/>
          <w:sz w:val="24"/>
          <w:szCs w:val="24"/>
        </w:rPr>
        <w:t xml:space="preserve">. </w:t>
      </w:r>
    </w:p>
    <w:p w14:paraId="6C4A4C25" w14:textId="6E1C6408" w:rsidR="00A921AD" w:rsidRPr="00D2144C" w:rsidRDefault="00C6013F" w:rsidP="00D2144C">
      <w:pPr>
        <w:mirrorIndents/>
        <w:rPr>
          <w:rFonts w:ascii="Arial" w:hAnsi="Arial" w:cs="Arial"/>
          <w:iCs/>
          <w:sz w:val="24"/>
          <w:szCs w:val="24"/>
        </w:rPr>
      </w:pPr>
      <w:r>
        <w:rPr>
          <w:rFonts w:ascii="Arial" w:hAnsi="Arial" w:cs="Arial"/>
          <w:iCs/>
          <w:sz w:val="24"/>
          <w:szCs w:val="24"/>
        </w:rPr>
        <w:t xml:space="preserve">For </w:t>
      </w:r>
      <w:r w:rsidR="008A3836">
        <w:rPr>
          <w:rFonts w:ascii="Arial" w:hAnsi="Arial" w:cs="Arial"/>
          <w:iCs/>
          <w:sz w:val="24"/>
          <w:szCs w:val="24"/>
        </w:rPr>
        <w:t>completeness</w:t>
      </w:r>
      <w:r w:rsidR="008755DE">
        <w:rPr>
          <w:rFonts w:ascii="Arial" w:hAnsi="Arial" w:cs="Arial"/>
          <w:iCs/>
          <w:sz w:val="24"/>
          <w:szCs w:val="24"/>
        </w:rPr>
        <w:t xml:space="preserve"> and in the alternative</w:t>
      </w:r>
      <w:r w:rsidR="008A3836">
        <w:rPr>
          <w:rFonts w:ascii="Arial" w:hAnsi="Arial" w:cs="Arial"/>
          <w:iCs/>
          <w:sz w:val="24"/>
          <w:szCs w:val="24"/>
        </w:rPr>
        <w:t>, even</w:t>
      </w:r>
      <w:r w:rsidR="00A3434B">
        <w:rPr>
          <w:rFonts w:ascii="Arial" w:hAnsi="Arial" w:cs="Arial"/>
          <w:iCs/>
          <w:sz w:val="24"/>
          <w:szCs w:val="24"/>
        </w:rPr>
        <w:t xml:space="preserve"> if the right to a fair trial is engaged and limited by the amendment, this limit is permissible under section 28 of the HRA.</w:t>
      </w:r>
      <w:r w:rsidR="00A921AD">
        <w:rPr>
          <w:rFonts w:ascii="Arial" w:hAnsi="Arial" w:cs="Arial"/>
          <w:iCs/>
          <w:sz w:val="24"/>
          <w:szCs w:val="24"/>
        </w:rPr>
        <w:t xml:space="preserve"> The key elements of this test are addressed below. </w:t>
      </w:r>
      <w:r w:rsidR="00A3434B">
        <w:rPr>
          <w:rFonts w:ascii="Arial" w:hAnsi="Arial" w:cs="Arial"/>
          <w:iCs/>
          <w:sz w:val="24"/>
          <w:szCs w:val="24"/>
        </w:rPr>
        <w:t xml:space="preserve">  </w:t>
      </w:r>
    </w:p>
    <w:p w14:paraId="260A9B8F" w14:textId="646E36A2" w:rsidR="00A921AD" w:rsidRDefault="00A921AD" w:rsidP="00A921AD">
      <w:pPr>
        <w:mirrorIndents/>
        <w:rPr>
          <w:rFonts w:ascii="Arial" w:hAnsi="Arial" w:cs="Arial"/>
          <w:i/>
          <w:sz w:val="24"/>
          <w:szCs w:val="24"/>
        </w:rPr>
      </w:pPr>
      <w:r>
        <w:rPr>
          <w:rFonts w:ascii="Arial" w:hAnsi="Arial" w:cs="Arial"/>
          <w:i/>
          <w:sz w:val="24"/>
          <w:szCs w:val="24"/>
        </w:rPr>
        <w:t>Nature of the right effected (section 28 (a) and (c))</w:t>
      </w:r>
    </w:p>
    <w:p w14:paraId="7332CB93" w14:textId="6C9E21F1" w:rsidR="00A921AD" w:rsidRPr="00B20EE1" w:rsidRDefault="00A921AD" w:rsidP="00A921AD">
      <w:pPr>
        <w:mirrorIndents/>
        <w:rPr>
          <w:rFonts w:ascii="Arial" w:hAnsi="Arial" w:cs="Arial"/>
          <w:iCs/>
          <w:sz w:val="24"/>
          <w:szCs w:val="24"/>
        </w:rPr>
      </w:pPr>
      <w:r w:rsidRPr="00B20EE1">
        <w:rPr>
          <w:rFonts w:ascii="Arial" w:hAnsi="Arial" w:cs="Arial"/>
          <w:iCs/>
          <w:sz w:val="24"/>
          <w:szCs w:val="24"/>
        </w:rPr>
        <w:t xml:space="preserve">The nature of the right </w:t>
      </w:r>
      <w:r>
        <w:rPr>
          <w:rFonts w:ascii="Arial" w:hAnsi="Arial" w:cs="Arial"/>
          <w:iCs/>
          <w:sz w:val="24"/>
          <w:szCs w:val="24"/>
        </w:rPr>
        <w:t>is that it may be</w:t>
      </w:r>
      <w:r w:rsidRPr="00B20EE1">
        <w:rPr>
          <w:rFonts w:ascii="Arial" w:hAnsi="Arial" w:cs="Arial"/>
          <w:iCs/>
          <w:sz w:val="24"/>
          <w:szCs w:val="24"/>
        </w:rPr>
        <w:t xml:space="preserve"> subject to </w:t>
      </w:r>
      <w:r w:rsidR="00105AF7">
        <w:rPr>
          <w:rFonts w:ascii="Arial" w:hAnsi="Arial" w:cs="Arial"/>
          <w:iCs/>
          <w:sz w:val="24"/>
          <w:szCs w:val="24"/>
        </w:rPr>
        <w:t>limitations</w:t>
      </w:r>
      <w:r w:rsidRPr="00B20EE1">
        <w:rPr>
          <w:rFonts w:ascii="Arial" w:hAnsi="Arial" w:cs="Arial"/>
          <w:iCs/>
          <w:sz w:val="24"/>
          <w:szCs w:val="24"/>
        </w:rPr>
        <w:t xml:space="preserve">. </w:t>
      </w:r>
      <w:r w:rsidR="00E41BD5">
        <w:rPr>
          <w:rFonts w:ascii="Arial" w:hAnsi="Arial" w:cs="Arial"/>
          <w:iCs/>
          <w:sz w:val="24"/>
          <w:szCs w:val="24"/>
        </w:rPr>
        <w:t>That which a statute creates a statute can modify.</w:t>
      </w:r>
    </w:p>
    <w:p w14:paraId="34E90435" w14:textId="38656CC5" w:rsidR="00F930A1" w:rsidRPr="00B20EE1" w:rsidRDefault="00F930A1" w:rsidP="00B20EE1">
      <w:pPr>
        <w:mirrorIndents/>
        <w:rPr>
          <w:rFonts w:ascii="Arial" w:hAnsi="Arial" w:cs="Arial"/>
          <w:i/>
          <w:sz w:val="24"/>
          <w:szCs w:val="24"/>
        </w:rPr>
      </w:pPr>
      <w:r w:rsidRPr="00B20EE1">
        <w:rPr>
          <w:rFonts w:ascii="Arial" w:hAnsi="Arial" w:cs="Arial"/>
          <w:i/>
          <w:sz w:val="24"/>
          <w:szCs w:val="24"/>
        </w:rPr>
        <w:t>Legitimate purpose (s28(b))</w:t>
      </w:r>
    </w:p>
    <w:p w14:paraId="5C5E635A" w14:textId="079897B5" w:rsidR="00146E52" w:rsidRPr="00B20EE1" w:rsidRDefault="008755DE" w:rsidP="00B20EE1">
      <w:pPr>
        <w:contextualSpacing/>
        <w:rPr>
          <w:rFonts w:ascii="Arial" w:hAnsi="Arial" w:cs="Arial"/>
          <w:iCs/>
          <w:sz w:val="24"/>
          <w:szCs w:val="24"/>
        </w:rPr>
      </w:pPr>
      <w:bookmarkStart w:id="3" w:name="_Hlk41488037"/>
      <w:r>
        <w:rPr>
          <w:rFonts w:ascii="Arial" w:hAnsi="Arial" w:cs="Arial"/>
          <w:iCs/>
          <w:sz w:val="24"/>
          <w:szCs w:val="24"/>
        </w:rPr>
        <w:t>T</w:t>
      </w:r>
      <w:r w:rsidR="00A921AD" w:rsidRPr="00B20EE1">
        <w:rPr>
          <w:rFonts w:ascii="Arial" w:hAnsi="Arial" w:cs="Arial"/>
          <w:iCs/>
          <w:sz w:val="24"/>
          <w:szCs w:val="24"/>
        </w:rPr>
        <w:t xml:space="preserve">he amendment addresses a substantial and pressing </w:t>
      </w:r>
      <w:bookmarkStart w:id="4" w:name="_Hlk41488769"/>
      <w:r w:rsidR="00A921AD" w:rsidRPr="00B20EE1">
        <w:rPr>
          <w:rFonts w:ascii="Arial" w:hAnsi="Arial" w:cs="Arial"/>
          <w:iCs/>
          <w:sz w:val="24"/>
          <w:szCs w:val="24"/>
        </w:rPr>
        <w:t xml:space="preserve">concern </w:t>
      </w:r>
      <w:r w:rsidR="00FD632F" w:rsidRPr="00B20EE1">
        <w:rPr>
          <w:rFonts w:ascii="Arial" w:hAnsi="Arial" w:cs="Arial"/>
          <w:iCs/>
          <w:sz w:val="24"/>
          <w:szCs w:val="24"/>
        </w:rPr>
        <w:t xml:space="preserve">to </w:t>
      </w:r>
      <w:r w:rsidR="00F42795" w:rsidRPr="00B20EE1">
        <w:rPr>
          <w:rFonts w:ascii="Arial" w:hAnsi="Arial" w:cs="Arial"/>
          <w:iCs/>
          <w:sz w:val="24"/>
          <w:szCs w:val="24"/>
        </w:rPr>
        <w:t>p</w:t>
      </w:r>
      <w:r w:rsidR="00C40267" w:rsidRPr="00B20EE1">
        <w:rPr>
          <w:rFonts w:ascii="Arial" w:hAnsi="Arial" w:cs="Arial"/>
          <w:iCs/>
          <w:sz w:val="24"/>
          <w:szCs w:val="24"/>
        </w:rPr>
        <w:t>rotect the ongoing financial viability</w:t>
      </w:r>
      <w:r w:rsidR="00A921AD" w:rsidRPr="00B20EE1">
        <w:rPr>
          <w:rFonts w:ascii="Arial" w:hAnsi="Arial" w:cs="Arial"/>
          <w:iCs/>
          <w:sz w:val="24"/>
          <w:szCs w:val="24"/>
        </w:rPr>
        <w:t xml:space="preserve"> and sustainability</w:t>
      </w:r>
      <w:r w:rsidR="00C40267" w:rsidRPr="00B20EE1">
        <w:rPr>
          <w:rFonts w:ascii="Arial" w:hAnsi="Arial" w:cs="Arial"/>
          <w:iCs/>
          <w:sz w:val="24"/>
          <w:szCs w:val="24"/>
        </w:rPr>
        <w:t xml:space="preserve"> of the Territory and to </w:t>
      </w:r>
      <w:r w:rsidR="00146E52" w:rsidRPr="00B20EE1">
        <w:rPr>
          <w:rFonts w:ascii="Arial" w:hAnsi="Arial" w:cs="Arial"/>
          <w:iCs/>
          <w:sz w:val="24"/>
          <w:szCs w:val="24"/>
        </w:rPr>
        <w:t xml:space="preserve">allow the ACT Government </w:t>
      </w:r>
      <w:r w:rsidR="0080391D" w:rsidRPr="0080391D">
        <w:rPr>
          <w:rFonts w:ascii="Arial" w:hAnsi="Arial" w:cs="Arial"/>
          <w:iCs/>
          <w:sz w:val="24"/>
          <w:szCs w:val="24"/>
        </w:rPr>
        <w:t xml:space="preserve">ensure that the ACT Government is able to continue to effectively respond to the public health emergency and protect the right to life while providing </w:t>
      </w:r>
      <w:r w:rsidR="0080391D" w:rsidRPr="0080391D">
        <w:rPr>
          <w:rFonts w:ascii="Arial" w:hAnsi="Arial" w:cs="Arial"/>
          <w:iCs/>
          <w:sz w:val="24"/>
          <w:szCs w:val="24"/>
        </w:rPr>
        <w:lastRenderedPageBreak/>
        <w:t>targeted economic assistance to mitigate the effects of COVID-19 on the community</w:t>
      </w:r>
      <w:r w:rsidR="00F42795" w:rsidRPr="00B20EE1">
        <w:rPr>
          <w:rFonts w:ascii="Arial" w:hAnsi="Arial" w:cs="Arial"/>
          <w:iCs/>
          <w:sz w:val="24"/>
          <w:szCs w:val="24"/>
        </w:rPr>
        <w:t xml:space="preserve">. </w:t>
      </w:r>
      <w:bookmarkEnd w:id="4"/>
      <w:r w:rsidR="00105AF7">
        <w:rPr>
          <w:rFonts w:ascii="Arial" w:hAnsi="Arial" w:cs="Arial"/>
          <w:iCs/>
          <w:sz w:val="24"/>
          <w:szCs w:val="24"/>
        </w:rPr>
        <w:t>D</w:t>
      </w:r>
      <w:r w:rsidR="00A921AD" w:rsidRPr="00B20EE1">
        <w:rPr>
          <w:rFonts w:ascii="Arial" w:hAnsi="Arial" w:cs="Arial"/>
          <w:iCs/>
          <w:sz w:val="24"/>
          <w:szCs w:val="24"/>
        </w:rPr>
        <w:t>eliver</w:t>
      </w:r>
      <w:r w:rsidR="00105AF7">
        <w:rPr>
          <w:rFonts w:ascii="Arial" w:hAnsi="Arial" w:cs="Arial"/>
          <w:iCs/>
          <w:sz w:val="24"/>
          <w:szCs w:val="24"/>
        </w:rPr>
        <w:t>ing</w:t>
      </w:r>
      <w:r w:rsidR="00A921AD" w:rsidRPr="00B20EE1">
        <w:rPr>
          <w:rFonts w:ascii="Arial" w:hAnsi="Arial" w:cs="Arial"/>
          <w:iCs/>
          <w:sz w:val="24"/>
          <w:szCs w:val="24"/>
        </w:rPr>
        <w:t xml:space="preserve"> resources in this way is essential to the protection of other human rights. </w:t>
      </w:r>
    </w:p>
    <w:p w14:paraId="4A0152E4" w14:textId="77777777" w:rsidR="0080391D" w:rsidRPr="00B20EE1" w:rsidRDefault="0080391D" w:rsidP="00B20EE1">
      <w:pPr>
        <w:contextualSpacing/>
        <w:rPr>
          <w:rFonts w:ascii="Arial" w:hAnsi="Arial" w:cs="Arial"/>
          <w:iCs/>
          <w:sz w:val="24"/>
          <w:szCs w:val="24"/>
        </w:rPr>
      </w:pPr>
    </w:p>
    <w:p w14:paraId="4DD43BF0" w14:textId="446FDF30" w:rsidR="00816AA1" w:rsidRPr="00B20EE1" w:rsidRDefault="00FD632F" w:rsidP="00B20EE1">
      <w:pPr>
        <w:contextualSpacing/>
        <w:rPr>
          <w:rFonts w:ascii="Arial" w:hAnsi="Arial" w:cs="Arial"/>
          <w:iCs/>
          <w:sz w:val="24"/>
          <w:szCs w:val="24"/>
        </w:rPr>
      </w:pPr>
      <w:r w:rsidRPr="00B20EE1">
        <w:rPr>
          <w:rFonts w:ascii="Arial" w:hAnsi="Arial" w:cs="Arial"/>
          <w:iCs/>
          <w:sz w:val="24"/>
          <w:szCs w:val="24"/>
        </w:rPr>
        <w:t xml:space="preserve">COVID-19 presents a significant risk to the health and </w:t>
      </w:r>
      <w:r w:rsidR="00F42795" w:rsidRPr="00B20EE1">
        <w:rPr>
          <w:rFonts w:ascii="Arial" w:hAnsi="Arial" w:cs="Arial"/>
          <w:iCs/>
          <w:sz w:val="24"/>
          <w:szCs w:val="24"/>
        </w:rPr>
        <w:t>livelihood</w:t>
      </w:r>
      <w:r w:rsidR="001B6CCC" w:rsidRPr="00B20EE1">
        <w:rPr>
          <w:rFonts w:ascii="Arial" w:hAnsi="Arial" w:cs="Arial"/>
          <w:iCs/>
          <w:sz w:val="24"/>
          <w:szCs w:val="24"/>
        </w:rPr>
        <w:t>s</w:t>
      </w:r>
      <w:r w:rsidRPr="00B20EE1">
        <w:rPr>
          <w:rFonts w:ascii="Arial" w:hAnsi="Arial" w:cs="Arial"/>
          <w:iCs/>
          <w:sz w:val="24"/>
          <w:szCs w:val="24"/>
        </w:rPr>
        <w:t xml:space="preserve"> of everyone in the ACT community.</w:t>
      </w:r>
      <w:r w:rsidR="009B1877" w:rsidRPr="00B20EE1">
        <w:rPr>
          <w:rFonts w:ascii="Arial" w:hAnsi="Arial" w:cs="Arial"/>
          <w:iCs/>
          <w:sz w:val="24"/>
          <w:szCs w:val="24"/>
        </w:rPr>
        <w:t xml:space="preserve"> The scale of the COVID-19 pandemic</w:t>
      </w:r>
      <w:r w:rsidR="001B6CCC" w:rsidRPr="00B20EE1">
        <w:rPr>
          <w:rFonts w:ascii="Arial" w:hAnsi="Arial" w:cs="Arial"/>
          <w:iCs/>
          <w:sz w:val="24"/>
          <w:szCs w:val="24"/>
        </w:rPr>
        <w:t>,</w:t>
      </w:r>
      <w:r w:rsidR="00146E52" w:rsidRPr="00B20EE1">
        <w:rPr>
          <w:rFonts w:ascii="Arial" w:hAnsi="Arial" w:cs="Arial"/>
          <w:iCs/>
          <w:sz w:val="24"/>
          <w:szCs w:val="24"/>
        </w:rPr>
        <w:t xml:space="preserve"> and the response required to protect the community</w:t>
      </w:r>
      <w:r w:rsidR="001B6CCC" w:rsidRPr="00B20EE1">
        <w:rPr>
          <w:rFonts w:ascii="Arial" w:hAnsi="Arial" w:cs="Arial"/>
          <w:iCs/>
          <w:sz w:val="24"/>
          <w:szCs w:val="24"/>
        </w:rPr>
        <w:t>,</w:t>
      </w:r>
      <w:r w:rsidR="00146E52" w:rsidRPr="00B20EE1">
        <w:rPr>
          <w:rFonts w:ascii="Arial" w:hAnsi="Arial" w:cs="Arial"/>
          <w:iCs/>
          <w:sz w:val="24"/>
          <w:szCs w:val="24"/>
        </w:rPr>
        <w:t xml:space="preserve"> </w:t>
      </w:r>
      <w:r w:rsidR="001B6CCC" w:rsidRPr="00B20EE1">
        <w:rPr>
          <w:rFonts w:ascii="Arial" w:hAnsi="Arial" w:cs="Arial"/>
          <w:iCs/>
          <w:sz w:val="24"/>
          <w:szCs w:val="24"/>
        </w:rPr>
        <w:t>is</w:t>
      </w:r>
      <w:r w:rsidR="00146E52" w:rsidRPr="00B20EE1">
        <w:rPr>
          <w:rFonts w:ascii="Arial" w:hAnsi="Arial" w:cs="Arial"/>
          <w:iCs/>
          <w:sz w:val="24"/>
          <w:szCs w:val="24"/>
        </w:rPr>
        <w:t xml:space="preserve"> </w:t>
      </w:r>
      <w:r w:rsidR="009E1002">
        <w:rPr>
          <w:rFonts w:ascii="Arial" w:hAnsi="Arial" w:cs="Arial"/>
          <w:iCs/>
          <w:sz w:val="24"/>
          <w:szCs w:val="24"/>
        </w:rPr>
        <w:t>of a scale that has not been seen for a century</w:t>
      </w:r>
      <w:r w:rsidR="00146E52" w:rsidRPr="00B20EE1">
        <w:rPr>
          <w:rFonts w:ascii="Arial" w:hAnsi="Arial" w:cs="Arial"/>
          <w:iCs/>
          <w:sz w:val="24"/>
          <w:szCs w:val="24"/>
        </w:rPr>
        <w:t xml:space="preserve">. </w:t>
      </w:r>
      <w:r w:rsidR="003A3194">
        <w:rPr>
          <w:rFonts w:ascii="Arial" w:hAnsi="Arial" w:cs="Arial"/>
          <w:iCs/>
          <w:sz w:val="24"/>
          <w:szCs w:val="24"/>
        </w:rPr>
        <w:t>In this respect</w:t>
      </w:r>
      <w:r w:rsidR="003A3194" w:rsidRPr="003A3194">
        <w:rPr>
          <w:rFonts w:ascii="Arial" w:hAnsi="Arial" w:cs="Arial"/>
          <w:iCs/>
          <w:sz w:val="24"/>
          <w:szCs w:val="24"/>
        </w:rPr>
        <w:t xml:space="preserve">, the amendment </w:t>
      </w:r>
      <w:r w:rsidR="003A3194">
        <w:rPr>
          <w:rFonts w:ascii="Arial" w:hAnsi="Arial" w:cs="Arial"/>
          <w:iCs/>
          <w:sz w:val="24"/>
          <w:szCs w:val="24"/>
        </w:rPr>
        <w:t>is of importance to</w:t>
      </w:r>
      <w:r w:rsidR="003A3194" w:rsidRPr="003A3194">
        <w:rPr>
          <w:rFonts w:ascii="Arial" w:hAnsi="Arial" w:cs="Arial"/>
          <w:iCs/>
          <w:sz w:val="24"/>
          <w:szCs w:val="24"/>
        </w:rPr>
        <w:t xml:space="preserve"> support the ACT’s Government’s use of the Act </w:t>
      </w:r>
      <w:r w:rsidR="0080391D">
        <w:rPr>
          <w:rFonts w:ascii="Arial" w:hAnsi="Arial" w:cs="Arial"/>
          <w:iCs/>
          <w:sz w:val="24"/>
          <w:szCs w:val="24"/>
        </w:rPr>
        <w:t xml:space="preserve">including </w:t>
      </w:r>
      <w:r w:rsidR="003A3194" w:rsidRPr="003A3194">
        <w:rPr>
          <w:rFonts w:ascii="Arial" w:hAnsi="Arial" w:cs="Arial"/>
          <w:iCs/>
          <w:sz w:val="24"/>
          <w:szCs w:val="24"/>
        </w:rPr>
        <w:t xml:space="preserve">to promote and protect the right to life in the context of the COVID-19 pandemic.  </w:t>
      </w:r>
    </w:p>
    <w:bookmarkEnd w:id="3"/>
    <w:p w14:paraId="227B770C" w14:textId="77777777" w:rsidR="00146E52" w:rsidRPr="00B20EE1" w:rsidRDefault="00146E52" w:rsidP="00B20EE1">
      <w:pPr>
        <w:contextualSpacing/>
        <w:rPr>
          <w:rFonts w:ascii="Arial" w:hAnsi="Arial" w:cs="Arial"/>
          <w:iCs/>
          <w:sz w:val="24"/>
          <w:szCs w:val="24"/>
        </w:rPr>
      </w:pPr>
    </w:p>
    <w:p w14:paraId="76EEB78E" w14:textId="07FBD5CB" w:rsidR="00F42795" w:rsidRPr="00B20EE1" w:rsidRDefault="0080391D" w:rsidP="00B20EE1">
      <w:pPr>
        <w:contextualSpacing/>
        <w:rPr>
          <w:rFonts w:ascii="Arial" w:hAnsi="Arial" w:cs="Arial"/>
          <w:iCs/>
          <w:sz w:val="24"/>
          <w:szCs w:val="24"/>
        </w:rPr>
      </w:pPr>
      <w:r>
        <w:rPr>
          <w:rFonts w:ascii="Arial" w:hAnsi="Arial" w:cs="Arial"/>
          <w:iCs/>
          <w:sz w:val="24"/>
          <w:szCs w:val="24"/>
        </w:rPr>
        <w:t>Further, a</w:t>
      </w:r>
      <w:r w:rsidR="00816AA1" w:rsidRPr="00B20EE1">
        <w:rPr>
          <w:rFonts w:ascii="Arial" w:hAnsi="Arial" w:cs="Arial"/>
          <w:iCs/>
          <w:sz w:val="24"/>
          <w:szCs w:val="24"/>
        </w:rPr>
        <w:t>t international law it is recognised that during a state of public emergency which threatens the life of the nation, that governments may take measures which</w:t>
      </w:r>
      <w:r w:rsidR="00E5380B" w:rsidRPr="00B20EE1">
        <w:rPr>
          <w:rFonts w:ascii="Arial" w:hAnsi="Arial" w:cs="Arial"/>
          <w:iCs/>
          <w:sz w:val="24"/>
          <w:szCs w:val="24"/>
        </w:rPr>
        <w:t xml:space="preserve"> significantly limit or</w:t>
      </w:r>
      <w:r w:rsidR="00816AA1" w:rsidRPr="00B20EE1">
        <w:rPr>
          <w:rFonts w:ascii="Arial" w:hAnsi="Arial" w:cs="Arial"/>
          <w:iCs/>
          <w:sz w:val="24"/>
          <w:szCs w:val="24"/>
        </w:rPr>
        <w:t xml:space="preserve"> derogate from certain human rights, to the extent strictly required by the exigencies of the situation, provided that such measures are not inconsistent with their other obligations under international law and do not involve discrimination solely on the ground of race, colour, sex, language, religion or social origin.</w:t>
      </w:r>
      <w:r w:rsidR="00816AA1" w:rsidRPr="00A77209">
        <w:rPr>
          <w:rStyle w:val="FootnoteReference"/>
          <w:rFonts w:ascii="Arial" w:hAnsi="Arial"/>
          <w:iCs/>
          <w:sz w:val="24"/>
          <w:szCs w:val="24"/>
        </w:rPr>
        <w:footnoteReference w:id="7"/>
      </w:r>
      <w:r w:rsidR="00F961AA" w:rsidRPr="00B20EE1">
        <w:rPr>
          <w:rFonts w:ascii="Arial" w:hAnsi="Arial" w:cs="Arial"/>
          <w:iCs/>
          <w:sz w:val="24"/>
          <w:szCs w:val="24"/>
        </w:rPr>
        <w:t xml:space="preserve"> </w:t>
      </w:r>
    </w:p>
    <w:p w14:paraId="2FFBD07C" w14:textId="77777777" w:rsidR="001B6CCC" w:rsidRPr="00B20EE1" w:rsidRDefault="001B6CCC" w:rsidP="00B20EE1">
      <w:pPr>
        <w:contextualSpacing/>
        <w:rPr>
          <w:rFonts w:ascii="Arial" w:hAnsi="Arial" w:cs="Arial"/>
          <w:iCs/>
          <w:sz w:val="24"/>
          <w:szCs w:val="24"/>
        </w:rPr>
      </w:pPr>
    </w:p>
    <w:p w14:paraId="2C717F29" w14:textId="093941C2" w:rsidR="008D743E" w:rsidRPr="00B20EE1" w:rsidRDefault="00F930A1" w:rsidP="00B20EE1">
      <w:pPr>
        <w:mirrorIndents/>
        <w:rPr>
          <w:rFonts w:ascii="Arial" w:hAnsi="Arial" w:cs="Arial"/>
          <w:i/>
          <w:sz w:val="24"/>
          <w:szCs w:val="24"/>
        </w:rPr>
      </w:pPr>
      <w:r w:rsidRPr="00B20EE1">
        <w:rPr>
          <w:rFonts w:ascii="Arial" w:hAnsi="Arial" w:cs="Arial"/>
          <w:i/>
          <w:sz w:val="24"/>
          <w:szCs w:val="24"/>
        </w:rPr>
        <w:t>Rational connection between the limitation and the purpose (s28(d))</w:t>
      </w:r>
    </w:p>
    <w:p w14:paraId="35629F01" w14:textId="1A7C757B" w:rsidR="00C6013F" w:rsidRDefault="003A3194" w:rsidP="00136B30">
      <w:pPr>
        <w:rPr>
          <w:rFonts w:ascii="Arial" w:hAnsi="Arial" w:cs="Arial"/>
          <w:i/>
          <w:sz w:val="24"/>
          <w:szCs w:val="24"/>
        </w:rPr>
      </w:pPr>
      <w:r>
        <w:rPr>
          <w:rFonts w:ascii="Arial" w:hAnsi="Arial" w:cs="Arial"/>
          <w:iCs/>
          <w:sz w:val="24"/>
          <w:szCs w:val="24"/>
        </w:rPr>
        <w:t>I</w:t>
      </w:r>
      <w:r w:rsidRPr="003A3194">
        <w:rPr>
          <w:rFonts w:ascii="Arial" w:hAnsi="Arial" w:cs="Arial"/>
          <w:iCs/>
          <w:sz w:val="24"/>
          <w:szCs w:val="24"/>
        </w:rPr>
        <w:t>n the context of the COVID-19 emergency</w:t>
      </w:r>
      <w:r>
        <w:rPr>
          <w:rFonts w:ascii="Arial" w:hAnsi="Arial" w:cs="Arial"/>
          <w:iCs/>
          <w:sz w:val="24"/>
          <w:szCs w:val="24"/>
        </w:rPr>
        <w:t>,</w:t>
      </w:r>
      <w:r w:rsidRPr="003A3194">
        <w:rPr>
          <w:rFonts w:ascii="Arial" w:hAnsi="Arial" w:cs="Arial"/>
          <w:iCs/>
          <w:sz w:val="24"/>
          <w:szCs w:val="24"/>
        </w:rPr>
        <w:t xml:space="preserve"> </w:t>
      </w:r>
      <w:r>
        <w:rPr>
          <w:rFonts w:ascii="Arial" w:hAnsi="Arial" w:cs="Arial"/>
          <w:iCs/>
          <w:sz w:val="24"/>
          <w:szCs w:val="24"/>
        </w:rPr>
        <w:t>the amendment is rationally connected to (that is, is effective to achieve</w:t>
      </w:r>
      <w:r w:rsidR="00966E42">
        <w:rPr>
          <w:rFonts w:ascii="Arial" w:hAnsi="Arial" w:cs="Arial"/>
          <w:iCs/>
          <w:sz w:val="24"/>
          <w:szCs w:val="24"/>
        </w:rPr>
        <w:t>)</w:t>
      </w:r>
      <w:r>
        <w:rPr>
          <w:rFonts w:ascii="Arial" w:hAnsi="Arial" w:cs="Arial"/>
          <w:iCs/>
          <w:sz w:val="24"/>
          <w:szCs w:val="24"/>
        </w:rPr>
        <w:t xml:space="preserve"> the legitimate purpose of the amendment</w:t>
      </w:r>
      <w:r w:rsidR="00966E42">
        <w:rPr>
          <w:rFonts w:ascii="Arial" w:hAnsi="Arial" w:cs="Arial"/>
          <w:iCs/>
          <w:sz w:val="24"/>
          <w:szCs w:val="24"/>
        </w:rPr>
        <w:t>.</w:t>
      </w:r>
      <w:r>
        <w:rPr>
          <w:rFonts w:ascii="Arial" w:hAnsi="Arial" w:cs="Arial"/>
          <w:iCs/>
          <w:sz w:val="24"/>
          <w:szCs w:val="24"/>
        </w:rPr>
        <w:t xml:space="preserve"> </w:t>
      </w:r>
      <w:r w:rsidR="00966E42">
        <w:rPr>
          <w:rFonts w:ascii="Arial" w:hAnsi="Arial" w:cs="Arial"/>
          <w:iCs/>
          <w:sz w:val="24"/>
          <w:szCs w:val="24"/>
        </w:rPr>
        <w:t xml:space="preserve">This is because it will </w:t>
      </w:r>
      <w:r w:rsidR="00F42795" w:rsidRPr="00B20EE1">
        <w:rPr>
          <w:rFonts w:ascii="Arial" w:hAnsi="Arial" w:cs="Arial"/>
          <w:iCs/>
          <w:sz w:val="24"/>
          <w:szCs w:val="24"/>
        </w:rPr>
        <w:t xml:space="preserve">ensure that the ACT Government can </w:t>
      </w:r>
      <w:r w:rsidR="00146E52" w:rsidRPr="00B20EE1">
        <w:rPr>
          <w:rFonts w:ascii="Arial" w:hAnsi="Arial" w:cs="Arial"/>
          <w:iCs/>
          <w:sz w:val="24"/>
          <w:szCs w:val="24"/>
        </w:rPr>
        <w:t>continue</w:t>
      </w:r>
      <w:r w:rsidR="00A275BB" w:rsidRPr="00B20EE1">
        <w:rPr>
          <w:rFonts w:ascii="Arial" w:hAnsi="Arial" w:cs="Arial"/>
          <w:iCs/>
          <w:sz w:val="24"/>
          <w:szCs w:val="24"/>
        </w:rPr>
        <w:t xml:space="preserve"> to make strategic financial decisions which prioritise assisting the most vulnerable in the community and financing medium and long term goals that will benefit the whole ACT community into the future. </w:t>
      </w:r>
      <w:r w:rsidR="00966E42">
        <w:rPr>
          <w:rFonts w:ascii="Arial" w:hAnsi="Arial" w:cs="Arial"/>
          <w:iCs/>
          <w:sz w:val="24"/>
          <w:szCs w:val="24"/>
        </w:rPr>
        <w:t xml:space="preserve">It will also allow the ACT Government to use the Act as required to respond to the pandemic to protect the right to life. </w:t>
      </w:r>
    </w:p>
    <w:p w14:paraId="33CB98DF" w14:textId="709C407B" w:rsidR="008D743E" w:rsidRPr="00B20EE1" w:rsidRDefault="00F930A1" w:rsidP="00B20EE1">
      <w:pPr>
        <w:mirrorIndents/>
        <w:rPr>
          <w:rFonts w:ascii="Arial" w:hAnsi="Arial" w:cs="Arial"/>
          <w:i/>
          <w:sz w:val="24"/>
          <w:szCs w:val="24"/>
        </w:rPr>
      </w:pPr>
      <w:r w:rsidRPr="00B20EE1">
        <w:rPr>
          <w:rFonts w:ascii="Arial" w:hAnsi="Arial" w:cs="Arial"/>
          <w:i/>
          <w:sz w:val="24"/>
          <w:szCs w:val="24"/>
        </w:rPr>
        <w:t>Proportionality (s28(e))</w:t>
      </w:r>
    </w:p>
    <w:p w14:paraId="0CA6D3FB" w14:textId="059979E5" w:rsidR="00591D40" w:rsidRPr="002C7C21" w:rsidRDefault="008D743E" w:rsidP="00B20EE1">
      <w:pPr>
        <w:contextualSpacing/>
        <w:rPr>
          <w:rFonts w:ascii="Arial" w:hAnsi="Arial" w:cs="Arial"/>
          <w:iCs/>
          <w:sz w:val="24"/>
          <w:szCs w:val="24"/>
        </w:rPr>
      </w:pPr>
      <w:r w:rsidRPr="00B20EE1">
        <w:rPr>
          <w:rFonts w:ascii="Arial" w:hAnsi="Arial" w:cs="Arial"/>
          <w:iCs/>
          <w:sz w:val="24"/>
          <w:szCs w:val="24"/>
        </w:rPr>
        <w:t>The amendment</w:t>
      </w:r>
      <w:r w:rsidR="00F42795" w:rsidRPr="00B20EE1">
        <w:rPr>
          <w:rFonts w:ascii="Arial" w:hAnsi="Arial" w:cs="Arial"/>
          <w:iCs/>
          <w:sz w:val="24"/>
          <w:szCs w:val="24"/>
        </w:rPr>
        <w:t xml:space="preserve"> in the Bill is </w:t>
      </w:r>
      <w:r w:rsidRPr="00B20EE1">
        <w:rPr>
          <w:rFonts w:ascii="Arial" w:hAnsi="Arial" w:cs="Arial"/>
          <w:iCs/>
          <w:sz w:val="24"/>
          <w:szCs w:val="24"/>
        </w:rPr>
        <w:t>the least restrictive means reasonably available to achieve the objective.</w:t>
      </w:r>
      <w:r w:rsidR="003A03C7" w:rsidRPr="00B20EE1">
        <w:rPr>
          <w:rFonts w:ascii="Arial" w:hAnsi="Arial" w:cs="Arial"/>
          <w:iCs/>
          <w:sz w:val="24"/>
          <w:szCs w:val="24"/>
        </w:rPr>
        <w:t xml:space="preserve"> </w:t>
      </w:r>
      <w:bookmarkStart w:id="5" w:name="_Hlk41489043"/>
      <w:r w:rsidR="00E41BD5">
        <w:rPr>
          <w:rFonts w:ascii="Arial" w:hAnsi="Arial" w:cs="Arial"/>
          <w:iCs/>
          <w:sz w:val="24"/>
          <w:szCs w:val="24"/>
        </w:rPr>
        <w:t>S</w:t>
      </w:r>
      <w:r w:rsidR="00177C52" w:rsidRPr="00177C52">
        <w:rPr>
          <w:rFonts w:ascii="Arial" w:hAnsi="Arial" w:cs="Arial"/>
          <w:iCs/>
          <w:sz w:val="24"/>
          <w:szCs w:val="24"/>
        </w:rPr>
        <w:t xml:space="preserve">ection 122 in the Act is not well targeted to the current environment and opens the Territory to potential liability for unpredictable </w:t>
      </w:r>
      <w:bookmarkEnd w:id="5"/>
      <w:r w:rsidR="004A60E2" w:rsidRPr="00177C52">
        <w:rPr>
          <w:rFonts w:ascii="Arial" w:hAnsi="Arial" w:cs="Arial"/>
          <w:iCs/>
          <w:sz w:val="24"/>
          <w:szCs w:val="24"/>
        </w:rPr>
        <w:t>claims.</w:t>
      </w:r>
      <w:r w:rsidR="00F42795" w:rsidRPr="00B20EE1">
        <w:rPr>
          <w:rFonts w:ascii="Arial" w:hAnsi="Arial" w:cs="Arial"/>
          <w:iCs/>
          <w:sz w:val="24"/>
          <w:szCs w:val="24"/>
        </w:rPr>
        <w:t xml:space="preserve"> </w:t>
      </w:r>
      <w:bookmarkStart w:id="6" w:name="_Hlk41489272"/>
      <w:r w:rsidR="005D474D" w:rsidRPr="00B20EE1">
        <w:rPr>
          <w:rFonts w:ascii="Arial" w:hAnsi="Arial" w:cs="Arial"/>
          <w:iCs/>
          <w:sz w:val="24"/>
          <w:szCs w:val="24"/>
        </w:rPr>
        <w:t xml:space="preserve">The retrospective application of the amendment is necessary to ensure that this objective can be achieved as a number of public health directions have already been made in relation to the COVID-19 emergency and compliance with these directions has already occurred. </w:t>
      </w:r>
    </w:p>
    <w:p w14:paraId="2B075F50" w14:textId="77777777" w:rsidR="00146E52" w:rsidRPr="00B20EE1" w:rsidRDefault="00146E52" w:rsidP="00B20EE1">
      <w:pPr>
        <w:contextualSpacing/>
        <w:rPr>
          <w:rFonts w:ascii="Arial" w:hAnsi="Arial" w:cs="Arial"/>
          <w:sz w:val="24"/>
          <w:szCs w:val="24"/>
        </w:rPr>
      </w:pPr>
    </w:p>
    <w:p w14:paraId="7A91F9FF" w14:textId="7A64047A" w:rsidR="00146E52" w:rsidRPr="00B20EE1" w:rsidRDefault="00754534" w:rsidP="00B20EE1">
      <w:pPr>
        <w:contextualSpacing/>
        <w:rPr>
          <w:rFonts w:ascii="Arial" w:hAnsi="Arial" w:cs="Arial"/>
          <w:iCs/>
          <w:sz w:val="24"/>
          <w:szCs w:val="24"/>
        </w:rPr>
      </w:pPr>
      <w:r>
        <w:rPr>
          <w:rFonts w:ascii="Arial" w:hAnsi="Arial" w:cs="Arial"/>
          <w:sz w:val="24"/>
          <w:szCs w:val="24"/>
          <w:lang w:eastAsia="en-AU"/>
        </w:rPr>
        <w:t>T</w:t>
      </w:r>
      <w:r w:rsidR="002C7C21">
        <w:rPr>
          <w:rFonts w:ascii="Arial" w:hAnsi="Arial" w:cs="Arial"/>
          <w:sz w:val="24"/>
          <w:szCs w:val="24"/>
          <w:lang w:eastAsia="en-AU"/>
        </w:rPr>
        <w:t xml:space="preserve">he proposed amendment is proportionate </w:t>
      </w:r>
      <w:r w:rsidR="00F95C93">
        <w:rPr>
          <w:rFonts w:ascii="Arial" w:hAnsi="Arial" w:cs="Arial"/>
          <w:sz w:val="24"/>
          <w:szCs w:val="24"/>
          <w:lang w:eastAsia="en-AU"/>
        </w:rPr>
        <w:t xml:space="preserve">to </w:t>
      </w:r>
      <w:r>
        <w:rPr>
          <w:rFonts w:ascii="Arial" w:hAnsi="Arial" w:cs="Arial"/>
          <w:sz w:val="24"/>
          <w:szCs w:val="24"/>
          <w:lang w:eastAsia="en-AU"/>
        </w:rPr>
        <w:t>the legitimate</w:t>
      </w:r>
      <w:r w:rsidR="00F95C93">
        <w:rPr>
          <w:rFonts w:ascii="Arial" w:hAnsi="Arial" w:cs="Arial"/>
          <w:sz w:val="24"/>
          <w:szCs w:val="24"/>
          <w:lang w:eastAsia="en-AU"/>
        </w:rPr>
        <w:t xml:space="preserve"> purpose </w:t>
      </w:r>
      <w:r>
        <w:rPr>
          <w:rFonts w:ascii="Arial" w:hAnsi="Arial" w:cs="Arial"/>
          <w:sz w:val="24"/>
          <w:szCs w:val="24"/>
          <w:lang w:eastAsia="en-AU"/>
        </w:rPr>
        <w:t>of enabling the ACT G</w:t>
      </w:r>
      <w:r w:rsidRPr="00754534">
        <w:rPr>
          <w:rFonts w:ascii="Arial" w:hAnsi="Arial" w:cs="Arial"/>
          <w:sz w:val="24"/>
          <w:szCs w:val="24"/>
          <w:lang w:eastAsia="en-AU"/>
        </w:rPr>
        <w:t xml:space="preserve">overnment to </w:t>
      </w:r>
      <w:r w:rsidR="00591D40">
        <w:rPr>
          <w:rFonts w:ascii="Arial" w:hAnsi="Arial" w:cs="Arial"/>
          <w:sz w:val="24"/>
          <w:szCs w:val="24"/>
          <w:lang w:eastAsia="en-AU"/>
        </w:rPr>
        <w:t xml:space="preserve">continue to </w:t>
      </w:r>
      <w:r w:rsidRPr="00754534">
        <w:rPr>
          <w:rFonts w:ascii="Arial" w:hAnsi="Arial" w:cs="Arial"/>
          <w:sz w:val="24"/>
          <w:szCs w:val="24"/>
          <w:lang w:eastAsia="en-AU"/>
        </w:rPr>
        <w:t xml:space="preserve">make strategic decisions which represent the best use of public monies </w:t>
      </w:r>
      <w:r>
        <w:rPr>
          <w:rFonts w:ascii="Arial" w:hAnsi="Arial" w:cs="Arial"/>
          <w:sz w:val="24"/>
          <w:szCs w:val="24"/>
          <w:lang w:eastAsia="en-AU"/>
        </w:rPr>
        <w:t xml:space="preserve">and </w:t>
      </w:r>
      <w:r w:rsidR="00F95C93">
        <w:rPr>
          <w:rFonts w:ascii="Arial" w:hAnsi="Arial" w:cs="Arial"/>
          <w:sz w:val="24"/>
          <w:szCs w:val="24"/>
          <w:lang w:eastAsia="en-AU"/>
        </w:rPr>
        <w:t xml:space="preserve">respond effectively to the </w:t>
      </w:r>
      <w:r>
        <w:rPr>
          <w:rFonts w:ascii="Arial" w:hAnsi="Arial" w:cs="Arial"/>
          <w:sz w:val="24"/>
          <w:szCs w:val="24"/>
          <w:lang w:eastAsia="en-AU"/>
        </w:rPr>
        <w:t xml:space="preserve">ongoing </w:t>
      </w:r>
      <w:r w:rsidR="00F95C93">
        <w:rPr>
          <w:rFonts w:ascii="Arial" w:hAnsi="Arial" w:cs="Arial"/>
          <w:sz w:val="24"/>
          <w:szCs w:val="24"/>
          <w:lang w:eastAsia="en-AU"/>
        </w:rPr>
        <w:t>COVID-19 emergency.</w:t>
      </w:r>
      <w:r w:rsidR="001F0A73">
        <w:rPr>
          <w:rFonts w:ascii="Arial" w:hAnsi="Arial" w:cs="Arial"/>
          <w:sz w:val="24"/>
          <w:szCs w:val="24"/>
          <w:lang w:eastAsia="en-AU"/>
        </w:rPr>
        <w:t xml:space="preserve"> </w:t>
      </w:r>
      <w:bookmarkEnd w:id="6"/>
      <w:r w:rsidR="00177C52" w:rsidRPr="00177C52">
        <w:rPr>
          <w:rFonts w:ascii="Arial" w:hAnsi="Arial" w:cs="Arial"/>
          <w:iCs/>
          <w:sz w:val="24"/>
          <w:szCs w:val="24"/>
          <w:lang w:eastAsia="en-AU"/>
        </w:rPr>
        <w:t xml:space="preserve">Since the start of the COVID-19 emergency, the ACT </w:t>
      </w:r>
      <w:r w:rsidR="00177C52" w:rsidRPr="00177C52">
        <w:rPr>
          <w:rFonts w:ascii="Arial" w:hAnsi="Arial" w:cs="Arial"/>
          <w:sz w:val="24"/>
          <w:szCs w:val="24"/>
          <w:lang w:eastAsia="en-AU"/>
        </w:rPr>
        <w:t xml:space="preserve">Government has provided significant support to deal with the impacts of COVID-19 on the community as </w:t>
      </w:r>
      <w:r w:rsidR="00177C52" w:rsidRPr="00177C52">
        <w:rPr>
          <w:rFonts w:ascii="Arial" w:hAnsi="Arial" w:cs="Arial"/>
          <w:sz w:val="24"/>
          <w:szCs w:val="24"/>
          <w:lang w:eastAsia="en-AU"/>
        </w:rPr>
        <w:lastRenderedPageBreak/>
        <w:t xml:space="preserve">outlined above. These alternative supports are relevant to an overall assessment of the proportionality of the amendment. </w:t>
      </w:r>
      <w:r w:rsidR="001F0A73">
        <w:rPr>
          <w:rFonts w:ascii="Arial" w:hAnsi="Arial" w:cs="Arial"/>
          <w:sz w:val="24"/>
          <w:szCs w:val="24"/>
          <w:lang w:eastAsia="en-AU"/>
        </w:rPr>
        <w:t xml:space="preserve">In formulating this proposed amendment, the approaches adopted in other jurisdictions were given due consideration and the amendment is considered to be the least rights restrictive approach, reasonably available, to address its legitimate purpose noting the scope of the implications for the ACT and the current COVID-19 emergency.  </w:t>
      </w:r>
      <w:r w:rsidR="00F95C93">
        <w:rPr>
          <w:rFonts w:ascii="Arial" w:hAnsi="Arial" w:cs="Arial"/>
          <w:sz w:val="24"/>
          <w:szCs w:val="24"/>
          <w:lang w:eastAsia="en-AU"/>
        </w:rPr>
        <w:t xml:space="preserve"> </w:t>
      </w:r>
      <w:r w:rsidR="002C7C21">
        <w:rPr>
          <w:rFonts w:ascii="Arial" w:hAnsi="Arial" w:cs="Arial"/>
          <w:sz w:val="24"/>
          <w:szCs w:val="24"/>
          <w:lang w:eastAsia="en-AU"/>
        </w:rPr>
        <w:t xml:space="preserve"> </w:t>
      </w:r>
    </w:p>
    <w:p w14:paraId="6454DFA7" w14:textId="77777777" w:rsidR="00A275BB" w:rsidRPr="00B20EE1" w:rsidRDefault="00A275BB" w:rsidP="00B20EE1">
      <w:pPr>
        <w:contextualSpacing/>
        <w:rPr>
          <w:rFonts w:ascii="Arial" w:hAnsi="Arial" w:cs="Arial"/>
          <w:iCs/>
          <w:sz w:val="24"/>
          <w:szCs w:val="24"/>
        </w:rPr>
      </w:pPr>
    </w:p>
    <w:p w14:paraId="555D939F" w14:textId="0948878D" w:rsidR="00A275BB" w:rsidRPr="00B20EE1" w:rsidRDefault="00D046BC" w:rsidP="00B20EE1">
      <w:pPr>
        <w:contextualSpacing/>
        <w:rPr>
          <w:rFonts w:ascii="Arial" w:hAnsi="Arial" w:cs="Arial"/>
          <w:sz w:val="24"/>
          <w:szCs w:val="24"/>
        </w:rPr>
      </w:pPr>
      <w:r w:rsidRPr="00B20EE1">
        <w:rPr>
          <w:rFonts w:ascii="Arial" w:hAnsi="Arial" w:cs="Arial"/>
          <w:iCs/>
          <w:sz w:val="24"/>
          <w:szCs w:val="24"/>
        </w:rPr>
        <w:t xml:space="preserve">In recognition of the particular nature of the measures required to address this emergency, the amendments are </w:t>
      </w:r>
      <w:r w:rsidR="008821D7" w:rsidRPr="00B20EE1">
        <w:rPr>
          <w:rFonts w:ascii="Arial" w:hAnsi="Arial" w:cs="Arial"/>
          <w:iCs/>
          <w:sz w:val="24"/>
          <w:szCs w:val="24"/>
        </w:rPr>
        <w:t>drafted to apply specifically</w:t>
      </w:r>
      <w:r w:rsidRPr="00B20EE1">
        <w:rPr>
          <w:rFonts w:ascii="Arial" w:hAnsi="Arial" w:cs="Arial"/>
          <w:iCs/>
          <w:sz w:val="24"/>
          <w:szCs w:val="24"/>
        </w:rPr>
        <w:t xml:space="preserve"> </w:t>
      </w:r>
      <w:r w:rsidR="008821D7" w:rsidRPr="00B20EE1">
        <w:rPr>
          <w:rFonts w:ascii="Arial" w:hAnsi="Arial" w:cs="Arial"/>
          <w:iCs/>
          <w:sz w:val="24"/>
          <w:szCs w:val="24"/>
        </w:rPr>
        <w:t>to the COVID-19</w:t>
      </w:r>
      <w:r w:rsidR="00C90B69" w:rsidRPr="00B20EE1">
        <w:rPr>
          <w:rFonts w:ascii="Arial" w:hAnsi="Arial" w:cs="Arial"/>
          <w:iCs/>
          <w:sz w:val="24"/>
          <w:szCs w:val="24"/>
        </w:rPr>
        <w:t xml:space="preserve"> emergency.</w:t>
      </w:r>
      <w:r w:rsidR="00ED7787" w:rsidRPr="00B20EE1">
        <w:rPr>
          <w:rFonts w:ascii="Arial" w:hAnsi="Arial" w:cs="Arial"/>
          <w:iCs/>
          <w:sz w:val="24"/>
          <w:szCs w:val="24"/>
        </w:rPr>
        <w:t xml:space="preserve"> </w:t>
      </w:r>
      <w:r w:rsidR="00A77209" w:rsidRPr="00B20EE1">
        <w:rPr>
          <w:rFonts w:ascii="Arial" w:hAnsi="Arial" w:cs="Arial"/>
          <w:iCs/>
          <w:sz w:val="24"/>
          <w:szCs w:val="24"/>
        </w:rPr>
        <w:t xml:space="preserve">The compensation provision will continue to apply </w:t>
      </w:r>
      <w:r w:rsidR="00146E52" w:rsidRPr="00B20EE1">
        <w:rPr>
          <w:rFonts w:ascii="Arial" w:hAnsi="Arial" w:cs="Arial"/>
          <w:iCs/>
          <w:sz w:val="24"/>
          <w:szCs w:val="24"/>
        </w:rPr>
        <w:t xml:space="preserve">for loss or damage suffered in the context of a different public health emergency. </w:t>
      </w:r>
      <w:r w:rsidR="00A275BB" w:rsidRPr="00B20EE1">
        <w:rPr>
          <w:rFonts w:ascii="Arial" w:hAnsi="Arial" w:cs="Arial"/>
          <w:sz w:val="24"/>
          <w:szCs w:val="24"/>
        </w:rPr>
        <w:t>This acts as a further safeguard</w:t>
      </w:r>
      <w:r w:rsidR="00F95C93">
        <w:rPr>
          <w:rFonts w:ascii="Arial" w:hAnsi="Arial" w:cs="Arial"/>
          <w:sz w:val="24"/>
          <w:szCs w:val="24"/>
        </w:rPr>
        <w:t xml:space="preserve"> that </w:t>
      </w:r>
      <w:r w:rsidR="00CF0051">
        <w:rPr>
          <w:rFonts w:ascii="Arial" w:hAnsi="Arial" w:cs="Arial"/>
          <w:sz w:val="24"/>
          <w:szCs w:val="24"/>
        </w:rPr>
        <w:t>assist</w:t>
      </w:r>
      <w:r w:rsidR="00591D40">
        <w:rPr>
          <w:rFonts w:ascii="Arial" w:hAnsi="Arial" w:cs="Arial"/>
          <w:sz w:val="24"/>
          <w:szCs w:val="24"/>
        </w:rPr>
        <w:t>s</w:t>
      </w:r>
      <w:r w:rsidR="00CF0051">
        <w:rPr>
          <w:rFonts w:ascii="Arial" w:hAnsi="Arial" w:cs="Arial"/>
          <w:sz w:val="24"/>
          <w:szCs w:val="24"/>
        </w:rPr>
        <w:t xml:space="preserve"> to </w:t>
      </w:r>
      <w:r w:rsidR="00F95C93">
        <w:rPr>
          <w:rFonts w:ascii="Arial" w:hAnsi="Arial" w:cs="Arial"/>
          <w:sz w:val="24"/>
          <w:szCs w:val="24"/>
        </w:rPr>
        <w:t>ensure that there is rational connection between the purpose of the amendment and any limitation on human rights</w:t>
      </w:r>
      <w:r w:rsidR="00A275BB" w:rsidRPr="00B20EE1">
        <w:rPr>
          <w:rFonts w:ascii="Arial" w:hAnsi="Arial" w:cs="Arial"/>
          <w:sz w:val="24"/>
          <w:szCs w:val="24"/>
        </w:rPr>
        <w:t xml:space="preserve">. </w:t>
      </w:r>
      <w:r w:rsidR="00CF0051">
        <w:rPr>
          <w:rFonts w:ascii="Arial" w:hAnsi="Arial" w:cs="Arial"/>
          <w:sz w:val="24"/>
          <w:szCs w:val="24"/>
        </w:rPr>
        <w:t xml:space="preserve">It also assists to ensure that the measure is not overbroad and represents the least rights restrictive approach reasonably available. </w:t>
      </w:r>
      <w:r w:rsidR="00A275BB" w:rsidRPr="00B20EE1">
        <w:rPr>
          <w:rFonts w:ascii="Arial" w:hAnsi="Arial" w:cs="Arial"/>
          <w:sz w:val="24"/>
          <w:szCs w:val="24"/>
        </w:rPr>
        <w:t xml:space="preserve">In the context of the COVID-19 pandemic, </w:t>
      </w:r>
      <w:r w:rsidR="00966E42">
        <w:rPr>
          <w:rFonts w:ascii="Arial" w:hAnsi="Arial" w:cs="Arial"/>
          <w:sz w:val="24"/>
          <w:szCs w:val="24"/>
        </w:rPr>
        <w:t xml:space="preserve">any </w:t>
      </w:r>
      <w:r w:rsidR="00A275BB" w:rsidRPr="00B20EE1">
        <w:rPr>
          <w:rFonts w:ascii="Arial" w:hAnsi="Arial" w:cs="Arial"/>
          <w:sz w:val="24"/>
          <w:szCs w:val="24"/>
        </w:rPr>
        <w:t>potential limitation on right</w:t>
      </w:r>
      <w:r w:rsidR="00E41BD5">
        <w:rPr>
          <w:rFonts w:ascii="Arial" w:hAnsi="Arial" w:cs="Arial"/>
          <w:sz w:val="24"/>
          <w:szCs w:val="24"/>
        </w:rPr>
        <w:t>s</w:t>
      </w:r>
      <w:r w:rsidR="00A275BB" w:rsidRPr="00B20EE1">
        <w:rPr>
          <w:rFonts w:ascii="Arial" w:hAnsi="Arial" w:cs="Arial"/>
          <w:sz w:val="24"/>
          <w:szCs w:val="24"/>
        </w:rPr>
        <w:t xml:space="preserve"> as a result of the Bill is a proportionate response to ens</w:t>
      </w:r>
      <w:r w:rsidR="00276D12" w:rsidRPr="00B20EE1">
        <w:rPr>
          <w:rFonts w:ascii="Arial" w:hAnsi="Arial" w:cs="Arial"/>
          <w:sz w:val="24"/>
          <w:szCs w:val="24"/>
        </w:rPr>
        <w:t>ure the ongoing financial viability of the Territory and the ongoing ability for the ACT Government to make strategic budget decisions to support the community</w:t>
      </w:r>
      <w:r w:rsidR="00966E42">
        <w:rPr>
          <w:rFonts w:ascii="Arial" w:hAnsi="Arial" w:cs="Arial"/>
          <w:sz w:val="24"/>
          <w:szCs w:val="24"/>
        </w:rPr>
        <w:t xml:space="preserve"> and to protect the right to life</w:t>
      </w:r>
      <w:r w:rsidR="00276D12" w:rsidRPr="00B20EE1">
        <w:rPr>
          <w:rFonts w:ascii="Arial" w:hAnsi="Arial" w:cs="Arial"/>
          <w:sz w:val="24"/>
          <w:szCs w:val="24"/>
        </w:rPr>
        <w:t xml:space="preserve">. </w:t>
      </w:r>
    </w:p>
    <w:p w14:paraId="462D28BE" w14:textId="2D938C0D" w:rsidR="00D046BC" w:rsidRDefault="00D046BC" w:rsidP="00966E42">
      <w:pPr>
        <w:contextualSpacing/>
        <w:rPr>
          <w:rFonts w:ascii="Arial" w:hAnsi="Arial" w:cs="Arial"/>
          <w:iCs/>
          <w:sz w:val="24"/>
          <w:szCs w:val="24"/>
        </w:rPr>
      </w:pPr>
    </w:p>
    <w:p w14:paraId="342FE321" w14:textId="77777777" w:rsidR="00966E42" w:rsidRDefault="00966E42" w:rsidP="00966E42">
      <w:pPr>
        <w:contextualSpacing/>
        <w:rPr>
          <w:rFonts w:ascii="Arial" w:hAnsi="Arial" w:cs="Arial"/>
          <w:b/>
          <w:bCs/>
          <w:i/>
          <w:iCs/>
          <w:sz w:val="24"/>
          <w:szCs w:val="24"/>
        </w:rPr>
      </w:pPr>
      <w:r w:rsidRPr="00966E42">
        <w:rPr>
          <w:rFonts w:ascii="Arial" w:hAnsi="Arial" w:cs="Arial"/>
          <w:b/>
          <w:bCs/>
          <w:i/>
          <w:iCs/>
          <w:sz w:val="24"/>
          <w:szCs w:val="24"/>
        </w:rPr>
        <w:t xml:space="preserve">Compatibility of the measure with </w:t>
      </w:r>
      <w:r>
        <w:rPr>
          <w:rFonts w:ascii="Arial" w:hAnsi="Arial" w:cs="Arial"/>
          <w:b/>
          <w:bCs/>
          <w:i/>
          <w:iCs/>
          <w:sz w:val="24"/>
          <w:szCs w:val="24"/>
        </w:rPr>
        <w:t>other human rights</w:t>
      </w:r>
    </w:p>
    <w:p w14:paraId="11BE6CF9" w14:textId="77777777" w:rsidR="00754534" w:rsidRDefault="00754534" w:rsidP="00966E42">
      <w:pPr>
        <w:contextualSpacing/>
        <w:rPr>
          <w:rFonts w:ascii="Arial" w:hAnsi="Arial" w:cs="Arial"/>
          <w:sz w:val="24"/>
          <w:szCs w:val="24"/>
        </w:rPr>
      </w:pPr>
    </w:p>
    <w:p w14:paraId="17D8F1DE" w14:textId="3E84EAA3" w:rsidR="00F365F5" w:rsidRDefault="00F365F5" w:rsidP="00966E42">
      <w:pPr>
        <w:contextualSpacing/>
        <w:rPr>
          <w:rFonts w:ascii="Arial" w:hAnsi="Arial" w:cs="Arial"/>
          <w:sz w:val="24"/>
          <w:szCs w:val="24"/>
        </w:rPr>
      </w:pPr>
      <w:r w:rsidRPr="00B0417D">
        <w:rPr>
          <w:rFonts w:ascii="Arial" w:hAnsi="Arial" w:cs="Arial"/>
          <w:sz w:val="24"/>
          <w:szCs w:val="24"/>
        </w:rPr>
        <w:t>There is no free-standing right to an effective remedy or compensation under th</w:t>
      </w:r>
      <w:r w:rsidR="00831A85">
        <w:rPr>
          <w:rFonts w:ascii="Arial" w:hAnsi="Arial" w:cs="Arial"/>
          <w:sz w:val="24"/>
          <w:szCs w:val="24"/>
        </w:rPr>
        <w:t>e HRA</w:t>
      </w:r>
      <w:r w:rsidRPr="00B0417D">
        <w:rPr>
          <w:rFonts w:ascii="Arial" w:hAnsi="Arial" w:cs="Arial"/>
          <w:sz w:val="24"/>
          <w:szCs w:val="24"/>
        </w:rPr>
        <w:t>.</w:t>
      </w:r>
      <w:r w:rsidRPr="00F365F5">
        <w:rPr>
          <w:rFonts w:ascii="Arial" w:hAnsi="Arial" w:cs="Arial"/>
          <w:sz w:val="24"/>
          <w:szCs w:val="24"/>
          <w:vertAlign w:val="superscript"/>
        </w:rPr>
        <w:footnoteReference w:id="8"/>
      </w:r>
      <w:r w:rsidRPr="00F365F5">
        <w:rPr>
          <w:rFonts w:ascii="Arial" w:hAnsi="Arial" w:cs="Arial"/>
          <w:sz w:val="24"/>
          <w:szCs w:val="24"/>
        </w:rPr>
        <w:t xml:space="preserve"> </w:t>
      </w:r>
      <w:r w:rsidR="00831A85">
        <w:rPr>
          <w:rFonts w:ascii="Arial" w:hAnsi="Arial" w:cs="Arial"/>
          <w:sz w:val="24"/>
          <w:szCs w:val="24"/>
        </w:rPr>
        <w:t>S</w:t>
      </w:r>
      <w:r w:rsidRPr="00B0417D">
        <w:rPr>
          <w:rFonts w:ascii="Arial" w:hAnsi="Arial" w:cs="Arial"/>
          <w:sz w:val="24"/>
          <w:szCs w:val="24"/>
        </w:rPr>
        <w:t xml:space="preserve">ection 122 is a provision that deals with loss that may result from the </w:t>
      </w:r>
      <w:r w:rsidR="00E41BD5">
        <w:rPr>
          <w:rFonts w:ascii="Arial" w:hAnsi="Arial" w:cs="Arial"/>
          <w:sz w:val="24"/>
          <w:szCs w:val="24"/>
        </w:rPr>
        <w:t>implementation</w:t>
      </w:r>
      <w:r w:rsidR="00E41BD5" w:rsidRPr="00B0417D">
        <w:rPr>
          <w:rFonts w:ascii="Arial" w:hAnsi="Arial" w:cs="Arial"/>
          <w:sz w:val="24"/>
          <w:szCs w:val="24"/>
        </w:rPr>
        <w:t xml:space="preserve"> </w:t>
      </w:r>
      <w:r w:rsidRPr="00B0417D">
        <w:rPr>
          <w:rFonts w:ascii="Arial" w:hAnsi="Arial" w:cs="Arial"/>
          <w:sz w:val="24"/>
          <w:szCs w:val="24"/>
        </w:rPr>
        <w:t>of public health directions.</w:t>
      </w:r>
      <w:r w:rsidRPr="00F365F5">
        <w:rPr>
          <w:rFonts w:ascii="Arial" w:hAnsi="Arial" w:cs="Arial"/>
          <w:sz w:val="24"/>
          <w:szCs w:val="24"/>
        </w:rPr>
        <w:t xml:space="preserve"> Accordingly, section 122 </w:t>
      </w:r>
      <w:r w:rsidRPr="00B0417D">
        <w:rPr>
          <w:rFonts w:ascii="Arial" w:hAnsi="Arial" w:cs="Arial"/>
          <w:sz w:val="24"/>
          <w:szCs w:val="24"/>
        </w:rPr>
        <w:t xml:space="preserve">does not </w:t>
      </w:r>
      <w:r w:rsidR="00E41BD5">
        <w:rPr>
          <w:rFonts w:ascii="Arial" w:hAnsi="Arial" w:cs="Arial"/>
          <w:sz w:val="24"/>
          <w:szCs w:val="24"/>
        </w:rPr>
        <w:t xml:space="preserve">itself </w:t>
      </w:r>
      <w:r w:rsidRPr="00B0417D">
        <w:rPr>
          <w:rFonts w:ascii="Arial" w:hAnsi="Arial" w:cs="Arial"/>
          <w:sz w:val="24"/>
          <w:szCs w:val="24"/>
        </w:rPr>
        <w:t>have a direct connection to the protection of particular human rights</w:t>
      </w:r>
      <w:r w:rsidRPr="00F365F5">
        <w:rPr>
          <w:rFonts w:ascii="Arial" w:hAnsi="Arial" w:cs="Arial"/>
          <w:sz w:val="24"/>
          <w:szCs w:val="24"/>
        </w:rPr>
        <w:t xml:space="preserve"> </w:t>
      </w:r>
      <w:r w:rsidRPr="00B0417D">
        <w:rPr>
          <w:rFonts w:ascii="Arial" w:hAnsi="Arial" w:cs="Arial"/>
          <w:sz w:val="24"/>
          <w:szCs w:val="24"/>
        </w:rPr>
        <w:t xml:space="preserve">under </w:t>
      </w:r>
      <w:r w:rsidRPr="00831A85">
        <w:rPr>
          <w:rFonts w:ascii="Arial" w:hAnsi="Arial" w:cs="Arial"/>
          <w:sz w:val="24"/>
          <w:szCs w:val="24"/>
        </w:rPr>
        <w:t xml:space="preserve">the </w:t>
      </w:r>
      <w:r w:rsidR="00831A85" w:rsidRPr="00136B30">
        <w:rPr>
          <w:rFonts w:ascii="Arial" w:hAnsi="Arial" w:cs="Arial"/>
          <w:sz w:val="24"/>
          <w:szCs w:val="24"/>
        </w:rPr>
        <w:t>HRA</w:t>
      </w:r>
      <w:r w:rsidRPr="00831A85">
        <w:rPr>
          <w:rFonts w:ascii="Arial" w:hAnsi="Arial" w:cs="Arial"/>
          <w:sz w:val="24"/>
          <w:szCs w:val="24"/>
        </w:rPr>
        <w:t>.</w:t>
      </w:r>
    </w:p>
    <w:p w14:paraId="5D4695D9" w14:textId="77777777" w:rsidR="00F365F5" w:rsidRDefault="00F365F5" w:rsidP="00966E42">
      <w:pPr>
        <w:contextualSpacing/>
        <w:rPr>
          <w:rFonts w:ascii="Arial" w:hAnsi="Arial" w:cs="Arial"/>
          <w:sz w:val="24"/>
          <w:szCs w:val="24"/>
        </w:rPr>
      </w:pPr>
    </w:p>
    <w:p w14:paraId="7A3DB35B" w14:textId="255D4CCA" w:rsidR="008A3836" w:rsidRPr="002C7C21" w:rsidRDefault="00831A85" w:rsidP="00966E42">
      <w:pPr>
        <w:contextualSpacing/>
        <w:rPr>
          <w:rFonts w:ascii="Arial" w:hAnsi="Arial" w:cs="Arial"/>
          <w:sz w:val="24"/>
          <w:szCs w:val="24"/>
        </w:rPr>
      </w:pPr>
      <w:r>
        <w:rPr>
          <w:rFonts w:ascii="Arial" w:hAnsi="Arial" w:cs="Arial"/>
          <w:sz w:val="24"/>
          <w:szCs w:val="24"/>
        </w:rPr>
        <w:t>It is acknowledged that t</w:t>
      </w:r>
      <w:r w:rsidR="00860D28">
        <w:rPr>
          <w:rFonts w:ascii="Arial" w:hAnsi="Arial" w:cs="Arial"/>
          <w:sz w:val="24"/>
          <w:szCs w:val="24"/>
        </w:rPr>
        <w:t>he amendment in the Bill may indirectly engage other human rights (such as the right to freedom of movement, the right to freedom of association or the right to liberty). This is because in the context of a public health emergency declaration the Act allows directions to be issued which may include limitations on such rights.</w:t>
      </w:r>
      <w:r>
        <w:rPr>
          <w:rFonts w:ascii="Arial" w:hAnsi="Arial" w:cs="Arial"/>
          <w:sz w:val="24"/>
          <w:szCs w:val="24"/>
        </w:rPr>
        <w:t xml:space="preserve"> B</w:t>
      </w:r>
      <w:r w:rsidR="00860D28">
        <w:rPr>
          <w:rFonts w:ascii="Arial" w:hAnsi="Arial" w:cs="Arial"/>
          <w:sz w:val="24"/>
          <w:szCs w:val="24"/>
        </w:rPr>
        <w:t xml:space="preserve">y </w:t>
      </w:r>
      <w:r w:rsidR="00105AF7">
        <w:rPr>
          <w:rFonts w:ascii="Arial" w:hAnsi="Arial" w:cs="Arial"/>
          <w:sz w:val="24"/>
          <w:szCs w:val="24"/>
        </w:rPr>
        <w:t xml:space="preserve">providing that </w:t>
      </w:r>
      <w:r w:rsidR="00105AF7" w:rsidRPr="002C7C21">
        <w:rPr>
          <w:rFonts w:ascii="Arial" w:hAnsi="Arial" w:cs="Arial"/>
          <w:sz w:val="24"/>
          <w:szCs w:val="24"/>
        </w:rPr>
        <w:t>compensation will not be payable</w:t>
      </w:r>
      <w:r>
        <w:rPr>
          <w:rFonts w:ascii="Arial" w:hAnsi="Arial" w:cs="Arial"/>
          <w:sz w:val="24"/>
          <w:szCs w:val="24"/>
        </w:rPr>
        <w:t xml:space="preserve"> under section 122</w:t>
      </w:r>
      <w:r w:rsidR="00860D28" w:rsidRPr="002C7C21">
        <w:rPr>
          <w:rFonts w:ascii="Arial" w:hAnsi="Arial" w:cs="Arial"/>
          <w:sz w:val="24"/>
          <w:szCs w:val="24"/>
        </w:rPr>
        <w:t xml:space="preserve">, the amendment may </w:t>
      </w:r>
      <w:r w:rsidR="009E4FF8">
        <w:rPr>
          <w:rFonts w:ascii="Arial" w:hAnsi="Arial" w:cs="Arial"/>
          <w:sz w:val="24"/>
          <w:szCs w:val="24"/>
        </w:rPr>
        <w:t xml:space="preserve">be said to </w:t>
      </w:r>
      <w:r w:rsidR="00860D28" w:rsidRPr="002C7C21">
        <w:rPr>
          <w:rFonts w:ascii="Arial" w:hAnsi="Arial" w:cs="Arial"/>
          <w:sz w:val="24"/>
          <w:szCs w:val="24"/>
        </w:rPr>
        <w:t xml:space="preserve">operate to remove a </w:t>
      </w:r>
      <w:r>
        <w:rPr>
          <w:rFonts w:ascii="Arial" w:hAnsi="Arial" w:cs="Arial"/>
          <w:sz w:val="24"/>
          <w:szCs w:val="24"/>
        </w:rPr>
        <w:t xml:space="preserve">potential </w:t>
      </w:r>
      <w:r w:rsidR="00860D28" w:rsidRPr="002C7C21">
        <w:rPr>
          <w:rFonts w:ascii="Arial" w:hAnsi="Arial" w:cs="Arial"/>
          <w:sz w:val="24"/>
          <w:szCs w:val="24"/>
        </w:rPr>
        <w:t xml:space="preserve">safeguard which </w:t>
      </w:r>
      <w:r>
        <w:rPr>
          <w:rFonts w:ascii="Arial" w:hAnsi="Arial" w:cs="Arial"/>
          <w:sz w:val="24"/>
          <w:szCs w:val="24"/>
        </w:rPr>
        <w:t>may</w:t>
      </w:r>
      <w:r w:rsidR="00860D28" w:rsidRPr="002C7C21">
        <w:rPr>
          <w:rFonts w:ascii="Arial" w:hAnsi="Arial" w:cs="Arial"/>
          <w:sz w:val="24"/>
          <w:szCs w:val="24"/>
        </w:rPr>
        <w:t xml:space="preserve"> have</w:t>
      </w:r>
      <w:r w:rsidR="0072218E">
        <w:rPr>
          <w:rFonts w:ascii="Arial" w:hAnsi="Arial" w:cs="Arial"/>
          <w:sz w:val="24"/>
          <w:szCs w:val="24"/>
        </w:rPr>
        <w:t xml:space="preserve"> </w:t>
      </w:r>
      <w:r w:rsidR="00860D28" w:rsidRPr="002C7C21">
        <w:rPr>
          <w:rFonts w:ascii="Arial" w:hAnsi="Arial" w:cs="Arial"/>
          <w:sz w:val="24"/>
          <w:szCs w:val="24"/>
        </w:rPr>
        <w:t xml:space="preserve">relevance to the proportionality of </w:t>
      </w:r>
      <w:r>
        <w:rPr>
          <w:rFonts w:ascii="Arial" w:hAnsi="Arial" w:cs="Arial"/>
          <w:sz w:val="24"/>
          <w:szCs w:val="24"/>
        </w:rPr>
        <w:t>any limitations imposed by a direction</w:t>
      </w:r>
      <w:r w:rsidR="00860D28" w:rsidRPr="002C7C21">
        <w:rPr>
          <w:rFonts w:ascii="Arial" w:hAnsi="Arial" w:cs="Arial"/>
          <w:sz w:val="24"/>
          <w:szCs w:val="24"/>
        </w:rPr>
        <w:t xml:space="preserve">. </w:t>
      </w:r>
    </w:p>
    <w:p w14:paraId="7BD98628" w14:textId="77777777" w:rsidR="008A3836" w:rsidRPr="002C7C21" w:rsidRDefault="008A3836" w:rsidP="00966E42">
      <w:pPr>
        <w:contextualSpacing/>
        <w:rPr>
          <w:rFonts w:ascii="Arial" w:hAnsi="Arial" w:cs="Arial"/>
          <w:sz w:val="24"/>
          <w:szCs w:val="24"/>
        </w:rPr>
      </w:pPr>
    </w:p>
    <w:p w14:paraId="28577303" w14:textId="7C31CC0E" w:rsidR="00772AB5" w:rsidRDefault="0072218E" w:rsidP="008A3836">
      <w:pPr>
        <w:contextualSpacing/>
        <w:rPr>
          <w:rFonts w:ascii="Arial" w:hAnsi="Arial" w:cs="Arial"/>
          <w:sz w:val="24"/>
          <w:szCs w:val="24"/>
        </w:rPr>
      </w:pPr>
      <w:r>
        <w:rPr>
          <w:rFonts w:ascii="Arial" w:hAnsi="Arial" w:cs="Arial"/>
          <w:sz w:val="24"/>
          <w:szCs w:val="24"/>
        </w:rPr>
        <w:t>However,</w:t>
      </w:r>
      <w:r w:rsidR="00831A85">
        <w:rPr>
          <w:rFonts w:ascii="Arial" w:hAnsi="Arial" w:cs="Arial"/>
          <w:sz w:val="24"/>
          <w:szCs w:val="24"/>
        </w:rPr>
        <w:t xml:space="preserve"> </w:t>
      </w:r>
      <w:r>
        <w:rPr>
          <w:rFonts w:ascii="Arial" w:hAnsi="Arial" w:cs="Arial"/>
          <w:sz w:val="24"/>
          <w:szCs w:val="24"/>
        </w:rPr>
        <w:t xml:space="preserve">noting </w:t>
      </w:r>
      <w:r w:rsidR="00831A85">
        <w:rPr>
          <w:rFonts w:ascii="Arial" w:hAnsi="Arial" w:cs="Arial"/>
          <w:sz w:val="24"/>
          <w:szCs w:val="24"/>
        </w:rPr>
        <w:t xml:space="preserve">the scope of section 122 and the context of the current COVID-19 emergency the amendment </w:t>
      </w:r>
      <w:r>
        <w:rPr>
          <w:rFonts w:ascii="Arial" w:hAnsi="Arial" w:cs="Arial"/>
          <w:sz w:val="24"/>
          <w:szCs w:val="24"/>
        </w:rPr>
        <w:t>does not adversely affect the proportionality of limitations imposed by public health directions. This is because s</w:t>
      </w:r>
      <w:r w:rsidR="008A3836" w:rsidRPr="00136B30">
        <w:rPr>
          <w:rFonts w:ascii="Arial" w:hAnsi="Arial" w:cs="Arial"/>
          <w:sz w:val="24"/>
          <w:szCs w:val="24"/>
        </w:rPr>
        <w:t xml:space="preserve">ection 122 </w:t>
      </w:r>
      <w:r w:rsidR="001F0A73">
        <w:rPr>
          <w:rFonts w:ascii="Arial" w:hAnsi="Arial" w:cs="Arial"/>
          <w:sz w:val="24"/>
          <w:szCs w:val="24"/>
        </w:rPr>
        <w:t xml:space="preserve">only </w:t>
      </w:r>
      <w:r w:rsidR="008A3836" w:rsidRPr="00136B30">
        <w:rPr>
          <w:rFonts w:ascii="Arial" w:hAnsi="Arial" w:cs="Arial"/>
          <w:sz w:val="24"/>
          <w:szCs w:val="24"/>
        </w:rPr>
        <w:t xml:space="preserve">provides for a process to apply for compensation in relation to loss or damage as a result, </w:t>
      </w:r>
      <w:r w:rsidR="008A3836" w:rsidRPr="00136B30">
        <w:rPr>
          <w:rFonts w:ascii="Arial" w:hAnsi="Arial" w:cs="Arial"/>
          <w:i/>
          <w:iCs/>
          <w:sz w:val="24"/>
          <w:szCs w:val="24"/>
        </w:rPr>
        <w:t>inter alia</w:t>
      </w:r>
      <w:r w:rsidR="008A3836" w:rsidRPr="00136B30">
        <w:rPr>
          <w:rFonts w:ascii="Arial" w:hAnsi="Arial" w:cs="Arial"/>
          <w:sz w:val="24"/>
          <w:szCs w:val="24"/>
        </w:rPr>
        <w:t>, of the making of the public health directions. It says nothing directly about particular</w:t>
      </w:r>
      <w:r>
        <w:rPr>
          <w:rFonts w:ascii="Arial" w:hAnsi="Arial" w:cs="Arial"/>
          <w:sz w:val="24"/>
          <w:szCs w:val="24"/>
        </w:rPr>
        <w:t xml:space="preserve"> </w:t>
      </w:r>
      <w:r w:rsidR="008A3836" w:rsidRPr="00136B30">
        <w:rPr>
          <w:rFonts w:ascii="Arial" w:hAnsi="Arial" w:cs="Arial"/>
          <w:sz w:val="24"/>
          <w:szCs w:val="24"/>
        </w:rPr>
        <w:t xml:space="preserve">human rights that may be engaged and limited by public health </w:t>
      </w:r>
      <w:r w:rsidR="008A3836" w:rsidRPr="00136B30">
        <w:rPr>
          <w:rFonts w:ascii="Arial" w:hAnsi="Arial" w:cs="Arial"/>
          <w:sz w:val="24"/>
          <w:szCs w:val="24"/>
        </w:rPr>
        <w:lastRenderedPageBreak/>
        <w:t>directions</w:t>
      </w:r>
      <w:r w:rsidR="00772AB5">
        <w:rPr>
          <w:rFonts w:ascii="Arial" w:hAnsi="Arial" w:cs="Arial"/>
          <w:sz w:val="24"/>
          <w:szCs w:val="24"/>
        </w:rPr>
        <w:t xml:space="preserve"> themselves</w:t>
      </w:r>
      <w:r w:rsidR="008A3836" w:rsidRPr="00136B30">
        <w:rPr>
          <w:rFonts w:ascii="Arial" w:hAnsi="Arial" w:cs="Arial"/>
          <w:sz w:val="24"/>
          <w:szCs w:val="24"/>
        </w:rPr>
        <w:t xml:space="preserve">. The proportionality of the public health directions that have been made, including restrictions on, for example, the rights to freedom of movement or association, stands on them being a necessary and proportionate response to the COVID-19 pandemic informed by relevant medical opinion </w:t>
      </w:r>
      <w:r w:rsidR="00772AB5">
        <w:rPr>
          <w:rFonts w:ascii="Arial" w:hAnsi="Arial" w:cs="Arial"/>
          <w:sz w:val="24"/>
          <w:szCs w:val="24"/>
        </w:rPr>
        <w:t xml:space="preserve">in the context of </w:t>
      </w:r>
      <w:r w:rsidR="008A3836" w:rsidRPr="00136B30">
        <w:rPr>
          <w:rFonts w:ascii="Arial" w:hAnsi="Arial" w:cs="Arial"/>
          <w:sz w:val="24"/>
          <w:szCs w:val="24"/>
        </w:rPr>
        <w:t xml:space="preserve">a broadly consistent national response. </w:t>
      </w:r>
      <w:r w:rsidR="00772AB5">
        <w:rPr>
          <w:rFonts w:ascii="Arial" w:hAnsi="Arial" w:cs="Arial"/>
          <w:sz w:val="24"/>
          <w:szCs w:val="24"/>
        </w:rPr>
        <w:t>In the current context, t</w:t>
      </w:r>
      <w:r w:rsidR="008A3836" w:rsidRPr="00136B30">
        <w:rPr>
          <w:rFonts w:ascii="Arial" w:hAnsi="Arial" w:cs="Arial"/>
          <w:sz w:val="24"/>
          <w:szCs w:val="24"/>
        </w:rPr>
        <w:t>he existence or otherwise of a right to</w:t>
      </w:r>
      <w:r>
        <w:rPr>
          <w:rFonts w:ascii="Arial" w:hAnsi="Arial" w:cs="Arial"/>
          <w:sz w:val="24"/>
          <w:szCs w:val="24"/>
        </w:rPr>
        <w:t xml:space="preserve"> apply for</w:t>
      </w:r>
      <w:r w:rsidR="008A3836" w:rsidRPr="00136B30">
        <w:rPr>
          <w:rFonts w:ascii="Arial" w:hAnsi="Arial" w:cs="Arial"/>
          <w:sz w:val="24"/>
          <w:szCs w:val="24"/>
        </w:rPr>
        <w:t xml:space="preserve"> compensation under section 122 is </w:t>
      </w:r>
      <w:r w:rsidR="00CF0051">
        <w:rPr>
          <w:rFonts w:ascii="Arial" w:hAnsi="Arial" w:cs="Arial"/>
          <w:sz w:val="24"/>
          <w:szCs w:val="24"/>
        </w:rPr>
        <w:t>not directly relevant to</w:t>
      </w:r>
      <w:r w:rsidR="008A3836" w:rsidRPr="00136B30">
        <w:rPr>
          <w:rFonts w:ascii="Arial" w:hAnsi="Arial" w:cs="Arial"/>
          <w:sz w:val="24"/>
          <w:szCs w:val="24"/>
        </w:rPr>
        <w:t xml:space="preserve"> that analysis</w:t>
      </w:r>
      <w:r w:rsidR="00772AB5">
        <w:rPr>
          <w:rFonts w:ascii="Arial" w:hAnsi="Arial" w:cs="Arial"/>
          <w:sz w:val="24"/>
          <w:szCs w:val="24"/>
        </w:rPr>
        <w:t xml:space="preserve"> and is not determinative</w:t>
      </w:r>
      <w:r w:rsidR="008A3836" w:rsidRPr="00136B30">
        <w:rPr>
          <w:rFonts w:ascii="Arial" w:hAnsi="Arial" w:cs="Arial"/>
          <w:sz w:val="24"/>
          <w:szCs w:val="24"/>
        </w:rPr>
        <w:t xml:space="preserve">. </w:t>
      </w:r>
    </w:p>
    <w:p w14:paraId="6D59D71F" w14:textId="77777777" w:rsidR="00772AB5" w:rsidRDefault="00772AB5" w:rsidP="008A3836">
      <w:pPr>
        <w:contextualSpacing/>
        <w:rPr>
          <w:rFonts w:ascii="Arial" w:hAnsi="Arial" w:cs="Arial"/>
          <w:sz w:val="24"/>
          <w:szCs w:val="24"/>
        </w:rPr>
      </w:pPr>
    </w:p>
    <w:p w14:paraId="73AE6948" w14:textId="4B2A0D27" w:rsidR="008A3836" w:rsidRPr="00136B30" w:rsidRDefault="00154497" w:rsidP="00136B30">
      <w:pPr>
        <w:contextualSpacing/>
        <w:rPr>
          <w:rFonts w:ascii="Arial" w:hAnsi="Arial" w:cs="Arial"/>
          <w:sz w:val="24"/>
          <w:szCs w:val="24"/>
        </w:rPr>
      </w:pPr>
      <w:r>
        <w:rPr>
          <w:rFonts w:ascii="Arial" w:hAnsi="Arial" w:cs="Arial"/>
          <w:sz w:val="24"/>
          <w:szCs w:val="24"/>
        </w:rPr>
        <w:t xml:space="preserve">It is also noted that the chief health officer already has public authority obligations under the HRA which </w:t>
      </w:r>
      <w:r w:rsidR="00772AB5">
        <w:rPr>
          <w:rFonts w:ascii="Arial" w:hAnsi="Arial" w:cs="Arial"/>
          <w:iCs/>
          <w:sz w:val="24"/>
          <w:szCs w:val="24"/>
        </w:rPr>
        <w:t>operate as a substantive</w:t>
      </w:r>
      <w:r w:rsidR="0072218E">
        <w:rPr>
          <w:rFonts w:ascii="Arial" w:hAnsi="Arial" w:cs="Arial"/>
          <w:iCs/>
          <w:sz w:val="24"/>
          <w:szCs w:val="24"/>
        </w:rPr>
        <w:t xml:space="preserve"> and effective</w:t>
      </w:r>
      <w:r w:rsidR="00772AB5">
        <w:rPr>
          <w:rFonts w:ascii="Arial" w:hAnsi="Arial" w:cs="Arial"/>
          <w:iCs/>
          <w:sz w:val="24"/>
          <w:szCs w:val="24"/>
        </w:rPr>
        <w:t xml:space="preserve"> safeguard in ensuring that directions are compatible with human rights</w:t>
      </w:r>
      <w:r w:rsidR="00B0417D">
        <w:rPr>
          <w:rFonts w:ascii="Arial" w:hAnsi="Arial" w:cs="Arial"/>
          <w:iCs/>
          <w:sz w:val="24"/>
          <w:szCs w:val="24"/>
        </w:rPr>
        <w:t xml:space="preserve"> within the legislative framework</w:t>
      </w:r>
      <w:r w:rsidR="0072218E">
        <w:rPr>
          <w:rFonts w:ascii="Arial" w:hAnsi="Arial" w:cs="Arial"/>
          <w:iCs/>
          <w:sz w:val="24"/>
          <w:szCs w:val="24"/>
        </w:rPr>
        <w:t xml:space="preserve"> under the Act</w:t>
      </w:r>
      <w:r w:rsidR="00772AB5">
        <w:rPr>
          <w:rFonts w:ascii="Arial" w:hAnsi="Arial" w:cs="Arial"/>
          <w:iCs/>
          <w:sz w:val="24"/>
          <w:szCs w:val="24"/>
        </w:rPr>
        <w:t xml:space="preserve">. </w:t>
      </w:r>
    </w:p>
    <w:p w14:paraId="698C6A07" w14:textId="77777777" w:rsidR="008A3836" w:rsidRPr="00136B30" w:rsidRDefault="008A3836" w:rsidP="008A3836">
      <w:pPr>
        <w:contextualSpacing/>
        <w:rPr>
          <w:rFonts w:ascii="Arial" w:hAnsi="Arial" w:cs="Arial"/>
          <w:sz w:val="24"/>
          <w:szCs w:val="24"/>
        </w:rPr>
      </w:pPr>
    </w:p>
    <w:p w14:paraId="4D3AB4E6" w14:textId="0AFF7148" w:rsidR="008A3836" w:rsidRPr="00136B30" w:rsidRDefault="008A3836" w:rsidP="008A3836">
      <w:pPr>
        <w:contextualSpacing/>
        <w:rPr>
          <w:rFonts w:ascii="Arial" w:hAnsi="Arial" w:cs="Arial"/>
          <w:sz w:val="24"/>
          <w:szCs w:val="24"/>
        </w:rPr>
      </w:pPr>
      <w:r w:rsidRPr="00136B30">
        <w:rPr>
          <w:rFonts w:ascii="Arial" w:hAnsi="Arial" w:cs="Arial"/>
          <w:sz w:val="24"/>
          <w:szCs w:val="24"/>
        </w:rPr>
        <w:t>Even if the removal of the ability to claim compensation under section</w:t>
      </w:r>
      <w:r w:rsidR="001F0A73">
        <w:rPr>
          <w:rFonts w:ascii="Arial" w:hAnsi="Arial" w:cs="Arial"/>
          <w:sz w:val="24"/>
          <w:szCs w:val="24"/>
        </w:rPr>
        <w:t xml:space="preserve"> </w:t>
      </w:r>
      <w:r w:rsidRPr="00136B30">
        <w:rPr>
          <w:rFonts w:ascii="Arial" w:hAnsi="Arial" w:cs="Arial"/>
          <w:sz w:val="24"/>
          <w:szCs w:val="24"/>
        </w:rPr>
        <w:t>122 in relation to the COVID-19 pandemic engages</w:t>
      </w:r>
      <w:r w:rsidR="00CF0051">
        <w:rPr>
          <w:rFonts w:ascii="Arial" w:hAnsi="Arial" w:cs="Arial"/>
          <w:sz w:val="24"/>
          <w:szCs w:val="24"/>
        </w:rPr>
        <w:t xml:space="preserve"> and limits </w:t>
      </w:r>
      <w:r w:rsidRPr="00136B30">
        <w:rPr>
          <w:rFonts w:ascii="Arial" w:hAnsi="Arial" w:cs="Arial"/>
          <w:sz w:val="24"/>
          <w:szCs w:val="24"/>
        </w:rPr>
        <w:t>right</w:t>
      </w:r>
      <w:r w:rsidR="009E4FF8">
        <w:rPr>
          <w:rFonts w:ascii="Arial" w:hAnsi="Arial" w:cs="Arial"/>
          <w:sz w:val="24"/>
          <w:szCs w:val="24"/>
        </w:rPr>
        <w:t>s</w:t>
      </w:r>
      <w:r w:rsidRPr="00136B30">
        <w:rPr>
          <w:rFonts w:ascii="Arial" w:hAnsi="Arial" w:cs="Arial"/>
          <w:sz w:val="24"/>
          <w:szCs w:val="24"/>
        </w:rPr>
        <w:t xml:space="preserve"> under the HRA, the explanation for the amendment to section 122 and the assessment of the </w:t>
      </w:r>
      <w:r w:rsidR="00ED54CB">
        <w:rPr>
          <w:rFonts w:ascii="Arial" w:hAnsi="Arial" w:cs="Arial"/>
          <w:sz w:val="24"/>
          <w:szCs w:val="24"/>
        </w:rPr>
        <w:t xml:space="preserve">potential </w:t>
      </w:r>
      <w:r w:rsidRPr="00136B30">
        <w:rPr>
          <w:rFonts w:ascii="Arial" w:hAnsi="Arial" w:cs="Arial"/>
          <w:sz w:val="24"/>
          <w:szCs w:val="24"/>
        </w:rPr>
        <w:t xml:space="preserve">financial consequences of it makes </w:t>
      </w:r>
      <w:r w:rsidR="00CF0051">
        <w:rPr>
          <w:rFonts w:ascii="Arial" w:hAnsi="Arial" w:cs="Arial"/>
          <w:sz w:val="24"/>
          <w:szCs w:val="24"/>
        </w:rPr>
        <w:t>it</w:t>
      </w:r>
      <w:r w:rsidRPr="00136B30">
        <w:rPr>
          <w:rFonts w:ascii="Arial" w:hAnsi="Arial" w:cs="Arial"/>
          <w:sz w:val="24"/>
          <w:szCs w:val="24"/>
        </w:rPr>
        <w:t xml:space="preserve"> the least restrictive option</w:t>
      </w:r>
      <w:r w:rsidR="009E4FF8">
        <w:rPr>
          <w:rFonts w:ascii="Arial" w:hAnsi="Arial" w:cs="Arial"/>
          <w:sz w:val="24"/>
          <w:szCs w:val="24"/>
        </w:rPr>
        <w:t>, reasonably</w:t>
      </w:r>
      <w:r w:rsidRPr="00136B30">
        <w:rPr>
          <w:rFonts w:ascii="Arial" w:hAnsi="Arial" w:cs="Arial"/>
          <w:sz w:val="24"/>
          <w:szCs w:val="24"/>
        </w:rPr>
        <w:t xml:space="preserve"> available</w:t>
      </w:r>
      <w:r w:rsidR="009E4FF8">
        <w:rPr>
          <w:rFonts w:ascii="Arial" w:hAnsi="Arial" w:cs="Arial"/>
          <w:sz w:val="24"/>
          <w:szCs w:val="24"/>
        </w:rPr>
        <w:t>,</w:t>
      </w:r>
      <w:r w:rsidRPr="00136B30">
        <w:rPr>
          <w:rFonts w:ascii="Arial" w:hAnsi="Arial" w:cs="Arial"/>
          <w:sz w:val="24"/>
          <w:szCs w:val="24"/>
        </w:rPr>
        <w:t xml:space="preserve"> for the ACT.  </w:t>
      </w:r>
    </w:p>
    <w:p w14:paraId="673CF27B" w14:textId="77777777" w:rsidR="008A3836" w:rsidRPr="002C7C21" w:rsidRDefault="008A3836" w:rsidP="00966E42">
      <w:pPr>
        <w:contextualSpacing/>
        <w:rPr>
          <w:rFonts w:ascii="Arial" w:hAnsi="Arial" w:cs="Arial"/>
          <w:sz w:val="24"/>
          <w:szCs w:val="24"/>
        </w:rPr>
      </w:pPr>
    </w:p>
    <w:p w14:paraId="7A49BB45" w14:textId="79ADBE33" w:rsidR="00966E42" w:rsidRPr="002C7C21" w:rsidRDefault="00F95C93" w:rsidP="00966E42">
      <w:pPr>
        <w:contextualSpacing/>
        <w:rPr>
          <w:rFonts w:ascii="Arial" w:hAnsi="Arial" w:cs="Arial"/>
          <w:b/>
          <w:bCs/>
          <w:i/>
          <w:iCs/>
          <w:sz w:val="24"/>
          <w:szCs w:val="24"/>
        </w:rPr>
      </w:pPr>
      <w:r>
        <w:rPr>
          <w:rFonts w:ascii="Arial" w:hAnsi="Arial" w:cs="Arial"/>
          <w:sz w:val="24"/>
          <w:szCs w:val="24"/>
        </w:rPr>
        <w:t>O</w:t>
      </w:r>
      <w:r w:rsidR="00105AF7" w:rsidRPr="00F95C93">
        <w:rPr>
          <w:rFonts w:ascii="Arial" w:hAnsi="Arial" w:cs="Arial"/>
          <w:sz w:val="24"/>
          <w:szCs w:val="24"/>
        </w:rPr>
        <w:t xml:space="preserve">verall, </w:t>
      </w:r>
      <w:r w:rsidR="00860D28" w:rsidRPr="00F95C93">
        <w:rPr>
          <w:rFonts w:ascii="Arial" w:hAnsi="Arial" w:cs="Arial"/>
          <w:sz w:val="24"/>
          <w:szCs w:val="24"/>
        </w:rPr>
        <w:t xml:space="preserve">in the context of the COVID-19 pandemic, </w:t>
      </w:r>
      <w:r w:rsidR="00105AF7" w:rsidRPr="00F95C93">
        <w:rPr>
          <w:rFonts w:ascii="Arial" w:hAnsi="Arial" w:cs="Arial"/>
          <w:sz w:val="24"/>
          <w:szCs w:val="24"/>
        </w:rPr>
        <w:t xml:space="preserve">providing that compensation will not be payable, will not </w:t>
      </w:r>
      <w:r w:rsidR="0072218E">
        <w:rPr>
          <w:rFonts w:ascii="Arial" w:hAnsi="Arial" w:cs="Arial"/>
          <w:sz w:val="24"/>
          <w:szCs w:val="24"/>
        </w:rPr>
        <w:t xml:space="preserve">adversely </w:t>
      </w:r>
      <w:r w:rsidR="00105AF7" w:rsidRPr="00F95C93">
        <w:rPr>
          <w:rFonts w:ascii="Arial" w:hAnsi="Arial" w:cs="Arial"/>
          <w:sz w:val="24"/>
          <w:szCs w:val="24"/>
        </w:rPr>
        <w:t>affect the proportionality of any limitation on these other rights</w:t>
      </w:r>
      <w:r w:rsidR="009E4FF8">
        <w:rPr>
          <w:rFonts w:ascii="Arial" w:hAnsi="Arial" w:cs="Arial"/>
          <w:sz w:val="24"/>
          <w:szCs w:val="24"/>
        </w:rPr>
        <w:t xml:space="preserve"> imposed through the directions</w:t>
      </w:r>
      <w:r w:rsidR="00105AF7" w:rsidRPr="00F95C93">
        <w:rPr>
          <w:rFonts w:ascii="Arial" w:hAnsi="Arial" w:cs="Arial"/>
          <w:sz w:val="24"/>
          <w:szCs w:val="24"/>
        </w:rPr>
        <w:t xml:space="preserve"> for the same reasons as outlined above. This includes the importa</w:t>
      </w:r>
      <w:r w:rsidR="00105AF7" w:rsidRPr="002C7C21">
        <w:rPr>
          <w:rFonts w:ascii="Arial" w:hAnsi="Arial" w:cs="Arial"/>
          <w:sz w:val="24"/>
          <w:szCs w:val="24"/>
        </w:rPr>
        <w:t xml:space="preserve">nce of the amendment from the perspective of appropriately targeting budgetary decisions and also protecting the right to life. </w:t>
      </w:r>
    </w:p>
    <w:p w14:paraId="107097A2" w14:textId="77777777" w:rsidR="00966E42" w:rsidRPr="002C7C21" w:rsidRDefault="00966E42" w:rsidP="00B20EE1">
      <w:pPr>
        <w:contextualSpacing/>
        <w:rPr>
          <w:rFonts w:ascii="Arial" w:hAnsi="Arial" w:cs="Arial"/>
          <w:iCs/>
          <w:sz w:val="24"/>
          <w:szCs w:val="24"/>
        </w:rPr>
      </w:pPr>
    </w:p>
    <w:p w14:paraId="7CD7F220" w14:textId="24C0DAD9" w:rsidR="00591D40" w:rsidRDefault="00591D40">
      <w:pPr>
        <w:spacing w:after="0" w:line="240" w:lineRule="auto"/>
        <w:rPr>
          <w:rFonts w:ascii="Arial" w:hAnsi="Arial" w:cs="Arial"/>
          <w:sz w:val="24"/>
          <w:szCs w:val="24"/>
          <w:lang w:eastAsia="en-AU"/>
        </w:rPr>
      </w:pPr>
      <w:bookmarkStart w:id="7" w:name="OLE_LINK1"/>
      <w:r>
        <w:rPr>
          <w:rFonts w:ascii="Arial" w:hAnsi="Arial" w:cs="Arial"/>
          <w:sz w:val="24"/>
          <w:szCs w:val="24"/>
          <w:lang w:eastAsia="en-AU"/>
        </w:rPr>
        <w:br w:type="page"/>
      </w:r>
    </w:p>
    <w:p w14:paraId="79AD90A2" w14:textId="247A3631" w:rsidR="00E574DD" w:rsidRPr="00415756" w:rsidRDefault="00F15D37" w:rsidP="00415756">
      <w:pPr>
        <w:spacing w:after="0"/>
        <w:jc w:val="center"/>
        <w:rPr>
          <w:rFonts w:asciiTheme="minorHAnsi" w:eastAsiaTheme="majorEastAsia" w:hAnsiTheme="minorHAnsi" w:cs="Arial"/>
          <w:sz w:val="28"/>
          <w:szCs w:val="28"/>
          <w:lang w:eastAsia="en-AU"/>
        </w:rPr>
      </w:pPr>
      <w:r w:rsidRPr="009E1EB3">
        <w:rPr>
          <w:rFonts w:asciiTheme="minorHAnsi" w:hAnsiTheme="minorHAnsi" w:cs="Arial"/>
          <w:sz w:val="28"/>
          <w:szCs w:val="28"/>
          <w:lang w:eastAsia="en-AU"/>
        </w:rPr>
        <w:lastRenderedPageBreak/>
        <w:t>Public Health Amendment Bill</w:t>
      </w:r>
      <w:r w:rsidR="00E574DD" w:rsidRPr="009E1EB3">
        <w:rPr>
          <w:rFonts w:asciiTheme="minorHAnsi" w:hAnsiTheme="minorHAnsi" w:cs="Arial"/>
          <w:sz w:val="28"/>
          <w:szCs w:val="28"/>
          <w:lang w:eastAsia="en-AU"/>
        </w:rPr>
        <w:t xml:space="preserve"> 20</w:t>
      </w:r>
      <w:r w:rsidR="00774277" w:rsidRPr="009E1EB3">
        <w:rPr>
          <w:rFonts w:asciiTheme="minorHAnsi" w:hAnsiTheme="minorHAnsi" w:cs="Arial"/>
          <w:sz w:val="28"/>
          <w:szCs w:val="28"/>
          <w:lang w:eastAsia="en-AU"/>
        </w:rPr>
        <w:t>20</w:t>
      </w:r>
    </w:p>
    <w:bookmarkEnd w:id="7"/>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3A4C8FA0"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w:t>
      </w:r>
      <w:r w:rsidRPr="009E1EB3">
        <w:rPr>
          <w:rFonts w:asciiTheme="minorHAnsi" w:hAnsiTheme="minorHAnsi"/>
        </w:rPr>
        <w:t>the</w:t>
      </w:r>
      <w:r w:rsidRPr="009E1EB3">
        <w:rPr>
          <w:rFonts w:asciiTheme="minorHAnsi" w:hAnsiTheme="minorHAnsi"/>
          <w:b/>
        </w:rPr>
        <w:t xml:space="preserve"> </w:t>
      </w:r>
      <w:r w:rsidR="00F15D37" w:rsidRPr="009E1EB3">
        <w:rPr>
          <w:rFonts w:asciiTheme="minorHAnsi" w:hAnsiTheme="minorHAnsi"/>
          <w:b/>
        </w:rPr>
        <w:t xml:space="preserve">Public Health </w:t>
      </w:r>
      <w:r w:rsidRPr="009E1EB3">
        <w:rPr>
          <w:rFonts w:asciiTheme="minorHAnsi" w:hAnsiTheme="minorHAnsi"/>
          <w:b/>
        </w:rPr>
        <w:t>Amendment Bill</w:t>
      </w:r>
      <w:r w:rsidR="00A5201D" w:rsidRPr="009E1EB3">
        <w:rPr>
          <w:rFonts w:asciiTheme="minorHAnsi" w:hAnsiTheme="minorHAnsi"/>
          <w:b/>
        </w:rPr>
        <w:t xml:space="preserve"> </w:t>
      </w:r>
      <w:r w:rsidRPr="009E1EB3">
        <w:rPr>
          <w:rFonts w:asciiTheme="minorHAnsi" w:hAnsiTheme="minorHAnsi"/>
          <w:b/>
        </w:rPr>
        <w:t>20</w:t>
      </w:r>
      <w:r w:rsidR="00774277" w:rsidRPr="009E1EB3">
        <w:rPr>
          <w:rFonts w:asciiTheme="minorHAnsi" w:hAnsiTheme="minorHAnsi"/>
          <w:b/>
        </w:rPr>
        <w:t>20</w:t>
      </w:r>
      <w:r w:rsidRPr="009E1EB3">
        <w:rPr>
          <w:rFonts w:asciiTheme="minorHAnsi" w:hAnsiTheme="minorHAnsi"/>
        </w:rPr>
        <w:t>.</w:t>
      </w:r>
      <w:r w:rsidRPr="00521950">
        <w:rPr>
          <w:rFonts w:asciiTheme="minorHAnsi" w:hAnsiTheme="minorHAnsi"/>
        </w:rPr>
        <w:t xml:space="preserve">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w:t>
      </w:r>
      <w:r w:rsidR="00424FBB" w:rsidRPr="009E1EB3">
        <w:rPr>
          <w:rFonts w:asciiTheme="minorHAnsi" w:hAnsiTheme="minorHAnsi"/>
        </w:rPr>
        <w:t>sembly</w:t>
      </w:r>
      <w:r w:rsidR="00424FBB" w:rsidRPr="009E1EB3">
        <w:rPr>
          <w:rFonts w:asciiTheme="minorHAnsi" w:hAnsiTheme="minorHAnsi"/>
          <w:b/>
        </w:rPr>
        <w:t xml:space="preserve"> </w:t>
      </w:r>
      <w:r w:rsidR="009E1EB3" w:rsidRPr="009E1EB3">
        <w:rPr>
          <w:rFonts w:asciiTheme="minorHAnsi" w:hAnsiTheme="minorHAnsi"/>
          <w:b/>
        </w:rPr>
        <w:t>is</w:t>
      </w:r>
      <w:r w:rsidRPr="009E1EB3">
        <w:rPr>
          <w:rFonts w:asciiTheme="minorHAnsi" w:hAnsiTheme="minorHAnsi"/>
        </w:rPr>
        <w:t xml:space="preserve"> 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0E2E8CBE" w14:textId="2147FDFB" w:rsidR="00E76504" w:rsidRPr="00A01CD6" w:rsidRDefault="008C76C4" w:rsidP="00A01CD6">
      <w:pPr>
        <w:pStyle w:val="Heading2"/>
        <w:pageBreakBefore/>
        <w:spacing w:before="240" w:after="240"/>
        <w:rPr>
          <w:sz w:val="28"/>
          <w:szCs w:val="28"/>
        </w:rPr>
      </w:pPr>
      <w:r w:rsidRPr="00A01CD6">
        <w:rPr>
          <w:sz w:val="28"/>
          <w:szCs w:val="28"/>
        </w:rPr>
        <w:lastRenderedPageBreak/>
        <w:t>CLAUSE NOTES</w:t>
      </w:r>
    </w:p>
    <w:p w14:paraId="27FB735B" w14:textId="4FE6B971" w:rsidR="00C61B07" w:rsidRPr="006053D9" w:rsidRDefault="00C61B07" w:rsidP="00C65E0C">
      <w:pPr>
        <w:pStyle w:val="Heading3"/>
        <w:rPr>
          <w:rFonts w:cs="Arial"/>
          <w:sz w:val="28"/>
          <w:szCs w:val="28"/>
        </w:rPr>
      </w:pPr>
      <w:r w:rsidRPr="006053D9">
        <w:rPr>
          <w:rFonts w:cs="Arial"/>
          <w:sz w:val="28"/>
          <w:szCs w:val="28"/>
        </w:rPr>
        <w:t>Clause 1</w:t>
      </w:r>
      <w:r w:rsidRPr="006053D9">
        <w:rPr>
          <w:rFonts w:cs="Arial"/>
          <w:sz w:val="28"/>
          <w:szCs w:val="28"/>
        </w:rPr>
        <w:tab/>
        <w:t>Name of Act</w:t>
      </w:r>
    </w:p>
    <w:p w14:paraId="61650708" w14:textId="6207396F" w:rsidR="000B7027" w:rsidRPr="006053D9" w:rsidRDefault="000B7027" w:rsidP="000B7027">
      <w:pPr>
        <w:rPr>
          <w:rFonts w:ascii="Arial" w:hAnsi="Arial" w:cs="Arial"/>
          <w:i/>
          <w:iCs/>
          <w:sz w:val="28"/>
          <w:szCs w:val="28"/>
        </w:rPr>
      </w:pPr>
      <w:r w:rsidRPr="006053D9">
        <w:rPr>
          <w:rFonts w:ascii="Arial" w:hAnsi="Arial" w:cs="Arial"/>
          <w:sz w:val="28"/>
          <w:szCs w:val="28"/>
        </w:rPr>
        <w:t xml:space="preserve">Clause 1 provides that the title of the Act will be the </w:t>
      </w:r>
      <w:r w:rsidRPr="006053D9">
        <w:rPr>
          <w:rFonts w:ascii="Arial" w:hAnsi="Arial" w:cs="Arial"/>
          <w:i/>
          <w:iCs/>
          <w:sz w:val="28"/>
          <w:szCs w:val="28"/>
        </w:rPr>
        <w:t xml:space="preserve">Public Health Amendment Act 2020. </w:t>
      </w:r>
    </w:p>
    <w:p w14:paraId="341827EE" w14:textId="6085EEB3" w:rsidR="00C61B07" w:rsidRPr="006053D9" w:rsidRDefault="00C61B07" w:rsidP="008C225D">
      <w:pPr>
        <w:pStyle w:val="Heading3"/>
        <w:rPr>
          <w:rFonts w:cs="Arial"/>
          <w:sz w:val="28"/>
          <w:szCs w:val="28"/>
        </w:rPr>
      </w:pPr>
      <w:r w:rsidRPr="006053D9">
        <w:rPr>
          <w:rFonts w:cs="Arial"/>
          <w:sz w:val="28"/>
          <w:szCs w:val="28"/>
        </w:rPr>
        <w:t>Clause 2</w:t>
      </w:r>
      <w:r w:rsidRPr="006053D9">
        <w:rPr>
          <w:rFonts w:cs="Arial"/>
          <w:sz w:val="28"/>
          <w:szCs w:val="28"/>
        </w:rPr>
        <w:tab/>
        <w:t>Commencement</w:t>
      </w:r>
    </w:p>
    <w:p w14:paraId="0D233035" w14:textId="693FFA48" w:rsidR="000B7027" w:rsidRPr="006053D9" w:rsidRDefault="000B7027" w:rsidP="000B7027">
      <w:pPr>
        <w:rPr>
          <w:rFonts w:ascii="Arial" w:hAnsi="Arial" w:cs="Arial"/>
          <w:sz w:val="28"/>
          <w:szCs w:val="28"/>
        </w:rPr>
      </w:pPr>
      <w:r w:rsidRPr="006053D9">
        <w:rPr>
          <w:rFonts w:ascii="Arial" w:hAnsi="Arial" w:cs="Arial"/>
          <w:sz w:val="28"/>
          <w:szCs w:val="28"/>
        </w:rPr>
        <w:t>Clause 2 provides that the Act</w:t>
      </w:r>
      <w:r w:rsidR="006912B1">
        <w:rPr>
          <w:rFonts w:ascii="Arial" w:hAnsi="Arial" w:cs="Arial"/>
          <w:sz w:val="28"/>
          <w:szCs w:val="28"/>
        </w:rPr>
        <w:t xml:space="preserve"> is taken to have commenced on 16 March 2020. </w:t>
      </w:r>
    </w:p>
    <w:p w14:paraId="03E3F0B8" w14:textId="77777777" w:rsidR="00C61B07" w:rsidRPr="006053D9" w:rsidRDefault="00C61B07" w:rsidP="008C225D">
      <w:pPr>
        <w:pStyle w:val="Heading3"/>
        <w:rPr>
          <w:rFonts w:cs="Arial"/>
          <w:b w:val="0"/>
          <w:sz w:val="28"/>
          <w:szCs w:val="28"/>
        </w:rPr>
      </w:pPr>
      <w:r w:rsidRPr="006053D9">
        <w:rPr>
          <w:rFonts w:cs="Arial"/>
          <w:sz w:val="28"/>
          <w:szCs w:val="28"/>
        </w:rPr>
        <w:t>Clause 3</w:t>
      </w:r>
      <w:r w:rsidRPr="006053D9">
        <w:rPr>
          <w:rFonts w:cs="Arial"/>
          <w:sz w:val="28"/>
          <w:szCs w:val="28"/>
        </w:rPr>
        <w:tab/>
        <w:t>Legislation amended</w:t>
      </w:r>
    </w:p>
    <w:p w14:paraId="00E63009" w14:textId="6298EE69" w:rsidR="000B7027" w:rsidRPr="006053D9" w:rsidRDefault="000B7027" w:rsidP="00D3034B">
      <w:pPr>
        <w:rPr>
          <w:rFonts w:ascii="Arial" w:hAnsi="Arial" w:cs="Arial"/>
          <w:sz w:val="28"/>
          <w:szCs w:val="28"/>
        </w:rPr>
      </w:pPr>
      <w:r w:rsidRPr="006053D9">
        <w:rPr>
          <w:rFonts w:ascii="Arial" w:hAnsi="Arial" w:cs="Arial"/>
          <w:sz w:val="28"/>
          <w:szCs w:val="28"/>
        </w:rPr>
        <w:t xml:space="preserve">Clause 3 provides that the Act amends the </w:t>
      </w:r>
      <w:r w:rsidRPr="006053D9">
        <w:rPr>
          <w:rFonts w:ascii="Arial" w:hAnsi="Arial" w:cs="Arial"/>
          <w:i/>
          <w:iCs/>
          <w:sz w:val="28"/>
          <w:szCs w:val="28"/>
        </w:rPr>
        <w:t>Public Health Act 1997</w:t>
      </w:r>
      <w:r w:rsidR="006053D9">
        <w:rPr>
          <w:rFonts w:ascii="Arial" w:hAnsi="Arial" w:cs="Arial"/>
          <w:i/>
          <w:iCs/>
          <w:sz w:val="28"/>
          <w:szCs w:val="28"/>
        </w:rPr>
        <w:t xml:space="preserve">. </w:t>
      </w:r>
    </w:p>
    <w:p w14:paraId="623AD430" w14:textId="14BB406E" w:rsidR="000B7027" w:rsidRPr="008821D7" w:rsidRDefault="000B7027" w:rsidP="000B7027">
      <w:pPr>
        <w:pStyle w:val="Heading3"/>
        <w:rPr>
          <w:rFonts w:cs="Arial"/>
          <w:b w:val="0"/>
          <w:sz w:val="28"/>
          <w:szCs w:val="28"/>
        </w:rPr>
      </w:pPr>
      <w:r w:rsidRPr="008821D7">
        <w:rPr>
          <w:rFonts w:cs="Arial"/>
          <w:sz w:val="28"/>
          <w:szCs w:val="28"/>
        </w:rPr>
        <w:t>Clause 4</w:t>
      </w:r>
      <w:r w:rsidRPr="008821D7">
        <w:rPr>
          <w:rFonts w:cs="Arial"/>
          <w:sz w:val="28"/>
          <w:szCs w:val="28"/>
        </w:rPr>
        <w:tab/>
      </w:r>
      <w:r w:rsidR="006912B1">
        <w:rPr>
          <w:rFonts w:cs="Arial"/>
          <w:sz w:val="28"/>
          <w:szCs w:val="28"/>
        </w:rPr>
        <w:t>Compensation, New Section 122(3)(c)</w:t>
      </w:r>
      <w:r w:rsidR="006053D9" w:rsidRPr="008821D7">
        <w:rPr>
          <w:rFonts w:cs="Arial"/>
          <w:sz w:val="28"/>
          <w:szCs w:val="28"/>
        </w:rPr>
        <w:t xml:space="preserve"> </w:t>
      </w:r>
    </w:p>
    <w:p w14:paraId="32883239" w14:textId="0326A3B6" w:rsidR="003D0500" w:rsidRDefault="000B7027" w:rsidP="006912B1">
      <w:pPr>
        <w:rPr>
          <w:rFonts w:ascii="Arial" w:hAnsi="Arial" w:cs="Arial"/>
          <w:sz w:val="28"/>
          <w:szCs w:val="28"/>
        </w:rPr>
      </w:pPr>
      <w:r w:rsidRPr="008821D7">
        <w:rPr>
          <w:rFonts w:ascii="Arial" w:hAnsi="Arial" w:cs="Arial"/>
          <w:sz w:val="28"/>
          <w:szCs w:val="28"/>
        </w:rPr>
        <w:t xml:space="preserve">Clause 4 </w:t>
      </w:r>
      <w:r w:rsidR="006912B1">
        <w:rPr>
          <w:rFonts w:ascii="Arial" w:hAnsi="Arial" w:cs="Arial"/>
          <w:sz w:val="28"/>
          <w:szCs w:val="28"/>
        </w:rPr>
        <w:t xml:space="preserve">inserts subsection 122(3)(c) to provide that </w:t>
      </w:r>
      <w:r w:rsidR="00407B3A">
        <w:rPr>
          <w:rFonts w:ascii="Arial" w:hAnsi="Arial" w:cs="Arial"/>
          <w:sz w:val="28"/>
          <w:szCs w:val="28"/>
        </w:rPr>
        <w:t>compensation is not payable to an eligible person in relation to a loss or damage arising in relation to a COVID-19 declaration</w:t>
      </w:r>
      <w:r w:rsidR="00685CD5">
        <w:rPr>
          <w:rFonts w:ascii="Arial" w:hAnsi="Arial" w:cs="Arial"/>
          <w:sz w:val="28"/>
          <w:szCs w:val="28"/>
        </w:rPr>
        <w:t>, except for anything done in relation to a direction given under section 120(1)(f).</w:t>
      </w:r>
      <w:r w:rsidR="00407B3A">
        <w:rPr>
          <w:rFonts w:ascii="Arial" w:hAnsi="Arial" w:cs="Arial"/>
          <w:sz w:val="28"/>
          <w:szCs w:val="28"/>
        </w:rPr>
        <w:t xml:space="preserve"> </w:t>
      </w:r>
    </w:p>
    <w:p w14:paraId="6FD413A6" w14:textId="580EA995" w:rsidR="006912B1" w:rsidRPr="006912B1" w:rsidRDefault="006912B1" w:rsidP="006912B1">
      <w:pPr>
        <w:pStyle w:val="Heading3"/>
        <w:rPr>
          <w:rFonts w:cs="Arial"/>
          <w:b w:val="0"/>
          <w:i/>
          <w:iCs/>
          <w:sz w:val="28"/>
          <w:szCs w:val="28"/>
        </w:rPr>
      </w:pPr>
      <w:r w:rsidRPr="008821D7">
        <w:rPr>
          <w:rFonts w:cs="Arial"/>
          <w:sz w:val="28"/>
          <w:szCs w:val="28"/>
        </w:rPr>
        <w:t xml:space="preserve">Clause </w:t>
      </w:r>
      <w:r>
        <w:rPr>
          <w:rFonts w:cs="Arial"/>
          <w:sz w:val="28"/>
          <w:szCs w:val="28"/>
        </w:rPr>
        <w:t>5</w:t>
      </w:r>
      <w:r w:rsidRPr="008821D7">
        <w:rPr>
          <w:rFonts w:cs="Arial"/>
          <w:sz w:val="28"/>
          <w:szCs w:val="28"/>
        </w:rPr>
        <w:tab/>
      </w:r>
      <w:r>
        <w:rPr>
          <w:rFonts w:cs="Arial"/>
          <w:sz w:val="28"/>
          <w:szCs w:val="28"/>
        </w:rPr>
        <w:t xml:space="preserve">Section 122(4), New definition of </w:t>
      </w:r>
      <w:r>
        <w:rPr>
          <w:rFonts w:cs="Arial"/>
          <w:i/>
          <w:iCs/>
          <w:sz w:val="28"/>
          <w:szCs w:val="28"/>
        </w:rPr>
        <w:t xml:space="preserve">COVID-19 declaration </w:t>
      </w:r>
    </w:p>
    <w:p w14:paraId="3602A7D0" w14:textId="339FFD2D" w:rsidR="006912B1" w:rsidRPr="008821D7" w:rsidRDefault="006912B1" w:rsidP="006912B1">
      <w:pPr>
        <w:rPr>
          <w:rFonts w:ascii="Arial" w:hAnsi="Arial" w:cs="Arial"/>
          <w:sz w:val="28"/>
          <w:szCs w:val="28"/>
        </w:rPr>
      </w:pPr>
      <w:r w:rsidRPr="008821D7">
        <w:rPr>
          <w:rFonts w:ascii="Arial" w:hAnsi="Arial" w:cs="Arial"/>
          <w:sz w:val="28"/>
          <w:szCs w:val="28"/>
        </w:rPr>
        <w:t xml:space="preserve">Clause </w:t>
      </w:r>
      <w:r>
        <w:rPr>
          <w:rFonts w:ascii="Arial" w:hAnsi="Arial" w:cs="Arial"/>
          <w:sz w:val="28"/>
          <w:szCs w:val="28"/>
        </w:rPr>
        <w:t xml:space="preserve">5 inserts subsection 122(4) to provide a definition of the term COVID-19 declaration. </w:t>
      </w:r>
    </w:p>
    <w:p w14:paraId="3DF15EF1" w14:textId="77777777" w:rsidR="006912B1" w:rsidRDefault="006912B1" w:rsidP="006912B1">
      <w:pPr>
        <w:rPr>
          <w:rFonts w:ascii="Arial" w:hAnsi="Arial" w:cs="Arial"/>
          <w:sz w:val="28"/>
          <w:szCs w:val="28"/>
        </w:rPr>
      </w:pPr>
    </w:p>
    <w:p w14:paraId="59D86973" w14:textId="22E53E75" w:rsidR="00C01239" w:rsidRPr="00C01239" w:rsidRDefault="00C01239" w:rsidP="00D3034B">
      <w:pPr>
        <w:rPr>
          <w:rFonts w:ascii="Arial" w:hAnsi="Arial" w:cs="Arial"/>
          <w:sz w:val="28"/>
          <w:szCs w:val="28"/>
        </w:rPr>
      </w:pPr>
    </w:p>
    <w:sectPr w:rsidR="00C01239" w:rsidRPr="00C01239" w:rsidSect="00F41A2F">
      <w:footerReference w:type="defaul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416B7" w14:textId="77777777" w:rsidR="00E35A7A" w:rsidRDefault="00E35A7A">
      <w:pPr>
        <w:spacing w:after="0" w:line="240" w:lineRule="auto"/>
      </w:pPr>
      <w:r>
        <w:separator/>
      </w:r>
    </w:p>
  </w:endnote>
  <w:endnote w:type="continuationSeparator" w:id="0">
    <w:p w14:paraId="02D18900" w14:textId="77777777" w:rsidR="00E35A7A" w:rsidRDefault="00E35A7A">
      <w:pPr>
        <w:spacing w:after="0" w:line="240" w:lineRule="auto"/>
      </w:pPr>
      <w:r>
        <w:continuationSeparator/>
      </w:r>
    </w:p>
  </w:endnote>
  <w:endnote w:type="continuationNotice" w:id="1">
    <w:p w14:paraId="6EC44B57" w14:textId="77777777" w:rsidR="00E35A7A" w:rsidRDefault="00E35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EF4E" w14:textId="77777777" w:rsidR="00FC0354" w:rsidRDefault="00FC0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2C6C" w14:textId="58B34A16" w:rsidR="00FC0354" w:rsidRPr="00FC0354" w:rsidRDefault="00FC0354" w:rsidP="00FC0354">
    <w:pPr>
      <w:pStyle w:val="Footer"/>
      <w:jc w:val="center"/>
      <w:rPr>
        <w:rFonts w:cs="Arial"/>
        <w:sz w:val="14"/>
      </w:rPr>
    </w:pPr>
    <w:r w:rsidRPr="00FC035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BE627D" w:rsidRDefault="00BE627D">
    <w:pPr>
      <w:pStyle w:val="Footer"/>
      <w:jc w:val="right"/>
    </w:pPr>
  </w:p>
  <w:p w14:paraId="1B19A0D3" w14:textId="77777777" w:rsidR="00BE627D" w:rsidRPr="00DC5912" w:rsidRDefault="00BE627D"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4D108FEC" w:rsidR="00BE627D" w:rsidRDefault="00BE627D"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0F6E263B" w14:textId="0FBD6294" w:rsidR="00FC0354" w:rsidRPr="00FC0354" w:rsidRDefault="00FC0354" w:rsidP="00FC0354">
    <w:pPr>
      <w:pStyle w:val="Footer"/>
      <w:spacing w:before="60" w:line="240" w:lineRule="auto"/>
      <w:jc w:val="center"/>
      <w:rPr>
        <w:rFonts w:cs="Arial"/>
        <w:sz w:val="14"/>
      </w:rPr>
    </w:pPr>
    <w:r w:rsidRPr="00FC0354">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712E0FB2" w:rsidR="00BE627D" w:rsidRDefault="00BE627D">
    <w:pPr>
      <w:pStyle w:val="Footer"/>
      <w:jc w:val="right"/>
    </w:pPr>
    <w:r>
      <w:fldChar w:fldCharType="begin"/>
    </w:r>
    <w:r>
      <w:instrText xml:space="preserve"> PAGE   \* MERGEFORMAT </w:instrText>
    </w:r>
    <w:r>
      <w:fldChar w:fldCharType="separate"/>
    </w:r>
    <w:r>
      <w:rPr>
        <w:noProof/>
      </w:rPr>
      <w:t>1</w:t>
    </w:r>
    <w:r>
      <w:fldChar w:fldCharType="end"/>
    </w:r>
  </w:p>
  <w:p w14:paraId="0F1D1A7A" w14:textId="6A8D62B4" w:rsidR="00FC0354" w:rsidRPr="00FC0354" w:rsidRDefault="00FC0354" w:rsidP="00FC0354">
    <w:pPr>
      <w:pStyle w:val="Footer"/>
      <w:jc w:val="center"/>
      <w:rPr>
        <w:rFonts w:cs="Arial"/>
        <w:sz w:val="14"/>
      </w:rPr>
    </w:pPr>
    <w:r w:rsidRPr="00FC035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3457" w14:textId="77777777" w:rsidR="00E35A7A" w:rsidRDefault="00E35A7A">
      <w:pPr>
        <w:spacing w:after="0" w:line="240" w:lineRule="auto"/>
      </w:pPr>
      <w:r>
        <w:separator/>
      </w:r>
    </w:p>
  </w:footnote>
  <w:footnote w:type="continuationSeparator" w:id="0">
    <w:p w14:paraId="66219287" w14:textId="77777777" w:rsidR="00E35A7A" w:rsidRDefault="00E35A7A">
      <w:pPr>
        <w:spacing w:after="0" w:line="240" w:lineRule="auto"/>
      </w:pPr>
      <w:r>
        <w:continuationSeparator/>
      </w:r>
    </w:p>
  </w:footnote>
  <w:footnote w:type="continuationNotice" w:id="1">
    <w:p w14:paraId="4AC8A24D" w14:textId="77777777" w:rsidR="00E35A7A" w:rsidRDefault="00E35A7A">
      <w:pPr>
        <w:spacing w:after="0" w:line="240" w:lineRule="auto"/>
      </w:pPr>
    </w:p>
  </w:footnote>
  <w:footnote w:id="2">
    <w:p w14:paraId="379D3B0B" w14:textId="77777777" w:rsidR="00F80B8D" w:rsidRPr="00A81633" w:rsidRDefault="00F80B8D" w:rsidP="00F80B8D">
      <w:pPr>
        <w:pStyle w:val="FootnoteText"/>
        <w:rPr>
          <w:rFonts w:asciiTheme="minorHAnsi" w:hAnsiTheme="minorHAnsi" w:cstheme="minorHAnsi"/>
          <w:lang w:val="en-AU"/>
        </w:rPr>
      </w:pPr>
      <w:r w:rsidRPr="00A81633">
        <w:rPr>
          <w:rStyle w:val="FootnoteReference"/>
          <w:rFonts w:asciiTheme="minorHAnsi" w:hAnsiTheme="minorHAnsi" w:cstheme="minorHAnsi"/>
        </w:rPr>
        <w:footnoteRef/>
      </w:r>
      <w:r w:rsidRPr="00A81633">
        <w:rPr>
          <w:rFonts w:asciiTheme="minorHAnsi" w:hAnsiTheme="minorHAnsi" w:cstheme="minorHAnsi"/>
        </w:rPr>
        <w:t xml:space="preserve"> See, for example, Residential Tenancies (COVID-19 Emergency Response) Declaration 2020; Leases (Commercial and Retail) COVID-19 Emergency Response Declaration 2020. </w:t>
      </w:r>
    </w:p>
  </w:footnote>
  <w:footnote w:id="3">
    <w:p w14:paraId="25EED80F" w14:textId="77777777" w:rsidR="00F80B8D" w:rsidRPr="00A81633" w:rsidRDefault="00F80B8D" w:rsidP="00F80B8D">
      <w:pPr>
        <w:pStyle w:val="FootnoteText"/>
        <w:rPr>
          <w:lang w:val="en-AU"/>
        </w:rPr>
      </w:pPr>
      <w:r w:rsidRPr="00A81633">
        <w:rPr>
          <w:rStyle w:val="FootnoteReference"/>
          <w:rFonts w:asciiTheme="minorHAnsi" w:hAnsiTheme="minorHAnsi" w:cstheme="minorHAnsi"/>
        </w:rPr>
        <w:footnoteRef/>
      </w:r>
      <w:r w:rsidRPr="00A81633">
        <w:rPr>
          <w:rFonts w:asciiTheme="minorHAnsi" w:hAnsiTheme="minorHAnsi" w:cstheme="minorHAnsi"/>
        </w:rPr>
        <w:t xml:space="preserve"> </w:t>
      </w:r>
      <w:r w:rsidRPr="00A81633">
        <w:rPr>
          <w:rFonts w:asciiTheme="minorHAnsi" w:hAnsiTheme="minorHAnsi" w:cstheme="minorHAnsi"/>
          <w:lang w:val="en-AU"/>
        </w:rPr>
        <w:t>Residential Tenancies (COVID-19 Emergency Response) Declaration 2020.</w:t>
      </w:r>
    </w:p>
  </w:footnote>
  <w:footnote w:id="4">
    <w:p w14:paraId="219E4120" w14:textId="0B3C1B68" w:rsidR="00E26B19" w:rsidRPr="004A60E2" w:rsidRDefault="00E26B19">
      <w:pPr>
        <w:pStyle w:val="FootnoteText"/>
        <w:rPr>
          <w:rFonts w:ascii="Arial" w:hAnsi="Arial" w:cs="Arial"/>
          <w:lang w:val="en-AU"/>
        </w:rPr>
      </w:pPr>
      <w:r w:rsidRPr="004A60E2">
        <w:rPr>
          <w:rStyle w:val="FootnoteReference"/>
          <w:rFonts w:ascii="Arial" w:hAnsi="Arial" w:cs="Arial"/>
        </w:rPr>
        <w:footnoteRef/>
      </w:r>
      <w:r w:rsidRPr="004A60E2">
        <w:rPr>
          <w:rFonts w:ascii="Arial" w:hAnsi="Arial" w:cs="Arial"/>
        </w:rPr>
        <w:t xml:space="preserve"> Explanatory Notes, Public Health and Other Legislation (Public Health Emergency) Amendment Bill 2020 (QLD), 4. </w:t>
      </w:r>
    </w:p>
  </w:footnote>
  <w:footnote w:id="5">
    <w:p w14:paraId="37D80303" w14:textId="3BB8E205" w:rsidR="00886A87" w:rsidRPr="004A60E2" w:rsidRDefault="00886A87">
      <w:pPr>
        <w:pStyle w:val="FootnoteText"/>
        <w:rPr>
          <w:rFonts w:ascii="Arial" w:hAnsi="Arial" w:cs="Arial"/>
          <w:lang w:val="en-AU"/>
        </w:rPr>
      </w:pPr>
      <w:r w:rsidRPr="004A60E2">
        <w:rPr>
          <w:rStyle w:val="FootnoteReference"/>
          <w:rFonts w:ascii="Arial" w:hAnsi="Arial" w:cs="Arial"/>
        </w:rPr>
        <w:footnoteRef/>
      </w:r>
      <w:r w:rsidRPr="004A60E2">
        <w:rPr>
          <w:rFonts w:ascii="Arial" w:hAnsi="Arial" w:cs="Arial"/>
        </w:rPr>
        <w:t xml:space="preserve"> See </w:t>
      </w:r>
      <w:r w:rsidRPr="004A60E2">
        <w:rPr>
          <w:rFonts w:ascii="Arial" w:hAnsi="Arial" w:cs="Arial"/>
          <w:lang w:val="en-AU"/>
        </w:rPr>
        <w:t xml:space="preserve">HRA s 31. </w:t>
      </w:r>
    </w:p>
  </w:footnote>
  <w:footnote w:id="6">
    <w:p w14:paraId="62A9C07D" w14:textId="7C4BADCB" w:rsidR="00036ABC" w:rsidRPr="00B20EE1" w:rsidRDefault="00036ABC" w:rsidP="00036ABC">
      <w:pPr>
        <w:pStyle w:val="FootnoteText"/>
        <w:rPr>
          <w:rFonts w:asciiTheme="minorHAnsi" w:hAnsiTheme="minorHAnsi" w:cstheme="minorHAnsi"/>
        </w:rPr>
      </w:pPr>
      <w:r w:rsidRPr="004A60E2">
        <w:rPr>
          <w:rStyle w:val="FootnoteReference"/>
          <w:rFonts w:ascii="Arial" w:hAnsi="Arial" w:cs="Arial"/>
        </w:rPr>
        <w:footnoteRef/>
      </w:r>
      <w:r w:rsidRPr="004A60E2">
        <w:rPr>
          <w:rFonts w:ascii="Arial" w:hAnsi="Arial" w:cs="Arial"/>
        </w:rPr>
        <w:t xml:space="preserve"> See UN Human Rights Committee, </w:t>
      </w:r>
      <w:r w:rsidRPr="004A60E2">
        <w:rPr>
          <w:rFonts w:ascii="Arial" w:hAnsi="Arial" w:cs="Arial"/>
          <w:i/>
        </w:rPr>
        <w:t>General Comment 32: Article 14, Right to Equality before Courts and Tribunals and to Fair Trial</w:t>
      </w:r>
      <w:r w:rsidRPr="004A60E2">
        <w:rPr>
          <w:rFonts w:ascii="Arial" w:hAnsi="Arial" w:cs="Arial"/>
        </w:rPr>
        <w:t xml:space="preserve"> (2007) [16].</w:t>
      </w:r>
    </w:p>
  </w:footnote>
  <w:footnote w:id="7">
    <w:p w14:paraId="62BE287F" w14:textId="093CEDA1" w:rsidR="00816AA1" w:rsidRPr="004A60E2" w:rsidRDefault="00816AA1">
      <w:pPr>
        <w:pStyle w:val="FootnoteText"/>
        <w:rPr>
          <w:rFonts w:ascii="Arial" w:hAnsi="Arial" w:cs="Arial"/>
          <w:lang w:val="en-AU"/>
        </w:rPr>
      </w:pPr>
      <w:r w:rsidRPr="004A60E2">
        <w:rPr>
          <w:rStyle w:val="FootnoteReference"/>
          <w:rFonts w:ascii="Arial" w:hAnsi="Arial" w:cs="Arial"/>
        </w:rPr>
        <w:footnoteRef/>
      </w:r>
      <w:r w:rsidRPr="004A60E2">
        <w:rPr>
          <w:rFonts w:ascii="Arial" w:hAnsi="Arial" w:cs="Arial"/>
        </w:rPr>
        <w:t xml:space="preserve"> Article 4 of the International Covenant on Civil and Political Rights; UN Human Rights Committee, </w:t>
      </w:r>
      <w:r w:rsidRPr="004A60E2">
        <w:rPr>
          <w:rFonts w:ascii="Arial" w:hAnsi="Arial" w:cs="Arial"/>
          <w:i/>
          <w:iCs/>
        </w:rPr>
        <w:t>CCPR General Comment No. 29: Article 4: Derogations during a State of Emergency</w:t>
      </w:r>
      <w:r w:rsidRPr="004A60E2">
        <w:rPr>
          <w:rFonts w:ascii="Arial" w:hAnsi="Arial" w:cs="Arial"/>
        </w:rPr>
        <w:t>, 72</w:t>
      </w:r>
      <w:r w:rsidRPr="004A60E2">
        <w:rPr>
          <w:rFonts w:ascii="Arial" w:hAnsi="Arial" w:cs="Arial"/>
          <w:vertAlign w:val="superscript"/>
        </w:rPr>
        <w:t>nd</w:t>
      </w:r>
      <w:r w:rsidRPr="004A60E2">
        <w:rPr>
          <w:rFonts w:ascii="Arial" w:hAnsi="Arial" w:cs="Arial"/>
        </w:rPr>
        <w:t xml:space="preserve"> sess, UN Doc CPR/C/21/Rev.1/Add.11 (31 August 2001) (‘General Comment No. 29’).</w:t>
      </w:r>
    </w:p>
  </w:footnote>
  <w:footnote w:id="8">
    <w:p w14:paraId="031E488A" w14:textId="77777777" w:rsidR="00F365F5" w:rsidRPr="004A60E2" w:rsidRDefault="00F365F5" w:rsidP="00F365F5">
      <w:pPr>
        <w:pStyle w:val="FootnoteText"/>
        <w:rPr>
          <w:rFonts w:ascii="Arial" w:hAnsi="Arial" w:cs="Arial"/>
          <w:lang w:val="en-AU"/>
        </w:rPr>
      </w:pPr>
      <w:r w:rsidRPr="004A60E2">
        <w:rPr>
          <w:rStyle w:val="FootnoteReference"/>
          <w:rFonts w:ascii="Arial" w:hAnsi="Arial" w:cs="Arial"/>
        </w:rPr>
        <w:footnoteRef/>
      </w:r>
      <w:r w:rsidRPr="004A60E2">
        <w:rPr>
          <w:rFonts w:ascii="Arial" w:hAnsi="Arial" w:cs="Arial"/>
        </w:rPr>
        <w:t xml:space="preserve"> Part VA of the HRA permits a person to seek a remedy (other than damages) for breach of a right.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9421" w14:textId="77777777" w:rsidR="00FC0354" w:rsidRDefault="00FC0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B14D" w14:textId="77777777" w:rsidR="00FC0354" w:rsidRDefault="00FC0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3711" w14:textId="77777777" w:rsidR="00FC0354" w:rsidRDefault="00FC0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FAC03D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F8107D"/>
    <w:multiLevelType w:val="hybridMultilevel"/>
    <w:tmpl w:val="6106C0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19C5251"/>
    <w:multiLevelType w:val="hybridMultilevel"/>
    <w:tmpl w:val="62E09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D95728D"/>
    <w:multiLevelType w:val="multilevel"/>
    <w:tmpl w:val="31247D84"/>
    <w:lvl w:ilvl="0">
      <w:start w:val="1"/>
      <w:numFmt w:val="decimal"/>
      <w:lvlText w:val="%1)"/>
      <w:lvlJc w:val="left"/>
      <w:pPr>
        <w:tabs>
          <w:tab w:val="num" w:pos="785"/>
        </w:tabs>
        <w:ind w:left="785" w:hanging="360"/>
      </w:pPr>
      <w:rPr>
        <w:rFonts w:ascii="Arial" w:hAnsi="Arial" w:cs="Arial"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61C802F1"/>
    <w:multiLevelType w:val="hybridMultilevel"/>
    <w:tmpl w:val="1360A834"/>
    <w:lvl w:ilvl="0" w:tplc="66FE9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D2471F"/>
    <w:multiLevelType w:val="multilevel"/>
    <w:tmpl w:val="C1AED906"/>
    <w:lvl w:ilvl="0">
      <w:start w:val="1"/>
      <w:numFmt w:val="decimal"/>
      <w:lvlText w:val="1.%1"/>
      <w:lvlJc w:val="left"/>
      <w:pPr>
        <w:tabs>
          <w:tab w:val="num" w:pos="850"/>
        </w:tabs>
        <w:ind w:left="0" w:firstLine="0"/>
      </w:pPr>
      <w:rPr>
        <w:rFonts w:hint="default"/>
        <w:b w:val="0"/>
      </w:rPr>
    </w:lvl>
    <w:lvl w:ilvl="1">
      <w:start w:val="1"/>
      <w:numFmt w:val="lowerLetter"/>
      <w:lvlText w:val="(%2)"/>
      <w:lvlJc w:val="left"/>
      <w:pPr>
        <w:tabs>
          <w:tab w:val="num" w:pos="1417"/>
        </w:tabs>
        <w:ind w:left="1417" w:hanging="567"/>
      </w:pPr>
      <w:rPr>
        <w:rFonts w:hint="default"/>
      </w:rPr>
    </w:lvl>
    <w:lvl w:ilvl="2">
      <w:start w:val="1"/>
      <w:numFmt w:val="lowerRoman"/>
      <w:lvlText w:val="(%3)"/>
      <w:lvlJc w:val="left"/>
      <w:pPr>
        <w:tabs>
          <w:tab w:val="num" w:pos="1984"/>
        </w:tabs>
        <w:ind w:left="1984" w:hanging="567"/>
      </w:pPr>
      <w:rPr>
        <w:rFonts w:hint="default"/>
      </w:rPr>
    </w:lvl>
    <w:lvl w:ilvl="3">
      <w:start w:val="1"/>
      <w:numFmt w:val="none"/>
      <w:suff w:val="nothing"/>
      <w:lvlText w:val=""/>
      <w:lvlJc w:val="left"/>
      <w:pPr>
        <w:ind w:left="0" w:firstLine="0"/>
      </w:pPr>
      <w:rPr>
        <w:rFonts w:hint="default"/>
        <w:b/>
        <w:i w:val="0"/>
        <w:sz w:val="4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5843A2E"/>
    <w:multiLevelType w:val="hybridMultilevel"/>
    <w:tmpl w:val="29563FF6"/>
    <w:lvl w:ilvl="0" w:tplc="B76C60FC">
      <w:start w:val="1"/>
      <w:numFmt w:val="lowerLetter"/>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1134F5"/>
    <w:multiLevelType w:val="hybridMultilevel"/>
    <w:tmpl w:val="D37CE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4"/>
  </w:num>
  <w:num w:numId="2">
    <w:abstractNumId w:val="9"/>
  </w:num>
  <w:num w:numId="3">
    <w:abstractNumId w:val="0"/>
  </w:num>
  <w:num w:numId="4">
    <w:abstractNumId w:val="2"/>
  </w:num>
  <w:num w:numId="5">
    <w:abstractNumId w:val="1"/>
  </w:num>
  <w:num w:numId="6">
    <w:abstractNumId w:val="5"/>
  </w:num>
  <w:num w:numId="7">
    <w:abstractNumId w:val="3"/>
  </w:num>
  <w:num w:numId="8">
    <w:abstractNumId w:val="6"/>
  </w:num>
  <w:num w:numId="9">
    <w:abstractNumId w:val="8"/>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DAA"/>
    <w:rsid w:val="00017E9E"/>
    <w:rsid w:val="00017F39"/>
    <w:rsid w:val="00020A0B"/>
    <w:rsid w:val="00020FD5"/>
    <w:rsid w:val="0002181D"/>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ABC"/>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9C3"/>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C2D"/>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535"/>
    <w:rsid w:val="000A76D9"/>
    <w:rsid w:val="000A7D8D"/>
    <w:rsid w:val="000B080D"/>
    <w:rsid w:val="000B136E"/>
    <w:rsid w:val="000B13E0"/>
    <w:rsid w:val="000B141C"/>
    <w:rsid w:val="000B14AF"/>
    <w:rsid w:val="000B2446"/>
    <w:rsid w:val="000B29EF"/>
    <w:rsid w:val="000B31C6"/>
    <w:rsid w:val="000B3285"/>
    <w:rsid w:val="000B370E"/>
    <w:rsid w:val="000B3958"/>
    <w:rsid w:val="000B43C5"/>
    <w:rsid w:val="000B478E"/>
    <w:rsid w:val="000B4CEC"/>
    <w:rsid w:val="000B5751"/>
    <w:rsid w:val="000B590E"/>
    <w:rsid w:val="000B5BE5"/>
    <w:rsid w:val="000B5C27"/>
    <w:rsid w:val="000B66F1"/>
    <w:rsid w:val="000B7027"/>
    <w:rsid w:val="000B77EF"/>
    <w:rsid w:val="000B7EC6"/>
    <w:rsid w:val="000B7F10"/>
    <w:rsid w:val="000C007A"/>
    <w:rsid w:val="000C1875"/>
    <w:rsid w:val="000C2506"/>
    <w:rsid w:val="000C26D1"/>
    <w:rsid w:val="000C339B"/>
    <w:rsid w:val="000C390D"/>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7E6"/>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4B8D"/>
    <w:rsid w:val="00105AF7"/>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00D"/>
    <w:rsid w:val="00131118"/>
    <w:rsid w:val="0013140B"/>
    <w:rsid w:val="001320C7"/>
    <w:rsid w:val="00132486"/>
    <w:rsid w:val="0013280D"/>
    <w:rsid w:val="00132868"/>
    <w:rsid w:val="00133389"/>
    <w:rsid w:val="00134271"/>
    <w:rsid w:val="001353D0"/>
    <w:rsid w:val="0013550C"/>
    <w:rsid w:val="00135C10"/>
    <w:rsid w:val="00136B30"/>
    <w:rsid w:val="001370BD"/>
    <w:rsid w:val="00137192"/>
    <w:rsid w:val="00137741"/>
    <w:rsid w:val="00137DC9"/>
    <w:rsid w:val="0014031C"/>
    <w:rsid w:val="001404FF"/>
    <w:rsid w:val="00141A37"/>
    <w:rsid w:val="00142808"/>
    <w:rsid w:val="00142EB9"/>
    <w:rsid w:val="00143701"/>
    <w:rsid w:val="00143E5B"/>
    <w:rsid w:val="00143E6D"/>
    <w:rsid w:val="00144447"/>
    <w:rsid w:val="0014457E"/>
    <w:rsid w:val="00144AF8"/>
    <w:rsid w:val="00144FA9"/>
    <w:rsid w:val="00145364"/>
    <w:rsid w:val="00145728"/>
    <w:rsid w:val="00145C8A"/>
    <w:rsid w:val="00145ECF"/>
    <w:rsid w:val="00146857"/>
    <w:rsid w:val="001468AC"/>
    <w:rsid w:val="00146B74"/>
    <w:rsid w:val="00146CBD"/>
    <w:rsid w:val="00146CD7"/>
    <w:rsid w:val="00146E52"/>
    <w:rsid w:val="001475AF"/>
    <w:rsid w:val="001478E7"/>
    <w:rsid w:val="00147B5B"/>
    <w:rsid w:val="00147E27"/>
    <w:rsid w:val="00150780"/>
    <w:rsid w:val="00151A1C"/>
    <w:rsid w:val="00151B9B"/>
    <w:rsid w:val="00152730"/>
    <w:rsid w:val="0015320A"/>
    <w:rsid w:val="0015362B"/>
    <w:rsid w:val="001538A4"/>
    <w:rsid w:val="00153971"/>
    <w:rsid w:val="00154497"/>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0CC3"/>
    <w:rsid w:val="00171533"/>
    <w:rsid w:val="001720BD"/>
    <w:rsid w:val="001721F2"/>
    <w:rsid w:val="0017277A"/>
    <w:rsid w:val="00172AA2"/>
    <w:rsid w:val="00173334"/>
    <w:rsid w:val="0017352C"/>
    <w:rsid w:val="001756D8"/>
    <w:rsid w:val="0017626F"/>
    <w:rsid w:val="001773B7"/>
    <w:rsid w:val="00177C52"/>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3DE"/>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6CCC"/>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D7799"/>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A73"/>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47C"/>
    <w:rsid w:val="00207518"/>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60B"/>
    <w:rsid w:val="00230C82"/>
    <w:rsid w:val="00230F6B"/>
    <w:rsid w:val="00231962"/>
    <w:rsid w:val="00232952"/>
    <w:rsid w:val="00232D47"/>
    <w:rsid w:val="0023333B"/>
    <w:rsid w:val="00233EF5"/>
    <w:rsid w:val="002345BD"/>
    <w:rsid w:val="00234C11"/>
    <w:rsid w:val="00234D9D"/>
    <w:rsid w:val="00234E67"/>
    <w:rsid w:val="00236041"/>
    <w:rsid w:val="00236190"/>
    <w:rsid w:val="00236543"/>
    <w:rsid w:val="00237096"/>
    <w:rsid w:val="00240642"/>
    <w:rsid w:val="00240E94"/>
    <w:rsid w:val="00241944"/>
    <w:rsid w:val="00242879"/>
    <w:rsid w:val="00244799"/>
    <w:rsid w:val="00244F6C"/>
    <w:rsid w:val="00245F00"/>
    <w:rsid w:val="00246553"/>
    <w:rsid w:val="00246764"/>
    <w:rsid w:val="0024711C"/>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9BE"/>
    <w:rsid w:val="00262B78"/>
    <w:rsid w:val="00263C09"/>
    <w:rsid w:val="00264788"/>
    <w:rsid w:val="00264B46"/>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6D12"/>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B7DA6"/>
    <w:rsid w:val="002C0A46"/>
    <w:rsid w:val="002C1031"/>
    <w:rsid w:val="002C2037"/>
    <w:rsid w:val="002C2A59"/>
    <w:rsid w:val="002C35B3"/>
    <w:rsid w:val="002C36FD"/>
    <w:rsid w:val="002C571D"/>
    <w:rsid w:val="002C5A61"/>
    <w:rsid w:val="002C5EE2"/>
    <w:rsid w:val="002C6019"/>
    <w:rsid w:val="002C65A1"/>
    <w:rsid w:val="002C6620"/>
    <w:rsid w:val="002C66DF"/>
    <w:rsid w:val="002C69CC"/>
    <w:rsid w:val="002C6AEB"/>
    <w:rsid w:val="002C7093"/>
    <w:rsid w:val="002C7212"/>
    <w:rsid w:val="002C7578"/>
    <w:rsid w:val="002C767B"/>
    <w:rsid w:val="002C7B3E"/>
    <w:rsid w:val="002C7C21"/>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08F"/>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4A8"/>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4E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87D07"/>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3C7"/>
    <w:rsid w:val="003A0B00"/>
    <w:rsid w:val="003A15A4"/>
    <w:rsid w:val="003A15E1"/>
    <w:rsid w:val="003A1799"/>
    <w:rsid w:val="003A2378"/>
    <w:rsid w:val="003A2BC4"/>
    <w:rsid w:val="003A2FA7"/>
    <w:rsid w:val="003A3194"/>
    <w:rsid w:val="003A371E"/>
    <w:rsid w:val="003A3854"/>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735"/>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C796E"/>
    <w:rsid w:val="003D0500"/>
    <w:rsid w:val="003D0D12"/>
    <w:rsid w:val="003D15A0"/>
    <w:rsid w:val="003D247B"/>
    <w:rsid w:val="003D2BBF"/>
    <w:rsid w:val="003D32D8"/>
    <w:rsid w:val="003D396E"/>
    <w:rsid w:val="003D478C"/>
    <w:rsid w:val="003D4B4B"/>
    <w:rsid w:val="003D4EAC"/>
    <w:rsid w:val="003D5E14"/>
    <w:rsid w:val="003D6070"/>
    <w:rsid w:val="003D61A1"/>
    <w:rsid w:val="003D628F"/>
    <w:rsid w:val="003D6500"/>
    <w:rsid w:val="003D6A23"/>
    <w:rsid w:val="003D6C8A"/>
    <w:rsid w:val="003D6FAE"/>
    <w:rsid w:val="003D70D2"/>
    <w:rsid w:val="003D7789"/>
    <w:rsid w:val="003D7D26"/>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B3A"/>
    <w:rsid w:val="00407F0F"/>
    <w:rsid w:val="004108E5"/>
    <w:rsid w:val="00411053"/>
    <w:rsid w:val="004126F8"/>
    <w:rsid w:val="004131EB"/>
    <w:rsid w:val="004135D5"/>
    <w:rsid w:val="00414534"/>
    <w:rsid w:val="00414921"/>
    <w:rsid w:val="004149E8"/>
    <w:rsid w:val="00414DDB"/>
    <w:rsid w:val="00415756"/>
    <w:rsid w:val="00415778"/>
    <w:rsid w:val="00415801"/>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A6E"/>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183B"/>
    <w:rsid w:val="0044213E"/>
    <w:rsid w:val="00442421"/>
    <w:rsid w:val="004425A5"/>
    <w:rsid w:val="00442E8C"/>
    <w:rsid w:val="004434D0"/>
    <w:rsid w:val="00443EA3"/>
    <w:rsid w:val="00444694"/>
    <w:rsid w:val="00444F1B"/>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6DD8"/>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6AC3"/>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A95"/>
    <w:rsid w:val="004A0ED7"/>
    <w:rsid w:val="004A1685"/>
    <w:rsid w:val="004A19DA"/>
    <w:rsid w:val="004A26C3"/>
    <w:rsid w:val="004A3521"/>
    <w:rsid w:val="004A3E34"/>
    <w:rsid w:val="004A3E84"/>
    <w:rsid w:val="004A4234"/>
    <w:rsid w:val="004A4696"/>
    <w:rsid w:val="004A472F"/>
    <w:rsid w:val="004A5FE9"/>
    <w:rsid w:val="004A60E2"/>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ACC"/>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4E6"/>
    <w:rsid w:val="004D08C1"/>
    <w:rsid w:val="004D0A6C"/>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564"/>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69ED"/>
    <w:rsid w:val="0050700F"/>
    <w:rsid w:val="0050724B"/>
    <w:rsid w:val="00507347"/>
    <w:rsid w:val="005073AA"/>
    <w:rsid w:val="00507924"/>
    <w:rsid w:val="005079D6"/>
    <w:rsid w:val="005103B9"/>
    <w:rsid w:val="005105C8"/>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168A"/>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3A"/>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D55"/>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2C2"/>
    <w:rsid w:val="00577F77"/>
    <w:rsid w:val="0058010E"/>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D40"/>
    <w:rsid w:val="00591E3D"/>
    <w:rsid w:val="00592A04"/>
    <w:rsid w:val="005930D9"/>
    <w:rsid w:val="00593116"/>
    <w:rsid w:val="005939FB"/>
    <w:rsid w:val="00593BE4"/>
    <w:rsid w:val="00593BFB"/>
    <w:rsid w:val="0059422E"/>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22F"/>
    <w:rsid w:val="005A16C9"/>
    <w:rsid w:val="005A1757"/>
    <w:rsid w:val="005A1E94"/>
    <w:rsid w:val="005A257F"/>
    <w:rsid w:val="005A2794"/>
    <w:rsid w:val="005A2C69"/>
    <w:rsid w:val="005A2CA7"/>
    <w:rsid w:val="005A2FF0"/>
    <w:rsid w:val="005A33CE"/>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BE3"/>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474D"/>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2F0D"/>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3D9"/>
    <w:rsid w:val="00605637"/>
    <w:rsid w:val="006056B0"/>
    <w:rsid w:val="00605FBD"/>
    <w:rsid w:val="006060E6"/>
    <w:rsid w:val="00606277"/>
    <w:rsid w:val="0060687D"/>
    <w:rsid w:val="00606E39"/>
    <w:rsid w:val="00607573"/>
    <w:rsid w:val="00607A9E"/>
    <w:rsid w:val="00607ADD"/>
    <w:rsid w:val="00607C67"/>
    <w:rsid w:val="006116AE"/>
    <w:rsid w:val="00611FAA"/>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2E5F"/>
    <w:rsid w:val="0063305F"/>
    <w:rsid w:val="006337D8"/>
    <w:rsid w:val="00633F04"/>
    <w:rsid w:val="00634288"/>
    <w:rsid w:val="00634671"/>
    <w:rsid w:val="00634A88"/>
    <w:rsid w:val="00634E85"/>
    <w:rsid w:val="006351DD"/>
    <w:rsid w:val="00635D8D"/>
    <w:rsid w:val="00636222"/>
    <w:rsid w:val="0063638C"/>
    <w:rsid w:val="00636C77"/>
    <w:rsid w:val="006379F9"/>
    <w:rsid w:val="00637A3C"/>
    <w:rsid w:val="00637D52"/>
    <w:rsid w:val="0064002B"/>
    <w:rsid w:val="00640AB5"/>
    <w:rsid w:val="00640F65"/>
    <w:rsid w:val="006411C6"/>
    <w:rsid w:val="00641985"/>
    <w:rsid w:val="006423F3"/>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37D7"/>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5CD5"/>
    <w:rsid w:val="006868D9"/>
    <w:rsid w:val="00686C30"/>
    <w:rsid w:val="0068702A"/>
    <w:rsid w:val="00687277"/>
    <w:rsid w:val="0068767F"/>
    <w:rsid w:val="006879C3"/>
    <w:rsid w:val="00690D2A"/>
    <w:rsid w:val="00691038"/>
    <w:rsid w:val="006912B1"/>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16A"/>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18E"/>
    <w:rsid w:val="00722591"/>
    <w:rsid w:val="007237B9"/>
    <w:rsid w:val="00723963"/>
    <w:rsid w:val="00723DC8"/>
    <w:rsid w:val="007249E0"/>
    <w:rsid w:val="00724A1B"/>
    <w:rsid w:val="00726D50"/>
    <w:rsid w:val="00726D56"/>
    <w:rsid w:val="0072726A"/>
    <w:rsid w:val="007273A3"/>
    <w:rsid w:val="00727415"/>
    <w:rsid w:val="0072744D"/>
    <w:rsid w:val="00727673"/>
    <w:rsid w:val="00727821"/>
    <w:rsid w:val="0073020C"/>
    <w:rsid w:val="00730FE6"/>
    <w:rsid w:val="00731B17"/>
    <w:rsid w:val="00731B43"/>
    <w:rsid w:val="00731C7C"/>
    <w:rsid w:val="0073209E"/>
    <w:rsid w:val="0073211C"/>
    <w:rsid w:val="007326D7"/>
    <w:rsid w:val="0073275A"/>
    <w:rsid w:val="00732F80"/>
    <w:rsid w:val="00733369"/>
    <w:rsid w:val="007349B8"/>
    <w:rsid w:val="0073546A"/>
    <w:rsid w:val="00735CE3"/>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AC8"/>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534"/>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AB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90F"/>
    <w:rsid w:val="00792D72"/>
    <w:rsid w:val="0079332F"/>
    <w:rsid w:val="00793669"/>
    <w:rsid w:val="007936A0"/>
    <w:rsid w:val="0079391E"/>
    <w:rsid w:val="00795BF3"/>
    <w:rsid w:val="00795D93"/>
    <w:rsid w:val="00795F29"/>
    <w:rsid w:val="00796B78"/>
    <w:rsid w:val="00797C23"/>
    <w:rsid w:val="00797C9F"/>
    <w:rsid w:val="00797FF6"/>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739"/>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A19"/>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2FD"/>
    <w:rsid w:val="007F46BE"/>
    <w:rsid w:val="007F4D8C"/>
    <w:rsid w:val="007F4FAA"/>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91D"/>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6AA1"/>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A85"/>
    <w:rsid w:val="00831B2B"/>
    <w:rsid w:val="00831CF7"/>
    <w:rsid w:val="00831EF3"/>
    <w:rsid w:val="0083210F"/>
    <w:rsid w:val="00832BEA"/>
    <w:rsid w:val="00832F7A"/>
    <w:rsid w:val="00833450"/>
    <w:rsid w:val="00833AAB"/>
    <w:rsid w:val="00833D07"/>
    <w:rsid w:val="00833F21"/>
    <w:rsid w:val="00834657"/>
    <w:rsid w:val="0083465B"/>
    <w:rsid w:val="00834B23"/>
    <w:rsid w:val="00834E67"/>
    <w:rsid w:val="00834FC9"/>
    <w:rsid w:val="00835271"/>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0FFC"/>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0D28"/>
    <w:rsid w:val="008612AF"/>
    <w:rsid w:val="00861C88"/>
    <w:rsid w:val="008624D1"/>
    <w:rsid w:val="00862E7C"/>
    <w:rsid w:val="008630AD"/>
    <w:rsid w:val="008632F0"/>
    <w:rsid w:val="008632F2"/>
    <w:rsid w:val="00863428"/>
    <w:rsid w:val="00863453"/>
    <w:rsid w:val="008635AE"/>
    <w:rsid w:val="00863CCA"/>
    <w:rsid w:val="00863DE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55DE"/>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1D7"/>
    <w:rsid w:val="008822AA"/>
    <w:rsid w:val="008837A3"/>
    <w:rsid w:val="00884EDD"/>
    <w:rsid w:val="00884FF2"/>
    <w:rsid w:val="008850C0"/>
    <w:rsid w:val="00885580"/>
    <w:rsid w:val="008859B7"/>
    <w:rsid w:val="0088608D"/>
    <w:rsid w:val="00886384"/>
    <w:rsid w:val="0088641E"/>
    <w:rsid w:val="00886A87"/>
    <w:rsid w:val="00886F8C"/>
    <w:rsid w:val="00887DBF"/>
    <w:rsid w:val="0089386B"/>
    <w:rsid w:val="00893FE7"/>
    <w:rsid w:val="008947E4"/>
    <w:rsid w:val="008950F3"/>
    <w:rsid w:val="00895619"/>
    <w:rsid w:val="0089578E"/>
    <w:rsid w:val="00896BC7"/>
    <w:rsid w:val="008A0D2C"/>
    <w:rsid w:val="008A17B4"/>
    <w:rsid w:val="008A1E44"/>
    <w:rsid w:val="008A28C6"/>
    <w:rsid w:val="008A28FF"/>
    <w:rsid w:val="008A33AA"/>
    <w:rsid w:val="008A34DC"/>
    <w:rsid w:val="008A3835"/>
    <w:rsid w:val="008A3836"/>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B2B"/>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0FC7"/>
    <w:rsid w:val="008D188E"/>
    <w:rsid w:val="008D1C3A"/>
    <w:rsid w:val="008D2D83"/>
    <w:rsid w:val="008D38E0"/>
    <w:rsid w:val="008D4F13"/>
    <w:rsid w:val="008D514D"/>
    <w:rsid w:val="008D5981"/>
    <w:rsid w:val="008D6275"/>
    <w:rsid w:val="008D63C9"/>
    <w:rsid w:val="008D6BD4"/>
    <w:rsid w:val="008D7117"/>
    <w:rsid w:val="008D72D9"/>
    <w:rsid w:val="008D7383"/>
    <w:rsid w:val="008D743E"/>
    <w:rsid w:val="008D75D5"/>
    <w:rsid w:val="008D75DC"/>
    <w:rsid w:val="008D7924"/>
    <w:rsid w:val="008E05CC"/>
    <w:rsid w:val="008E07D2"/>
    <w:rsid w:val="008E0EB5"/>
    <w:rsid w:val="008E1CA9"/>
    <w:rsid w:val="008E2751"/>
    <w:rsid w:val="008E2AA5"/>
    <w:rsid w:val="008E3A20"/>
    <w:rsid w:val="008E4208"/>
    <w:rsid w:val="008E5289"/>
    <w:rsid w:val="008E5BFA"/>
    <w:rsid w:val="008E5C62"/>
    <w:rsid w:val="008E60CE"/>
    <w:rsid w:val="008E659F"/>
    <w:rsid w:val="008E6DEB"/>
    <w:rsid w:val="008E6FE2"/>
    <w:rsid w:val="008E71AD"/>
    <w:rsid w:val="008E783E"/>
    <w:rsid w:val="008E79A2"/>
    <w:rsid w:val="008F04B9"/>
    <w:rsid w:val="008F0AE8"/>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5ADF"/>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75F"/>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6E42"/>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0A53"/>
    <w:rsid w:val="009A1BE2"/>
    <w:rsid w:val="009A26D4"/>
    <w:rsid w:val="009A2CE2"/>
    <w:rsid w:val="009A31AA"/>
    <w:rsid w:val="009A4BB5"/>
    <w:rsid w:val="009A5CA6"/>
    <w:rsid w:val="009A636F"/>
    <w:rsid w:val="009A67A6"/>
    <w:rsid w:val="009A67CC"/>
    <w:rsid w:val="009A77D2"/>
    <w:rsid w:val="009A7E90"/>
    <w:rsid w:val="009A7F73"/>
    <w:rsid w:val="009B0255"/>
    <w:rsid w:val="009B06E5"/>
    <w:rsid w:val="009B0BA7"/>
    <w:rsid w:val="009B1877"/>
    <w:rsid w:val="009B1CF6"/>
    <w:rsid w:val="009B1EF5"/>
    <w:rsid w:val="009B2A3C"/>
    <w:rsid w:val="009B2AED"/>
    <w:rsid w:val="009B2D89"/>
    <w:rsid w:val="009B34F8"/>
    <w:rsid w:val="009B3BF8"/>
    <w:rsid w:val="009B446F"/>
    <w:rsid w:val="009B4EE3"/>
    <w:rsid w:val="009B550C"/>
    <w:rsid w:val="009B5891"/>
    <w:rsid w:val="009B5B52"/>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002"/>
    <w:rsid w:val="009E1115"/>
    <w:rsid w:val="009E1222"/>
    <w:rsid w:val="009E157A"/>
    <w:rsid w:val="009E1EB3"/>
    <w:rsid w:val="009E1F2D"/>
    <w:rsid w:val="009E226B"/>
    <w:rsid w:val="009E2DD1"/>
    <w:rsid w:val="009E335D"/>
    <w:rsid w:val="009E3A66"/>
    <w:rsid w:val="009E3E8C"/>
    <w:rsid w:val="009E4061"/>
    <w:rsid w:val="009E4FF8"/>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689"/>
    <w:rsid w:val="009F5927"/>
    <w:rsid w:val="009F6A9D"/>
    <w:rsid w:val="009F6CD2"/>
    <w:rsid w:val="009F7085"/>
    <w:rsid w:val="009F77E0"/>
    <w:rsid w:val="009F79D1"/>
    <w:rsid w:val="00A001D5"/>
    <w:rsid w:val="00A01AE5"/>
    <w:rsid w:val="00A01CD6"/>
    <w:rsid w:val="00A027CC"/>
    <w:rsid w:val="00A0291C"/>
    <w:rsid w:val="00A02EC2"/>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0C0A"/>
    <w:rsid w:val="00A126BC"/>
    <w:rsid w:val="00A131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62A3"/>
    <w:rsid w:val="00A27067"/>
    <w:rsid w:val="00A27140"/>
    <w:rsid w:val="00A275BB"/>
    <w:rsid w:val="00A279BB"/>
    <w:rsid w:val="00A27C2B"/>
    <w:rsid w:val="00A27CF5"/>
    <w:rsid w:val="00A30701"/>
    <w:rsid w:val="00A317CB"/>
    <w:rsid w:val="00A31920"/>
    <w:rsid w:val="00A31C60"/>
    <w:rsid w:val="00A3351D"/>
    <w:rsid w:val="00A3369C"/>
    <w:rsid w:val="00A34349"/>
    <w:rsid w:val="00A3434B"/>
    <w:rsid w:val="00A34D05"/>
    <w:rsid w:val="00A35123"/>
    <w:rsid w:val="00A357CF"/>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209"/>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1AD"/>
    <w:rsid w:val="00A92561"/>
    <w:rsid w:val="00A927BE"/>
    <w:rsid w:val="00A929ED"/>
    <w:rsid w:val="00A92A86"/>
    <w:rsid w:val="00A942E6"/>
    <w:rsid w:val="00A94502"/>
    <w:rsid w:val="00A9470D"/>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4C1"/>
    <w:rsid w:val="00AF05AA"/>
    <w:rsid w:val="00AF06C7"/>
    <w:rsid w:val="00AF1041"/>
    <w:rsid w:val="00AF137B"/>
    <w:rsid w:val="00AF1543"/>
    <w:rsid w:val="00AF1C18"/>
    <w:rsid w:val="00AF211E"/>
    <w:rsid w:val="00AF2453"/>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17D"/>
    <w:rsid w:val="00B04422"/>
    <w:rsid w:val="00B05046"/>
    <w:rsid w:val="00B0569F"/>
    <w:rsid w:val="00B05D6D"/>
    <w:rsid w:val="00B05E0A"/>
    <w:rsid w:val="00B064DF"/>
    <w:rsid w:val="00B065BC"/>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16D06"/>
    <w:rsid w:val="00B20B5E"/>
    <w:rsid w:val="00B20EE1"/>
    <w:rsid w:val="00B21A71"/>
    <w:rsid w:val="00B21E45"/>
    <w:rsid w:val="00B21F9A"/>
    <w:rsid w:val="00B22871"/>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24AB"/>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067D"/>
    <w:rsid w:val="00B712FD"/>
    <w:rsid w:val="00B7202E"/>
    <w:rsid w:val="00B72054"/>
    <w:rsid w:val="00B725CF"/>
    <w:rsid w:val="00B7267B"/>
    <w:rsid w:val="00B72862"/>
    <w:rsid w:val="00B7374F"/>
    <w:rsid w:val="00B73CDF"/>
    <w:rsid w:val="00B74B19"/>
    <w:rsid w:val="00B74B23"/>
    <w:rsid w:val="00B763A2"/>
    <w:rsid w:val="00B7682E"/>
    <w:rsid w:val="00B76832"/>
    <w:rsid w:val="00B7697A"/>
    <w:rsid w:val="00B770F1"/>
    <w:rsid w:val="00B80361"/>
    <w:rsid w:val="00B8098B"/>
    <w:rsid w:val="00B80F4A"/>
    <w:rsid w:val="00B81D5A"/>
    <w:rsid w:val="00B82AF0"/>
    <w:rsid w:val="00B82FA8"/>
    <w:rsid w:val="00B83E35"/>
    <w:rsid w:val="00B84190"/>
    <w:rsid w:val="00B843B0"/>
    <w:rsid w:val="00B8557F"/>
    <w:rsid w:val="00B857B9"/>
    <w:rsid w:val="00B85C1B"/>
    <w:rsid w:val="00B8633D"/>
    <w:rsid w:val="00B86E49"/>
    <w:rsid w:val="00B86F1B"/>
    <w:rsid w:val="00B8719A"/>
    <w:rsid w:val="00B8787E"/>
    <w:rsid w:val="00B9006A"/>
    <w:rsid w:val="00B901C2"/>
    <w:rsid w:val="00B90909"/>
    <w:rsid w:val="00B90D92"/>
    <w:rsid w:val="00B91332"/>
    <w:rsid w:val="00B92184"/>
    <w:rsid w:val="00B92411"/>
    <w:rsid w:val="00B93224"/>
    <w:rsid w:val="00B94A29"/>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5FA"/>
    <w:rsid w:val="00BA1BA2"/>
    <w:rsid w:val="00BA1BC4"/>
    <w:rsid w:val="00BA1DCF"/>
    <w:rsid w:val="00BA226F"/>
    <w:rsid w:val="00BA2A4B"/>
    <w:rsid w:val="00BA3360"/>
    <w:rsid w:val="00BA377F"/>
    <w:rsid w:val="00BA37DF"/>
    <w:rsid w:val="00BA3D86"/>
    <w:rsid w:val="00BA4069"/>
    <w:rsid w:val="00BA44D3"/>
    <w:rsid w:val="00BA5CE4"/>
    <w:rsid w:val="00BA5FC1"/>
    <w:rsid w:val="00BA67D8"/>
    <w:rsid w:val="00BA77E2"/>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6ABC"/>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27D"/>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D5E"/>
    <w:rsid w:val="00BF7F71"/>
    <w:rsid w:val="00C0002F"/>
    <w:rsid w:val="00C000CE"/>
    <w:rsid w:val="00C00AF7"/>
    <w:rsid w:val="00C011A5"/>
    <w:rsid w:val="00C01239"/>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37B79"/>
    <w:rsid w:val="00C40267"/>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13F"/>
    <w:rsid w:val="00C60347"/>
    <w:rsid w:val="00C60AC0"/>
    <w:rsid w:val="00C60BE7"/>
    <w:rsid w:val="00C61B07"/>
    <w:rsid w:val="00C61BC7"/>
    <w:rsid w:val="00C623C4"/>
    <w:rsid w:val="00C62D24"/>
    <w:rsid w:val="00C645C1"/>
    <w:rsid w:val="00C649C5"/>
    <w:rsid w:val="00C64C0A"/>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62"/>
    <w:rsid w:val="00C84193"/>
    <w:rsid w:val="00C850AF"/>
    <w:rsid w:val="00C854AC"/>
    <w:rsid w:val="00C854E5"/>
    <w:rsid w:val="00C8595F"/>
    <w:rsid w:val="00C8642E"/>
    <w:rsid w:val="00C876F8"/>
    <w:rsid w:val="00C9022E"/>
    <w:rsid w:val="00C90B69"/>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97E94"/>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932"/>
    <w:rsid w:val="00CA6F7D"/>
    <w:rsid w:val="00CA7122"/>
    <w:rsid w:val="00CB0596"/>
    <w:rsid w:val="00CB0E7C"/>
    <w:rsid w:val="00CB186E"/>
    <w:rsid w:val="00CB22F6"/>
    <w:rsid w:val="00CB2B5B"/>
    <w:rsid w:val="00CB2BC0"/>
    <w:rsid w:val="00CB4045"/>
    <w:rsid w:val="00CB44BA"/>
    <w:rsid w:val="00CB46CF"/>
    <w:rsid w:val="00CB479D"/>
    <w:rsid w:val="00CB47E9"/>
    <w:rsid w:val="00CB4B87"/>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051"/>
    <w:rsid w:val="00CF03C3"/>
    <w:rsid w:val="00CF14A1"/>
    <w:rsid w:val="00CF170A"/>
    <w:rsid w:val="00CF1970"/>
    <w:rsid w:val="00CF1DE7"/>
    <w:rsid w:val="00CF358C"/>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6BC"/>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1B1"/>
    <w:rsid w:val="00D158F8"/>
    <w:rsid w:val="00D15B74"/>
    <w:rsid w:val="00D161C0"/>
    <w:rsid w:val="00D173D2"/>
    <w:rsid w:val="00D17767"/>
    <w:rsid w:val="00D17ABD"/>
    <w:rsid w:val="00D17B78"/>
    <w:rsid w:val="00D2030E"/>
    <w:rsid w:val="00D2059D"/>
    <w:rsid w:val="00D20ADA"/>
    <w:rsid w:val="00D20E94"/>
    <w:rsid w:val="00D20F3F"/>
    <w:rsid w:val="00D20F55"/>
    <w:rsid w:val="00D2144C"/>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6D97"/>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331"/>
    <w:rsid w:val="00D615A7"/>
    <w:rsid w:val="00D61892"/>
    <w:rsid w:val="00D61E0B"/>
    <w:rsid w:val="00D6332A"/>
    <w:rsid w:val="00D63E4E"/>
    <w:rsid w:val="00D63F85"/>
    <w:rsid w:val="00D6490A"/>
    <w:rsid w:val="00D64BE2"/>
    <w:rsid w:val="00D656C6"/>
    <w:rsid w:val="00D657A7"/>
    <w:rsid w:val="00D66190"/>
    <w:rsid w:val="00D661A2"/>
    <w:rsid w:val="00D665EE"/>
    <w:rsid w:val="00D67E42"/>
    <w:rsid w:val="00D702CE"/>
    <w:rsid w:val="00D7031D"/>
    <w:rsid w:val="00D70411"/>
    <w:rsid w:val="00D704C2"/>
    <w:rsid w:val="00D7062D"/>
    <w:rsid w:val="00D71378"/>
    <w:rsid w:val="00D7196C"/>
    <w:rsid w:val="00D71995"/>
    <w:rsid w:val="00D71C17"/>
    <w:rsid w:val="00D71E36"/>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044"/>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37E"/>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599"/>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68"/>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3F0"/>
    <w:rsid w:val="00E1754C"/>
    <w:rsid w:val="00E1761E"/>
    <w:rsid w:val="00E178B0"/>
    <w:rsid w:val="00E204C9"/>
    <w:rsid w:val="00E20830"/>
    <w:rsid w:val="00E20AC8"/>
    <w:rsid w:val="00E20E27"/>
    <w:rsid w:val="00E213F6"/>
    <w:rsid w:val="00E22024"/>
    <w:rsid w:val="00E2246F"/>
    <w:rsid w:val="00E22A05"/>
    <w:rsid w:val="00E22F6B"/>
    <w:rsid w:val="00E23F1F"/>
    <w:rsid w:val="00E2462F"/>
    <w:rsid w:val="00E24EF1"/>
    <w:rsid w:val="00E25B57"/>
    <w:rsid w:val="00E26B19"/>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5A7A"/>
    <w:rsid w:val="00E367D4"/>
    <w:rsid w:val="00E36934"/>
    <w:rsid w:val="00E373C0"/>
    <w:rsid w:val="00E4054B"/>
    <w:rsid w:val="00E40C4B"/>
    <w:rsid w:val="00E40F2E"/>
    <w:rsid w:val="00E4104B"/>
    <w:rsid w:val="00E41135"/>
    <w:rsid w:val="00E412DF"/>
    <w:rsid w:val="00E41BD5"/>
    <w:rsid w:val="00E4425F"/>
    <w:rsid w:val="00E44839"/>
    <w:rsid w:val="00E4538B"/>
    <w:rsid w:val="00E45DEA"/>
    <w:rsid w:val="00E5002E"/>
    <w:rsid w:val="00E50A6F"/>
    <w:rsid w:val="00E516EA"/>
    <w:rsid w:val="00E51C8C"/>
    <w:rsid w:val="00E52448"/>
    <w:rsid w:val="00E5380B"/>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375E"/>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267"/>
    <w:rsid w:val="00E94C96"/>
    <w:rsid w:val="00E94D98"/>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B76AF"/>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6A7"/>
    <w:rsid w:val="00ED1E85"/>
    <w:rsid w:val="00ED21F7"/>
    <w:rsid w:val="00ED26BE"/>
    <w:rsid w:val="00ED2F36"/>
    <w:rsid w:val="00ED315A"/>
    <w:rsid w:val="00ED3B77"/>
    <w:rsid w:val="00ED40D1"/>
    <w:rsid w:val="00ED4329"/>
    <w:rsid w:val="00ED462B"/>
    <w:rsid w:val="00ED4784"/>
    <w:rsid w:val="00ED4BB0"/>
    <w:rsid w:val="00ED4CF2"/>
    <w:rsid w:val="00ED53F2"/>
    <w:rsid w:val="00ED54CB"/>
    <w:rsid w:val="00ED62B5"/>
    <w:rsid w:val="00ED687E"/>
    <w:rsid w:val="00ED6DF5"/>
    <w:rsid w:val="00ED71D4"/>
    <w:rsid w:val="00ED7787"/>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125"/>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5D37"/>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1F2"/>
    <w:rsid w:val="00F31D66"/>
    <w:rsid w:val="00F3237A"/>
    <w:rsid w:val="00F32434"/>
    <w:rsid w:val="00F3265A"/>
    <w:rsid w:val="00F32C67"/>
    <w:rsid w:val="00F33488"/>
    <w:rsid w:val="00F33F6B"/>
    <w:rsid w:val="00F34006"/>
    <w:rsid w:val="00F341C7"/>
    <w:rsid w:val="00F34918"/>
    <w:rsid w:val="00F35616"/>
    <w:rsid w:val="00F3591C"/>
    <w:rsid w:val="00F35D28"/>
    <w:rsid w:val="00F365F5"/>
    <w:rsid w:val="00F372EF"/>
    <w:rsid w:val="00F37648"/>
    <w:rsid w:val="00F37BB5"/>
    <w:rsid w:val="00F37DBB"/>
    <w:rsid w:val="00F40BFD"/>
    <w:rsid w:val="00F40C3A"/>
    <w:rsid w:val="00F40CFB"/>
    <w:rsid w:val="00F40DB4"/>
    <w:rsid w:val="00F40EE1"/>
    <w:rsid w:val="00F41A2F"/>
    <w:rsid w:val="00F41A5B"/>
    <w:rsid w:val="00F426FB"/>
    <w:rsid w:val="00F42795"/>
    <w:rsid w:val="00F42A89"/>
    <w:rsid w:val="00F42BAA"/>
    <w:rsid w:val="00F436F7"/>
    <w:rsid w:val="00F43832"/>
    <w:rsid w:val="00F43878"/>
    <w:rsid w:val="00F438A4"/>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70D"/>
    <w:rsid w:val="00F47F06"/>
    <w:rsid w:val="00F500C3"/>
    <w:rsid w:val="00F50A1A"/>
    <w:rsid w:val="00F515C0"/>
    <w:rsid w:val="00F5174D"/>
    <w:rsid w:val="00F523E9"/>
    <w:rsid w:val="00F52E08"/>
    <w:rsid w:val="00F52F4D"/>
    <w:rsid w:val="00F53C28"/>
    <w:rsid w:val="00F54723"/>
    <w:rsid w:val="00F54843"/>
    <w:rsid w:val="00F54F79"/>
    <w:rsid w:val="00F5506B"/>
    <w:rsid w:val="00F5595F"/>
    <w:rsid w:val="00F563CC"/>
    <w:rsid w:val="00F5696E"/>
    <w:rsid w:val="00F56EC2"/>
    <w:rsid w:val="00F60487"/>
    <w:rsid w:val="00F60523"/>
    <w:rsid w:val="00F60906"/>
    <w:rsid w:val="00F60E65"/>
    <w:rsid w:val="00F61807"/>
    <w:rsid w:val="00F61DA1"/>
    <w:rsid w:val="00F61DF0"/>
    <w:rsid w:val="00F6232C"/>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B8D"/>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0A1"/>
    <w:rsid w:val="00F9356C"/>
    <w:rsid w:val="00F93711"/>
    <w:rsid w:val="00F94265"/>
    <w:rsid w:val="00F94441"/>
    <w:rsid w:val="00F94722"/>
    <w:rsid w:val="00F94A15"/>
    <w:rsid w:val="00F95A4B"/>
    <w:rsid w:val="00F95C93"/>
    <w:rsid w:val="00F961AA"/>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354"/>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32F"/>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4FA4"/>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locked/>
    <w:rsid w:val="00036ABC"/>
    <w:pPr>
      <w:keepNext/>
      <w:spacing w:before="120" w:after="120" w:line="240" w:lineRule="auto"/>
      <w:outlineLvl w:val="4"/>
    </w:pPr>
    <w:rPr>
      <w:rFonts w:asciiTheme="minorHAnsi" w:hAnsiTheme="minorHAnsi"/>
      <w:i/>
      <w:sz w:val="26"/>
      <w:szCs w:val="20"/>
    </w:rPr>
  </w:style>
  <w:style w:type="paragraph" w:styleId="Heading6">
    <w:name w:val="heading 6"/>
    <w:basedOn w:val="Normal"/>
    <w:next w:val="Normal"/>
    <w:link w:val="Heading6Char"/>
    <w:qFormat/>
    <w:locked/>
    <w:rsid w:val="00036ABC"/>
    <w:pPr>
      <w:spacing w:before="240" w:after="60" w:line="240" w:lineRule="auto"/>
      <w:jc w:val="both"/>
      <w:outlineLvl w:val="5"/>
    </w:pPr>
    <w:rPr>
      <w:rFonts w:asciiTheme="minorHAnsi" w:hAnsiTheme="minorHAnsi"/>
      <w:i/>
      <w:szCs w:val="20"/>
    </w:rPr>
  </w:style>
  <w:style w:type="paragraph" w:styleId="Heading7">
    <w:name w:val="heading 7"/>
    <w:basedOn w:val="Normal"/>
    <w:next w:val="Normal"/>
    <w:link w:val="Heading7Char"/>
    <w:qFormat/>
    <w:locked/>
    <w:rsid w:val="00036ABC"/>
    <w:pPr>
      <w:spacing w:before="240" w:after="60" w:line="240" w:lineRule="auto"/>
      <w:jc w:val="both"/>
      <w:outlineLvl w:val="6"/>
    </w:pPr>
    <w:rPr>
      <w:rFonts w:ascii="Arial" w:hAnsi="Arial"/>
      <w:sz w:val="20"/>
      <w:szCs w:val="20"/>
    </w:rPr>
  </w:style>
  <w:style w:type="paragraph" w:styleId="Heading8">
    <w:name w:val="heading 8"/>
    <w:basedOn w:val="Normal"/>
    <w:next w:val="Normal"/>
    <w:link w:val="Heading8Char"/>
    <w:qFormat/>
    <w:rsid w:val="00852760"/>
    <w:pPr>
      <w:keepNext/>
      <w:widowControl w:val="0"/>
      <w:spacing w:after="0" w:line="240" w:lineRule="auto"/>
      <w:jc w:val="right"/>
      <w:outlineLvl w:val="7"/>
    </w:pPr>
    <w:rPr>
      <w:rFonts w:ascii="Times New Roman" w:hAnsi="Times New Roman"/>
      <w:b/>
      <w:sz w:val="24"/>
      <w:szCs w:val="24"/>
      <w:lang w:val="en-US"/>
    </w:rPr>
  </w:style>
  <w:style w:type="paragraph" w:styleId="Heading9">
    <w:name w:val="heading 9"/>
    <w:basedOn w:val="Normal"/>
    <w:next w:val="Normal"/>
    <w:link w:val="Heading9Char"/>
    <w:qFormat/>
    <w:locked/>
    <w:rsid w:val="00036ABC"/>
    <w:pPr>
      <w:spacing w:before="240" w:after="60" w:line="240" w:lineRule="auto"/>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styleId="Quote">
    <w:name w:val="Quote"/>
    <w:basedOn w:val="Normal"/>
    <w:next w:val="Normal"/>
    <w:link w:val="QuoteChar"/>
    <w:uiPriority w:val="29"/>
    <w:qFormat/>
    <w:rsid w:val="00F623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32C"/>
    <w:rPr>
      <w:rFonts w:cs="Times New Roman"/>
      <w:i/>
      <w:iCs/>
      <w:color w:val="404040" w:themeColor="text1" w:themeTint="BF"/>
      <w:sz w:val="22"/>
      <w:szCs w:val="22"/>
      <w:lang w:eastAsia="en-US"/>
    </w:rPr>
  </w:style>
  <w:style w:type="character" w:customStyle="1" w:styleId="Heading5Char">
    <w:name w:val="Heading 5 Char"/>
    <w:basedOn w:val="DefaultParagraphFont"/>
    <w:link w:val="Heading5"/>
    <w:rsid w:val="00036ABC"/>
    <w:rPr>
      <w:rFonts w:asciiTheme="minorHAnsi" w:hAnsiTheme="minorHAnsi" w:cs="Times New Roman"/>
      <w:i/>
      <w:sz w:val="26"/>
      <w:lang w:eastAsia="en-US"/>
    </w:rPr>
  </w:style>
  <w:style w:type="character" w:customStyle="1" w:styleId="Heading6Char">
    <w:name w:val="Heading 6 Char"/>
    <w:basedOn w:val="DefaultParagraphFont"/>
    <w:link w:val="Heading6"/>
    <w:rsid w:val="00036ABC"/>
    <w:rPr>
      <w:rFonts w:asciiTheme="minorHAnsi" w:hAnsiTheme="minorHAnsi" w:cs="Times New Roman"/>
      <w:i/>
      <w:sz w:val="22"/>
      <w:lang w:eastAsia="en-US"/>
    </w:rPr>
  </w:style>
  <w:style w:type="character" w:customStyle="1" w:styleId="Heading7Char">
    <w:name w:val="Heading 7 Char"/>
    <w:basedOn w:val="DefaultParagraphFont"/>
    <w:link w:val="Heading7"/>
    <w:rsid w:val="00036ABC"/>
    <w:rPr>
      <w:rFonts w:ascii="Arial" w:hAnsi="Arial" w:cs="Times New Roman"/>
      <w:lang w:eastAsia="en-US"/>
    </w:rPr>
  </w:style>
  <w:style w:type="character" w:customStyle="1" w:styleId="Heading9Char">
    <w:name w:val="Heading 9 Char"/>
    <w:basedOn w:val="DefaultParagraphFont"/>
    <w:link w:val="Heading9"/>
    <w:rsid w:val="00036ABC"/>
    <w:rPr>
      <w:rFonts w:ascii="Arial" w:hAnsi="Arial" w:cs="Times New Roman"/>
      <w:b/>
      <w:i/>
      <w:sz w:val="18"/>
      <w:lang w:eastAsia="en-US"/>
    </w:rPr>
  </w:style>
  <w:style w:type="paragraph" w:customStyle="1" w:styleId="Level1">
    <w:name w:val="Level1"/>
    <w:basedOn w:val="Normal"/>
    <w:rsid w:val="00036ABC"/>
    <w:pPr>
      <w:tabs>
        <w:tab w:val="num" w:pos="850"/>
      </w:tabs>
      <w:spacing w:before="120" w:after="120" w:line="240" w:lineRule="auto"/>
      <w:jc w:val="both"/>
    </w:pPr>
    <w:rPr>
      <w:rFonts w:asciiTheme="minorHAnsi" w:hAnsiTheme="minorHAnsi"/>
      <w:sz w:val="26"/>
      <w:szCs w:val="20"/>
    </w:rPr>
  </w:style>
  <w:style w:type="paragraph" w:customStyle="1" w:styleId="Level2">
    <w:name w:val="Level2"/>
    <w:basedOn w:val="Normal"/>
    <w:rsid w:val="00036ABC"/>
    <w:pPr>
      <w:tabs>
        <w:tab w:val="num" w:pos="1417"/>
      </w:tabs>
      <w:spacing w:after="120" w:line="240" w:lineRule="auto"/>
      <w:ind w:left="1417" w:hanging="567"/>
      <w:jc w:val="both"/>
    </w:pPr>
    <w:rPr>
      <w:rFonts w:asciiTheme="minorHAnsi" w:hAnsiTheme="minorHAnsi"/>
      <w:sz w:val="26"/>
      <w:szCs w:val="20"/>
    </w:rPr>
  </w:style>
  <w:style w:type="paragraph" w:customStyle="1" w:styleId="Level3">
    <w:name w:val="Level3"/>
    <w:basedOn w:val="Normal"/>
    <w:rsid w:val="00036ABC"/>
    <w:pPr>
      <w:tabs>
        <w:tab w:val="num" w:pos="1984"/>
      </w:tabs>
      <w:spacing w:after="120" w:line="240" w:lineRule="auto"/>
      <w:ind w:left="1984" w:hanging="567"/>
      <w:jc w:val="both"/>
    </w:pPr>
    <w:rPr>
      <w:rFonts w:asciiTheme="minorHAnsi" w:hAnsiTheme="minorHAnsi"/>
      <w:sz w:val="26"/>
      <w:szCs w:val="20"/>
    </w:rPr>
  </w:style>
  <w:style w:type="character" w:styleId="UnresolvedMention">
    <w:name w:val="Unresolved Mention"/>
    <w:basedOn w:val="DefaultParagraphFont"/>
    <w:uiPriority w:val="99"/>
    <w:semiHidden/>
    <w:unhideWhenUsed/>
    <w:rsid w:val="00E2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qld.gov.au/view/html/bill.first/bill-2020-005"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E9EF1-23A9-407B-AE08-0B29CF563FAD}">
  <ds:schemaRefs>
    <ds:schemaRef ds:uri="http://schemas.openxmlformats.org/officeDocument/2006/bibliography"/>
  </ds:schemaRefs>
</ds:datastoreItem>
</file>

<file path=customXml/itemProps2.xml><?xml version="1.0" encoding="utf-8"?>
<ds:datastoreItem xmlns:ds="http://schemas.openxmlformats.org/officeDocument/2006/customXml" ds:itemID="{40E2E117-B3FC-4F0B-83BD-58A945DD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3815</Words>
  <Characters>20007</Characters>
  <Application>Microsoft Office Word</Application>
  <DocSecurity>0</DocSecurity>
  <Lines>417</Lines>
  <Paragraphs>96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2020-06-04T00:43:00Z</dcterms:created>
  <dcterms:modified xsi:type="dcterms:W3CDTF">2020-06-04T00:43:00Z</dcterms:modified>
</cp:coreProperties>
</file>