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421D" w14:textId="77777777" w:rsidR="00A62A15" w:rsidRDefault="00A62A15">
      <w:pPr>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Pr>
              <w:rFonts w:ascii="Arial" w:hAnsi="Arial" w:cs="Arial"/>
            </w:rPr>
            <w:t>Australian Capital Territory</w:t>
          </w:r>
        </w:smartTag>
      </w:smartTag>
    </w:p>
    <w:p w14:paraId="35DB33B8" w14:textId="75891438" w:rsidR="00A62A15" w:rsidRDefault="00A62A15" w:rsidP="006E22B3">
      <w:pPr>
        <w:pStyle w:val="Billname"/>
        <w:spacing w:before="700"/>
      </w:pPr>
      <w:r>
        <w:t xml:space="preserve">Race and Sports Bookmaking (Fees) Determination </w:t>
      </w:r>
      <w:r w:rsidR="003B0E56">
        <w:t>20</w:t>
      </w:r>
      <w:r w:rsidR="00FC2CA6">
        <w:t>20</w:t>
      </w:r>
    </w:p>
    <w:p w14:paraId="355BE3E0" w14:textId="63F18526" w:rsidR="00A62A15" w:rsidRDefault="00A62A15" w:rsidP="00581BC9">
      <w:pPr>
        <w:tabs>
          <w:tab w:val="left" w:pos="4585"/>
        </w:tabs>
        <w:spacing w:before="240" w:after="60"/>
        <w:jc w:val="both"/>
        <w:rPr>
          <w:rFonts w:ascii="Arial" w:hAnsi="Arial" w:cs="Arial"/>
          <w:b/>
          <w:bCs/>
          <w:vertAlign w:val="superscript"/>
        </w:rPr>
      </w:pPr>
      <w:r>
        <w:rPr>
          <w:rFonts w:ascii="Arial" w:hAnsi="Arial" w:cs="Arial"/>
          <w:b/>
          <w:bCs/>
        </w:rPr>
        <w:t xml:space="preserve">Disallowable Instrument </w:t>
      </w:r>
      <w:bookmarkStart w:id="2" w:name="_Hlk10625456"/>
      <w:r w:rsidR="00CB50E0" w:rsidRPr="00F4553A">
        <w:rPr>
          <w:rFonts w:ascii="Arial" w:hAnsi="Arial" w:cs="Arial"/>
          <w:b/>
          <w:bCs/>
        </w:rPr>
        <w:t>DI</w:t>
      </w:r>
      <w:r w:rsidR="00CB50E0">
        <w:rPr>
          <w:rFonts w:ascii="Arial" w:hAnsi="Arial" w:cs="Arial"/>
          <w:b/>
          <w:bCs/>
        </w:rPr>
        <w:t>20</w:t>
      </w:r>
      <w:r w:rsidR="00FC2CA6">
        <w:rPr>
          <w:rFonts w:ascii="Arial" w:hAnsi="Arial" w:cs="Arial"/>
          <w:b/>
          <w:bCs/>
        </w:rPr>
        <w:t>20</w:t>
      </w:r>
      <w:r w:rsidR="00CB50E0">
        <w:rPr>
          <w:rFonts w:ascii="Arial" w:hAnsi="Arial" w:cs="Arial"/>
          <w:b/>
          <w:bCs/>
        </w:rPr>
        <w:t>–</w:t>
      </w:r>
      <w:bookmarkEnd w:id="2"/>
      <w:r w:rsidR="009949F6">
        <w:rPr>
          <w:rFonts w:ascii="Arial" w:hAnsi="Arial" w:cs="Arial"/>
          <w:b/>
          <w:bCs/>
        </w:rPr>
        <w:t>156</w:t>
      </w:r>
    </w:p>
    <w:p w14:paraId="2141CD89" w14:textId="77777777" w:rsidR="00A62A15" w:rsidRDefault="00A62A15" w:rsidP="006E22B3">
      <w:pPr>
        <w:pStyle w:val="madeunder"/>
        <w:spacing w:before="240" w:after="120"/>
      </w:pPr>
      <w:r>
        <w:t xml:space="preserve">made under the  </w:t>
      </w:r>
    </w:p>
    <w:p w14:paraId="7476CD58" w14:textId="77777777" w:rsidR="00A62A15" w:rsidRPr="00E972F6" w:rsidRDefault="00A62A15" w:rsidP="006E22B3">
      <w:pPr>
        <w:pStyle w:val="CoverActName"/>
      </w:pPr>
      <w:r w:rsidRPr="00E972F6">
        <w:rPr>
          <w:rFonts w:cs="Arial"/>
          <w:iCs/>
          <w:sz w:val="20"/>
        </w:rPr>
        <w:t>Race and Sports Bookmaking Act 2001</w:t>
      </w:r>
      <w:r w:rsidRPr="00E972F6">
        <w:rPr>
          <w:rFonts w:cs="Arial"/>
          <w:sz w:val="20"/>
        </w:rPr>
        <w:t>, section 97 (Determination of fees)</w:t>
      </w:r>
    </w:p>
    <w:p w14:paraId="0CB09B3D" w14:textId="77777777" w:rsidR="00A62A15" w:rsidRDefault="00A62A15" w:rsidP="006E22B3">
      <w:pPr>
        <w:pStyle w:val="N-line3"/>
        <w:pBdr>
          <w:bottom w:val="none" w:sz="0" w:space="0" w:color="auto"/>
        </w:pBdr>
        <w:rPr>
          <w:sz w:val="22"/>
        </w:rPr>
      </w:pPr>
    </w:p>
    <w:p w14:paraId="6E4026C9" w14:textId="77777777" w:rsidR="00A62A15" w:rsidRDefault="00A62A15" w:rsidP="006E22B3">
      <w:pPr>
        <w:jc w:val="both"/>
        <w:rPr>
          <w:sz w:val="22"/>
        </w:rPr>
      </w:pPr>
    </w:p>
    <w:p w14:paraId="2E1CCCA1" w14:textId="77777777" w:rsidR="00A62A15" w:rsidRDefault="00A62A15" w:rsidP="006E22B3">
      <w:pPr>
        <w:pStyle w:val="Heading3"/>
        <w:jc w:val="both"/>
      </w:pPr>
      <w:r>
        <w:t>EXPLANATORY STATEMENT</w:t>
      </w:r>
    </w:p>
    <w:p w14:paraId="21E30DA3" w14:textId="77777777" w:rsidR="00A62A15" w:rsidRDefault="00A62A15" w:rsidP="006E22B3">
      <w:pPr>
        <w:jc w:val="both"/>
      </w:pPr>
    </w:p>
    <w:p w14:paraId="1E8EF531" w14:textId="77777777" w:rsidR="00A62A15" w:rsidRDefault="00A62A15" w:rsidP="006E22B3">
      <w:pPr>
        <w:pStyle w:val="N-line3"/>
        <w:pBdr>
          <w:top w:val="single" w:sz="12" w:space="1" w:color="auto"/>
          <w:bottom w:val="none" w:sz="0" w:space="0" w:color="auto"/>
        </w:pBdr>
        <w:rPr>
          <w:sz w:val="22"/>
        </w:rPr>
      </w:pPr>
    </w:p>
    <w:p w14:paraId="6D611D82" w14:textId="77777777" w:rsidR="00A62A15" w:rsidRDefault="00A62A15" w:rsidP="006E22B3">
      <w:pPr>
        <w:jc w:val="both"/>
      </w:pPr>
      <w:r>
        <w:t xml:space="preserve">The </w:t>
      </w:r>
      <w:r>
        <w:rPr>
          <w:rFonts w:cs="Arial"/>
          <w:i/>
          <w:iCs/>
        </w:rPr>
        <w:t>Race and Sports Bookmaking Act 2001</w:t>
      </w:r>
      <w:r>
        <w:t xml:space="preserve"> (the Act)</w:t>
      </w:r>
      <w:r>
        <w:rPr>
          <w:i/>
          <w:iCs/>
        </w:rPr>
        <w:t xml:space="preserve"> </w:t>
      </w:r>
      <w:r>
        <w:t>regulates the activities of race and sports bookmakers within the ACT.</w:t>
      </w:r>
    </w:p>
    <w:p w14:paraId="41B5F3B8" w14:textId="77777777" w:rsidR="00A62A15" w:rsidRDefault="00A62A15" w:rsidP="006E22B3">
      <w:pPr>
        <w:jc w:val="both"/>
        <w:rPr>
          <w:sz w:val="22"/>
        </w:rPr>
      </w:pPr>
    </w:p>
    <w:p w14:paraId="7C53BE78" w14:textId="58E6389E" w:rsidR="006E66D2" w:rsidRPr="006E66D2" w:rsidRDefault="006E66D2" w:rsidP="006E66D2">
      <w:pPr>
        <w:pStyle w:val="N-line3"/>
        <w:pBdr>
          <w:bottom w:val="none" w:sz="0" w:space="0" w:color="auto"/>
        </w:pBdr>
      </w:pPr>
      <w:r w:rsidRPr="006E66D2">
        <w:t>This instrument revokes DI201</w:t>
      </w:r>
      <w:r w:rsidR="00165F59">
        <w:t>9</w:t>
      </w:r>
      <w:r w:rsidRPr="006E66D2">
        <w:t>-1</w:t>
      </w:r>
      <w:r w:rsidR="00FC2CA6">
        <w:t>60</w:t>
      </w:r>
      <w:r w:rsidRPr="006E66D2">
        <w:t xml:space="preserve">, the </w:t>
      </w:r>
      <w:r w:rsidRPr="006E66D2">
        <w:rPr>
          <w:i/>
        </w:rPr>
        <w:t>Race and Sports Bookmaking (Fees) Determination 201</w:t>
      </w:r>
      <w:r w:rsidR="00FC2CA6">
        <w:rPr>
          <w:i/>
        </w:rPr>
        <w:t>9</w:t>
      </w:r>
      <w:r w:rsidRPr="006E66D2">
        <w:rPr>
          <w:i/>
        </w:rPr>
        <w:t>.</w:t>
      </w:r>
    </w:p>
    <w:p w14:paraId="33BEFFA0" w14:textId="77777777" w:rsidR="00A62A15" w:rsidRPr="006E66D2" w:rsidRDefault="00A62A15" w:rsidP="006E66D2">
      <w:pPr>
        <w:jc w:val="both"/>
      </w:pPr>
    </w:p>
    <w:p w14:paraId="416164AF" w14:textId="77777777" w:rsidR="00A62A15" w:rsidRDefault="00A62A15" w:rsidP="006E22B3">
      <w:pPr>
        <w:jc w:val="both"/>
      </w:pPr>
      <w:r>
        <w:t xml:space="preserve">Section 97 of the Act provides that the Minister may determine fees for the Act. This instrument provides for the fees for </w:t>
      </w:r>
      <w:r w:rsidR="000743D0">
        <w:t xml:space="preserve">approvals under the Act as well as </w:t>
      </w:r>
      <w:r>
        <w:t>the licensing arrangements of race bookmakers, race bookmaker’s agents, sports bookmakers and sports bookmaker’s agents.</w:t>
      </w:r>
    </w:p>
    <w:p w14:paraId="506052F5" w14:textId="77777777" w:rsidR="00A62A15" w:rsidRDefault="00A62A15" w:rsidP="006E22B3">
      <w:pPr>
        <w:jc w:val="both"/>
        <w:rPr>
          <w:sz w:val="22"/>
        </w:rPr>
      </w:pPr>
    </w:p>
    <w:p w14:paraId="62580ED7" w14:textId="77777777" w:rsidR="00480EDA" w:rsidRDefault="00480EDA" w:rsidP="00480EDA">
      <w:r>
        <w:rPr>
          <w:color w:val="000000"/>
        </w:rPr>
        <w:t xml:space="preserve">Fees in the 2020-21 financial year have been increased from fees in the previous financial year by </w:t>
      </w:r>
      <w:r w:rsidRPr="002A1855">
        <w:rPr>
          <w:color w:val="000000"/>
        </w:rPr>
        <w:t>a Wage Price Index (WPI) forecast of 2.</w:t>
      </w:r>
      <w:r>
        <w:rPr>
          <w:color w:val="000000"/>
        </w:rPr>
        <w:t>0</w:t>
      </w:r>
      <w:r w:rsidRPr="002A1855">
        <w:rPr>
          <w:color w:val="000000"/>
        </w:rPr>
        <w:t>%</w:t>
      </w:r>
      <w:r>
        <w:rPr>
          <w:color w:val="000000"/>
        </w:rPr>
        <w:t xml:space="preserve">. </w:t>
      </w:r>
      <w:r>
        <w:t>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ACT’s forecast Wage Price Index for 2020-21. This approach also aligns with the 2018 Treasury Guidelines for Fees and Charges.</w:t>
      </w:r>
    </w:p>
    <w:p w14:paraId="3EDE14F3" w14:textId="77777777" w:rsidR="00CC3F79" w:rsidRDefault="00CC3F79" w:rsidP="009C04F7"/>
    <w:p w14:paraId="68D68950" w14:textId="2075BA71" w:rsidR="009C04F7" w:rsidRDefault="009C04F7" w:rsidP="009C04F7">
      <w:pPr>
        <w:rPr>
          <w:sz w:val="22"/>
          <w:szCs w:val="22"/>
        </w:rPr>
      </w:pPr>
      <w:r>
        <w:t xml:space="preserve">The </w:t>
      </w:r>
      <w:r w:rsidR="006E66D2">
        <w:t>Attachment to</w:t>
      </w:r>
      <w:r>
        <w:t xml:space="preserve"> this explanatory statement sets out the current fee (in column 3) and the new fee to take effect from 1 July</w:t>
      </w:r>
      <w:r w:rsidR="0015609E">
        <w:t xml:space="preserve"> 20</w:t>
      </w:r>
      <w:r w:rsidR="00FC2CA6">
        <w:t>20</w:t>
      </w:r>
      <w:r>
        <w:t xml:space="preserve"> (in column 4) to enable a comparison.</w:t>
      </w:r>
    </w:p>
    <w:p w14:paraId="095EB681" w14:textId="77777777" w:rsidR="003D484F" w:rsidRDefault="003D484F" w:rsidP="006E22B3">
      <w:pPr>
        <w:jc w:val="both"/>
      </w:pPr>
    </w:p>
    <w:p w14:paraId="118C30AF" w14:textId="0783F2CA" w:rsidR="006308C5" w:rsidRDefault="006308C5" w:rsidP="006E22B3">
      <w:pPr>
        <w:jc w:val="both"/>
      </w:pPr>
      <w:bookmarkStart w:id="3" w:name="_Hlk37239736"/>
      <w:bookmarkEnd w:id="0"/>
      <w:r w:rsidRPr="00BE600D">
        <w:t xml:space="preserve">The list of </w:t>
      </w:r>
      <w:r w:rsidR="009C04F7" w:rsidRPr="00BE600D">
        <w:t xml:space="preserve">items for which fees are set </w:t>
      </w:r>
      <w:r w:rsidRPr="00BE600D">
        <w:t xml:space="preserve">in this instrument is identical to the list of </w:t>
      </w:r>
      <w:r w:rsidR="009C04F7" w:rsidRPr="00BE600D">
        <w:t xml:space="preserve">items </w:t>
      </w:r>
      <w:r w:rsidRPr="00BE600D">
        <w:t xml:space="preserve">in the Disallowable Instrument </w:t>
      </w:r>
      <w:r w:rsidR="00DD1C04" w:rsidRPr="00BE600D">
        <w:rPr>
          <w:bCs/>
        </w:rPr>
        <w:t>DI</w:t>
      </w:r>
      <w:r w:rsidR="003B0E56" w:rsidRPr="00BE600D">
        <w:rPr>
          <w:bCs/>
        </w:rPr>
        <w:t>20</w:t>
      </w:r>
      <w:bookmarkEnd w:id="3"/>
      <w:r w:rsidR="003B0E56" w:rsidRPr="00BE600D">
        <w:rPr>
          <w:bCs/>
        </w:rPr>
        <w:t>1</w:t>
      </w:r>
      <w:r w:rsidR="000B7B06">
        <w:rPr>
          <w:bCs/>
        </w:rPr>
        <w:t>9</w:t>
      </w:r>
      <w:r w:rsidR="004E2306" w:rsidRPr="00BE600D">
        <w:rPr>
          <w:bCs/>
        </w:rPr>
        <w:t>-</w:t>
      </w:r>
      <w:r w:rsidR="003B0E56" w:rsidRPr="00BE600D">
        <w:rPr>
          <w:bCs/>
        </w:rPr>
        <w:t>1</w:t>
      </w:r>
      <w:r w:rsidR="000B7B06">
        <w:rPr>
          <w:bCs/>
        </w:rPr>
        <w:t>60</w:t>
      </w:r>
      <w:r w:rsidRPr="00BE600D">
        <w:t>.</w:t>
      </w:r>
    </w:p>
    <w:p w14:paraId="4A34576E" w14:textId="77777777" w:rsidR="006308C5" w:rsidRDefault="006308C5" w:rsidP="006E22B3">
      <w:pPr>
        <w:jc w:val="both"/>
      </w:pPr>
    </w:p>
    <w:p w14:paraId="550AF718" w14:textId="77777777" w:rsidR="00A62A15" w:rsidRDefault="00A62A15" w:rsidP="006E22B3">
      <w:pPr>
        <w:jc w:val="both"/>
      </w:pPr>
      <w:r>
        <w:t>A determination</w:t>
      </w:r>
      <w:r w:rsidR="006E66D2">
        <w:t xml:space="preserve"> </w:t>
      </w:r>
      <w:r>
        <w:t>under section 97</w:t>
      </w:r>
      <w:r w:rsidR="006E66D2">
        <w:t xml:space="preserve"> of the Act</w:t>
      </w:r>
      <w:r>
        <w:t xml:space="preserve"> is a disallowable instrument and must be tabled in the Legislative Assembly.</w:t>
      </w:r>
    </w:p>
    <w:p w14:paraId="20B62F49" w14:textId="77777777" w:rsidR="00170F91" w:rsidRDefault="00170F91" w:rsidP="006E22B3">
      <w:pPr>
        <w:jc w:val="both"/>
      </w:pPr>
    </w:p>
    <w:p w14:paraId="0840B5A6" w14:textId="77777777" w:rsidR="00170F91" w:rsidRDefault="00170F91" w:rsidP="006E22B3">
      <w:pPr>
        <w:jc w:val="both"/>
        <w:sectPr w:rsidR="00170F91" w:rsidSect="001146E2">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985" w:left="1797" w:header="720" w:footer="720" w:gutter="0"/>
          <w:paperSrc w:first="7" w:other="7"/>
          <w:cols w:space="720"/>
        </w:sectPr>
      </w:pPr>
    </w:p>
    <w:tbl>
      <w:tblPr>
        <w:tblW w:w="954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384"/>
        <w:gridCol w:w="1384"/>
      </w:tblGrid>
      <w:tr w:rsidR="001D083E" w:rsidRPr="00652B7F" w14:paraId="10C9EEC4" w14:textId="77777777" w:rsidTr="001D083E">
        <w:trPr>
          <w:trHeight w:val="368"/>
          <w:tblHeader/>
          <w:jc w:val="center"/>
        </w:trPr>
        <w:tc>
          <w:tcPr>
            <w:tcW w:w="1269" w:type="dxa"/>
            <w:tcBorders>
              <w:top w:val="nil"/>
              <w:bottom w:val="single" w:sz="12" w:space="0" w:color="auto"/>
            </w:tcBorders>
          </w:tcPr>
          <w:p w14:paraId="358568A3" w14:textId="77777777" w:rsidR="001D083E" w:rsidRPr="00652B7F" w:rsidRDefault="001D083E" w:rsidP="001221B5">
            <w:pPr>
              <w:pStyle w:val="Heading2"/>
              <w:spacing w:before="120"/>
              <w:jc w:val="left"/>
              <w:rPr>
                <w:sz w:val="22"/>
                <w:szCs w:val="22"/>
              </w:rPr>
            </w:pPr>
            <w:r w:rsidRPr="00652B7F">
              <w:rPr>
                <w:sz w:val="22"/>
                <w:szCs w:val="22"/>
              </w:rPr>
              <w:lastRenderedPageBreak/>
              <w:t xml:space="preserve">Column </w:t>
            </w:r>
            <w:r>
              <w:rPr>
                <w:sz w:val="22"/>
                <w:szCs w:val="22"/>
              </w:rPr>
              <w:t>1</w:t>
            </w:r>
          </w:p>
        </w:tc>
        <w:tc>
          <w:tcPr>
            <w:tcW w:w="5512" w:type="dxa"/>
            <w:tcBorders>
              <w:top w:val="nil"/>
              <w:bottom w:val="single" w:sz="12" w:space="0" w:color="auto"/>
            </w:tcBorders>
          </w:tcPr>
          <w:p w14:paraId="5A0C0C0E"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2</w:t>
            </w:r>
          </w:p>
        </w:tc>
        <w:tc>
          <w:tcPr>
            <w:tcW w:w="1384" w:type="dxa"/>
            <w:tcBorders>
              <w:top w:val="nil"/>
              <w:bottom w:val="single" w:sz="12" w:space="0" w:color="auto"/>
            </w:tcBorders>
          </w:tcPr>
          <w:p w14:paraId="1B3762EF"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3</w:t>
            </w:r>
          </w:p>
        </w:tc>
        <w:tc>
          <w:tcPr>
            <w:tcW w:w="1384" w:type="dxa"/>
            <w:tcBorders>
              <w:top w:val="nil"/>
              <w:bottom w:val="single" w:sz="12" w:space="0" w:color="auto"/>
            </w:tcBorders>
          </w:tcPr>
          <w:p w14:paraId="36DB293E" w14:textId="77777777" w:rsidR="001D083E" w:rsidRPr="00652B7F" w:rsidRDefault="001D083E" w:rsidP="001221B5">
            <w:pPr>
              <w:spacing w:before="120"/>
              <w:rPr>
                <w:b/>
                <w:bCs/>
                <w:sz w:val="22"/>
                <w:szCs w:val="22"/>
              </w:rPr>
            </w:pPr>
            <w:r>
              <w:rPr>
                <w:b/>
                <w:bCs/>
                <w:sz w:val="22"/>
                <w:szCs w:val="22"/>
              </w:rPr>
              <w:t>Column 4</w:t>
            </w:r>
          </w:p>
        </w:tc>
      </w:tr>
      <w:tr w:rsidR="001D083E" w:rsidRPr="00652B7F" w14:paraId="5BAE2451" w14:textId="77777777" w:rsidTr="001D083E">
        <w:trPr>
          <w:trHeight w:val="813"/>
          <w:tblHeader/>
          <w:jc w:val="center"/>
        </w:trPr>
        <w:tc>
          <w:tcPr>
            <w:tcW w:w="1269" w:type="dxa"/>
            <w:tcBorders>
              <w:top w:val="single" w:sz="12" w:space="0" w:color="auto"/>
              <w:bottom w:val="single" w:sz="12" w:space="0" w:color="auto"/>
            </w:tcBorders>
          </w:tcPr>
          <w:p w14:paraId="2DD9945E" w14:textId="77777777" w:rsidR="001D083E" w:rsidRPr="00652B7F" w:rsidRDefault="001D083E" w:rsidP="001221B5">
            <w:pPr>
              <w:pStyle w:val="Heading2"/>
              <w:jc w:val="left"/>
              <w:rPr>
                <w:sz w:val="22"/>
                <w:szCs w:val="22"/>
              </w:rPr>
            </w:pPr>
            <w:r>
              <w:rPr>
                <w:sz w:val="22"/>
                <w:szCs w:val="22"/>
              </w:rPr>
              <w:t>Relevant S</w:t>
            </w:r>
            <w:r w:rsidRPr="00652B7F">
              <w:rPr>
                <w:sz w:val="22"/>
                <w:szCs w:val="22"/>
              </w:rPr>
              <w:t>ection of Act</w:t>
            </w:r>
          </w:p>
        </w:tc>
        <w:tc>
          <w:tcPr>
            <w:tcW w:w="5512" w:type="dxa"/>
            <w:tcBorders>
              <w:top w:val="single" w:sz="12" w:space="0" w:color="auto"/>
              <w:bottom w:val="single" w:sz="12" w:space="0" w:color="auto"/>
            </w:tcBorders>
          </w:tcPr>
          <w:p w14:paraId="0F1DB8B6" w14:textId="77777777" w:rsidR="001D083E" w:rsidRPr="00652B7F" w:rsidRDefault="001D083E" w:rsidP="001221B5">
            <w:pPr>
              <w:rPr>
                <w:b/>
                <w:bCs/>
                <w:sz w:val="22"/>
                <w:szCs w:val="22"/>
              </w:rPr>
            </w:pPr>
            <w:r w:rsidRPr="00652B7F">
              <w:rPr>
                <w:b/>
                <w:bCs/>
                <w:sz w:val="22"/>
                <w:szCs w:val="22"/>
              </w:rPr>
              <w:t>Description of Matter for which Fee is Payable</w:t>
            </w:r>
          </w:p>
        </w:tc>
        <w:tc>
          <w:tcPr>
            <w:tcW w:w="1384" w:type="dxa"/>
            <w:tcBorders>
              <w:top w:val="single" w:sz="12" w:space="0" w:color="auto"/>
              <w:bottom w:val="single" w:sz="12" w:space="0" w:color="auto"/>
            </w:tcBorders>
          </w:tcPr>
          <w:p w14:paraId="0243DA70" w14:textId="77777777" w:rsidR="001D083E" w:rsidRPr="00652B7F" w:rsidRDefault="001D083E" w:rsidP="003E3E29">
            <w:pPr>
              <w:ind w:left="34" w:hanging="34"/>
              <w:rPr>
                <w:b/>
                <w:bCs/>
                <w:sz w:val="22"/>
                <w:szCs w:val="22"/>
              </w:rPr>
            </w:pPr>
            <w:r>
              <w:rPr>
                <w:b/>
                <w:bCs/>
                <w:sz w:val="22"/>
                <w:szCs w:val="22"/>
              </w:rPr>
              <w:t>Previous Fee</w:t>
            </w:r>
            <w:r w:rsidR="00B249DC">
              <w:rPr>
                <w:b/>
                <w:bCs/>
                <w:sz w:val="22"/>
                <w:szCs w:val="22"/>
              </w:rPr>
              <w:t xml:space="preserve"> (GST exempt)</w:t>
            </w:r>
          </w:p>
        </w:tc>
        <w:tc>
          <w:tcPr>
            <w:tcW w:w="1384" w:type="dxa"/>
            <w:tcBorders>
              <w:top w:val="single" w:sz="12" w:space="0" w:color="auto"/>
              <w:bottom w:val="single" w:sz="12" w:space="0" w:color="auto"/>
            </w:tcBorders>
          </w:tcPr>
          <w:p w14:paraId="001FB6A2" w14:textId="334EA7B0" w:rsidR="001D083E" w:rsidRPr="00652B7F" w:rsidRDefault="001D083E" w:rsidP="001221B5">
            <w:pPr>
              <w:rPr>
                <w:b/>
                <w:bCs/>
                <w:sz w:val="22"/>
                <w:szCs w:val="22"/>
              </w:rPr>
            </w:pPr>
            <w:r>
              <w:rPr>
                <w:b/>
                <w:bCs/>
                <w:sz w:val="22"/>
                <w:szCs w:val="22"/>
              </w:rPr>
              <w:t>Fee from 1 July 20</w:t>
            </w:r>
            <w:r w:rsidR="00D866B6">
              <w:rPr>
                <w:b/>
                <w:bCs/>
                <w:sz w:val="22"/>
                <w:szCs w:val="22"/>
              </w:rPr>
              <w:t>20</w:t>
            </w:r>
            <w:r w:rsidR="00B249DC">
              <w:rPr>
                <w:b/>
                <w:bCs/>
                <w:sz w:val="22"/>
                <w:szCs w:val="22"/>
              </w:rPr>
              <w:t xml:space="preserve"> (GST exempt)</w:t>
            </w:r>
          </w:p>
        </w:tc>
      </w:tr>
      <w:tr w:rsidR="00480EDA" w:rsidRPr="00A01B5F" w14:paraId="06D0B172" w14:textId="77777777" w:rsidTr="001D083E">
        <w:trPr>
          <w:trHeight w:val="874"/>
          <w:tblHeader/>
          <w:jc w:val="center"/>
        </w:trPr>
        <w:tc>
          <w:tcPr>
            <w:tcW w:w="1269" w:type="dxa"/>
            <w:tcBorders>
              <w:top w:val="single" w:sz="12" w:space="0" w:color="auto"/>
              <w:right w:val="nil"/>
            </w:tcBorders>
          </w:tcPr>
          <w:p w14:paraId="42B4227E" w14:textId="77777777" w:rsidR="00480EDA" w:rsidRPr="00A01B5F" w:rsidRDefault="00480EDA" w:rsidP="00480EDA">
            <w:pPr>
              <w:rPr>
                <w:szCs w:val="24"/>
              </w:rPr>
            </w:pPr>
            <w:r>
              <w:t>6(1)</w:t>
            </w:r>
          </w:p>
        </w:tc>
        <w:tc>
          <w:tcPr>
            <w:tcW w:w="5512" w:type="dxa"/>
            <w:tcBorders>
              <w:top w:val="single" w:sz="12" w:space="0" w:color="auto"/>
              <w:left w:val="nil"/>
              <w:right w:val="nil"/>
            </w:tcBorders>
          </w:tcPr>
          <w:p w14:paraId="139C1B03" w14:textId="78E1A9AC" w:rsidR="00480EDA" w:rsidRDefault="00480EDA" w:rsidP="00480EDA">
            <w:r>
              <w:t>Application for approval of a race bookmaking licence</w:t>
            </w:r>
          </w:p>
          <w:p w14:paraId="66C4F065" w14:textId="77777777" w:rsidR="00480EDA" w:rsidRPr="00A01B5F" w:rsidRDefault="00480EDA" w:rsidP="00480EDA">
            <w:pPr>
              <w:rPr>
                <w:szCs w:val="24"/>
              </w:rPr>
            </w:pPr>
          </w:p>
        </w:tc>
        <w:tc>
          <w:tcPr>
            <w:tcW w:w="1384" w:type="dxa"/>
            <w:tcBorders>
              <w:top w:val="single" w:sz="12" w:space="0" w:color="auto"/>
              <w:left w:val="nil"/>
            </w:tcBorders>
          </w:tcPr>
          <w:p w14:paraId="2C473646" w14:textId="04372612" w:rsidR="00480EDA" w:rsidRPr="00A01B5F" w:rsidRDefault="00480EDA" w:rsidP="00480EDA">
            <w:pPr>
              <w:rPr>
                <w:szCs w:val="24"/>
              </w:rPr>
            </w:pPr>
            <w:r>
              <w:rPr>
                <w:szCs w:val="24"/>
              </w:rPr>
              <w:t>239.00</w:t>
            </w:r>
          </w:p>
        </w:tc>
        <w:tc>
          <w:tcPr>
            <w:tcW w:w="1384" w:type="dxa"/>
            <w:tcBorders>
              <w:top w:val="single" w:sz="12" w:space="0" w:color="auto"/>
              <w:left w:val="nil"/>
            </w:tcBorders>
          </w:tcPr>
          <w:p w14:paraId="42F9DE44" w14:textId="6F0AD63D" w:rsidR="00480EDA" w:rsidRPr="00BA74E9" w:rsidRDefault="00480EDA" w:rsidP="00480EDA">
            <w:pPr>
              <w:rPr>
                <w:szCs w:val="24"/>
                <w:highlight w:val="yellow"/>
              </w:rPr>
            </w:pPr>
            <w:r>
              <w:rPr>
                <w:szCs w:val="24"/>
              </w:rPr>
              <w:t>243</w:t>
            </w:r>
            <w:r w:rsidRPr="00227EE0">
              <w:rPr>
                <w:szCs w:val="24"/>
              </w:rPr>
              <w:t>.00</w:t>
            </w:r>
          </w:p>
        </w:tc>
      </w:tr>
      <w:tr w:rsidR="00480EDA" w14:paraId="26D537AD" w14:textId="77777777" w:rsidTr="001D083E">
        <w:trPr>
          <w:trHeight w:val="874"/>
          <w:tblHeader/>
          <w:jc w:val="center"/>
        </w:trPr>
        <w:tc>
          <w:tcPr>
            <w:tcW w:w="1269" w:type="dxa"/>
            <w:tcBorders>
              <w:right w:val="nil"/>
            </w:tcBorders>
          </w:tcPr>
          <w:p w14:paraId="0F34149F" w14:textId="52BC3A4F" w:rsidR="00480EDA" w:rsidRPr="00A01B5F" w:rsidRDefault="00480EDA" w:rsidP="00480EDA">
            <w:pPr>
              <w:rPr>
                <w:szCs w:val="24"/>
              </w:rPr>
            </w:pPr>
            <w:r>
              <w:t>7</w:t>
            </w:r>
          </w:p>
        </w:tc>
        <w:tc>
          <w:tcPr>
            <w:tcW w:w="5512" w:type="dxa"/>
            <w:tcBorders>
              <w:left w:val="nil"/>
              <w:right w:val="nil"/>
            </w:tcBorders>
          </w:tcPr>
          <w:p w14:paraId="4F3D3ED0" w14:textId="77777777" w:rsidR="00480EDA" w:rsidRDefault="00480EDA" w:rsidP="00480EDA">
            <w:r>
              <w:t>Annual fee for a race bookmaking licence, commencing 1 July, or for any part of a year for which the licence is issued</w:t>
            </w:r>
          </w:p>
          <w:p w14:paraId="305208C0" w14:textId="6E15A3E3" w:rsidR="00480EDA" w:rsidRPr="00A01B5F" w:rsidRDefault="00480EDA" w:rsidP="00480EDA">
            <w:pPr>
              <w:rPr>
                <w:szCs w:val="24"/>
              </w:rPr>
            </w:pPr>
          </w:p>
        </w:tc>
        <w:tc>
          <w:tcPr>
            <w:tcW w:w="1384" w:type="dxa"/>
            <w:tcBorders>
              <w:left w:val="nil"/>
            </w:tcBorders>
          </w:tcPr>
          <w:p w14:paraId="5626759B" w14:textId="4C1100D9" w:rsidR="00480EDA" w:rsidRPr="00A01B5F" w:rsidRDefault="00480EDA" w:rsidP="00480EDA">
            <w:pPr>
              <w:rPr>
                <w:szCs w:val="24"/>
              </w:rPr>
            </w:pPr>
            <w:r>
              <w:rPr>
                <w:szCs w:val="24"/>
              </w:rPr>
              <w:t>108.00</w:t>
            </w:r>
          </w:p>
        </w:tc>
        <w:tc>
          <w:tcPr>
            <w:tcW w:w="1384" w:type="dxa"/>
            <w:tcBorders>
              <w:left w:val="nil"/>
            </w:tcBorders>
          </w:tcPr>
          <w:p w14:paraId="1C7A9C91" w14:textId="0DC9C691" w:rsidR="00480EDA" w:rsidRDefault="00480EDA" w:rsidP="00480EDA">
            <w:pPr>
              <w:rPr>
                <w:szCs w:val="24"/>
              </w:rPr>
            </w:pPr>
            <w:r>
              <w:rPr>
                <w:szCs w:val="24"/>
              </w:rPr>
              <w:t>110</w:t>
            </w:r>
            <w:r w:rsidRPr="00227EE0">
              <w:rPr>
                <w:szCs w:val="24"/>
              </w:rPr>
              <w:t>.00</w:t>
            </w:r>
          </w:p>
        </w:tc>
      </w:tr>
      <w:tr w:rsidR="00480EDA" w14:paraId="43648074" w14:textId="77777777" w:rsidTr="001D083E">
        <w:trPr>
          <w:trHeight w:val="874"/>
          <w:tblHeader/>
          <w:jc w:val="center"/>
        </w:trPr>
        <w:tc>
          <w:tcPr>
            <w:tcW w:w="1269" w:type="dxa"/>
            <w:tcBorders>
              <w:right w:val="nil"/>
            </w:tcBorders>
          </w:tcPr>
          <w:p w14:paraId="5CC5A8E2" w14:textId="77777777" w:rsidR="00480EDA" w:rsidRPr="00A01B5F" w:rsidRDefault="00480EDA" w:rsidP="00480EDA">
            <w:pPr>
              <w:rPr>
                <w:szCs w:val="24"/>
              </w:rPr>
            </w:pPr>
            <w:r>
              <w:t>12(1)</w:t>
            </w:r>
          </w:p>
        </w:tc>
        <w:tc>
          <w:tcPr>
            <w:tcW w:w="5512" w:type="dxa"/>
            <w:tcBorders>
              <w:left w:val="nil"/>
              <w:right w:val="nil"/>
            </w:tcBorders>
          </w:tcPr>
          <w:p w14:paraId="25ECD96B" w14:textId="661F28FC" w:rsidR="00480EDA" w:rsidRDefault="00480EDA" w:rsidP="00480EDA">
            <w:pPr>
              <w:pStyle w:val="Header"/>
              <w:tabs>
                <w:tab w:val="clear" w:pos="4153"/>
                <w:tab w:val="clear" w:pos="8306"/>
              </w:tabs>
            </w:pPr>
            <w:r>
              <w:t>Application for a race bookmaker’s agent licence</w:t>
            </w:r>
          </w:p>
          <w:p w14:paraId="0A5DA641" w14:textId="77777777" w:rsidR="00480EDA" w:rsidRDefault="00480EDA" w:rsidP="00480EDA">
            <w:pPr>
              <w:pStyle w:val="Header"/>
              <w:tabs>
                <w:tab w:val="clear" w:pos="4153"/>
                <w:tab w:val="clear" w:pos="8306"/>
              </w:tabs>
            </w:pPr>
          </w:p>
          <w:p w14:paraId="45BFD0EC" w14:textId="54743E09" w:rsidR="00480EDA" w:rsidRDefault="00480EDA" w:rsidP="00480EDA">
            <w:r>
              <w:t>Application for a race bookmaker’s agent licence where the nominated person holds a similar licence with another bookmaker</w:t>
            </w:r>
          </w:p>
          <w:p w14:paraId="6ABEC83F" w14:textId="77777777" w:rsidR="00480EDA" w:rsidRPr="00A01B5F" w:rsidRDefault="00480EDA" w:rsidP="00480EDA">
            <w:pPr>
              <w:rPr>
                <w:szCs w:val="24"/>
              </w:rPr>
            </w:pPr>
          </w:p>
        </w:tc>
        <w:tc>
          <w:tcPr>
            <w:tcW w:w="1384" w:type="dxa"/>
            <w:tcBorders>
              <w:left w:val="nil"/>
            </w:tcBorders>
          </w:tcPr>
          <w:p w14:paraId="4F09E14E" w14:textId="77777777" w:rsidR="00480EDA" w:rsidRDefault="00480EDA" w:rsidP="00480EDA">
            <w:r>
              <w:t>239.00</w:t>
            </w:r>
          </w:p>
          <w:p w14:paraId="398DE964" w14:textId="77777777" w:rsidR="00480EDA" w:rsidRDefault="00480EDA" w:rsidP="00480EDA"/>
          <w:p w14:paraId="4F0D0640" w14:textId="792100F7" w:rsidR="00480EDA" w:rsidRPr="00A01B5F" w:rsidRDefault="00480EDA" w:rsidP="00480EDA">
            <w:pPr>
              <w:rPr>
                <w:szCs w:val="24"/>
              </w:rPr>
            </w:pPr>
            <w:r>
              <w:t>36.00</w:t>
            </w:r>
          </w:p>
        </w:tc>
        <w:tc>
          <w:tcPr>
            <w:tcW w:w="1384" w:type="dxa"/>
            <w:tcBorders>
              <w:left w:val="nil"/>
            </w:tcBorders>
          </w:tcPr>
          <w:p w14:paraId="7E587501" w14:textId="4E9C88F4" w:rsidR="00480EDA" w:rsidRPr="00227EE0" w:rsidRDefault="00480EDA" w:rsidP="00480EDA">
            <w:r>
              <w:t>243.00</w:t>
            </w:r>
          </w:p>
          <w:p w14:paraId="228DA0AD" w14:textId="77777777" w:rsidR="00480EDA" w:rsidRPr="00227EE0" w:rsidRDefault="00480EDA" w:rsidP="00480EDA"/>
          <w:p w14:paraId="3169D030" w14:textId="63B43A06" w:rsidR="00480EDA" w:rsidRPr="00A01B5F" w:rsidRDefault="00480EDA" w:rsidP="00480EDA">
            <w:pPr>
              <w:rPr>
                <w:szCs w:val="24"/>
              </w:rPr>
            </w:pPr>
            <w:r>
              <w:t>36.00</w:t>
            </w:r>
          </w:p>
        </w:tc>
      </w:tr>
      <w:tr w:rsidR="00480EDA" w14:paraId="3EEAF8E8" w14:textId="77777777" w:rsidTr="001D083E">
        <w:trPr>
          <w:trHeight w:val="874"/>
          <w:tblHeader/>
          <w:jc w:val="center"/>
        </w:trPr>
        <w:tc>
          <w:tcPr>
            <w:tcW w:w="1269" w:type="dxa"/>
            <w:tcBorders>
              <w:right w:val="nil"/>
            </w:tcBorders>
          </w:tcPr>
          <w:p w14:paraId="01A0B2C5" w14:textId="77CA3A6D" w:rsidR="00480EDA" w:rsidRDefault="00480EDA" w:rsidP="00480EDA">
            <w:r>
              <w:t>13</w:t>
            </w:r>
          </w:p>
        </w:tc>
        <w:tc>
          <w:tcPr>
            <w:tcW w:w="5512" w:type="dxa"/>
            <w:tcBorders>
              <w:left w:val="nil"/>
              <w:right w:val="nil"/>
            </w:tcBorders>
          </w:tcPr>
          <w:p w14:paraId="0CF6CDC4" w14:textId="0B1606AC" w:rsidR="00480EDA" w:rsidRDefault="00480EDA" w:rsidP="00480EDA">
            <w:pPr>
              <w:pStyle w:val="Header"/>
              <w:tabs>
                <w:tab w:val="clear" w:pos="4153"/>
                <w:tab w:val="clear" w:pos="8306"/>
              </w:tabs>
            </w:pPr>
            <w:r>
              <w:t>Annual fee payable for a race bookmaker’s agent licence, commencing 1 July, or for any part of a year for which the licence is issued</w:t>
            </w:r>
          </w:p>
          <w:p w14:paraId="73409365" w14:textId="77777777" w:rsidR="00480EDA" w:rsidRDefault="00480EDA" w:rsidP="00480EDA">
            <w:pPr>
              <w:pStyle w:val="Header"/>
              <w:tabs>
                <w:tab w:val="clear" w:pos="4153"/>
                <w:tab w:val="clear" w:pos="8306"/>
              </w:tabs>
            </w:pPr>
          </w:p>
        </w:tc>
        <w:tc>
          <w:tcPr>
            <w:tcW w:w="1384" w:type="dxa"/>
            <w:tcBorders>
              <w:left w:val="nil"/>
            </w:tcBorders>
          </w:tcPr>
          <w:p w14:paraId="0F638211" w14:textId="670AB6DE" w:rsidR="00480EDA" w:rsidRDefault="00480EDA" w:rsidP="00480EDA">
            <w:r>
              <w:t>36.00</w:t>
            </w:r>
          </w:p>
        </w:tc>
        <w:tc>
          <w:tcPr>
            <w:tcW w:w="1384" w:type="dxa"/>
            <w:tcBorders>
              <w:left w:val="nil"/>
            </w:tcBorders>
          </w:tcPr>
          <w:p w14:paraId="7781857D" w14:textId="1422D7B7" w:rsidR="00480EDA" w:rsidRDefault="00480EDA" w:rsidP="00480EDA">
            <w:r w:rsidRPr="00227EE0">
              <w:t>3</w:t>
            </w:r>
            <w:r>
              <w:t>6</w:t>
            </w:r>
            <w:r w:rsidRPr="00227EE0">
              <w:t>.00</w:t>
            </w:r>
          </w:p>
        </w:tc>
      </w:tr>
      <w:tr w:rsidR="00480EDA" w14:paraId="5A5D8466" w14:textId="77777777" w:rsidTr="001D083E">
        <w:trPr>
          <w:trHeight w:val="874"/>
          <w:tblHeader/>
          <w:jc w:val="center"/>
        </w:trPr>
        <w:tc>
          <w:tcPr>
            <w:tcW w:w="1269" w:type="dxa"/>
            <w:tcBorders>
              <w:right w:val="nil"/>
            </w:tcBorders>
          </w:tcPr>
          <w:p w14:paraId="575BB6B8" w14:textId="1CF5D65E" w:rsidR="00480EDA" w:rsidRDefault="00480EDA" w:rsidP="00480EDA">
            <w:r>
              <w:t>25(1)(a)</w:t>
            </w:r>
          </w:p>
        </w:tc>
        <w:tc>
          <w:tcPr>
            <w:tcW w:w="5512" w:type="dxa"/>
            <w:tcBorders>
              <w:left w:val="nil"/>
              <w:right w:val="nil"/>
            </w:tcBorders>
          </w:tcPr>
          <w:p w14:paraId="747D93E5" w14:textId="0A7CCE18" w:rsidR="00480EDA" w:rsidRDefault="00480EDA" w:rsidP="00480EDA">
            <w:pPr>
              <w:pStyle w:val="Header"/>
              <w:tabs>
                <w:tab w:val="clear" w:pos="4153"/>
                <w:tab w:val="clear" w:pos="8306"/>
              </w:tabs>
            </w:pPr>
            <w:r>
              <w:t>Application for a sports bookmaking licence where the application is made by an individual</w:t>
            </w:r>
          </w:p>
          <w:p w14:paraId="109FBD58" w14:textId="77777777" w:rsidR="00480EDA" w:rsidRDefault="00480EDA" w:rsidP="00480EDA">
            <w:pPr>
              <w:pStyle w:val="Header"/>
              <w:tabs>
                <w:tab w:val="clear" w:pos="4153"/>
                <w:tab w:val="clear" w:pos="8306"/>
              </w:tabs>
            </w:pPr>
          </w:p>
          <w:p w14:paraId="15CB7FEF" w14:textId="77777777" w:rsidR="00480EDA" w:rsidRDefault="00480EDA" w:rsidP="00480EDA">
            <w:pPr>
              <w:pStyle w:val="Header"/>
              <w:tabs>
                <w:tab w:val="clear" w:pos="4153"/>
                <w:tab w:val="clear" w:pos="8306"/>
              </w:tabs>
            </w:pPr>
          </w:p>
        </w:tc>
        <w:tc>
          <w:tcPr>
            <w:tcW w:w="1384" w:type="dxa"/>
            <w:tcBorders>
              <w:left w:val="nil"/>
            </w:tcBorders>
          </w:tcPr>
          <w:p w14:paraId="47EDFB12" w14:textId="77777777" w:rsidR="00480EDA" w:rsidRDefault="00480EDA" w:rsidP="00480EDA">
            <w:r>
              <w:t>1,016.00</w:t>
            </w:r>
          </w:p>
          <w:p w14:paraId="5705F0C6" w14:textId="77777777" w:rsidR="00480EDA" w:rsidRDefault="00480EDA" w:rsidP="00480EDA"/>
          <w:p w14:paraId="0DB57B1A" w14:textId="50B7B280" w:rsidR="00480EDA" w:rsidRDefault="00480EDA" w:rsidP="00480EDA"/>
        </w:tc>
        <w:tc>
          <w:tcPr>
            <w:tcW w:w="1384" w:type="dxa"/>
            <w:tcBorders>
              <w:left w:val="nil"/>
            </w:tcBorders>
          </w:tcPr>
          <w:p w14:paraId="18FD5E39" w14:textId="2E95C8F5" w:rsidR="00480EDA" w:rsidRPr="00227EE0" w:rsidRDefault="00480EDA" w:rsidP="00480EDA">
            <w:r>
              <w:t>1,036</w:t>
            </w:r>
            <w:r w:rsidRPr="00227EE0">
              <w:t>.00</w:t>
            </w:r>
          </w:p>
          <w:p w14:paraId="2E7F07DD" w14:textId="17BA51AA" w:rsidR="00480EDA" w:rsidRDefault="00480EDA" w:rsidP="00480EDA"/>
        </w:tc>
      </w:tr>
      <w:tr w:rsidR="00480EDA" w14:paraId="10771B75" w14:textId="77777777" w:rsidTr="001D083E">
        <w:trPr>
          <w:trHeight w:val="874"/>
          <w:tblHeader/>
          <w:jc w:val="center"/>
        </w:trPr>
        <w:tc>
          <w:tcPr>
            <w:tcW w:w="1269" w:type="dxa"/>
            <w:tcBorders>
              <w:right w:val="nil"/>
            </w:tcBorders>
          </w:tcPr>
          <w:p w14:paraId="54D6D307" w14:textId="5C0C43A8" w:rsidR="00480EDA" w:rsidRDefault="00480EDA" w:rsidP="00480EDA">
            <w:r>
              <w:t>25(1)(b)</w:t>
            </w:r>
          </w:p>
        </w:tc>
        <w:tc>
          <w:tcPr>
            <w:tcW w:w="5512" w:type="dxa"/>
            <w:tcBorders>
              <w:left w:val="nil"/>
              <w:right w:val="nil"/>
            </w:tcBorders>
          </w:tcPr>
          <w:p w14:paraId="4BE32C90" w14:textId="70FB14A1" w:rsidR="00480EDA" w:rsidRDefault="00480EDA" w:rsidP="00480EDA">
            <w:pPr>
              <w:pStyle w:val="Header"/>
              <w:tabs>
                <w:tab w:val="clear" w:pos="4153"/>
                <w:tab w:val="clear" w:pos="8306"/>
              </w:tabs>
            </w:pPr>
            <w:r>
              <w:t xml:space="preserve">Application for a sports bookmaking licence where the application is made by a syndicate </w:t>
            </w:r>
          </w:p>
          <w:p w14:paraId="65317A09" w14:textId="77777777" w:rsidR="00480EDA" w:rsidRDefault="00480EDA" w:rsidP="00480EDA">
            <w:pPr>
              <w:pStyle w:val="Header"/>
              <w:tabs>
                <w:tab w:val="clear" w:pos="4153"/>
                <w:tab w:val="clear" w:pos="8306"/>
              </w:tabs>
            </w:pPr>
          </w:p>
          <w:p w14:paraId="3623906C" w14:textId="624ABBC4" w:rsidR="00480EDA" w:rsidRDefault="00480EDA" w:rsidP="00480EDA">
            <w:pPr>
              <w:pStyle w:val="Header"/>
              <w:tabs>
                <w:tab w:val="clear" w:pos="4153"/>
                <w:tab w:val="clear" w:pos="8306"/>
              </w:tabs>
            </w:pPr>
            <w:r>
              <w:t>Fee payable for each member of the syndicate making the application</w:t>
            </w:r>
          </w:p>
          <w:p w14:paraId="506A8657" w14:textId="77777777" w:rsidR="00480EDA" w:rsidDel="00D866B6" w:rsidRDefault="00480EDA" w:rsidP="00480EDA">
            <w:pPr>
              <w:pStyle w:val="Header"/>
              <w:tabs>
                <w:tab w:val="clear" w:pos="4153"/>
                <w:tab w:val="clear" w:pos="8306"/>
              </w:tabs>
            </w:pPr>
          </w:p>
        </w:tc>
        <w:tc>
          <w:tcPr>
            <w:tcW w:w="1384" w:type="dxa"/>
            <w:tcBorders>
              <w:left w:val="nil"/>
            </w:tcBorders>
          </w:tcPr>
          <w:p w14:paraId="6F8CB767" w14:textId="77777777" w:rsidR="00480EDA" w:rsidRDefault="00480EDA" w:rsidP="00480EDA">
            <w:r>
              <w:t>784.00</w:t>
            </w:r>
          </w:p>
          <w:p w14:paraId="0464DF3C" w14:textId="77777777" w:rsidR="00480EDA" w:rsidRDefault="00480EDA" w:rsidP="00480EDA"/>
          <w:p w14:paraId="2CD4BB2B" w14:textId="77777777" w:rsidR="00480EDA" w:rsidRDefault="00480EDA" w:rsidP="00480EDA"/>
          <w:p w14:paraId="704A43B2" w14:textId="77777777" w:rsidR="00480EDA" w:rsidRDefault="00480EDA" w:rsidP="00480EDA">
            <w:r>
              <w:t>239.00</w:t>
            </w:r>
          </w:p>
          <w:p w14:paraId="21B0866F" w14:textId="77777777" w:rsidR="00480EDA" w:rsidRDefault="00480EDA" w:rsidP="00480EDA"/>
        </w:tc>
        <w:tc>
          <w:tcPr>
            <w:tcW w:w="1384" w:type="dxa"/>
            <w:tcBorders>
              <w:left w:val="nil"/>
            </w:tcBorders>
          </w:tcPr>
          <w:p w14:paraId="0E094D0A" w14:textId="434B3240" w:rsidR="00480EDA" w:rsidRPr="00227EE0" w:rsidRDefault="00480EDA" w:rsidP="00480EDA">
            <w:r>
              <w:t>799</w:t>
            </w:r>
            <w:r w:rsidRPr="00227EE0">
              <w:t>.00</w:t>
            </w:r>
          </w:p>
          <w:p w14:paraId="15DD4330" w14:textId="77777777" w:rsidR="00480EDA" w:rsidRPr="00227EE0" w:rsidRDefault="00480EDA" w:rsidP="00480EDA"/>
          <w:p w14:paraId="64675802" w14:textId="77777777" w:rsidR="00480EDA" w:rsidRPr="00227EE0" w:rsidRDefault="00480EDA" w:rsidP="00480EDA"/>
          <w:p w14:paraId="6BA8412E" w14:textId="36D39386" w:rsidR="00480EDA" w:rsidRPr="00227EE0" w:rsidRDefault="00480EDA" w:rsidP="00480EDA">
            <w:r>
              <w:t>243</w:t>
            </w:r>
            <w:r w:rsidRPr="00227EE0">
              <w:t>.00</w:t>
            </w:r>
          </w:p>
          <w:p w14:paraId="30D9769A" w14:textId="77777777" w:rsidR="00480EDA" w:rsidRPr="00227EE0" w:rsidRDefault="00480EDA" w:rsidP="00480EDA"/>
          <w:p w14:paraId="0C22071A" w14:textId="77777777" w:rsidR="00480EDA" w:rsidRDefault="00480EDA" w:rsidP="00480EDA"/>
        </w:tc>
      </w:tr>
      <w:tr w:rsidR="00480EDA" w14:paraId="5551AB3F" w14:textId="77777777" w:rsidTr="001D083E">
        <w:trPr>
          <w:trHeight w:val="874"/>
          <w:tblHeader/>
          <w:jc w:val="center"/>
        </w:trPr>
        <w:tc>
          <w:tcPr>
            <w:tcW w:w="1269" w:type="dxa"/>
            <w:tcBorders>
              <w:right w:val="nil"/>
            </w:tcBorders>
          </w:tcPr>
          <w:p w14:paraId="7B50DE01" w14:textId="7F829B6C" w:rsidR="00480EDA" w:rsidRDefault="00480EDA" w:rsidP="00480EDA">
            <w:r>
              <w:t>25(1)(c)</w:t>
            </w:r>
          </w:p>
        </w:tc>
        <w:tc>
          <w:tcPr>
            <w:tcW w:w="5512" w:type="dxa"/>
            <w:tcBorders>
              <w:left w:val="nil"/>
              <w:right w:val="nil"/>
            </w:tcBorders>
          </w:tcPr>
          <w:p w14:paraId="5E0C0DE9" w14:textId="6B53613E" w:rsidR="00480EDA" w:rsidRDefault="00480EDA" w:rsidP="00480EDA">
            <w:pPr>
              <w:pStyle w:val="Header"/>
              <w:tabs>
                <w:tab w:val="clear" w:pos="4153"/>
                <w:tab w:val="clear" w:pos="8306"/>
              </w:tabs>
            </w:pPr>
            <w:r>
              <w:t>Application for a sports bookmaking licence where the application is made by a corporation</w:t>
            </w:r>
          </w:p>
          <w:p w14:paraId="0F7E9743" w14:textId="77777777" w:rsidR="00480EDA" w:rsidRDefault="00480EDA" w:rsidP="00480EDA">
            <w:pPr>
              <w:pStyle w:val="Header"/>
              <w:tabs>
                <w:tab w:val="clear" w:pos="4153"/>
                <w:tab w:val="clear" w:pos="8306"/>
              </w:tabs>
            </w:pPr>
          </w:p>
          <w:p w14:paraId="20B70BDE" w14:textId="3EFE246C" w:rsidR="00480EDA" w:rsidRDefault="00480EDA" w:rsidP="00480EDA">
            <w:pPr>
              <w:pStyle w:val="Header"/>
              <w:tabs>
                <w:tab w:val="clear" w:pos="4153"/>
                <w:tab w:val="clear" w:pos="8306"/>
              </w:tabs>
            </w:pPr>
            <w:r>
              <w:t>Fee payable for each director of the corporation nominated in the application</w:t>
            </w:r>
          </w:p>
          <w:p w14:paraId="6861C299" w14:textId="216E54C7" w:rsidR="00480EDA" w:rsidDel="00D866B6" w:rsidRDefault="00480EDA" w:rsidP="00480EDA">
            <w:pPr>
              <w:pStyle w:val="Header"/>
              <w:tabs>
                <w:tab w:val="clear" w:pos="4153"/>
                <w:tab w:val="clear" w:pos="8306"/>
              </w:tabs>
            </w:pPr>
          </w:p>
        </w:tc>
        <w:tc>
          <w:tcPr>
            <w:tcW w:w="1384" w:type="dxa"/>
            <w:tcBorders>
              <w:left w:val="nil"/>
            </w:tcBorders>
          </w:tcPr>
          <w:p w14:paraId="41F1527F" w14:textId="77777777" w:rsidR="00480EDA" w:rsidRDefault="00480EDA" w:rsidP="00480EDA">
            <w:r>
              <w:t>784.00</w:t>
            </w:r>
          </w:p>
          <w:p w14:paraId="61F6B783" w14:textId="77777777" w:rsidR="00480EDA" w:rsidRDefault="00480EDA" w:rsidP="00480EDA"/>
          <w:p w14:paraId="50EB1393" w14:textId="77777777" w:rsidR="00480EDA" w:rsidRDefault="00480EDA" w:rsidP="00480EDA"/>
          <w:p w14:paraId="097359B4" w14:textId="42E9DAA0" w:rsidR="00480EDA" w:rsidRDefault="00480EDA" w:rsidP="00480EDA">
            <w:r>
              <w:t>239.00</w:t>
            </w:r>
          </w:p>
        </w:tc>
        <w:tc>
          <w:tcPr>
            <w:tcW w:w="1384" w:type="dxa"/>
            <w:tcBorders>
              <w:left w:val="nil"/>
            </w:tcBorders>
          </w:tcPr>
          <w:p w14:paraId="07F380C7" w14:textId="6DCF4016" w:rsidR="00480EDA" w:rsidRPr="00227EE0" w:rsidRDefault="00480EDA" w:rsidP="00480EDA">
            <w:r>
              <w:t>799</w:t>
            </w:r>
            <w:r w:rsidRPr="00227EE0">
              <w:t>.00</w:t>
            </w:r>
          </w:p>
          <w:p w14:paraId="23A00C37" w14:textId="77777777" w:rsidR="00480EDA" w:rsidRPr="00227EE0" w:rsidRDefault="00480EDA" w:rsidP="00480EDA"/>
          <w:p w14:paraId="4E015D1E" w14:textId="77777777" w:rsidR="00480EDA" w:rsidRPr="00227EE0" w:rsidRDefault="00480EDA" w:rsidP="00480EDA"/>
          <w:p w14:paraId="2944F402" w14:textId="53764A34" w:rsidR="00480EDA" w:rsidRDefault="00480EDA" w:rsidP="00480EDA">
            <w:r>
              <w:t>243</w:t>
            </w:r>
            <w:r w:rsidRPr="00227EE0">
              <w:t>.00</w:t>
            </w:r>
          </w:p>
        </w:tc>
      </w:tr>
    </w:tbl>
    <w:p w14:paraId="50AD1219" w14:textId="77777777" w:rsidR="00A62A15" w:rsidRPr="00C36EE0" w:rsidRDefault="00A62A15" w:rsidP="00C36EE0">
      <w:pPr>
        <w:pStyle w:val="Heading2"/>
        <w:jc w:val="left"/>
        <w:rPr>
          <w:b w:val="0"/>
          <w:i/>
        </w:rPr>
        <w:sectPr w:rsidR="00A62A15" w:rsidRPr="00C36EE0" w:rsidSect="0036314F">
          <w:headerReference w:type="default" r:id="rId14"/>
          <w:pgSz w:w="11907" w:h="16840" w:code="9"/>
          <w:pgMar w:top="1440" w:right="1797" w:bottom="1560" w:left="1797" w:header="720" w:footer="720" w:gutter="0"/>
          <w:paperSrc w:first="264" w:other="264"/>
          <w:cols w:space="720"/>
        </w:sectPr>
      </w:pPr>
    </w:p>
    <w:tbl>
      <w:tblPr>
        <w:tblW w:w="954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69"/>
        <w:gridCol w:w="5512"/>
        <w:gridCol w:w="1384"/>
        <w:gridCol w:w="1384"/>
      </w:tblGrid>
      <w:tr w:rsidR="001D083E" w:rsidRPr="00652B7F" w14:paraId="457F9912" w14:textId="77777777" w:rsidTr="001D083E">
        <w:trPr>
          <w:trHeight w:val="368"/>
          <w:tblHeader/>
          <w:jc w:val="center"/>
        </w:trPr>
        <w:tc>
          <w:tcPr>
            <w:tcW w:w="1269" w:type="dxa"/>
            <w:tcBorders>
              <w:top w:val="nil"/>
              <w:bottom w:val="single" w:sz="12" w:space="0" w:color="auto"/>
            </w:tcBorders>
          </w:tcPr>
          <w:p w14:paraId="1A9C2925" w14:textId="77777777" w:rsidR="001D083E" w:rsidRPr="00652B7F" w:rsidRDefault="001D083E" w:rsidP="001221B5">
            <w:pPr>
              <w:pStyle w:val="Heading2"/>
              <w:spacing w:before="120"/>
              <w:jc w:val="left"/>
              <w:rPr>
                <w:sz w:val="22"/>
                <w:szCs w:val="22"/>
              </w:rPr>
            </w:pPr>
            <w:r>
              <w:lastRenderedPageBreak/>
              <w:br w:type="page"/>
            </w:r>
            <w:r w:rsidRPr="00652B7F">
              <w:rPr>
                <w:sz w:val="22"/>
                <w:szCs w:val="22"/>
              </w:rPr>
              <w:t xml:space="preserve">Column </w:t>
            </w:r>
            <w:r>
              <w:rPr>
                <w:sz w:val="22"/>
                <w:szCs w:val="22"/>
              </w:rPr>
              <w:t>1</w:t>
            </w:r>
          </w:p>
        </w:tc>
        <w:tc>
          <w:tcPr>
            <w:tcW w:w="5512" w:type="dxa"/>
            <w:tcBorders>
              <w:top w:val="nil"/>
              <w:bottom w:val="single" w:sz="12" w:space="0" w:color="auto"/>
            </w:tcBorders>
          </w:tcPr>
          <w:p w14:paraId="73E31EAB"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2</w:t>
            </w:r>
          </w:p>
        </w:tc>
        <w:tc>
          <w:tcPr>
            <w:tcW w:w="1384" w:type="dxa"/>
            <w:tcBorders>
              <w:top w:val="nil"/>
              <w:bottom w:val="single" w:sz="12" w:space="0" w:color="auto"/>
            </w:tcBorders>
          </w:tcPr>
          <w:p w14:paraId="6B1C8918" w14:textId="77777777" w:rsidR="001D083E" w:rsidRPr="00652B7F" w:rsidRDefault="001D083E" w:rsidP="001221B5">
            <w:pPr>
              <w:spacing w:before="120"/>
              <w:rPr>
                <w:b/>
                <w:bCs/>
                <w:sz w:val="22"/>
                <w:szCs w:val="22"/>
              </w:rPr>
            </w:pPr>
            <w:r w:rsidRPr="00652B7F">
              <w:rPr>
                <w:b/>
                <w:bCs/>
                <w:sz w:val="22"/>
                <w:szCs w:val="22"/>
              </w:rPr>
              <w:t xml:space="preserve">Column </w:t>
            </w:r>
            <w:r>
              <w:rPr>
                <w:b/>
                <w:bCs/>
                <w:sz w:val="22"/>
                <w:szCs w:val="22"/>
              </w:rPr>
              <w:t>3</w:t>
            </w:r>
          </w:p>
        </w:tc>
        <w:tc>
          <w:tcPr>
            <w:tcW w:w="1384" w:type="dxa"/>
            <w:tcBorders>
              <w:top w:val="nil"/>
              <w:bottom w:val="single" w:sz="12" w:space="0" w:color="auto"/>
            </w:tcBorders>
          </w:tcPr>
          <w:p w14:paraId="40C44B0A" w14:textId="77777777" w:rsidR="001D083E" w:rsidRPr="00652B7F" w:rsidRDefault="001D083E" w:rsidP="001221B5">
            <w:pPr>
              <w:spacing w:before="120"/>
              <w:rPr>
                <w:b/>
                <w:bCs/>
                <w:sz w:val="22"/>
                <w:szCs w:val="22"/>
              </w:rPr>
            </w:pPr>
            <w:r>
              <w:rPr>
                <w:b/>
                <w:bCs/>
                <w:sz w:val="22"/>
                <w:szCs w:val="22"/>
              </w:rPr>
              <w:t>Column 4</w:t>
            </w:r>
          </w:p>
        </w:tc>
      </w:tr>
      <w:tr w:rsidR="001D083E" w:rsidRPr="00652B7F" w14:paraId="1CAE3D4D" w14:textId="77777777" w:rsidTr="001D083E">
        <w:trPr>
          <w:trHeight w:val="813"/>
          <w:tblHeader/>
          <w:jc w:val="center"/>
        </w:trPr>
        <w:tc>
          <w:tcPr>
            <w:tcW w:w="1269" w:type="dxa"/>
            <w:tcBorders>
              <w:top w:val="single" w:sz="12" w:space="0" w:color="auto"/>
              <w:bottom w:val="single" w:sz="12" w:space="0" w:color="auto"/>
            </w:tcBorders>
          </w:tcPr>
          <w:p w14:paraId="4B202A98" w14:textId="77777777" w:rsidR="001D083E" w:rsidRPr="00652B7F" w:rsidRDefault="001D083E" w:rsidP="001221B5">
            <w:pPr>
              <w:pStyle w:val="Heading2"/>
              <w:jc w:val="left"/>
              <w:rPr>
                <w:sz w:val="22"/>
                <w:szCs w:val="22"/>
              </w:rPr>
            </w:pPr>
            <w:r w:rsidRPr="00652B7F">
              <w:rPr>
                <w:sz w:val="22"/>
                <w:szCs w:val="22"/>
              </w:rPr>
              <w:t xml:space="preserve">Relevant </w:t>
            </w:r>
            <w:r>
              <w:rPr>
                <w:sz w:val="22"/>
                <w:szCs w:val="22"/>
              </w:rPr>
              <w:t>S</w:t>
            </w:r>
            <w:r w:rsidRPr="00652B7F">
              <w:rPr>
                <w:sz w:val="22"/>
                <w:szCs w:val="22"/>
              </w:rPr>
              <w:t>ection of Act</w:t>
            </w:r>
          </w:p>
        </w:tc>
        <w:tc>
          <w:tcPr>
            <w:tcW w:w="5512" w:type="dxa"/>
            <w:tcBorders>
              <w:top w:val="single" w:sz="12" w:space="0" w:color="auto"/>
              <w:bottom w:val="single" w:sz="12" w:space="0" w:color="auto"/>
            </w:tcBorders>
          </w:tcPr>
          <w:p w14:paraId="2C0EE801" w14:textId="77777777" w:rsidR="001D083E" w:rsidRPr="00652B7F" w:rsidRDefault="001D083E" w:rsidP="001221B5">
            <w:pPr>
              <w:rPr>
                <w:b/>
                <w:bCs/>
                <w:sz w:val="22"/>
                <w:szCs w:val="22"/>
              </w:rPr>
            </w:pPr>
            <w:r w:rsidRPr="00652B7F">
              <w:rPr>
                <w:b/>
                <w:bCs/>
                <w:sz w:val="22"/>
                <w:szCs w:val="22"/>
              </w:rPr>
              <w:t>Description of Matter for which Fee is Payable</w:t>
            </w:r>
          </w:p>
        </w:tc>
        <w:tc>
          <w:tcPr>
            <w:tcW w:w="1384" w:type="dxa"/>
            <w:tcBorders>
              <w:top w:val="single" w:sz="12" w:space="0" w:color="auto"/>
              <w:bottom w:val="single" w:sz="12" w:space="0" w:color="auto"/>
            </w:tcBorders>
          </w:tcPr>
          <w:p w14:paraId="52E73F96" w14:textId="77777777" w:rsidR="001D083E" w:rsidRDefault="001D083E" w:rsidP="003E3E29">
            <w:pPr>
              <w:ind w:left="34" w:hanging="34"/>
              <w:rPr>
                <w:b/>
                <w:bCs/>
                <w:sz w:val="22"/>
                <w:szCs w:val="22"/>
              </w:rPr>
            </w:pPr>
            <w:r>
              <w:rPr>
                <w:b/>
                <w:bCs/>
                <w:sz w:val="22"/>
                <w:szCs w:val="22"/>
              </w:rPr>
              <w:t>Previous Fee</w:t>
            </w:r>
          </w:p>
          <w:p w14:paraId="0C7F3370" w14:textId="77777777" w:rsidR="00B249DC" w:rsidRPr="00652B7F" w:rsidRDefault="00B249DC" w:rsidP="003E3E29">
            <w:pPr>
              <w:ind w:left="34" w:hanging="34"/>
              <w:rPr>
                <w:b/>
                <w:bCs/>
                <w:sz w:val="22"/>
                <w:szCs w:val="22"/>
              </w:rPr>
            </w:pPr>
            <w:r>
              <w:rPr>
                <w:b/>
                <w:bCs/>
                <w:sz w:val="22"/>
                <w:szCs w:val="22"/>
              </w:rPr>
              <w:t>(GST exempt)</w:t>
            </w:r>
          </w:p>
        </w:tc>
        <w:tc>
          <w:tcPr>
            <w:tcW w:w="1384" w:type="dxa"/>
            <w:tcBorders>
              <w:top w:val="single" w:sz="12" w:space="0" w:color="auto"/>
              <w:bottom w:val="single" w:sz="12" w:space="0" w:color="auto"/>
            </w:tcBorders>
          </w:tcPr>
          <w:p w14:paraId="06E51048" w14:textId="77777777" w:rsidR="001D083E" w:rsidRPr="00652B7F" w:rsidRDefault="001D083E" w:rsidP="001221B5">
            <w:pPr>
              <w:rPr>
                <w:b/>
                <w:bCs/>
                <w:sz w:val="22"/>
                <w:szCs w:val="22"/>
              </w:rPr>
            </w:pPr>
            <w:r>
              <w:rPr>
                <w:b/>
                <w:bCs/>
                <w:sz w:val="22"/>
                <w:szCs w:val="22"/>
              </w:rPr>
              <w:t>Fee from 1 July 2019</w:t>
            </w:r>
            <w:r w:rsidR="00B249DC">
              <w:rPr>
                <w:b/>
                <w:bCs/>
                <w:sz w:val="22"/>
                <w:szCs w:val="22"/>
              </w:rPr>
              <w:t xml:space="preserve"> (GST exempt)</w:t>
            </w:r>
          </w:p>
        </w:tc>
      </w:tr>
      <w:tr w:rsidR="00480EDA" w14:paraId="356A9B65" w14:textId="77777777" w:rsidTr="001D083E">
        <w:trPr>
          <w:trHeight w:val="874"/>
          <w:tblHeader/>
          <w:jc w:val="center"/>
        </w:trPr>
        <w:tc>
          <w:tcPr>
            <w:tcW w:w="1269" w:type="dxa"/>
            <w:tcBorders>
              <w:right w:val="nil"/>
            </w:tcBorders>
          </w:tcPr>
          <w:p w14:paraId="63726DB7" w14:textId="77777777" w:rsidR="00480EDA" w:rsidRDefault="00480EDA" w:rsidP="00480EDA">
            <w:r>
              <w:t>25(5)</w:t>
            </w:r>
          </w:p>
        </w:tc>
        <w:tc>
          <w:tcPr>
            <w:tcW w:w="5512" w:type="dxa"/>
            <w:tcBorders>
              <w:left w:val="nil"/>
              <w:right w:val="nil"/>
            </w:tcBorders>
          </w:tcPr>
          <w:p w14:paraId="37E7EEE8" w14:textId="143BA145" w:rsidR="00480EDA" w:rsidRDefault="00480EDA" w:rsidP="00480EDA">
            <w:pPr>
              <w:pStyle w:val="Header"/>
              <w:tabs>
                <w:tab w:val="clear" w:pos="4153"/>
                <w:tab w:val="clear" w:pos="8306"/>
              </w:tabs>
            </w:pPr>
            <w:r>
              <w:t>Fee payable where an authorisation is required to make inquiries about an influential shareholder</w:t>
            </w:r>
          </w:p>
          <w:p w14:paraId="57C5038F" w14:textId="77777777" w:rsidR="00480EDA" w:rsidRDefault="00480EDA" w:rsidP="00480EDA">
            <w:pPr>
              <w:pStyle w:val="Header"/>
              <w:tabs>
                <w:tab w:val="clear" w:pos="4153"/>
                <w:tab w:val="clear" w:pos="8306"/>
              </w:tabs>
            </w:pPr>
          </w:p>
        </w:tc>
        <w:tc>
          <w:tcPr>
            <w:tcW w:w="1384" w:type="dxa"/>
            <w:tcBorders>
              <w:left w:val="nil"/>
            </w:tcBorders>
          </w:tcPr>
          <w:p w14:paraId="3C267784" w14:textId="3550321B" w:rsidR="00480EDA" w:rsidRPr="004F1D13" w:rsidRDefault="00480EDA" w:rsidP="00480EDA">
            <w:r w:rsidRPr="00BA74E9">
              <w:t>239.00</w:t>
            </w:r>
          </w:p>
        </w:tc>
        <w:tc>
          <w:tcPr>
            <w:tcW w:w="1384" w:type="dxa"/>
            <w:tcBorders>
              <w:left w:val="nil"/>
            </w:tcBorders>
          </w:tcPr>
          <w:p w14:paraId="2AC3D261" w14:textId="157C9A5B" w:rsidR="00480EDA" w:rsidRDefault="00480EDA" w:rsidP="00480EDA">
            <w:r>
              <w:t>243</w:t>
            </w:r>
            <w:r w:rsidRPr="00227EE0">
              <w:t>.00</w:t>
            </w:r>
          </w:p>
        </w:tc>
      </w:tr>
      <w:tr w:rsidR="00480EDA" w14:paraId="74210ABE" w14:textId="77777777" w:rsidTr="001D083E">
        <w:trPr>
          <w:trHeight w:val="874"/>
          <w:tblHeader/>
          <w:jc w:val="center"/>
        </w:trPr>
        <w:tc>
          <w:tcPr>
            <w:tcW w:w="1269" w:type="dxa"/>
            <w:tcBorders>
              <w:right w:val="nil"/>
            </w:tcBorders>
          </w:tcPr>
          <w:p w14:paraId="55D84875" w14:textId="77777777" w:rsidR="00480EDA" w:rsidRDefault="00480EDA" w:rsidP="00480EDA">
            <w:r>
              <w:t>26(1)</w:t>
            </w:r>
          </w:p>
        </w:tc>
        <w:tc>
          <w:tcPr>
            <w:tcW w:w="5512" w:type="dxa"/>
            <w:tcBorders>
              <w:left w:val="nil"/>
              <w:right w:val="nil"/>
            </w:tcBorders>
          </w:tcPr>
          <w:p w14:paraId="459C4D23" w14:textId="523D95DE" w:rsidR="00480EDA" w:rsidRDefault="00480EDA" w:rsidP="00480EDA">
            <w:pPr>
              <w:pStyle w:val="Header"/>
              <w:tabs>
                <w:tab w:val="clear" w:pos="4153"/>
                <w:tab w:val="clear" w:pos="8306"/>
              </w:tabs>
            </w:pPr>
            <w:r>
              <w:t>Annual fee payable for a sports bookmaking licence, commencing 1 July, or pro rata thereof</w:t>
            </w:r>
          </w:p>
        </w:tc>
        <w:tc>
          <w:tcPr>
            <w:tcW w:w="1384" w:type="dxa"/>
            <w:tcBorders>
              <w:left w:val="nil"/>
            </w:tcBorders>
          </w:tcPr>
          <w:p w14:paraId="18481CF2" w14:textId="34474DC4" w:rsidR="00480EDA" w:rsidRPr="004F1D13" w:rsidRDefault="00480EDA" w:rsidP="00480EDA">
            <w:r w:rsidRPr="00BA74E9">
              <w:t>15,686.00</w:t>
            </w:r>
          </w:p>
        </w:tc>
        <w:tc>
          <w:tcPr>
            <w:tcW w:w="1384" w:type="dxa"/>
            <w:tcBorders>
              <w:left w:val="nil"/>
            </w:tcBorders>
          </w:tcPr>
          <w:p w14:paraId="218B329A" w14:textId="683A6142" w:rsidR="00480EDA" w:rsidRDefault="00480EDA" w:rsidP="00480EDA">
            <w:r w:rsidRPr="00227EE0">
              <w:t>1</w:t>
            </w:r>
            <w:r>
              <w:t>5,999</w:t>
            </w:r>
            <w:r w:rsidRPr="00227EE0">
              <w:t>.00</w:t>
            </w:r>
          </w:p>
        </w:tc>
      </w:tr>
      <w:tr w:rsidR="00480EDA" w14:paraId="45B41000" w14:textId="77777777" w:rsidTr="001D083E">
        <w:trPr>
          <w:trHeight w:val="874"/>
          <w:tblHeader/>
          <w:jc w:val="center"/>
        </w:trPr>
        <w:tc>
          <w:tcPr>
            <w:tcW w:w="1269" w:type="dxa"/>
            <w:tcBorders>
              <w:right w:val="nil"/>
            </w:tcBorders>
          </w:tcPr>
          <w:p w14:paraId="32A62232" w14:textId="77777777" w:rsidR="00480EDA" w:rsidRDefault="00480EDA" w:rsidP="00480EDA">
            <w:r>
              <w:t>34(1)</w:t>
            </w:r>
          </w:p>
        </w:tc>
        <w:tc>
          <w:tcPr>
            <w:tcW w:w="5512" w:type="dxa"/>
            <w:tcBorders>
              <w:left w:val="nil"/>
              <w:right w:val="nil"/>
            </w:tcBorders>
          </w:tcPr>
          <w:p w14:paraId="2A7AA5B7" w14:textId="0683B773" w:rsidR="00480EDA" w:rsidRDefault="00480EDA" w:rsidP="00480EDA">
            <w:pPr>
              <w:pStyle w:val="Header"/>
              <w:tabs>
                <w:tab w:val="clear" w:pos="4153"/>
                <w:tab w:val="clear" w:pos="8306"/>
              </w:tabs>
            </w:pPr>
            <w:r>
              <w:t>Application to the Commission for a sports bookmaker’s agent licence</w:t>
            </w:r>
          </w:p>
          <w:p w14:paraId="3E34373F" w14:textId="77777777" w:rsidR="00480EDA" w:rsidRDefault="00480EDA" w:rsidP="00480EDA">
            <w:pPr>
              <w:pStyle w:val="Header"/>
              <w:tabs>
                <w:tab w:val="clear" w:pos="4153"/>
                <w:tab w:val="clear" w:pos="8306"/>
              </w:tabs>
            </w:pPr>
          </w:p>
        </w:tc>
        <w:tc>
          <w:tcPr>
            <w:tcW w:w="1384" w:type="dxa"/>
            <w:tcBorders>
              <w:left w:val="nil"/>
            </w:tcBorders>
          </w:tcPr>
          <w:p w14:paraId="74383696" w14:textId="062176EB" w:rsidR="00480EDA" w:rsidRPr="004F1D13" w:rsidRDefault="00480EDA" w:rsidP="00480EDA">
            <w:r w:rsidRPr="00BA74E9">
              <w:t>239.00</w:t>
            </w:r>
          </w:p>
        </w:tc>
        <w:tc>
          <w:tcPr>
            <w:tcW w:w="1384" w:type="dxa"/>
            <w:tcBorders>
              <w:left w:val="nil"/>
            </w:tcBorders>
          </w:tcPr>
          <w:p w14:paraId="2B931C5E" w14:textId="22B216C4" w:rsidR="00480EDA" w:rsidRDefault="00480EDA" w:rsidP="00480EDA">
            <w:r>
              <w:t>243</w:t>
            </w:r>
            <w:r w:rsidRPr="00227EE0">
              <w:t>.00</w:t>
            </w:r>
          </w:p>
        </w:tc>
      </w:tr>
      <w:tr w:rsidR="00480EDA" w14:paraId="2CB3D933" w14:textId="77777777" w:rsidTr="001D083E">
        <w:trPr>
          <w:trHeight w:val="874"/>
          <w:tblHeader/>
          <w:jc w:val="center"/>
        </w:trPr>
        <w:tc>
          <w:tcPr>
            <w:tcW w:w="1269" w:type="dxa"/>
            <w:tcBorders>
              <w:right w:val="nil"/>
            </w:tcBorders>
          </w:tcPr>
          <w:p w14:paraId="27D69F47" w14:textId="77777777" w:rsidR="00480EDA" w:rsidRDefault="00480EDA" w:rsidP="00480EDA">
            <w:r>
              <w:t>35(1)</w:t>
            </w:r>
          </w:p>
        </w:tc>
        <w:tc>
          <w:tcPr>
            <w:tcW w:w="5512" w:type="dxa"/>
            <w:tcBorders>
              <w:left w:val="nil"/>
              <w:right w:val="nil"/>
            </w:tcBorders>
          </w:tcPr>
          <w:p w14:paraId="4386F65C" w14:textId="77777777" w:rsidR="00480EDA" w:rsidRDefault="00480EDA" w:rsidP="00480EDA">
            <w:pPr>
              <w:pStyle w:val="Header"/>
              <w:tabs>
                <w:tab w:val="clear" w:pos="4153"/>
                <w:tab w:val="clear" w:pos="8306"/>
              </w:tabs>
            </w:pPr>
            <w:r>
              <w:t>Annual fee payable for a sports bookmaker’s agent licence, commencing 1 July, or for any part of a year for which the licence is issued</w:t>
            </w:r>
          </w:p>
          <w:p w14:paraId="6FA92102" w14:textId="66ED9556" w:rsidR="00480EDA" w:rsidRDefault="00480EDA" w:rsidP="00480EDA">
            <w:pPr>
              <w:pStyle w:val="Header"/>
              <w:tabs>
                <w:tab w:val="clear" w:pos="4153"/>
                <w:tab w:val="clear" w:pos="8306"/>
              </w:tabs>
            </w:pPr>
          </w:p>
        </w:tc>
        <w:tc>
          <w:tcPr>
            <w:tcW w:w="1384" w:type="dxa"/>
            <w:tcBorders>
              <w:left w:val="nil"/>
            </w:tcBorders>
          </w:tcPr>
          <w:p w14:paraId="46644F19" w14:textId="264C98FF" w:rsidR="00480EDA" w:rsidRPr="004F1D13" w:rsidRDefault="00480EDA" w:rsidP="00480EDA">
            <w:r w:rsidRPr="00BA74E9">
              <w:t>36.00</w:t>
            </w:r>
          </w:p>
        </w:tc>
        <w:tc>
          <w:tcPr>
            <w:tcW w:w="1384" w:type="dxa"/>
            <w:tcBorders>
              <w:left w:val="nil"/>
            </w:tcBorders>
          </w:tcPr>
          <w:p w14:paraId="113B5836" w14:textId="2520255C" w:rsidR="00480EDA" w:rsidRDefault="00480EDA" w:rsidP="00480EDA">
            <w:r w:rsidRPr="00227EE0">
              <w:t>3</w:t>
            </w:r>
            <w:r>
              <w:t>6</w:t>
            </w:r>
            <w:r w:rsidRPr="00227EE0">
              <w:t>.00</w:t>
            </w:r>
          </w:p>
        </w:tc>
      </w:tr>
      <w:tr w:rsidR="00480EDA" w:rsidRPr="0036314F" w14:paraId="68460327" w14:textId="77777777" w:rsidTr="001D083E">
        <w:trPr>
          <w:trHeight w:val="874"/>
          <w:tblHeader/>
          <w:jc w:val="center"/>
        </w:trPr>
        <w:tc>
          <w:tcPr>
            <w:tcW w:w="1269" w:type="dxa"/>
            <w:tcBorders>
              <w:right w:val="nil"/>
            </w:tcBorders>
          </w:tcPr>
          <w:p w14:paraId="0AA03B3E" w14:textId="77777777" w:rsidR="00480EDA" w:rsidRPr="0036314F" w:rsidRDefault="00480EDA" w:rsidP="00480EDA">
            <w:r>
              <w:t>44(1)</w:t>
            </w:r>
          </w:p>
        </w:tc>
        <w:tc>
          <w:tcPr>
            <w:tcW w:w="5512" w:type="dxa"/>
            <w:tcBorders>
              <w:left w:val="nil"/>
              <w:right w:val="nil"/>
            </w:tcBorders>
          </w:tcPr>
          <w:p w14:paraId="400D7877" w14:textId="780F1CE1" w:rsidR="00480EDA" w:rsidRDefault="00480EDA" w:rsidP="00480EDA">
            <w:r>
              <w:t>Replacement of a licence</w:t>
            </w:r>
          </w:p>
          <w:p w14:paraId="5FD336E2" w14:textId="77777777" w:rsidR="00480EDA" w:rsidRPr="0036314F" w:rsidRDefault="00480EDA" w:rsidP="00480EDA"/>
        </w:tc>
        <w:tc>
          <w:tcPr>
            <w:tcW w:w="1384" w:type="dxa"/>
            <w:tcBorders>
              <w:left w:val="nil"/>
            </w:tcBorders>
          </w:tcPr>
          <w:p w14:paraId="44ED6B25" w14:textId="365B8EA6" w:rsidR="00480EDA" w:rsidRPr="004F1D13" w:rsidRDefault="00480EDA" w:rsidP="00480EDA">
            <w:r w:rsidRPr="00BA74E9">
              <w:t>36.00</w:t>
            </w:r>
          </w:p>
        </w:tc>
        <w:tc>
          <w:tcPr>
            <w:tcW w:w="1384" w:type="dxa"/>
            <w:tcBorders>
              <w:left w:val="nil"/>
            </w:tcBorders>
          </w:tcPr>
          <w:p w14:paraId="63344B9F" w14:textId="5D461130" w:rsidR="00480EDA" w:rsidRDefault="00480EDA" w:rsidP="00480EDA">
            <w:r w:rsidRPr="00227EE0">
              <w:t>3</w:t>
            </w:r>
            <w:r>
              <w:t>6</w:t>
            </w:r>
            <w:r w:rsidRPr="00227EE0">
              <w:t>.00</w:t>
            </w:r>
          </w:p>
        </w:tc>
      </w:tr>
      <w:tr w:rsidR="00480EDA" w14:paraId="064C31DB" w14:textId="77777777" w:rsidTr="001D083E">
        <w:trPr>
          <w:trHeight w:val="874"/>
          <w:tblHeader/>
          <w:jc w:val="center"/>
        </w:trPr>
        <w:tc>
          <w:tcPr>
            <w:tcW w:w="1269" w:type="dxa"/>
            <w:tcBorders>
              <w:right w:val="nil"/>
            </w:tcBorders>
          </w:tcPr>
          <w:p w14:paraId="60F3DAB0" w14:textId="77777777" w:rsidR="00480EDA" w:rsidRPr="00A01B5F" w:rsidRDefault="00480EDA" w:rsidP="00480EDA">
            <w:pPr>
              <w:rPr>
                <w:szCs w:val="24"/>
              </w:rPr>
            </w:pPr>
            <w:r>
              <w:t>80(5)</w:t>
            </w:r>
          </w:p>
        </w:tc>
        <w:tc>
          <w:tcPr>
            <w:tcW w:w="5512" w:type="dxa"/>
            <w:tcBorders>
              <w:left w:val="nil"/>
              <w:right w:val="nil"/>
            </w:tcBorders>
          </w:tcPr>
          <w:p w14:paraId="061984E2" w14:textId="33843F54" w:rsidR="00480EDA" w:rsidRDefault="00480EDA" w:rsidP="00480EDA">
            <w:r>
              <w:t>The fee payable where an authorisation is required to make inquiries about from an incoming member of a syndicate or director of a corporation that holds a sports bookmaking licence</w:t>
            </w:r>
          </w:p>
          <w:p w14:paraId="1C0B77A5" w14:textId="77777777" w:rsidR="00480EDA" w:rsidRPr="00A01B5F" w:rsidRDefault="00480EDA" w:rsidP="00480EDA">
            <w:pPr>
              <w:rPr>
                <w:szCs w:val="24"/>
              </w:rPr>
            </w:pPr>
          </w:p>
        </w:tc>
        <w:tc>
          <w:tcPr>
            <w:tcW w:w="1384" w:type="dxa"/>
            <w:tcBorders>
              <w:left w:val="nil"/>
            </w:tcBorders>
          </w:tcPr>
          <w:p w14:paraId="7EF9A87D" w14:textId="54C28B98" w:rsidR="00480EDA" w:rsidRPr="004F1D13" w:rsidRDefault="00480EDA" w:rsidP="00480EDA">
            <w:pPr>
              <w:rPr>
                <w:szCs w:val="24"/>
              </w:rPr>
            </w:pPr>
            <w:r w:rsidRPr="00BA74E9">
              <w:rPr>
                <w:szCs w:val="24"/>
              </w:rPr>
              <w:t>239.00</w:t>
            </w:r>
          </w:p>
        </w:tc>
        <w:tc>
          <w:tcPr>
            <w:tcW w:w="1384" w:type="dxa"/>
            <w:tcBorders>
              <w:left w:val="nil"/>
            </w:tcBorders>
          </w:tcPr>
          <w:p w14:paraId="4AC1C26A" w14:textId="640E4550" w:rsidR="00480EDA" w:rsidRDefault="00480EDA" w:rsidP="00480EDA">
            <w:pPr>
              <w:rPr>
                <w:szCs w:val="24"/>
              </w:rPr>
            </w:pPr>
            <w:r>
              <w:t>243</w:t>
            </w:r>
            <w:r w:rsidRPr="00227EE0">
              <w:t>.00</w:t>
            </w:r>
          </w:p>
        </w:tc>
      </w:tr>
      <w:tr w:rsidR="00480EDA" w14:paraId="04CC9DAC" w14:textId="77777777" w:rsidTr="001D083E">
        <w:trPr>
          <w:trHeight w:val="874"/>
          <w:tblHeader/>
          <w:jc w:val="center"/>
        </w:trPr>
        <w:tc>
          <w:tcPr>
            <w:tcW w:w="1269" w:type="dxa"/>
            <w:tcBorders>
              <w:right w:val="nil"/>
            </w:tcBorders>
          </w:tcPr>
          <w:p w14:paraId="34214DC4" w14:textId="77777777" w:rsidR="00480EDA" w:rsidRDefault="00480EDA" w:rsidP="00480EDA">
            <w:r>
              <w:t>80(6)</w:t>
            </w:r>
          </w:p>
        </w:tc>
        <w:tc>
          <w:tcPr>
            <w:tcW w:w="5512" w:type="dxa"/>
            <w:tcBorders>
              <w:left w:val="nil"/>
              <w:right w:val="nil"/>
            </w:tcBorders>
          </w:tcPr>
          <w:p w14:paraId="7CB11C4F" w14:textId="74EC9F95" w:rsidR="00480EDA" w:rsidRDefault="00480EDA" w:rsidP="00480EDA">
            <w:r>
              <w:t>The fee payable where an authorisation is required to make inquiries about an incoming individual who has become an influential shareholder of a corporation that holds a sports bookmaking licence</w:t>
            </w:r>
          </w:p>
          <w:p w14:paraId="3198072C" w14:textId="77777777" w:rsidR="00480EDA" w:rsidRDefault="00480EDA" w:rsidP="00480EDA"/>
        </w:tc>
        <w:tc>
          <w:tcPr>
            <w:tcW w:w="1384" w:type="dxa"/>
            <w:tcBorders>
              <w:left w:val="nil"/>
            </w:tcBorders>
          </w:tcPr>
          <w:p w14:paraId="30580238" w14:textId="6890F3C4" w:rsidR="00480EDA" w:rsidRPr="004F1D13" w:rsidRDefault="00480EDA" w:rsidP="00480EDA">
            <w:pPr>
              <w:rPr>
                <w:szCs w:val="24"/>
              </w:rPr>
            </w:pPr>
            <w:r w:rsidRPr="00BA74E9">
              <w:rPr>
                <w:szCs w:val="24"/>
              </w:rPr>
              <w:t>239.00</w:t>
            </w:r>
          </w:p>
        </w:tc>
        <w:tc>
          <w:tcPr>
            <w:tcW w:w="1384" w:type="dxa"/>
            <w:tcBorders>
              <w:left w:val="nil"/>
            </w:tcBorders>
          </w:tcPr>
          <w:p w14:paraId="3B59F303" w14:textId="1285F6F7" w:rsidR="00480EDA" w:rsidRDefault="00480EDA" w:rsidP="00480EDA">
            <w:pPr>
              <w:rPr>
                <w:szCs w:val="24"/>
              </w:rPr>
            </w:pPr>
            <w:r>
              <w:t>243</w:t>
            </w:r>
            <w:r w:rsidRPr="00227EE0">
              <w:t>.00</w:t>
            </w:r>
          </w:p>
        </w:tc>
      </w:tr>
      <w:tr w:rsidR="00480EDA" w14:paraId="5F2E6E91" w14:textId="77777777" w:rsidTr="001D083E">
        <w:trPr>
          <w:trHeight w:val="874"/>
          <w:tblHeader/>
          <w:jc w:val="center"/>
        </w:trPr>
        <w:tc>
          <w:tcPr>
            <w:tcW w:w="1269" w:type="dxa"/>
            <w:tcBorders>
              <w:right w:val="nil"/>
            </w:tcBorders>
          </w:tcPr>
          <w:p w14:paraId="38C99252" w14:textId="77777777" w:rsidR="00480EDA" w:rsidRDefault="00480EDA" w:rsidP="00480EDA">
            <w:r>
              <w:t>80(7)</w:t>
            </w:r>
          </w:p>
        </w:tc>
        <w:tc>
          <w:tcPr>
            <w:tcW w:w="5512" w:type="dxa"/>
            <w:tcBorders>
              <w:left w:val="nil"/>
              <w:right w:val="nil"/>
            </w:tcBorders>
          </w:tcPr>
          <w:p w14:paraId="27FF2E87" w14:textId="07CA3C71" w:rsidR="00480EDA" w:rsidRDefault="00480EDA" w:rsidP="00480EDA">
            <w:r>
              <w:t>The fee payable where an authorisation is required to make inquiries about each director of an incoming corporation that has become an influential shareholder in relation to a corporation that holds a sports bookmaking licence</w:t>
            </w:r>
          </w:p>
          <w:p w14:paraId="03A8C99D" w14:textId="77777777" w:rsidR="00480EDA" w:rsidRDefault="00480EDA" w:rsidP="00480EDA"/>
        </w:tc>
        <w:tc>
          <w:tcPr>
            <w:tcW w:w="1384" w:type="dxa"/>
            <w:tcBorders>
              <w:left w:val="nil"/>
            </w:tcBorders>
          </w:tcPr>
          <w:p w14:paraId="7D4B33F8" w14:textId="6CCADB21" w:rsidR="00480EDA" w:rsidRPr="004F1D13" w:rsidRDefault="00480EDA" w:rsidP="00480EDA">
            <w:pPr>
              <w:rPr>
                <w:szCs w:val="24"/>
              </w:rPr>
            </w:pPr>
            <w:r w:rsidRPr="00BA74E9">
              <w:rPr>
                <w:szCs w:val="24"/>
              </w:rPr>
              <w:t>239.00</w:t>
            </w:r>
          </w:p>
        </w:tc>
        <w:tc>
          <w:tcPr>
            <w:tcW w:w="1384" w:type="dxa"/>
            <w:tcBorders>
              <w:left w:val="nil"/>
            </w:tcBorders>
          </w:tcPr>
          <w:p w14:paraId="4915AA2D" w14:textId="38602099" w:rsidR="00480EDA" w:rsidRDefault="00480EDA" w:rsidP="00480EDA">
            <w:pPr>
              <w:rPr>
                <w:szCs w:val="24"/>
              </w:rPr>
            </w:pPr>
            <w:r>
              <w:t>243</w:t>
            </w:r>
            <w:r w:rsidRPr="00227EE0">
              <w:t>.00</w:t>
            </w:r>
          </w:p>
        </w:tc>
      </w:tr>
    </w:tbl>
    <w:p w14:paraId="135491F0" w14:textId="77777777" w:rsidR="00A62A15" w:rsidRDefault="00A62A15"/>
    <w:p w14:paraId="2E6F4ED3" w14:textId="77777777" w:rsidR="00A62A15" w:rsidRDefault="00A62A15">
      <w:pPr>
        <w:ind w:left="720" w:hanging="720"/>
      </w:pPr>
    </w:p>
    <w:sectPr w:rsidR="00A62A15" w:rsidSect="00313F17">
      <w:headerReference w:type="default" r:id="rId15"/>
      <w:pgSz w:w="11907" w:h="16840" w:code="9"/>
      <w:pgMar w:top="1843" w:right="1797" w:bottom="992" w:left="1797"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9F72" w14:textId="77777777" w:rsidR="00DF2538" w:rsidRDefault="00DF2538">
      <w:r>
        <w:separator/>
      </w:r>
    </w:p>
  </w:endnote>
  <w:endnote w:type="continuationSeparator" w:id="0">
    <w:p w14:paraId="2F00C418" w14:textId="77777777" w:rsidR="00DF2538" w:rsidRDefault="00DF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540D" w14:textId="77777777" w:rsidR="00A209DF" w:rsidRDefault="00A20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9183" w14:textId="6589CF96" w:rsidR="00520639" w:rsidRPr="00A209DF" w:rsidRDefault="00A209DF" w:rsidP="00A209DF">
    <w:pPr>
      <w:pStyle w:val="Footer"/>
      <w:jc w:val="center"/>
      <w:rPr>
        <w:rFonts w:ascii="Arial" w:hAnsi="Arial" w:cs="Arial"/>
        <w:sz w:val="14"/>
      </w:rPr>
    </w:pPr>
    <w:r w:rsidRPr="00A209D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7791" w14:textId="77777777" w:rsidR="00A209DF" w:rsidRDefault="00A2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F169" w14:textId="77777777" w:rsidR="00DF2538" w:rsidRDefault="00DF2538">
      <w:r>
        <w:separator/>
      </w:r>
    </w:p>
  </w:footnote>
  <w:footnote w:type="continuationSeparator" w:id="0">
    <w:p w14:paraId="4D3E1DB8" w14:textId="77777777" w:rsidR="00DF2538" w:rsidRDefault="00DF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388A" w14:textId="77777777" w:rsidR="00A209DF" w:rsidRDefault="00A20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5AEF5" w14:textId="77777777" w:rsidR="00A209DF" w:rsidRDefault="00A20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4DB6" w14:textId="77777777" w:rsidR="00A209DF" w:rsidRDefault="00A20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9B08" w14:textId="77777777" w:rsidR="00ED595D" w:rsidRDefault="00ED595D">
    <w:pPr>
      <w:pStyle w:val="Header"/>
      <w:jc w:val="center"/>
      <w:rPr>
        <w:b/>
        <w:bCs/>
        <w:sz w:val="22"/>
        <w:szCs w:val="22"/>
      </w:rPr>
    </w:pPr>
    <w:r w:rsidRPr="001221B5">
      <w:rPr>
        <w:b/>
        <w:bCs/>
        <w:sz w:val="22"/>
        <w:szCs w:val="22"/>
      </w:rPr>
      <w:t xml:space="preserve">This is page </w:t>
    </w:r>
    <w:r>
      <w:rPr>
        <w:rStyle w:val="PageNumber"/>
        <w:b/>
        <w:bCs/>
        <w:sz w:val="22"/>
        <w:szCs w:val="22"/>
      </w:rPr>
      <w:t>1 of 2</w:t>
    </w:r>
    <w:r w:rsidRPr="001221B5">
      <w:rPr>
        <w:rStyle w:val="PageNumber"/>
        <w:b/>
        <w:bCs/>
        <w:sz w:val="22"/>
        <w:szCs w:val="22"/>
      </w:rPr>
      <w:t xml:space="preserve"> pages of the </w:t>
    </w:r>
    <w:r w:rsidRPr="001221B5">
      <w:rPr>
        <w:b/>
        <w:bCs/>
        <w:sz w:val="22"/>
        <w:szCs w:val="22"/>
      </w:rPr>
      <w:t>Attachment to the Explanatory Stateme</w:t>
    </w:r>
    <w:r>
      <w:rPr>
        <w:b/>
        <w:bCs/>
        <w:sz w:val="22"/>
        <w:szCs w:val="22"/>
      </w:rPr>
      <w:t>nt to the</w:t>
    </w:r>
  </w:p>
  <w:p w14:paraId="23C97AEB" w14:textId="590F1969" w:rsidR="00ED595D" w:rsidRPr="001221B5" w:rsidRDefault="00ED595D">
    <w:pPr>
      <w:pStyle w:val="Header"/>
      <w:jc w:val="center"/>
      <w:rPr>
        <w:rStyle w:val="PageNumber"/>
        <w:b/>
        <w:bCs/>
        <w:sz w:val="22"/>
        <w:szCs w:val="22"/>
      </w:rPr>
    </w:pPr>
    <w:r w:rsidRPr="001221B5">
      <w:rPr>
        <w:b/>
        <w:bCs/>
        <w:i/>
        <w:iCs/>
        <w:sz w:val="22"/>
        <w:szCs w:val="22"/>
      </w:rPr>
      <w:t xml:space="preserve">Race and Sports Bookmaking (Fees) </w:t>
    </w:r>
    <w:r w:rsidRPr="009C04F7">
      <w:rPr>
        <w:b/>
        <w:bCs/>
        <w:i/>
        <w:iCs/>
        <w:sz w:val="22"/>
        <w:szCs w:val="22"/>
      </w:rPr>
      <w:t xml:space="preserve">Determination </w:t>
    </w:r>
    <w:r w:rsidR="00A9519E">
      <w:rPr>
        <w:b/>
        <w:bCs/>
        <w:i/>
        <w:iCs/>
        <w:sz w:val="22"/>
        <w:szCs w:val="22"/>
      </w:rPr>
      <w:t>20</w:t>
    </w:r>
    <w:r w:rsidR="000B7B06">
      <w:rPr>
        <w:b/>
        <w:bCs/>
        <w:i/>
        <w:iCs/>
        <w:sz w:val="22"/>
        <w:szCs w:val="22"/>
      </w:rPr>
      <w:t>20</w:t>
    </w:r>
  </w:p>
  <w:p w14:paraId="037D4A57" w14:textId="77777777" w:rsidR="00ED595D" w:rsidRDefault="00ED595D">
    <w:pPr>
      <w:pStyle w:val="Header"/>
      <w:jc w:val="center"/>
      <w:rPr>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FC93" w14:textId="77777777" w:rsidR="00ED595D" w:rsidRDefault="00ED595D">
    <w:pPr>
      <w:pStyle w:val="Header"/>
      <w:jc w:val="center"/>
      <w:rPr>
        <w:b/>
        <w:bCs/>
        <w:sz w:val="22"/>
        <w:szCs w:val="22"/>
      </w:rPr>
    </w:pPr>
    <w:r w:rsidRPr="001221B5">
      <w:rPr>
        <w:b/>
        <w:bCs/>
        <w:sz w:val="22"/>
        <w:szCs w:val="22"/>
      </w:rPr>
      <w:t xml:space="preserve">This is page </w:t>
    </w:r>
    <w:r>
      <w:rPr>
        <w:rStyle w:val="PageNumber"/>
        <w:b/>
        <w:bCs/>
        <w:sz w:val="22"/>
        <w:szCs w:val="22"/>
      </w:rPr>
      <w:t>2</w:t>
    </w:r>
    <w:r w:rsidRPr="001221B5">
      <w:rPr>
        <w:rStyle w:val="PageNumber"/>
        <w:b/>
        <w:bCs/>
        <w:sz w:val="22"/>
        <w:szCs w:val="22"/>
      </w:rPr>
      <w:t xml:space="preserve"> of </w:t>
    </w:r>
    <w:r>
      <w:rPr>
        <w:rStyle w:val="PageNumber"/>
        <w:b/>
        <w:bCs/>
        <w:sz w:val="22"/>
        <w:szCs w:val="22"/>
      </w:rPr>
      <w:t>2</w:t>
    </w:r>
    <w:r w:rsidRPr="001221B5">
      <w:rPr>
        <w:rStyle w:val="PageNumber"/>
        <w:b/>
        <w:bCs/>
        <w:sz w:val="22"/>
        <w:szCs w:val="22"/>
      </w:rPr>
      <w:t xml:space="preserve"> pages of the </w:t>
    </w:r>
    <w:r w:rsidRPr="001221B5">
      <w:rPr>
        <w:b/>
        <w:bCs/>
        <w:sz w:val="22"/>
        <w:szCs w:val="22"/>
      </w:rPr>
      <w:t>Attachment to t</w:t>
    </w:r>
    <w:r>
      <w:rPr>
        <w:b/>
        <w:bCs/>
        <w:sz w:val="22"/>
        <w:szCs w:val="22"/>
      </w:rPr>
      <w:t>he Explanatory Statement to the</w:t>
    </w:r>
  </w:p>
  <w:p w14:paraId="63AC5869" w14:textId="5E4733DE" w:rsidR="00ED595D" w:rsidRPr="001221B5" w:rsidRDefault="00ED595D">
    <w:pPr>
      <w:pStyle w:val="Header"/>
      <w:jc w:val="center"/>
      <w:rPr>
        <w:rStyle w:val="PageNumber"/>
        <w:b/>
        <w:bCs/>
        <w:sz w:val="22"/>
        <w:szCs w:val="22"/>
      </w:rPr>
    </w:pPr>
    <w:r w:rsidRPr="001221B5">
      <w:rPr>
        <w:b/>
        <w:bCs/>
        <w:i/>
        <w:iCs/>
        <w:sz w:val="22"/>
        <w:szCs w:val="22"/>
      </w:rPr>
      <w:t xml:space="preserve">Race and Sports Bookmaking (Fees) Determination </w:t>
    </w:r>
    <w:r w:rsidR="00A9519E">
      <w:rPr>
        <w:b/>
        <w:bCs/>
        <w:i/>
        <w:iCs/>
        <w:sz w:val="22"/>
        <w:szCs w:val="22"/>
      </w:rPr>
      <w:t>20</w:t>
    </w:r>
    <w:r w:rsidR="000B7B06">
      <w:rPr>
        <w:b/>
        <w:bCs/>
        <w:i/>
        <w:iCs/>
        <w:sz w:val="22"/>
        <w:szCs w:val="22"/>
      </w:rPr>
      <w:t>20</w:t>
    </w:r>
  </w:p>
  <w:p w14:paraId="65C89925" w14:textId="77777777" w:rsidR="00ED595D" w:rsidRDefault="00ED595D">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1856"/>
    <w:multiLevelType w:val="hybridMultilevel"/>
    <w:tmpl w:val="9A206140"/>
    <w:lvl w:ilvl="0" w:tplc="55E81170">
      <w:start w:val="1"/>
      <w:numFmt w:val="bullet"/>
      <w:lvlText w:val=""/>
      <w:lvlJc w:val="left"/>
      <w:pPr>
        <w:tabs>
          <w:tab w:val="num" w:pos="927"/>
        </w:tabs>
        <w:ind w:left="851" w:hanging="284"/>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44227"/>
    <w:multiLevelType w:val="singleLevel"/>
    <w:tmpl w:val="06CE4688"/>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567478D1"/>
    <w:multiLevelType w:val="hybridMultilevel"/>
    <w:tmpl w:val="80EC864E"/>
    <w:lvl w:ilvl="0" w:tplc="04090001">
      <w:start w:val="27"/>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533DA"/>
    <w:multiLevelType w:val="hybridMultilevel"/>
    <w:tmpl w:val="FB9E77B0"/>
    <w:lvl w:ilvl="0" w:tplc="01E04D42">
      <w:start w:val="1"/>
      <w:numFmt w:val="decimal"/>
      <w:lvlText w:val="%1"/>
      <w:lvlJc w:val="left"/>
      <w:pPr>
        <w:tabs>
          <w:tab w:val="num" w:pos="1080"/>
        </w:tabs>
        <w:ind w:left="1080" w:hanging="10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E576B0B"/>
    <w:multiLevelType w:val="hybridMultilevel"/>
    <w:tmpl w:val="5282A6D6"/>
    <w:lvl w:ilvl="0" w:tplc="347A84E8">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0700D9"/>
    <w:multiLevelType w:val="singleLevel"/>
    <w:tmpl w:val="89D67AB6"/>
    <w:lvl w:ilvl="0">
      <w:start w:val="1"/>
      <w:numFmt w:val="lowerLetter"/>
      <w:lvlText w:val="%1)"/>
      <w:lvlJc w:val="left"/>
      <w:pPr>
        <w:tabs>
          <w:tab w:val="num" w:pos="1440"/>
        </w:tabs>
        <w:ind w:left="1440" w:hanging="720"/>
      </w:pPr>
      <w:rPr>
        <w:rFonts w:cs="Times New Roman" w:hint="default"/>
      </w:rPr>
    </w:lvl>
  </w:abstractNum>
  <w:abstractNum w:abstractNumId="6" w15:restartNumberingAfterBreak="0">
    <w:nsid w:val="6A824099"/>
    <w:multiLevelType w:val="hybridMultilevel"/>
    <w:tmpl w:val="DF567CD8"/>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FC409C2"/>
    <w:multiLevelType w:val="hybridMultilevel"/>
    <w:tmpl w:val="EC4CACB4"/>
    <w:lvl w:ilvl="0" w:tplc="01E04D42">
      <w:start w:val="1"/>
      <w:numFmt w:val="decimal"/>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052431B"/>
    <w:multiLevelType w:val="multilevel"/>
    <w:tmpl w:val="669039EC"/>
    <w:lvl w:ilvl="0">
      <w:start w:val="20"/>
      <w:numFmt w:val="decimal"/>
      <w:lvlText w:val="%1.0"/>
      <w:lvlJc w:val="left"/>
      <w:pPr>
        <w:tabs>
          <w:tab w:val="num" w:pos="360"/>
        </w:tabs>
        <w:ind w:left="360" w:hanging="360"/>
      </w:pPr>
      <w:rPr>
        <w:rFonts w:cs="Times New Roman" w:hint="default"/>
      </w:rPr>
    </w:lvl>
    <w:lvl w:ilvl="1">
      <w:start w:val="1"/>
      <w:numFmt w:val="decimalZero"/>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3"/>
  </w:num>
  <w:num w:numId="2">
    <w:abstractNumId w:val="6"/>
  </w:num>
  <w:num w:numId="3">
    <w:abstractNumId w:val="7"/>
  </w:num>
  <w:num w:numId="4">
    <w:abstractNumId w:val="4"/>
  </w:num>
  <w:num w:numId="5">
    <w:abstractNumId w:val="0"/>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20"/>
    <w:rsid w:val="000002CE"/>
    <w:rsid w:val="0001088F"/>
    <w:rsid w:val="00015A4E"/>
    <w:rsid w:val="000305D3"/>
    <w:rsid w:val="00034798"/>
    <w:rsid w:val="00072709"/>
    <w:rsid w:val="000743D0"/>
    <w:rsid w:val="000865A2"/>
    <w:rsid w:val="000929C5"/>
    <w:rsid w:val="000B3F55"/>
    <w:rsid w:val="000B5AC6"/>
    <w:rsid w:val="000B7B06"/>
    <w:rsid w:val="000D4147"/>
    <w:rsid w:val="00107E80"/>
    <w:rsid w:val="001146E2"/>
    <w:rsid w:val="001221B5"/>
    <w:rsid w:val="00130E82"/>
    <w:rsid w:val="00141100"/>
    <w:rsid w:val="00141A3D"/>
    <w:rsid w:val="00142D06"/>
    <w:rsid w:val="0015609E"/>
    <w:rsid w:val="00165F59"/>
    <w:rsid w:val="00170F91"/>
    <w:rsid w:val="0018486E"/>
    <w:rsid w:val="00187F73"/>
    <w:rsid w:val="00190165"/>
    <w:rsid w:val="00190523"/>
    <w:rsid w:val="001B2ADB"/>
    <w:rsid w:val="001B39F6"/>
    <w:rsid w:val="001B759F"/>
    <w:rsid w:val="001C6426"/>
    <w:rsid w:val="001C645D"/>
    <w:rsid w:val="001D083E"/>
    <w:rsid w:val="001D541F"/>
    <w:rsid w:val="001F6AA4"/>
    <w:rsid w:val="002038F8"/>
    <w:rsid w:val="00212CC5"/>
    <w:rsid w:val="002206B8"/>
    <w:rsid w:val="00224B6B"/>
    <w:rsid w:val="00262A41"/>
    <w:rsid w:val="0027719B"/>
    <w:rsid w:val="00285411"/>
    <w:rsid w:val="00293A8E"/>
    <w:rsid w:val="002A1855"/>
    <w:rsid w:val="002A7CF4"/>
    <w:rsid w:val="002D79E4"/>
    <w:rsid w:val="002E523C"/>
    <w:rsid w:val="00313F17"/>
    <w:rsid w:val="00345FD8"/>
    <w:rsid w:val="00362798"/>
    <w:rsid w:val="0036314F"/>
    <w:rsid w:val="0038230E"/>
    <w:rsid w:val="003B0E56"/>
    <w:rsid w:val="003C6D15"/>
    <w:rsid w:val="003D484F"/>
    <w:rsid w:val="003D5C06"/>
    <w:rsid w:val="003E3E29"/>
    <w:rsid w:val="003E5425"/>
    <w:rsid w:val="00412047"/>
    <w:rsid w:val="00415E83"/>
    <w:rsid w:val="0042083A"/>
    <w:rsid w:val="0045163C"/>
    <w:rsid w:val="0046455E"/>
    <w:rsid w:val="00480EDA"/>
    <w:rsid w:val="004D5A16"/>
    <w:rsid w:val="004E2306"/>
    <w:rsid w:val="004E6657"/>
    <w:rsid w:val="004F1D13"/>
    <w:rsid w:val="004F4F05"/>
    <w:rsid w:val="005102C1"/>
    <w:rsid w:val="0051078B"/>
    <w:rsid w:val="0051164A"/>
    <w:rsid w:val="00516024"/>
    <w:rsid w:val="00520639"/>
    <w:rsid w:val="0055166A"/>
    <w:rsid w:val="00564640"/>
    <w:rsid w:val="00581BC9"/>
    <w:rsid w:val="005B66EB"/>
    <w:rsid w:val="00610964"/>
    <w:rsid w:val="0061271B"/>
    <w:rsid w:val="00614269"/>
    <w:rsid w:val="00615331"/>
    <w:rsid w:val="006308C5"/>
    <w:rsid w:val="00647D4B"/>
    <w:rsid w:val="00652B7F"/>
    <w:rsid w:val="0069241A"/>
    <w:rsid w:val="006A2855"/>
    <w:rsid w:val="006A7A36"/>
    <w:rsid w:val="006E22B3"/>
    <w:rsid w:val="006E3024"/>
    <w:rsid w:val="006E66D2"/>
    <w:rsid w:val="00722820"/>
    <w:rsid w:val="007348D0"/>
    <w:rsid w:val="007531C2"/>
    <w:rsid w:val="00762D6D"/>
    <w:rsid w:val="007A0172"/>
    <w:rsid w:val="007B2BB0"/>
    <w:rsid w:val="007B703C"/>
    <w:rsid w:val="007C0E2A"/>
    <w:rsid w:val="007C1275"/>
    <w:rsid w:val="007C1547"/>
    <w:rsid w:val="007C2C30"/>
    <w:rsid w:val="007D231A"/>
    <w:rsid w:val="007D254B"/>
    <w:rsid w:val="007E1438"/>
    <w:rsid w:val="007F091C"/>
    <w:rsid w:val="007F4394"/>
    <w:rsid w:val="008076CF"/>
    <w:rsid w:val="008142BD"/>
    <w:rsid w:val="0085733D"/>
    <w:rsid w:val="008727FF"/>
    <w:rsid w:val="00897823"/>
    <w:rsid w:val="008E3487"/>
    <w:rsid w:val="008E700A"/>
    <w:rsid w:val="00905A03"/>
    <w:rsid w:val="00905E01"/>
    <w:rsid w:val="00960B02"/>
    <w:rsid w:val="009720F1"/>
    <w:rsid w:val="00976D69"/>
    <w:rsid w:val="00983038"/>
    <w:rsid w:val="00991C0B"/>
    <w:rsid w:val="009949F6"/>
    <w:rsid w:val="009C04F7"/>
    <w:rsid w:val="009E4CC6"/>
    <w:rsid w:val="009F4D22"/>
    <w:rsid w:val="00A01B5F"/>
    <w:rsid w:val="00A209DF"/>
    <w:rsid w:val="00A62A15"/>
    <w:rsid w:val="00A9519E"/>
    <w:rsid w:val="00AA16FD"/>
    <w:rsid w:val="00AB5328"/>
    <w:rsid w:val="00AC4025"/>
    <w:rsid w:val="00AD15B7"/>
    <w:rsid w:val="00AE0CFE"/>
    <w:rsid w:val="00B13CEE"/>
    <w:rsid w:val="00B249DC"/>
    <w:rsid w:val="00B34741"/>
    <w:rsid w:val="00B51011"/>
    <w:rsid w:val="00BA74E9"/>
    <w:rsid w:val="00BB07C4"/>
    <w:rsid w:val="00BE0254"/>
    <w:rsid w:val="00BE19AC"/>
    <w:rsid w:val="00BE578B"/>
    <w:rsid w:val="00BE600D"/>
    <w:rsid w:val="00BF606B"/>
    <w:rsid w:val="00C02682"/>
    <w:rsid w:val="00C0355D"/>
    <w:rsid w:val="00C03AC8"/>
    <w:rsid w:val="00C25A38"/>
    <w:rsid w:val="00C36EE0"/>
    <w:rsid w:val="00C445D9"/>
    <w:rsid w:val="00C90206"/>
    <w:rsid w:val="00CA06D6"/>
    <w:rsid w:val="00CA1315"/>
    <w:rsid w:val="00CA6A62"/>
    <w:rsid w:val="00CB07F0"/>
    <w:rsid w:val="00CB50E0"/>
    <w:rsid w:val="00CC3F79"/>
    <w:rsid w:val="00CD2321"/>
    <w:rsid w:val="00D16016"/>
    <w:rsid w:val="00D21B09"/>
    <w:rsid w:val="00D430D1"/>
    <w:rsid w:val="00D46B6B"/>
    <w:rsid w:val="00D50583"/>
    <w:rsid w:val="00D67990"/>
    <w:rsid w:val="00D77F48"/>
    <w:rsid w:val="00D866B6"/>
    <w:rsid w:val="00DA0560"/>
    <w:rsid w:val="00DA46F6"/>
    <w:rsid w:val="00DB2C4F"/>
    <w:rsid w:val="00DC28CD"/>
    <w:rsid w:val="00DD1C04"/>
    <w:rsid w:val="00DF2538"/>
    <w:rsid w:val="00E01D7B"/>
    <w:rsid w:val="00E048E5"/>
    <w:rsid w:val="00E077E8"/>
    <w:rsid w:val="00E20D23"/>
    <w:rsid w:val="00E24AB1"/>
    <w:rsid w:val="00E34DDB"/>
    <w:rsid w:val="00E4289D"/>
    <w:rsid w:val="00E4778F"/>
    <w:rsid w:val="00E654A3"/>
    <w:rsid w:val="00E73800"/>
    <w:rsid w:val="00E93E6F"/>
    <w:rsid w:val="00E9504E"/>
    <w:rsid w:val="00E95B58"/>
    <w:rsid w:val="00E972F6"/>
    <w:rsid w:val="00EB7ACB"/>
    <w:rsid w:val="00EC0047"/>
    <w:rsid w:val="00ED3F84"/>
    <w:rsid w:val="00ED595D"/>
    <w:rsid w:val="00F25D52"/>
    <w:rsid w:val="00F360C6"/>
    <w:rsid w:val="00F45447"/>
    <w:rsid w:val="00F4553A"/>
    <w:rsid w:val="00F63B23"/>
    <w:rsid w:val="00F707C8"/>
    <w:rsid w:val="00FA7D9C"/>
    <w:rsid w:val="00FC2CA6"/>
    <w:rsid w:val="00FE4634"/>
    <w:rsid w:val="00FE6169"/>
    <w:rsid w:val="00FF5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34DF76A"/>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C5"/>
    <w:rPr>
      <w:sz w:val="24"/>
      <w:lang w:eastAsia="en-US"/>
    </w:rPr>
  </w:style>
  <w:style w:type="paragraph" w:styleId="Heading1">
    <w:name w:val="heading 1"/>
    <w:basedOn w:val="Normal"/>
    <w:next w:val="Normal"/>
    <w:link w:val="Heading1Char"/>
    <w:uiPriority w:val="9"/>
    <w:qFormat/>
    <w:rsid w:val="00212CC5"/>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qFormat/>
    <w:rsid w:val="00212CC5"/>
    <w:pPr>
      <w:keepNext/>
      <w:jc w:val="center"/>
      <w:outlineLvl w:val="1"/>
    </w:pPr>
    <w:rPr>
      <w:b/>
      <w:bCs/>
    </w:rPr>
  </w:style>
  <w:style w:type="paragraph" w:styleId="Heading3">
    <w:name w:val="heading 3"/>
    <w:basedOn w:val="Normal"/>
    <w:next w:val="Normal"/>
    <w:link w:val="Heading3Char"/>
    <w:uiPriority w:val="9"/>
    <w:qFormat/>
    <w:rsid w:val="00212CC5"/>
    <w:pPr>
      <w:keepNext/>
      <w:outlineLvl w:val="2"/>
    </w:pPr>
    <w:rPr>
      <w:rFonts w:ascii="Arial" w:hAnsi="Arial" w:cs="Arial"/>
      <w:b/>
      <w:bCs/>
      <w:sz w:val="28"/>
    </w:rPr>
  </w:style>
  <w:style w:type="paragraph" w:styleId="Heading4">
    <w:name w:val="heading 4"/>
    <w:basedOn w:val="Normal"/>
    <w:next w:val="Normal"/>
    <w:link w:val="Heading4Char"/>
    <w:uiPriority w:val="9"/>
    <w:qFormat/>
    <w:rsid w:val="00212CC5"/>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12CC5"/>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12CC5"/>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212CC5"/>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212CC5"/>
    <w:rPr>
      <w:rFonts w:asciiTheme="minorHAnsi" w:eastAsiaTheme="minorEastAsia" w:hAnsiTheme="minorHAnsi" w:cs="Times New Roman"/>
      <w:b/>
      <w:bCs/>
      <w:sz w:val="28"/>
      <w:szCs w:val="28"/>
      <w:lang w:val="x-none" w:eastAsia="en-US"/>
    </w:rPr>
  </w:style>
  <w:style w:type="paragraph" w:customStyle="1" w:styleId="Billname">
    <w:name w:val="Billname"/>
    <w:basedOn w:val="Normal"/>
    <w:rsid w:val="00212CC5"/>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212CC5"/>
    <w:pPr>
      <w:pBdr>
        <w:bottom w:val="single" w:sz="12" w:space="1" w:color="auto"/>
      </w:pBdr>
      <w:jc w:val="both"/>
    </w:pPr>
  </w:style>
  <w:style w:type="paragraph" w:customStyle="1" w:styleId="madeunder">
    <w:name w:val="made under"/>
    <w:basedOn w:val="Normal"/>
    <w:rsid w:val="00212CC5"/>
    <w:pPr>
      <w:spacing w:before="180" w:after="60"/>
      <w:jc w:val="both"/>
    </w:pPr>
  </w:style>
  <w:style w:type="paragraph" w:customStyle="1" w:styleId="CoverActName">
    <w:name w:val="CoverActName"/>
    <w:basedOn w:val="Normal"/>
    <w:rsid w:val="00212CC5"/>
    <w:pPr>
      <w:tabs>
        <w:tab w:val="left" w:pos="2600"/>
      </w:tabs>
      <w:spacing w:before="200" w:after="60"/>
      <w:jc w:val="both"/>
    </w:pPr>
    <w:rPr>
      <w:rFonts w:ascii="Arial" w:hAnsi="Arial"/>
      <w:b/>
    </w:rPr>
  </w:style>
  <w:style w:type="paragraph" w:styleId="BodyTextIndent">
    <w:name w:val="Body Text Indent"/>
    <w:basedOn w:val="Normal"/>
    <w:link w:val="BodyTextIndentChar"/>
    <w:uiPriority w:val="99"/>
    <w:rsid w:val="00212CC5"/>
    <w:pPr>
      <w:ind w:left="567"/>
    </w:pPr>
    <w:rPr>
      <w:rFonts w:ascii="CG Times (WN)" w:hAnsi="CG Times (WN)"/>
      <w:szCs w:val="24"/>
      <w:lang w:val="en-GB"/>
    </w:rPr>
  </w:style>
  <w:style w:type="character" w:customStyle="1" w:styleId="BodyTextIndentChar">
    <w:name w:val="Body Text Indent Char"/>
    <w:basedOn w:val="DefaultParagraphFont"/>
    <w:link w:val="BodyTextIndent"/>
    <w:uiPriority w:val="99"/>
    <w:semiHidden/>
    <w:locked/>
    <w:rsid w:val="00212CC5"/>
    <w:rPr>
      <w:rFonts w:cs="Times New Roman"/>
      <w:sz w:val="24"/>
      <w:lang w:val="x-none" w:eastAsia="en-US"/>
    </w:rPr>
  </w:style>
  <w:style w:type="paragraph" w:customStyle="1" w:styleId="Amain">
    <w:name w:val="A main"/>
    <w:basedOn w:val="Normal"/>
    <w:rsid w:val="00212CC5"/>
    <w:pPr>
      <w:tabs>
        <w:tab w:val="right" w:pos="500"/>
        <w:tab w:val="left" w:pos="700"/>
      </w:tabs>
      <w:spacing w:before="80" w:after="60"/>
      <w:ind w:left="700" w:hanging="700"/>
      <w:jc w:val="both"/>
      <w:outlineLvl w:val="5"/>
    </w:pPr>
    <w:rPr>
      <w:szCs w:val="24"/>
    </w:rPr>
  </w:style>
  <w:style w:type="paragraph" w:styleId="Header">
    <w:name w:val="header"/>
    <w:basedOn w:val="Normal"/>
    <w:link w:val="HeaderChar"/>
    <w:uiPriority w:val="99"/>
    <w:rsid w:val="00212CC5"/>
    <w:pPr>
      <w:tabs>
        <w:tab w:val="center" w:pos="4153"/>
        <w:tab w:val="right" w:pos="8306"/>
      </w:tabs>
    </w:pPr>
  </w:style>
  <w:style w:type="character" w:customStyle="1" w:styleId="HeaderChar">
    <w:name w:val="Header Char"/>
    <w:basedOn w:val="DefaultParagraphFont"/>
    <w:link w:val="Header"/>
    <w:uiPriority w:val="99"/>
    <w:semiHidden/>
    <w:locked/>
    <w:rsid w:val="00212CC5"/>
    <w:rPr>
      <w:rFonts w:cs="Times New Roman"/>
      <w:sz w:val="24"/>
      <w:lang w:val="x-none" w:eastAsia="en-US"/>
    </w:rPr>
  </w:style>
  <w:style w:type="paragraph" w:styleId="Footer">
    <w:name w:val="footer"/>
    <w:basedOn w:val="Normal"/>
    <w:link w:val="FooterChar"/>
    <w:uiPriority w:val="99"/>
    <w:rsid w:val="00212CC5"/>
    <w:pPr>
      <w:tabs>
        <w:tab w:val="center" w:pos="4153"/>
        <w:tab w:val="right" w:pos="8306"/>
      </w:tabs>
    </w:pPr>
  </w:style>
  <w:style w:type="character" w:customStyle="1" w:styleId="FooterChar">
    <w:name w:val="Footer Char"/>
    <w:basedOn w:val="DefaultParagraphFont"/>
    <w:link w:val="Footer"/>
    <w:uiPriority w:val="99"/>
    <w:semiHidden/>
    <w:locked/>
    <w:rsid w:val="00212CC5"/>
    <w:rPr>
      <w:rFonts w:cs="Times New Roman"/>
      <w:sz w:val="24"/>
      <w:lang w:val="x-none" w:eastAsia="en-US"/>
    </w:rPr>
  </w:style>
  <w:style w:type="character" w:styleId="PageNumber">
    <w:name w:val="page number"/>
    <w:basedOn w:val="DefaultParagraphFont"/>
    <w:uiPriority w:val="99"/>
    <w:rsid w:val="00212CC5"/>
    <w:rPr>
      <w:rFonts w:cs="Times New Roman"/>
    </w:rPr>
  </w:style>
  <w:style w:type="character" w:styleId="Hyperlink">
    <w:name w:val="Hyperlink"/>
    <w:basedOn w:val="DefaultParagraphFont"/>
    <w:uiPriority w:val="99"/>
    <w:rsid w:val="00212CC5"/>
    <w:rPr>
      <w:rFonts w:cs="Times New Roman"/>
      <w:color w:val="0000FF"/>
      <w:u w:val="single"/>
    </w:rPr>
  </w:style>
  <w:style w:type="paragraph" w:styleId="BodyText">
    <w:name w:val="Body Text"/>
    <w:basedOn w:val="Normal"/>
    <w:link w:val="BodyTextChar"/>
    <w:uiPriority w:val="99"/>
    <w:rsid w:val="00212CC5"/>
    <w:pPr>
      <w:jc w:val="center"/>
    </w:pPr>
  </w:style>
  <w:style w:type="character" w:customStyle="1" w:styleId="BodyTextChar">
    <w:name w:val="Body Text Char"/>
    <w:basedOn w:val="DefaultParagraphFont"/>
    <w:link w:val="BodyText"/>
    <w:uiPriority w:val="99"/>
    <w:semiHidden/>
    <w:locked/>
    <w:rsid w:val="00212CC5"/>
    <w:rPr>
      <w:rFonts w:cs="Times New Roman"/>
      <w:sz w:val="24"/>
      <w:lang w:val="x-none" w:eastAsia="en-US"/>
    </w:rPr>
  </w:style>
  <w:style w:type="paragraph" w:styleId="BalloonText">
    <w:name w:val="Balloon Text"/>
    <w:basedOn w:val="Normal"/>
    <w:link w:val="BalloonTextChar"/>
    <w:uiPriority w:val="99"/>
    <w:semiHidden/>
    <w:rsid w:val="008076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2CC5"/>
    <w:rPr>
      <w:rFonts w:ascii="Tahoma" w:hAnsi="Tahoma" w:cs="Tahoma"/>
      <w:sz w:val="16"/>
      <w:szCs w:val="16"/>
      <w:lang w:val="x-none" w:eastAsia="en-US"/>
    </w:rPr>
  </w:style>
  <w:style w:type="character" w:styleId="CommentReference">
    <w:name w:val="annotation reference"/>
    <w:basedOn w:val="DefaultParagraphFont"/>
    <w:uiPriority w:val="99"/>
    <w:rsid w:val="006E66D2"/>
    <w:rPr>
      <w:rFonts w:cs="Times New Roman"/>
      <w:sz w:val="16"/>
      <w:szCs w:val="16"/>
    </w:rPr>
  </w:style>
  <w:style w:type="paragraph" w:styleId="CommentText">
    <w:name w:val="annotation text"/>
    <w:basedOn w:val="Normal"/>
    <w:link w:val="CommentTextChar"/>
    <w:uiPriority w:val="99"/>
    <w:rsid w:val="006E66D2"/>
    <w:rPr>
      <w:sz w:val="20"/>
    </w:rPr>
  </w:style>
  <w:style w:type="character" w:customStyle="1" w:styleId="CommentTextChar">
    <w:name w:val="Comment Text Char"/>
    <w:basedOn w:val="DefaultParagraphFont"/>
    <w:link w:val="CommentText"/>
    <w:uiPriority w:val="99"/>
    <w:locked/>
    <w:rsid w:val="006E66D2"/>
    <w:rPr>
      <w:rFonts w:cs="Times New Roman"/>
      <w:lang w:val="x-none" w:eastAsia="en-US"/>
    </w:rPr>
  </w:style>
  <w:style w:type="paragraph" w:styleId="CommentSubject">
    <w:name w:val="annotation subject"/>
    <w:basedOn w:val="CommentText"/>
    <w:next w:val="CommentText"/>
    <w:link w:val="CommentSubjectChar"/>
    <w:uiPriority w:val="99"/>
    <w:rsid w:val="006E66D2"/>
    <w:rPr>
      <w:b/>
      <w:bCs/>
    </w:rPr>
  </w:style>
  <w:style w:type="character" w:customStyle="1" w:styleId="CommentSubjectChar">
    <w:name w:val="Comment Subject Char"/>
    <w:basedOn w:val="CommentTextChar"/>
    <w:link w:val="CommentSubject"/>
    <w:uiPriority w:val="99"/>
    <w:locked/>
    <w:rsid w:val="006E66D2"/>
    <w:rPr>
      <w:rFonts w:cs="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167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197DF-E459-4A48-9355-FEF548F2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3642</Characters>
  <Application>Microsoft Office Word</Application>
  <DocSecurity>0</DocSecurity>
  <Lines>203</Lines>
  <Paragraphs>99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dc:description/>
  <cp:lastModifiedBy>Moxon, KarenL</cp:lastModifiedBy>
  <cp:revision>4</cp:revision>
  <cp:lastPrinted>2018-05-21T01:46:00Z</cp:lastPrinted>
  <dcterms:created xsi:type="dcterms:W3CDTF">2020-06-18T06:14:00Z</dcterms:created>
  <dcterms:modified xsi:type="dcterms:W3CDTF">2020-06-18T06:14:00Z</dcterms:modified>
</cp:coreProperties>
</file>