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A3EB6" w14:textId="77777777" w:rsidR="00EB337B" w:rsidRDefault="00EB337B" w:rsidP="00EB337B">
      <w:pPr>
        <w:spacing w:before="120"/>
        <w:rPr>
          <w:rFonts w:ascii="Arial" w:hAnsi="Arial" w:cs="Arial"/>
        </w:rPr>
      </w:pPr>
      <w:bookmarkStart w:id="0" w:name="_Toc44738651"/>
      <w:bookmarkStart w:id="1" w:name="_GoBack"/>
      <w:bookmarkEnd w:id="1"/>
      <w:r>
        <w:rPr>
          <w:rFonts w:ascii="Arial" w:hAnsi="Arial" w:cs="Arial"/>
        </w:rPr>
        <w:t>Australian Capital Territory</w:t>
      </w:r>
    </w:p>
    <w:p w14:paraId="63347F97" w14:textId="7354F3AD" w:rsidR="00EB337B" w:rsidRDefault="00EB337B" w:rsidP="00EB337B">
      <w:pPr>
        <w:pStyle w:val="Billname"/>
        <w:spacing w:before="700"/>
      </w:pPr>
      <w:r>
        <w:t xml:space="preserve">Medicines, Poisons and Therapeutic Goods Amendment Regulation 2020 (No </w:t>
      </w:r>
      <w:r w:rsidR="00AE7D77">
        <w:t>2</w:t>
      </w:r>
      <w:r>
        <w:t>)</w:t>
      </w:r>
    </w:p>
    <w:p w14:paraId="700FBBE3" w14:textId="610132EC" w:rsidR="00EB337B" w:rsidRDefault="00EB337B" w:rsidP="00EB337B">
      <w:pPr>
        <w:spacing w:before="340"/>
        <w:rPr>
          <w:rFonts w:ascii="Arial" w:hAnsi="Arial" w:cs="Arial"/>
          <w:b/>
          <w:bCs/>
        </w:rPr>
      </w:pPr>
      <w:r>
        <w:rPr>
          <w:rFonts w:ascii="Arial" w:hAnsi="Arial" w:cs="Arial"/>
          <w:b/>
          <w:bCs/>
        </w:rPr>
        <w:t>Subordinate law SL2020–</w:t>
      </w:r>
      <w:r w:rsidR="00AE20AB">
        <w:rPr>
          <w:rFonts w:ascii="Arial" w:hAnsi="Arial" w:cs="Arial"/>
          <w:b/>
          <w:bCs/>
        </w:rPr>
        <w:t>21</w:t>
      </w:r>
    </w:p>
    <w:p w14:paraId="26A7F338" w14:textId="77777777" w:rsidR="00EB337B" w:rsidRDefault="00EB337B" w:rsidP="00EB337B">
      <w:pPr>
        <w:pStyle w:val="madeunder"/>
        <w:spacing w:before="300" w:after="0"/>
      </w:pPr>
      <w:r>
        <w:t xml:space="preserve">made under the  </w:t>
      </w:r>
    </w:p>
    <w:p w14:paraId="142A79A6" w14:textId="77777777" w:rsidR="00EB337B" w:rsidRDefault="00EB337B" w:rsidP="00EB337B">
      <w:pPr>
        <w:pStyle w:val="CoverActName"/>
        <w:spacing w:before="320" w:after="0"/>
        <w:rPr>
          <w:rFonts w:cs="Arial"/>
          <w:sz w:val="20"/>
        </w:rPr>
      </w:pPr>
      <w:r w:rsidRPr="00B85A70">
        <w:rPr>
          <w:rFonts w:cs="Arial"/>
          <w:i/>
          <w:sz w:val="20"/>
        </w:rPr>
        <w:t>Medicines, Poisons and Therapeutic Goods Act 2008</w:t>
      </w:r>
      <w:r>
        <w:rPr>
          <w:rFonts w:cs="Arial"/>
          <w:sz w:val="20"/>
        </w:rPr>
        <w:t>, Section 184 (Regulation-making power)</w:t>
      </w:r>
    </w:p>
    <w:p w14:paraId="3C8981AA" w14:textId="77777777" w:rsidR="00EB337B" w:rsidRDefault="00EB337B" w:rsidP="00EB337B">
      <w:pPr>
        <w:spacing w:before="360"/>
        <w:ind w:right="565"/>
        <w:rPr>
          <w:rFonts w:ascii="Arial" w:hAnsi="Arial" w:cs="Arial"/>
          <w:b/>
          <w:bCs/>
          <w:sz w:val="28"/>
          <w:szCs w:val="28"/>
        </w:rPr>
      </w:pPr>
      <w:r>
        <w:rPr>
          <w:rFonts w:ascii="Arial" w:hAnsi="Arial" w:cs="Arial"/>
          <w:b/>
          <w:bCs/>
          <w:sz w:val="28"/>
          <w:szCs w:val="28"/>
        </w:rPr>
        <w:t>EXPLANATORY STATEMENT</w:t>
      </w:r>
    </w:p>
    <w:p w14:paraId="02401E9E" w14:textId="77777777" w:rsidR="00EB337B" w:rsidRDefault="00EB337B" w:rsidP="00EB337B">
      <w:pPr>
        <w:pStyle w:val="N-line3"/>
        <w:pBdr>
          <w:bottom w:val="none" w:sz="0" w:space="0" w:color="auto"/>
        </w:pBdr>
      </w:pPr>
    </w:p>
    <w:p w14:paraId="70E34E4A" w14:textId="77777777" w:rsidR="00EB337B" w:rsidRDefault="00EB337B" w:rsidP="00EB337B">
      <w:pPr>
        <w:pStyle w:val="N-line3"/>
        <w:pBdr>
          <w:top w:val="single" w:sz="12" w:space="1" w:color="auto"/>
          <w:bottom w:val="none" w:sz="0" w:space="0" w:color="auto"/>
        </w:pBdr>
      </w:pPr>
    </w:p>
    <w:bookmarkEnd w:id="0"/>
    <w:p w14:paraId="5B3F643F" w14:textId="77777777" w:rsidR="00EB337B" w:rsidRPr="009446A7" w:rsidRDefault="00EB337B" w:rsidP="00EB337B">
      <w:pPr>
        <w:spacing w:after="120"/>
        <w:rPr>
          <w:rFonts w:ascii="Arial Narrow" w:hAnsi="Arial Narrow" w:cs="Arial"/>
          <w:bCs/>
          <w:szCs w:val="24"/>
        </w:rPr>
      </w:pPr>
      <w:r w:rsidRPr="009446A7">
        <w:rPr>
          <w:rFonts w:ascii="Arial Narrow" w:hAnsi="Arial Narrow" w:cs="Arial"/>
          <w:bCs/>
          <w:szCs w:val="24"/>
        </w:rPr>
        <w:t xml:space="preserve">The objective of the </w:t>
      </w:r>
      <w:r w:rsidRPr="009446A7">
        <w:rPr>
          <w:rFonts w:ascii="Arial Narrow" w:hAnsi="Arial Narrow" w:cs="Arial"/>
          <w:i/>
          <w:szCs w:val="24"/>
        </w:rPr>
        <w:t>Medicines, Poisons and Therapeutic Goods Act 2008</w:t>
      </w:r>
      <w:r w:rsidRPr="009446A7">
        <w:rPr>
          <w:rFonts w:ascii="Arial Narrow" w:hAnsi="Arial Narrow" w:cs="Arial"/>
          <w:szCs w:val="24"/>
        </w:rPr>
        <w:t xml:space="preserve"> </w:t>
      </w:r>
      <w:r w:rsidRPr="009446A7">
        <w:rPr>
          <w:rFonts w:ascii="Arial Narrow" w:hAnsi="Arial Narrow" w:cs="Arial"/>
          <w:bCs/>
          <w:szCs w:val="24"/>
        </w:rPr>
        <w:t xml:space="preserve">(MPTG Act) is to promote and protect public health and safety by minimising medicinal misadventure with, and diversion of, regulated substances, and the manufacture of regulated substances that are subject to abuse.  </w:t>
      </w:r>
      <w:r>
        <w:rPr>
          <w:rFonts w:ascii="Arial Narrow" w:hAnsi="Arial Narrow" w:cs="Arial"/>
          <w:bCs/>
          <w:szCs w:val="24"/>
        </w:rPr>
        <w:t xml:space="preserve">The MPTG Act also provides for adoption of the Commonwealth Poisons Standard, which is used to categorise medicines and poisons for regulatory purposes as adopted by each State and Territory. </w:t>
      </w:r>
    </w:p>
    <w:p w14:paraId="29F59CEE" w14:textId="77777777" w:rsidR="00EB337B" w:rsidRPr="001F06F7" w:rsidRDefault="00EB337B" w:rsidP="00EB337B">
      <w:pPr>
        <w:spacing w:after="120"/>
        <w:rPr>
          <w:rFonts w:ascii="Arial Narrow" w:hAnsi="Arial Narrow" w:cs="Arial Narrow"/>
          <w:bCs/>
          <w:szCs w:val="24"/>
        </w:rPr>
      </w:pPr>
      <w:r w:rsidRPr="00BD075F">
        <w:rPr>
          <w:rFonts w:ascii="Arial Narrow" w:hAnsi="Arial Narrow" w:cs="Arial Narrow"/>
          <w:bCs/>
          <w:szCs w:val="24"/>
        </w:rPr>
        <w:t xml:space="preserve">The Medicines, Poisons and Therapeutic Goods Regulation </w:t>
      </w:r>
      <w:r>
        <w:rPr>
          <w:rFonts w:ascii="Arial Narrow" w:hAnsi="Arial Narrow" w:cs="Arial Narrow"/>
          <w:bCs/>
          <w:szCs w:val="24"/>
        </w:rPr>
        <w:t xml:space="preserve">2008 </w:t>
      </w:r>
      <w:r w:rsidRPr="00BD075F">
        <w:rPr>
          <w:rFonts w:ascii="Arial Narrow" w:hAnsi="Arial Narrow" w:cs="Arial Narrow"/>
          <w:bCs/>
          <w:szCs w:val="24"/>
        </w:rPr>
        <w:t xml:space="preserve">(MPTG Regulation) provides the detail for the regulatory framework established by the MPTG Act. </w:t>
      </w:r>
      <w:r>
        <w:rPr>
          <w:rFonts w:ascii="Arial Narrow" w:hAnsi="Arial Narrow" w:cs="Arial Narrow"/>
          <w:bCs/>
          <w:szCs w:val="24"/>
        </w:rPr>
        <w:t>With reference to medicine and poisons categorised by the Poisons Standard, t</w:t>
      </w:r>
      <w:r w:rsidRPr="00BD075F">
        <w:rPr>
          <w:rFonts w:ascii="Arial Narrow" w:hAnsi="Arial Narrow" w:cs="Arial Narrow"/>
          <w:bCs/>
          <w:szCs w:val="24"/>
        </w:rPr>
        <w:t>he MPTG Regulation sets out which</w:t>
      </w:r>
      <w:r>
        <w:rPr>
          <w:rFonts w:ascii="Arial Narrow" w:hAnsi="Arial Narrow" w:cs="Arial Narrow"/>
          <w:bCs/>
          <w:szCs w:val="24"/>
        </w:rPr>
        <w:t xml:space="preserve"> medicines</w:t>
      </w:r>
      <w:r w:rsidRPr="00BD075F">
        <w:rPr>
          <w:rFonts w:ascii="Arial Narrow" w:hAnsi="Arial Narrow" w:cs="Arial Narrow"/>
          <w:bCs/>
          <w:szCs w:val="24"/>
        </w:rPr>
        <w:t xml:space="preserve"> health professionals are able to prescribe, administer and dispense, and</w:t>
      </w:r>
      <w:r>
        <w:rPr>
          <w:rFonts w:ascii="Arial Narrow" w:hAnsi="Arial Narrow" w:cs="Arial Narrow"/>
          <w:bCs/>
          <w:szCs w:val="24"/>
        </w:rPr>
        <w:t xml:space="preserve"> the</w:t>
      </w:r>
      <w:r w:rsidRPr="00BD075F">
        <w:rPr>
          <w:rFonts w:ascii="Arial Narrow" w:hAnsi="Arial Narrow" w:cs="Arial Narrow"/>
          <w:bCs/>
          <w:szCs w:val="24"/>
        </w:rPr>
        <w:t xml:space="preserve"> conditions relating to such dealings.  </w:t>
      </w:r>
      <w:r w:rsidRPr="006E247B">
        <w:rPr>
          <w:rFonts w:ascii="Arial Narrow" w:hAnsi="Arial Narrow" w:cs="Arial Narrow"/>
          <w:bCs/>
          <w:szCs w:val="24"/>
        </w:rPr>
        <w:t xml:space="preserve">Some provisions of the MPTG Regulation also prescribe </w:t>
      </w:r>
      <w:r w:rsidRPr="001F06F7">
        <w:rPr>
          <w:rFonts w:ascii="Arial Narrow" w:hAnsi="Arial Narrow" w:cs="Arial Narrow"/>
          <w:bCs/>
          <w:szCs w:val="24"/>
        </w:rPr>
        <w:t>additional information required for licences or authorisations.</w:t>
      </w:r>
    </w:p>
    <w:p w14:paraId="3DDE99C2" w14:textId="1D15231E" w:rsidR="006A3EA4" w:rsidRDefault="00EB337B" w:rsidP="00EB337B">
      <w:pPr>
        <w:spacing w:after="120"/>
        <w:rPr>
          <w:rFonts w:ascii="Arial Narrow" w:hAnsi="Arial Narrow" w:cs="Arial Narrow"/>
          <w:bCs/>
          <w:szCs w:val="24"/>
        </w:rPr>
      </w:pPr>
      <w:r w:rsidRPr="001F06F7">
        <w:rPr>
          <w:rFonts w:ascii="Arial Narrow" w:hAnsi="Arial Narrow" w:cs="Arial Narrow"/>
          <w:bCs/>
          <w:szCs w:val="24"/>
        </w:rPr>
        <w:t>This</w:t>
      </w:r>
      <w:r>
        <w:rPr>
          <w:rFonts w:ascii="Arial Narrow" w:hAnsi="Arial Narrow" w:cs="Arial Narrow"/>
          <w:bCs/>
          <w:szCs w:val="24"/>
        </w:rPr>
        <w:t xml:space="preserve"> Medicines, Poisons and Therapeutic Goods Amendment Regulation 2020 (No </w:t>
      </w:r>
      <w:r w:rsidR="00AE7D77">
        <w:rPr>
          <w:rFonts w:ascii="Arial Narrow" w:hAnsi="Arial Narrow" w:cs="Arial Narrow"/>
          <w:bCs/>
          <w:szCs w:val="24"/>
        </w:rPr>
        <w:t>2</w:t>
      </w:r>
      <w:r>
        <w:rPr>
          <w:rFonts w:ascii="Arial Narrow" w:hAnsi="Arial Narrow" w:cs="Arial Narrow"/>
          <w:bCs/>
          <w:szCs w:val="24"/>
        </w:rPr>
        <w:t>) (</w:t>
      </w:r>
      <w:r w:rsidRPr="001F06F7">
        <w:rPr>
          <w:rFonts w:ascii="Arial Narrow" w:hAnsi="Arial Narrow" w:cs="Arial Narrow"/>
          <w:bCs/>
          <w:szCs w:val="24"/>
        </w:rPr>
        <w:t>amendment regulation</w:t>
      </w:r>
      <w:r>
        <w:rPr>
          <w:rFonts w:ascii="Arial Narrow" w:hAnsi="Arial Narrow" w:cs="Arial Narrow"/>
          <w:bCs/>
          <w:szCs w:val="24"/>
        </w:rPr>
        <w:t>)</w:t>
      </w:r>
      <w:r w:rsidRPr="001F06F7">
        <w:rPr>
          <w:rFonts w:ascii="Arial Narrow" w:hAnsi="Arial Narrow" w:cs="Arial Narrow"/>
          <w:bCs/>
          <w:szCs w:val="24"/>
        </w:rPr>
        <w:t xml:space="preserve"> </w:t>
      </w:r>
      <w:bookmarkStart w:id="2" w:name="_Hlk42251994"/>
      <w:r w:rsidRPr="001F06F7">
        <w:rPr>
          <w:rFonts w:ascii="Arial Narrow" w:hAnsi="Arial Narrow" w:cs="Arial Narrow"/>
          <w:bCs/>
          <w:szCs w:val="24"/>
        </w:rPr>
        <w:t>amends the MPTG Regulation to</w:t>
      </w:r>
      <w:r w:rsidR="007E7472">
        <w:rPr>
          <w:rFonts w:ascii="Arial Narrow" w:hAnsi="Arial Narrow" w:cs="Arial Narrow"/>
          <w:bCs/>
          <w:szCs w:val="24"/>
        </w:rPr>
        <w:t xml:space="preserve"> </w:t>
      </w:r>
      <w:r w:rsidR="00130F5B">
        <w:rPr>
          <w:rFonts w:ascii="Arial Narrow" w:hAnsi="Arial Narrow" w:cs="Arial Narrow"/>
          <w:bCs/>
          <w:szCs w:val="24"/>
        </w:rPr>
        <w:t xml:space="preserve">provide clarity on record keeping requirements concerning faxed or electronically submitted supply authorities (prescriptions) during a ‘Commonwealth special arrangement’ as notified under Section 100 of the </w:t>
      </w:r>
      <w:r w:rsidR="00130F5B" w:rsidRPr="00130F5B">
        <w:rPr>
          <w:rFonts w:ascii="Arial Narrow" w:hAnsi="Arial Narrow" w:cs="Arial Narrow"/>
          <w:bCs/>
          <w:i/>
          <w:iCs/>
          <w:szCs w:val="24"/>
        </w:rPr>
        <w:t>National Health Act 1953 (Cwth)</w:t>
      </w:r>
      <w:r w:rsidR="00130F5B">
        <w:rPr>
          <w:rFonts w:ascii="Arial Narrow" w:hAnsi="Arial Narrow" w:cs="Arial Narrow"/>
          <w:bCs/>
          <w:i/>
          <w:iCs/>
          <w:szCs w:val="24"/>
        </w:rPr>
        <w:t>.</w:t>
      </w:r>
      <w:r w:rsidR="006A3EA4">
        <w:rPr>
          <w:rFonts w:ascii="Arial Narrow" w:hAnsi="Arial Narrow" w:cs="Arial Narrow"/>
          <w:bCs/>
          <w:i/>
          <w:iCs/>
          <w:szCs w:val="24"/>
        </w:rPr>
        <w:t xml:space="preserve"> </w:t>
      </w:r>
      <w:r w:rsidR="00130F5B">
        <w:rPr>
          <w:rFonts w:ascii="Arial Narrow" w:hAnsi="Arial Narrow" w:cs="Arial Narrow"/>
          <w:bCs/>
          <w:szCs w:val="24"/>
        </w:rPr>
        <w:t>This amendment regulation seeks to</w:t>
      </w:r>
      <w:r w:rsidR="006A3EA4">
        <w:rPr>
          <w:rFonts w:ascii="Arial Narrow" w:hAnsi="Arial Narrow" w:cs="Arial Narrow"/>
          <w:bCs/>
          <w:szCs w:val="24"/>
        </w:rPr>
        <w:t xml:space="preserve"> </w:t>
      </w:r>
      <w:r w:rsidR="00130F5B">
        <w:rPr>
          <w:rFonts w:ascii="Arial Narrow" w:hAnsi="Arial Narrow" w:cs="Arial Narrow"/>
          <w:bCs/>
          <w:szCs w:val="24"/>
        </w:rPr>
        <w:t xml:space="preserve">recognise the record keeping obligations of </w:t>
      </w:r>
      <w:r w:rsidR="006A3EA4">
        <w:rPr>
          <w:rFonts w:ascii="Arial Narrow" w:hAnsi="Arial Narrow" w:cs="Arial Narrow"/>
          <w:bCs/>
          <w:szCs w:val="24"/>
        </w:rPr>
        <w:t xml:space="preserve">a </w:t>
      </w:r>
      <w:r w:rsidR="00130F5B">
        <w:rPr>
          <w:rFonts w:ascii="Arial Narrow" w:hAnsi="Arial Narrow" w:cs="Arial Narrow"/>
          <w:bCs/>
          <w:szCs w:val="24"/>
        </w:rPr>
        <w:t>faxed prescription</w:t>
      </w:r>
      <w:r w:rsidR="006A3EA4">
        <w:rPr>
          <w:rFonts w:ascii="Arial Narrow" w:hAnsi="Arial Narrow" w:cs="Arial Narrow"/>
          <w:bCs/>
          <w:szCs w:val="24"/>
        </w:rPr>
        <w:t xml:space="preserve"> as detailed by</w:t>
      </w:r>
      <w:r w:rsidR="00130F5B">
        <w:rPr>
          <w:rFonts w:ascii="Arial Narrow" w:hAnsi="Arial Narrow" w:cs="Arial Narrow"/>
          <w:bCs/>
          <w:szCs w:val="24"/>
        </w:rPr>
        <w:t xml:space="preserve"> a Commonwealth special arrangement</w:t>
      </w:r>
      <w:r w:rsidR="006A489F">
        <w:rPr>
          <w:rFonts w:ascii="Arial Narrow" w:hAnsi="Arial Narrow" w:cs="Arial Narrow"/>
          <w:bCs/>
          <w:szCs w:val="24"/>
        </w:rPr>
        <w:t>,</w:t>
      </w:r>
      <w:r w:rsidR="006A3EA4">
        <w:rPr>
          <w:rFonts w:ascii="Arial Narrow" w:hAnsi="Arial Narrow" w:cs="Arial Narrow"/>
          <w:bCs/>
          <w:szCs w:val="24"/>
        </w:rPr>
        <w:t xml:space="preserve"> as in force from time to time. The incorporation of a Commonwealth special arrangement has the effect of varying existing record keeping requirements for pharmacists and prescribers regarding the keeping of an original prescription following </w:t>
      </w:r>
      <w:r w:rsidR="006A489F">
        <w:rPr>
          <w:rFonts w:ascii="Arial Narrow" w:hAnsi="Arial Narrow" w:cs="Arial Narrow"/>
          <w:bCs/>
          <w:szCs w:val="24"/>
        </w:rPr>
        <w:t xml:space="preserve">its </w:t>
      </w:r>
      <w:r w:rsidR="006A3EA4">
        <w:rPr>
          <w:rFonts w:ascii="Arial Narrow" w:hAnsi="Arial Narrow" w:cs="Arial Narrow"/>
          <w:bCs/>
          <w:szCs w:val="24"/>
        </w:rPr>
        <w:t xml:space="preserve">transmission to a pharmacy. </w:t>
      </w:r>
      <w:bookmarkEnd w:id="2"/>
    </w:p>
    <w:p w14:paraId="37D7800F" w14:textId="1C08007E" w:rsidR="00662CE6" w:rsidRDefault="00662CE6" w:rsidP="00662CE6">
      <w:pPr>
        <w:spacing w:after="120"/>
        <w:rPr>
          <w:rFonts w:ascii="Arial Narrow" w:hAnsi="Arial Narrow" w:cs="Arial Narrow"/>
          <w:bCs/>
          <w:szCs w:val="24"/>
        </w:rPr>
      </w:pPr>
      <w:r>
        <w:rPr>
          <w:rFonts w:ascii="Arial Narrow" w:hAnsi="Arial Narrow" w:cs="Arial Narrow"/>
          <w:bCs/>
          <w:szCs w:val="24"/>
        </w:rPr>
        <w:t xml:space="preserve">All special arrangements published under section 100 of the </w:t>
      </w:r>
      <w:r w:rsidRPr="00662CE6">
        <w:rPr>
          <w:rFonts w:ascii="Arial Narrow" w:hAnsi="Arial Narrow" w:cs="Arial Narrow"/>
          <w:bCs/>
          <w:i/>
          <w:iCs/>
          <w:szCs w:val="24"/>
        </w:rPr>
        <w:t>National Health Act 1953 (Cwth)</w:t>
      </w:r>
      <w:r>
        <w:rPr>
          <w:rFonts w:ascii="Arial Narrow" w:hAnsi="Arial Narrow" w:cs="Arial Narrow"/>
          <w:bCs/>
          <w:i/>
          <w:iCs/>
          <w:szCs w:val="24"/>
        </w:rPr>
        <w:t xml:space="preserve"> </w:t>
      </w:r>
      <w:r>
        <w:rPr>
          <w:rFonts w:ascii="Arial Narrow" w:hAnsi="Arial Narrow" w:cs="Arial Narrow"/>
          <w:bCs/>
          <w:szCs w:val="24"/>
        </w:rPr>
        <w:t xml:space="preserve">are freely available from the </w:t>
      </w:r>
      <w:r w:rsidR="006A489F">
        <w:rPr>
          <w:rFonts w:ascii="Arial Narrow" w:hAnsi="Arial Narrow" w:cs="Arial Narrow"/>
          <w:bCs/>
          <w:szCs w:val="24"/>
        </w:rPr>
        <w:t>F</w:t>
      </w:r>
      <w:r>
        <w:rPr>
          <w:rFonts w:ascii="Arial Narrow" w:hAnsi="Arial Narrow" w:cs="Arial Narrow"/>
          <w:bCs/>
          <w:szCs w:val="24"/>
        </w:rPr>
        <w:t xml:space="preserve">ederal Register of Legislation at </w:t>
      </w:r>
      <w:hyperlink r:id="rId6" w:history="1">
        <w:r w:rsidRPr="00D06547">
          <w:rPr>
            <w:rStyle w:val="Hyperlink"/>
            <w:rFonts w:ascii="Arial Narrow" w:hAnsi="Arial Narrow" w:cs="Arial Narrow"/>
            <w:bCs/>
            <w:szCs w:val="24"/>
          </w:rPr>
          <w:t>www.legislation.gov.au</w:t>
        </w:r>
      </w:hyperlink>
      <w:r>
        <w:rPr>
          <w:rFonts w:ascii="Arial Narrow" w:hAnsi="Arial Narrow" w:cs="Arial Narrow"/>
          <w:bCs/>
          <w:szCs w:val="24"/>
        </w:rPr>
        <w:t xml:space="preserve">. Section 863(e) of the MPTG Regulation already </w:t>
      </w:r>
      <w:r w:rsidR="005173F7">
        <w:rPr>
          <w:rFonts w:ascii="Arial Narrow" w:hAnsi="Arial Narrow" w:cs="Arial Narrow"/>
          <w:bCs/>
          <w:szCs w:val="24"/>
        </w:rPr>
        <w:t xml:space="preserve">identifies the </w:t>
      </w:r>
      <w:r w:rsidRPr="00662CE6">
        <w:rPr>
          <w:rFonts w:ascii="Arial Narrow" w:hAnsi="Arial Narrow" w:cs="Arial Narrow"/>
          <w:bCs/>
          <w:i/>
          <w:iCs/>
          <w:szCs w:val="24"/>
        </w:rPr>
        <w:t>National Health Act 1953 (Cwth)</w:t>
      </w:r>
      <w:r>
        <w:rPr>
          <w:rFonts w:ascii="Arial Narrow" w:hAnsi="Arial Narrow" w:cs="Arial Narrow"/>
          <w:bCs/>
          <w:szCs w:val="24"/>
        </w:rPr>
        <w:t xml:space="preserve"> </w:t>
      </w:r>
      <w:r w:rsidR="005173F7">
        <w:rPr>
          <w:rFonts w:ascii="Arial Narrow" w:hAnsi="Arial Narrow" w:cs="Arial Narrow"/>
          <w:bCs/>
          <w:szCs w:val="24"/>
        </w:rPr>
        <w:t xml:space="preserve">as not requiring publication in accordance with section 47(6) of the </w:t>
      </w:r>
      <w:r w:rsidR="005173F7" w:rsidRPr="005173F7">
        <w:rPr>
          <w:rFonts w:ascii="Arial Narrow" w:hAnsi="Arial Narrow" w:cs="Arial Narrow"/>
          <w:bCs/>
          <w:i/>
          <w:iCs/>
          <w:szCs w:val="24"/>
        </w:rPr>
        <w:t>Legislation Act 2001</w:t>
      </w:r>
      <w:r w:rsidR="005173F7">
        <w:rPr>
          <w:rFonts w:ascii="Arial Narrow" w:hAnsi="Arial Narrow" w:cs="Arial Narrow"/>
          <w:bCs/>
          <w:i/>
          <w:iCs/>
          <w:szCs w:val="24"/>
        </w:rPr>
        <w:t>.</w:t>
      </w:r>
      <w:r>
        <w:rPr>
          <w:rFonts w:ascii="Arial Narrow" w:hAnsi="Arial Narrow" w:cs="Arial Narrow"/>
          <w:bCs/>
          <w:szCs w:val="24"/>
        </w:rPr>
        <w:t xml:space="preserve"> </w:t>
      </w:r>
    </w:p>
    <w:p w14:paraId="1B07A073" w14:textId="5BA9954B" w:rsidR="00662CE6" w:rsidRDefault="006A3EA4" w:rsidP="00EB337B">
      <w:pPr>
        <w:spacing w:after="120"/>
        <w:rPr>
          <w:rFonts w:ascii="Arial Narrow" w:hAnsi="Arial Narrow" w:cs="Arial Narrow"/>
          <w:bCs/>
          <w:szCs w:val="24"/>
        </w:rPr>
      </w:pPr>
      <w:r>
        <w:rPr>
          <w:rFonts w:ascii="Arial Narrow" w:hAnsi="Arial Narrow" w:cs="Arial Narrow"/>
          <w:bCs/>
          <w:szCs w:val="24"/>
        </w:rPr>
        <w:t xml:space="preserve">This amendment regulation seeks to enable local health professionals to access pharmaceutical benefits in accordance with </w:t>
      </w:r>
      <w:r w:rsidR="004F05DF">
        <w:rPr>
          <w:rFonts w:ascii="Arial Narrow" w:hAnsi="Arial Narrow" w:cs="Arial Narrow"/>
          <w:bCs/>
          <w:szCs w:val="24"/>
        </w:rPr>
        <w:t xml:space="preserve">any special </w:t>
      </w:r>
      <w:r>
        <w:rPr>
          <w:rFonts w:ascii="Arial Narrow" w:hAnsi="Arial Narrow" w:cs="Arial Narrow"/>
          <w:bCs/>
          <w:szCs w:val="24"/>
        </w:rPr>
        <w:t>determinations made by the Australian Government</w:t>
      </w:r>
      <w:r w:rsidR="001479E6">
        <w:rPr>
          <w:rFonts w:ascii="Arial Narrow" w:hAnsi="Arial Narrow" w:cs="Arial Narrow"/>
          <w:bCs/>
          <w:szCs w:val="24"/>
        </w:rPr>
        <w:t xml:space="preserve">. One such example is the </w:t>
      </w:r>
      <w:r w:rsidR="001479E6" w:rsidRPr="001479E6">
        <w:rPr>
          <w:rFonts w:ascii="Arial Narrow" w:hAnsi="Arial Narrow" w:cs="Arial Narrow"/>
          <w:bCs/>
          <w:i/>
          <w:iCs/>
          <w:szCs w:val="24"/>
        </w:rPr>
        <w:t>National Health (COVID-19 Supply of Pharmaceutical Benefits)</w:t>
      </w:r>
      <w:r w:rsidR="0008751E">
        <w:rPr>
          <w:rFonts w:ascii="Arial Narrow" w:hAnsi="Arial Narrow" w:cs="Arial Narrow"/>
          <w:bCs/>
          <w:i/>
          <w:iCs/>
          <w:szCs w:val="24"/>
        </w:rPr>
        <w:t xml:space="preserve"> </w:t>
      </w:r>
      <w:r w:rsidR="003243BA" w:rsidRPr="003243BA">
        <w:rPr>
          <w:rFonts w:ascii="Arial Narrow" w:hAnsi="Arial Narrow" w:cs="Arial Narrow"/>
          <w:bCs/>
          <w:i/>
          <w:iCs/>
          <w:szCs w:val="24"/>
        </w:rPr>
        <w:t xml:space="preserve">Amendment (Expansion of Telehealth and Telephone Attendances) </w:t>
      </w:r>
      <w:r w:rsidR="001479E6" w:rsidRPr="001479E6">
        <w:rPr>
          <w:rFonts w:ascii="Arial Narrow" w:hAnsi="Arial Narrow" w:cs="Arial Narrow"/>
          <w:bCs/>
          <w:i/>
          <w:iCs/>
          <w:szCs w:val="24"/>
        </w:rPr>
        <w:t xml:space="preserve">Special </w:t>
      </w:r>
      <w:r w:rsidR="001479E6" w:rsidRPr="001479E6">
        <w:rPr>
          <w:rFonts w:ascii="Arial Narrow" w:hAnsi="Arial Narrow" w:cs="Arial Narrow"/>
          <w:bCs/>
          <w:i/>
          <w:iCs/>
          <w:szCs w:val="24"/>
        </w:rPr>
        <w:lastRenderedPageBreak/>
        <w:t>Arrangement 2020 (Cwth)</w:t>
      </w:r>
      <w:r w:rsidR="001479E6" w:rsidRPr="001479E6">
        <w:rPr>
          <w:rFonts w:ascii="Arial Narrow" w:hAnsi="Arial Narrow" w:cs="Arial Narrow"/>
          <w:bCs/>
          <w:szCs w:val="24"/>
        </w:rPr>
        <w:t xml:space="preserve">, which concerns the </w:t>
      </w:r>
      <w:r w:rsidR="004F05DF">
        <w:rPr>
          <w:rFonts w:ascii="Arial Narrow" w:hAnsi="Arial Narrow" w:cs="Arial Narrow"/>
          <w:bCs/>
          <w:szCs w:val="24"/>
        </w:rPr>
        <w:t>supply of pharmaceutical benefits arising from a telehealth or phone attendance service</w:t>
      </w:r>
      <w:r w:rsidR="001479E6">
        <w:rPr>
          <w:rFonts w:ascii="Arial Narrow" w:hAnsi="Arial Narrow" w:cs="Arial Narrow"/>
          <w:bCs/>
          <w:szCs w:val="24"/>
        </w:rPr>
        <w:t xml:space="preserve">. </w:t>
      </w:r>
      <w:r w:rsidR="004F05DF">
        <w:rPr>
          <w:rFonts w:ascii="Arial Narrow" w:hAnsi="Arial Narrow" w:cs="Arial Narrow"/>
          <w:bCs/>
          <w:szCs w:val="24"/>
        </w:rPr>
        <w:t xml:space="preserve"> </w:t>
      </w:r>
    </w:p>
    <w:p w14:paraId="4ADE5A2C" w14:textId="413A58AD" w:rsidR="00F31AFF" w:rsidRDefault="006A3EA4" w:rsidP="00EB337B">
      <w:pPr>
        <w:spacing w:after="120"/>
        <w:rPr>
          <w:rFonts w:ascii="Arial Narrow" w:hAnsi="Arial Narrow" w:cs="Arial Narrow"/>
          <w:bCs/>
          <w:szCs w:val="24"/>
        </w:rPr>
      </w:pPr>
      <w:bookmarkStart w:id="3" w:name="_Hlk42252104"/>
      <w:r>
        <w:rPr>
          <w:rFonts w:ascii="Arial Narrow" w:hAnsi="Arial Narrow" w:cs="Arial Narrow"/>
          <w:bCs/>
          <w:szCs w:val="24"/>
        </w:rPr>
        <w:t xml:space="preserve">Record keeping obligations placed on prescribers and pharmacists are subject to the uniform Pharmaceutical Benefits Scheme </w:t>
      </w:r>
      <w:r w:rsidR="00F31AFF">
        <w:rPr>
          <w:rFonts w:ascii="Arial Narrow" w:hAnsi="Arial Narrow" w:cs="Arial Narrow"/>
          <w:bCs/>
          <w:szCs w:val="24"/>
        </w:rPr>
        <w:t xml:space="preserve">(PBS) </w:t>
      </w:r>
      <w:r>
        <w:rPr>
          <w:rFonts w:ascii="Arial Narrow" w:hAnsi="Arial Narrow" w:cs="Arial Narrow"/>
          <w:bCs/>
          <w:szCs w:val="24"/>
        </w:rPr>
        <w:t>as administered by the Australian Government.</w:t>
      </w:r>
      <w:r w:rsidR="00F31AFF">
        <w:rPr>
          <w:rFonts w:ascii="Arial Narrow" w:hAnsi="Arial Narrow" w:cs="Arial Narrow"/>
          <w:bCs/>
          <w:szCs w:val="24"/>
        </w:rPr>
        <w:t xml:space="preserve"> As any </w:t>
      </w:r>
      <w:r>
        <w:rPr>
          <w:rFonts w:ascii="Arial Narrow" w:hAnsi="Arial Narrow" w:cs="Arial Narrow"/>
          <w:bCs/>
          <w:szCs w:val="24"/>
        </w:rPr>
        <w:t>regulatory burden impose</w:t>
      </w:r>
      <w:r w:rsidR="00F31AFF">
        <w:rPr>
          <w:rFonts w:ascii="Arial Narrow" w:hAnsi="Arial Narrow" w:cs="Arial Narrow"/>
          <w:bCs/>
          <w:szCs w:val="24"/>
        </w:rPr>
        <w:t>d</w:t>
      </w:r>
      <w:r>
        <w:rPr>
          <w:rFonts w:ascii="Arial Narrow" w:hAnsi="Arial Narrow" w:cs="Arial Narrow"/>
          <w:bCs/>
          <w:szCs w:val="24"/>
        </w:rPr>
        <w:t xml:space="preserve"> by this amendment regulation </w:t>
      </w:r>
      <w:r w:rsidR="00EB59BF">
        <w:rPr>
          <w:rFonts w:ascii="Arial Narrow" w:hAnsi="Arial Narrow" w:cs="Arial Narrow"/>
          <w:bCs/>
          <w:szCs w:val="24"/>
        </w:rPr>
        <w:t>is</w:t>
      </w:r>
      <w:r w:rsidR="00F31AFF">
        <w:rPr>
          <w:rFonts w:ascii="Arial Narrow" w:hAnsi="Arial Narrow" w:cs="Arial Narrow"/>
          <w:bCs/>
          <w:szCs w:val="24"/>
        </w:rPr>
        <w:t xml:space="preserve"> consequential to the Territory giving effect to the national PBS, section 36(g) of the </w:t>
      </w:r>
      <w:r w:rsidR="00F31AFF" w:rsidRPr="00F31AFF">
        <w:rPr>
          <w:rFonts w:ascii="Arial Narrow" w:hAnsi="Arial Narrow" w:cs="Arial Narrow"/>
          <w:bCs/>
          <w:i/>
          <w:iCs/>
          <w:szCs w:val="24"/>
        </w:rPr>
        <w:t>Legislation Act 2001</w:t>
      </w:r>
      <w:r w:rsidR="00F31AFF">
        <w:rPr>
          <w:rFonts w:ascii="Arial Narrow" w:hAnsi="Arial Narrow" w:cs="Arial Narrow"/>
          <w:bCs/>
          <w:szCs w:val="24"/>
        </w:rPr>
        <w:t xml:space="preserve"> notes that the preparation of a regulatory impact statement to support these amendments is unnecessary. </w:t>
      </w:r>
    </w:p>
    <w:bookmarkEnd w:id="3"/>
    <w:p w14:paraId="7A76A4B3" w14:textId="1F97F188" w:rsidR="00EB337B" w:rsidRPr="00263A5E" w:rsidRDefault="005173F7" w:rsidP="00EB337B">
      <w:pPr>
        <w:rPr>
          <w:rFonts w:ascii="Arial Narrow" w:hAnsi="Arial Narrow" w:cs="Arial"/>
          <w:bCs/>
          <w:szCs w:val="24"/>
        </w:rPr>
      </w:pPr>
      <w:r>
        <w:rPr>
          <w:rFonts w:ascii="Arial Narrow" w:hAnsi="Arial Narrow" w:cs="Arial"/>
          <w:bCs/>
          <w:szCs w:val="24"/>
        </w:rPr>
        <w:t>The changes proposed by this amendment</w:t>
      </w:r>
      <w:r w:rsidR="00EB337B">
        <w:rPr>
          <w:rFonts w:ascii="Arial Narrow" w:hAnsi="Arial Narrow" w:cs="Arial"/>
          <w:bCs/>
          <w:szCs w:val="24"/>
        </w:rPr>
        <w:t xml:space="preserve"> regulation </w:t>
      </w:r>
      <w:r>
        <w:rPr>
          <w:rFonts w:ascii="Arial Narrow" w:hAnsi="Arial Narrow" w:cs="Arial"/>
          <w:bCs/>
          <w:szCs w:val="24"/>
        </w:rPr>
        <w:t>are</w:t>
      </w:r>
      <w:r w:rsidR="00EB337B">
        <w:rPr>
          <w:rFonts w:ascii="Arial Narrow" w:hAnsi="Arial Narrow" w:cs="Arial"/>
          <w:bCs/>
          <w:szCs w:val="24"/>
        </w:rPr>
        <w:t xml:space="preserve"> not considered to </w:t>
      </w:r>
      <w:r>
        <w:rPr>
          <w:rFonts w:ascii="Arial Narrow" w:hAnsi="Arial Narrow" w:cs="Arial"/>
          <w:bCs/>
          <w:szCs w:val="24"/>
        </w:rPr>
        <w:t>engage the</w:t>
      </w:r>
      <w:r w:rsidR="00EB337B">
        <w:rPr>
          <w:rFonts w:ascii="Arial Narrow" w:hAnsi="Arial Narrow" w:cs="Arial"/>
          <w:bCs/>
          <w:szCs w:val="24"/>
        </w:rPr>
        <w:t xml:space="preserve"> </w:t>
      </w:r>
      <w:r w:rsidR="00EB337B" w:rsidRPr="00133BA6">
        <w:rPr>
          <w:rFonts w:ascii="Arial Narrow" w:hAnsi="Arial Narrow" w:cs="Arial"/>
          <w:bCs/>
          <w:i/>
          <w:iCs/>
          <w:szCs w:val="24"/>
        </w:rPr>
        <w:t>Human Rights Act 2004</w:t>
      </w:r>
      <w:r>
        <w:rPr>
          <w:rFonts w:ascii="Arial Narrow" w:hAnsi="Arial Narrow" w:cs="Arial"/>
          <w:bCs/>
          <w:i/>
          <w:iCs/>
          <w:szCs w:val="24"/>
        </w:rPr>
        <w:t xml:space="preserve"> </w:t>
      </w:r>
      <w:r>
        <w:rPr>
          <w:rFonts w:ascii="Arial Narrow" w:hAnsi="Arial Narrow" w:cs="Arial"/>
          <w:bCs/>
          <w:szCs w:val="24"/>
        </w:rPr>
        <w:t xml:space="preserve">as they only seek to adopt or incorporate aspects of the </w:t>
      </w:r>
      <w:r w:rsidRPr="005173F7">
        <w:rPr>
          <w:rFonts w:ascii="Arial Narrow" w:hAnsi="Arial Narrow" w:cs="Arial"/>
          <w:bCs/>
          <w:i/>
          <w:iCs/>
          <w:szCs w:val="24"/>
        </w:rPr>
        <w:t>National Health Act</w:t>
      </w:r>
      <w:r w:rsidR="00D92F99">
        <w:rPr>
          <w:rFonts w:ascii="Arial Narrow" w:hAnsi="Arial Narrow" w:cs="Arial"/>
          <w:bCs/>
          <w:i/>
          <w:iCs/>
          <w:szCs w:val="24"/>
        </w:rPr>
        <w:t> </w:t>
      </w:r>
      <w:r w:rsidRPr="005173F7">
        <w:rPr>
          <w:rFonts w:ascii="Arial Narrow" w:hAnsi="Arial Narrow" w:cs="Arial"/>
          <w:bCs/>
          <w:i/>
          <w:iCs/>
          <w:szCs w:val="24"/>
        </w:rPr>
        <w:t>1953 (Cwth)</w:t>
      </w:r>
      <w:r>
        <w:rPr>
          <w:rFonts w:ascii="Arial Narrow" w:hAnsi="Arial Narrow" w:cs="Arial"/>
          <w:bCs/>
          <w:szCs w:val="24"/>
        </w:rPr>
        <w:t xml:space="preserve"> </w:t>
      </w:r>
      <w:r w:rsidR="00FA7FD8">
        <w:rPr>
          <w:rFonts w:ascii="Arial Narrow" w:hAnsi="Arial Narrow" w:cs="Arial"/>
          <w:bCs/>
          <w:szCs w:val="24"/>
        </w:rPr>
        <w:t>to</w:t>
      </w:r>
      <w:r>
        <w:rPr>
          <w:rFonts w:ascii="Arial Narrow" w:hAnsi="Arial Narrow" w:cs="Arial"/>
          <w:bCs/>
          <w:szCs w:val="24"/>
        </w:rPr>
        <w:t xml:space="preserve"> enable access to pharmaceutical benefits under the PBS</w:t>
      </w:r>
      <w:r w:rsidR="00EB337B" w:rsidRPr="00133BA6">
        <w:rPr>
          <w:rFonts w:ascii="Arial Narrow" w:hAnsi="Arial Narrow" w:cs="Arial"/>
          <w:bCs/>
          <w:i/>
          <w:iCs/>
          <w:szCs w:val="24"/>
        </w:rPr>
        <w:t>.</w:t>
      </w:r>
      <w:r w:rsidR="00EB337B">
        <w:rPr>
          <w:rFonts w:ascii="Arial Narrow" w:hAnsi="Arial Narrow" w:cs="Arial"/>
          <w:bCs/>
          <w:szCs w:val="24"/>
        </w:rPr>
        <w:t xml:space="preserve">  </w:t>
      </w:r>
      <w:r w:rsidR="00EB337B">
        <w:rPr>
          <w:rFonts w:ascii="Arial Narrow" w:hAnsi="Arial Narrow" w:cs="Arial"/>
          <w:bCs/>
          <w:szCs w:val="24"/>
        </w:rPr>
        <w:br/>
      </w:r>
    </w:p>
    <w:p w14:paraId="34996283" w14:textId="77777777" w:rsidR="00EB337B" w:rsidRPr="00263A5E" w:rsidRDefault="00EB337B" w:rsidP="00EB337B">
      <w:pPr>
        <w:spacing w:after="120"/>
        <w:rPr>
          <w:rFonts w:ascii="Arial Narrow" w:hAnsi="Arial Narrow" w:cs="Arial"/>
          <w:b/>
          <w:szCs w:val="24"/>
        </w:rPr>
      </w:pPr>
      <w:r w:rsidRPr="00263A5E">
        <w:rPr>
          <w:rFonts w:ascii="Arial Narrow" w:hAnsi="Arial Narrow" w:cs="Arial"/>
          <w:b/>
          <w:szCs w:val="24"/>
        </w:rPr>
        <w:t>Details</w:t>
      </w:r>
    </w:p>
    <w:p w14:paraId="7B64FC40" w14:textId="77777777" w:rsidR="00EB337B" w:rsidRPr="00263A5E" w:rsidRDefault="00EB337B" w:rsidP="00EB337B">
      <w:pPr>
        <w:spacing w:after="120"/>
        <w:rPr>
          <w:rFonts w:ascii="Arial Narrow" w:hAnsi="Arial Narrow" w:cs="Arial"/>
          <w:bCs/>
          <w:szCs w:val="24"/>
        </w:rPr>
      </w:pPr>
      <w:r w:rsidRPr="00263A5E">
        <w:rPr>
          <w:rFonts w:ascii="Arial Narrow" w:hAnsi="Arial Narrow" w:cs="Arial"/>
          <w:bCs/>
          <w:szCs w:val="24"/>
        </w:rPr>
        <w:t>A detailed explanation of</w:t>
      </w:r>
      <w:r>
        <w:rPr>
          <w:rFonts w:ascii="Arial Narrow" w:hAnsi="Arial Narrow" w:cs="Arial"/>
          <w:bCs/>
          <w:szCs w:val="24"/>
        </w:rPr>
        <w:t xml:space="preserve"> </w:t>
      </w:r>
      <w:r w:rsidRPr="00263A5E">
        <w:rPr>
          <w:rFonts w:ascii="Arial Narrow" w:hAnsi="Arial Narrow" w:cs="Arial"/>
          <w:bCs/>
          <w:szCs w:val="24"/>
        </w:rPr>
        <w:t>each clause of the Regulation follows.</w:t>
      </w:r>
    </w:p>
    <w:p w14:paraId="3FAB9B21" w14:textId="6E6F0B59" w:rsidR="00EB337B" w:rsidRPr="00263A5E" w:rsidRDefault="005173F7" w:rsidP="00EB337B">
      <w:pPr>
        <w:spacing w:after="120"/>
        <w:rPr>
          <w:rFonts w:ascii="Arial Narrow" w:hAnsi="Arial Narrow" w:cs="Arial"/>
          <w:b/>
          <w:szCs w:val="24"/>
        </w:rPr>
      </w:pPr>
      <w:r>
        <w:rPr>
          <w:rFonts w:ascii="Arial Narrow" w:hAnsi="Arial Narrow" w:cs="Arial"/>
          <w:b/>
          <w:szCs w:val="24"/>
        </w:rPr>
        <w:br/>
      </w:r>
      <w:r w:rsidR="00EB337B" w:rsidRPr="00263A5E">
        <w:rPr>
          <w:rFonts w:ascii="Arial Narrow" w:hAnsi="Arial Narrow" w:cs="Arial"/>
          <w:b/>
          <w:szCs w:val="24"/>
        </w:rPr>
        <w:t>Clauses</w:t>
      </w:r>
      <w:r w:rsidR="00EB337B">
        <w:rPr>
          <w:rFonts w:ascii="Arial Narrow" w:hAnsi="Arial Narrow" w:cs="Arial"/>
          <w:b/>
          <w:szCs w:val="24"/>
        </w:rPr>
        <w:br/>
      </w:r>
    </w:p>
    <w:p w14:paraId="356B1270" w14:textId="77777777" w:rsidR="00EB337B" w:rsidRPr="00263A5E" w:rsidRDefault="00EB337B" w:rsidP="00EB337B">
      <w:pPr>
        <w:spacing w:after="120"/>
        <w:rPr>
          <w:rFonts w:ascii="Arial Narrow" w:hAnsi="Arial Narrow" w:cs="Arial"/>
          <w:b/>
          <w:szCs w:val="24"/>
        </w:rPr>
      </w:pPr>
      <w:r w:rsidRPr="00263A5E">
        <w:rPr>
          <w:rFonts w:ascii="Arial Narrow" w:hAnsi="Arial Narrow" w:cs="Arial"/>
          <w:b/>
          <w:szCs w:val="24"/>
        </w:rPr>
        <w:t xml:space="preserve">Clause 1 </w:t>
      </w:r>
      <w:r>
        <w:rPr>
          <w:rFonts w:ascii="Arial Narrow" w:hAnsi="Arial Narrow" w:cs="Arial"/>
          <w:b/>
          <w:szCs w:val="24"/>
        </w:rPr>
        <w:tab/>
      </w:r>
      <w:r w:rsidRPr="00263A5E">
        <w:rPr>
          <w:rFonts w:ascii="Arial Narrow" w:hAnsi="Arial Narrow" w:cs="Arial"/>
          <w:b/>
          <w:szCs w:val="24"/>
        </w:rPr>
        <w:t>Name of regulation</w:t>
      </w:r>
    </w:p>
    <w:p w14:paraId="67AF172B" w14:textId="266677B4" w:rsidR="00EB337B" w:rsidRPr="00263A5E" w:rsidRDefault="00EB337B" w:rsidP="002C4CFD">
      <w:pPr>
        <w:spacing w:after="200"/>
        <w:rPr>
          <w:rFonts w:ascii="Arial Narrow" w:hAnsi="Arial Narrow" w:cs="Arial"/>
          <w:bCs/>
          <w:szCs w:val="24"/>
        </w:rPr>
      </w:pPr>
      <w:r w:rsidRPr="00263A5E">
        <w:rPr>
          <w:rFonts w:ascii="Arial Narrow" w:hAnsi="Arial Narrow" w:cs="Arial"/>
          <w:bCs/>
          <w:szCs w:val="24"/>
        </w:rPr>
        <w:t>The first clause of the Regulation declares the name of the Regulation to</w:t>
      </w:r>
      <w:r>
        <w:rPr>
          <w:rFonts w:ascii="Arial Narrow" w:hAnsi="Arial Narrow" w:cs="Arial"/>
          <w:bCs/>
          <w:szCs w:val="24"/>
        </w:rPr>
        <w:t xml:space="preserve"> be</w:t>
      </w:r>
      <w:r w:rsidRPr="00263A5E">
        <w:rPr>
          <w:rFonts w:ascii="Arial Narrow" w:hAnsi="Arial Narrow" w:cs="Arial"/>
          <w:bCs/>
          <w:szCs w:val="24"/>
        </w:rPr>
        <w:t xml:space="preserve"> the Medicines, Poisons and Therapeutic Goods Amendment Regulation </w:t>
      </w:r>
      <w:r>
        <w:rPr>
          <w:rFonts w:ascii="Arial Narrow" w:hAnsi="Arial Narrow" w:cs="Arial"/>
          <w:bCs/>
          <w:szCs w:val="24"/>
        </w:rPr>
        <w:t xml:space="preserve">2020 (No </w:t>
      </w:r>
      <w:r w:rsidR="00AE7D77">
        <w:rPr>
          <w:rFonts w:ascii="Arial Narrow" w:hAnsi="Arial Narrow" w:cs="Arial"/>
          <w:bCs/>
          <w:szCs w:val="24"/>
        </w:rPr>
        <w:t>2</w:t>
      </w:r>
      <w:r>
        <w:rPr>
          <w:rFonts w:ascii="Arial Narrow" w:hAnsi="Arial Narrow" w:cs="Arial"/>
          <w:bCs/>
          <w:szCs w:val="24"/>
        </w:rPr>
        <w:t xml:space="preserve">).  </w:t>
      </w:r>
    </w:p>
    <w:p w14:paraId="4318CD93" w14:textId="77777777" w:rsidR="00EB337B" w:rsidRDefault="00EB337B" w:rsidP="00EB337B">
      <w:pPr>
        <w:spacing w:after="12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2</w:t>
      </w:r>
      <w:r w:rsidRPr="00263A5E">
        <w:rPr>
          <w:rFonts w:ascii="Arial Narrow" w:hAnsi="Arial Narrow" w:cs="Arial"/>
          <w:b/>
          <w:szCs w:val="24"/>
        </w:rPr>
        <w:t xml:space="preserve"> </w:t>
      </w:r>
      <w:r>
        <w:rPr>
          <w:rFonts w:ascii="Arial Narrow" w:hAnsi="Arial Narrow" w:cs="Arial"/>
          <w:b/>
          <w:szCs w:val="24"/>
        </w:rPr>
        <w:tab/>
        <w:t>Commencement</w:t>
      </w:r>
    </w:p>
    <w:p w14:paraId="29934B08" w14:textId="77777777" w:rsidR="00EB337B" w:rsidRPr="00263A5E" w:rsidRDefault="00EB337B" w:rsidP="002C4CFD">
      <w:pPr>
        <w:spacing w:after="200"/>
        <w:rPr>
          <w:rFonts w:ascii="Arial Narrow" w:hAnsi="Arial Narrow" w:cs="Arial"/>
          <w:bCs/>
          <w:szCs w:val="24"/>
        </w:rPr>
      </w:pPr>
      <w:r w:rsidRPr="00A61B0F">
        <w:rPr>
          <w:rFonts w:ascii="Arial Narrow" w:hAnsi="Arial Narrow" w:cs="Arial"/>
          <w:bCs/>
          <w:szCs w:val="24"/>
        </w:rPr>
        <w:t xml:space="preserve">Pursuant to this provision, the Regulation is to commence on the day after notification.  </w:t>
      </w:r>
    </w:p>
    <w:p w14:paraId="12B24874" w14:textId="77777777" w:rsidR="00EB337B" w:rsidRDefault="00EB337B" w:rsidP="00EB337B">
      <w:pPr>
        <w:spacing w:after="120"/>
        <w:rPr>
          <w:rFonts w:ascii="Arial Narrow" w:hAnsi="Arial Narrow" w:cs="Arial"/>
          <w:bCs/>
          <w:szCs w:val="24"/>
        </w:rPr>
      </w:pPr>
      <w:r w:rsidRPr="00263A5E">
        <w:rPr>
          <w:rFonts w:ascii="Arial Narrow" w:hAnsi="Arial Narrow" w:cs="Arial"/>
          <w:b/>
          <w:szCs w:val="24"/>
        </w:rPr>
        <w:t xml:space="preserve">Clause </w:t>
      </w:r>
      <w:r>
        <w:rPr>
          <w:rFonts w:ascii="Arial Narrow" w:hAnsi="Arial Narrow" w:cs="Arial"/>
          <w:b/>
          <w:szCs w:val="24"/>
        </w:rPr>
        <w:t>3</w:t>
      </w:r>
      <w:r w:rsidRPr="00263A5E">
        <w:rPr>
          <w:rFonts w:ascii="Arial Narrow" w:hAnsi="Arial Narrow" w:cs="Arial"/>
          <w:b/>
          <w:szCs w:val="24"/>
        </w:rPr>
        <w:t xml:space="preserve"> </w:t>
      </w:r>
      <w:r>
        <w:rPr>
          <w:rFonts w:ascii="Arial Narrow" w:hAnsi="Arial Narrow" w:cs="Arial"/>
          <w:b/>
          <w:szCs w:val="24"/>
        </w:rPr>
        <w:tab/>
        <w:t>Legislation amended</w:t>
      </w:r>
      <w:r>
        <w:rPr>
          <w:rFonts w:ascii="Arial Narrow" w:hAnsi="Arial Narrow" w:cs="Arial"/>
          <w:b/>
          <w:szCs w:val="24"/>
        </w:rPr>
        <w:br/>
      </w:r>
      <w:r w:rsidRPr="00A61B0F">
        <w:rPr>
          <w:rFonts w:ascii="Arial Narrow" w:hAnsi="Arial Narrow" w:cs="Arial"/>
          <w:bCs/>
          <w:szCs w:val="24"/>
        </w:rPr>
        <w:t xml:space="preserve">This provision alerts the reader that this </w:t>
      </w:r>
      <w:r>
        <w:rPr>
          <w:rFonts w:ascii="Arial Narrow" w:hAnsi="Arial Narrow" w:cs="Arial"/>
          <w:bCs/>
          <w:szCs w:val="24"/>
        </w:rPr>
        <w:t>amendment r</w:t>
      </w:r>
      <w:r w:rsidRPr="00A61B0F">
        <w:rPr>
          <w:rFonts w:ascii="Arial Narrow" w:hAnsi="Arial Narrow" w:cs="Arial"/>
          <w:bCs/>
          <w:szCs w:val="24"/>
        </w:rPr>
        <w:t>egulation amends the MPTG Regulation.</w:t>
      </w:r>
      <w:r>
        <w:rPr>
          <w:rFonts w:ascii="Arial Narrow" w:hAnsi="Arial Narrow" w:cs="Arial"/>
          <w:bCs/>
          <w:szCs w:val="24"/>
        </w:rPr>
        <w:t xml:space="preserve"> </w:t>
      </w:r>
    </w:p>
    <w:p w14:paraId="5C9235BF" w14:textId="77777777" w:rsidR="00EB337B" w:rsidRPr="00A61B0F" w:rsidRDefault="00EB337B" w:rsidP="002C4CFD">
      <w:pPr>
        <w:spacing w:after="200"/>
        <w:rPr>
          <w:rFonts w:ascii="Arial Narrow" w:hAnsi="Arial Narrow" w:cs="Arial"/>
          <w:bCs/>
          <w:szCs w:val="24"/>
        </w:rPr>
      </w:pPr>
      <w:r w:rsidRPr="00A61B0F">
        <w:rPr>
          <w:rFonts w:ascii="Arial Narrow" w:hAnsi="Arial Narrow" w:cs="Arial"/>
          <w:bCs/>
          <w:szCs w:val="24"/>
        </w:rPr>
        <w:t xml:space="preserve">Upon commencement this </w:t>
      </w:r>
      <w:r>
        <w:rPr>
          <w:rFonts w:ascii="Arial Narrow" w:hAnsi="Arial Narrow" w:cs="Arial"/>
          <w:bCs/>
          <w:szCs w:val="24"/>
        </w:rPr>
        <w:t>amendment r</w:t>
      </w:r>
      <w:r w:rsidRPr="00A61B0F">
        <w:rPr>
          <w:rFonts w:ascii="Arial Narrow" w:hAnsi="Arial Narrow" w:cs="Arial"/>
          <w:bCs/>
          <w:szCs w:val="24"/>
        </w:rPr>
        <w:t xml:space="preserve">egulation will alter the MPTG Regulation in accordance with the provisions that this </w:t>
      </w:r>
      <w:r>
        <w:rPr>
          <w:rFonts w:ascii="Arial Narrow" w:hAnsi="Arial Narrow" w:cs="Arial"/>
          <w:bCs/>
          <w:szCs w:val="24"/>
        </w:rPr>
        <w:t>amendment r</w:t>
      </w:r>
      <w:r w:rsidRPr="00A61B0F">
        <w:rPr>
          <w:rFonts w:ascii="Arial Narrow" w:hAnsi="Arial Narrow" w:cs="Arial"/>
          <w:bCs/>
          <w:szCs w:val="24"/>
        </w:rPr>
        <w:t xml:space="preserve">egulation contains. This </w:t>
      </w:r>
      <w:r>
        <w:rPr>
          <w:rFonts w:ascii="Arial Narrow" w:hAnsi="Arial Narrow" w:cs="Arial"/>
          <w:bCs/>
          <w:szCs w:val="24"/>
        </w:rPr>
        <w:t>amendment r</w:t>
      </w:r>
      <w:r w:rsidRPr="00A61B0F">
        <w:rPr>
          <w:rFonts w:ascii="Arial Narrow" w:hAnsi="Arial Narrow" w:cs="Arial"/>
          <w:bCs/>
          <w:szCs w:val="24"/>
        </w:rPr>
        <w:t xml:space="preserve">egulation will then be immediately repealed. Consequently, from the date that this </w:t>
      </w:r>
      <w:r>
        <w:rPr>
          <w:rFonts w:ascii="Arial Narrow" w:hAnsi="Arial Narrow" w:cs="Arial"/>
          <w:bCs/>
          <w:szCs w:val="24"/>
        </w:rPr>
        <w:t>amendment r</w:t>
      </w:r>
      <w:r w:rsidRPr="00A61B0F">
        <w:rPr>
          <w:rFonts w:ascii="Arial Narrow" w:hAnsi="Arial Narrow" w:cs="Arial"/>
          <w:bCs/>
          <w:szCs w:val="24"/>
        </w:rPr>
        <w:t>egulation commences</w:t>
      </w:r>
      <w:r>
        <w:rPr>
          <w:rFonts w:ascii="Arial Narrow" w:hAnsi="Arial Narrow" w:cs="Arial"/>
          <w:bCs/>
          <w:szCs w:val="24"/>
        </w:rPr>
        <w:t>,</w:t>
      </w:r>
      <w:r w:rsidRPr="00A61B0F">
        <w:rPr>
          <w:rFonts w:ascii="Arial Narrow" w:hAnsi="Arial Narrow" w:cs="Arial"/>
          <w:bCs/>
          <w:szCs w:val="24"/>
        </w:rPr>
        <w:t xml:space="preserve"> a new republication of the MPTG Regulation will be available. That new republication will feature the alterations made by this </w:t>
      </w:r>
      <w:r>
        <w:rPr>
          <w:rFonts w:ascii="Arial Narrow" w:hAnsi="Arial Narrow" w:cs="Arial"/>
          <w:bCs/>
          <w:szCs w:val="24"/>
        </w:rPr>
        <w:t>amendment r</w:t>
      </w:r>
      <w:r w:rsidRPr="00A61B0F">
        <w:rPr>
          <w:rFonts w:ascii="Arial Narrow" w:hAnsi="Arial Narrow" w:cs="Arial"/>
          <w:bCs/>
          <w:szCs w:val="24"/>
        </w:rPr>
        <w:t>egulation.</w:t>
      </w:r>
    </w:p>
    <w:p w14:paraId="02E4A3B5" w14:textId="5FE323FB" w:rsidR="007E7472" w:rsidRPr="002C4CFD" w:rsidRDefault="007E7472" w:rsidP="002C4CFD">
      <w:pPr>
        <w:shd w:val="clear" w:color="auto" w:fill="FFFFFF"/>
        <w:spacing w:before="20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4</w:t>
      </w:r>
      <w:r w:rsidRPr="00263A5E">
        <w:rPr>
          <w:rFonts w:ascii="Arial Narrow" w:hAnsi="Arial Narrow" w:cs="Arial"/>
          <w:b/>
          <w:szCs w:val="24"/>
        </w:rPr>
        <w:t xml:space="preserve"> </w:t>
      </w:r>
      <w:r>
        <w:rPr>
          <w:rFonts w:ascii="Arial Narrow" w:hAnsi="Arial Narrow" w:cs="Arial"/>
          <w:b/>
          <w:szCs w:val="24"/>
        </w:rPr>
        <w:tab/>
        <w:t>Section 31 (1) (b) (iv)</w:t>
      </w:r>
    </w:p>
    <w:p w14:paraId="20B6776D" w14:textId="429A4D11" w:rsidR="00570F5B" w:rsidRDefault="00570F5B" w:rsidP="007E7472">
      <w:pPr>
        <w:spacing w:after="120"/>
        <w:rPr>
          <w:rFonts w:ascii="Arial Narrow" w:hAnsi="Arial Narrow" w:cs="Arial"/>
          <w:bCs/>
          <w:szCs w:val="24"/>
        </w:rPr>
      </w:pPr>
      <w:r>
        <w:rPr>
          <w:rFonts w:ascii="Arial Narrow" w:hAnsi="Arial Narrow" w:cs="Arial"/>
          <w:bCs/>
          <w:szCs w:val="24"/>
        </w:rPr>
        <w:t xml:space="preserve">This clause amends section 31(1)(b)(iv) to provide a greater time period in which prescribers must submit an original prescription to the pharmacy following </w:t>
      </w:r>
      <w:r w:rsidR="00B6666B">
        <w:rPr>
          <w:rFonts w:ascii="Arial Narrow" w:hAnsi="Arial Narrow" w:cs="Arial"/>
          <w:bCs/>
          <w:szCs w:val="24"/>
        </w:rPr>
        <w:t xml:space="preserve">its transmission by </w:t>
      </w:r>
      <w:r>
        <w:rPr>
          <w:rFonts w:ascii="Arial Narrow" w:hAnsi="Arial Narrow" w:cs="Arial"/>
          <w:bCs/>
          <w:szCs w:val="24"/>
        </w:rPr>
        <w:t xml:space="preserve">fax. This period is </w:t>
      </w:r>
      <w:r w:rsidR="00642F6B">
        <w:rPr>
          <w:rFonts w:ascii="Arial Narrow" w:hAnsi="Arial Narrow" w:cs="Arial"/>
          <w:bCs/>
          <w:szCs w:val="24"/>
        </w:rPr>
        <w:t>increased</w:t>
      </w:r>
      <w:r>
        <w:rPr>
          <w:rFonts w:ascii="Arial Narrow" w:hAnsi="Arial Narrow" w:cs="Arial"/>
          <w:bCs/>
          <w:szCs w:val="24"/>
        </w:rPr>
        <w:t xml:space="preserve"> from 24</w:t>
      </w:r>
      <w:r w:rsidR="00642F6B">
        <w:rPr>
          <w:rFonts w:ascii="Arial Narrow" w:hAnsi="Arial Narrow" w:cs="Arial"/>
          <w:bCs/>
          <w:szCs w:val="24"/>
        </w:rPr>
        <w:t xml:space="preserve"> </w:t>
      </w:r>
      <w:r>
        <w:rPr>
          <w:rFonts w:ascii="Arial Narrow" w:hAnsi="Arial Narrow" w:cs="Arial"/>
          <w:bCs/>
          <w:szCs w:val="24"/>
        </w:rPr>
        <w:t>hours to seven days</w:t>
      </w:r>
      <w:r w:rsidR="00B6666B">
        <w:rPr>
          <w:rFonts w:ascii="Arial Narrow" w:hAnsi="Arial Narrow" w:cs="Arial"/>
          <w:bCs/>
          <w:szCs w:val="24"/>
        </w:rPr>
        <w:t xml:space="preserve"> to better meet the needs of prescribers and pharmacists. </w:t>
      </w:r>
      <w:r w:rsidR="003F096C">
        <w:rPr>
          <w:rFonts w:ascii="Arial Narrow" w:hAnsi="Arial Narrow" w:cs="Arial"/>
          <w:bCs/>
          <w:szCs w:val="24"/>
        </w:rPr>
        <w:t xml:space="preserve"> </w:t>
      </w:r>
    </w:p>
    <w:p w14:paraId="66408170" w14:textId="529450EC" w:rsidR="007E7472" w:rsidRDefault="007E7472" w:rsidP="002C4CFD">
      <w:pPr>
        <w:shd w:val="clear" w:color="auto" w:fill="FFFFFF"/>
        <w:spacing w:before="20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5</w:t>
      </w:r>
      <w:r>
        <w:rPr>
          <w:rFonts w:ascii="Arial Narrow" w:hAnsi="Arial Narrow" w:cs="Arial"/>
          <w:b/>
          <w:szCs w:val="24"/>
        </w:rPr>
        <w:tab/>
        <w:t>New section 31A</w:t>
      </w:r>
    </w:p>
    <w:p w14:paraId="5E868B3C" w14:textId="6F339BFF" w:rsidR="00570F5B" w:rsidRDefault="00EB337B" w:rsidP="00EB337B">
      <w:pPr>
        <w:spacing w:after="120"/>
        <w:rPr>
          <w:rFonts w:ascii="Arial Narrow" w:hAnsi="Arial Narrow" w:cs="Arial"/>
          <w:bCs/>
          <w:szCs w:val="24"/>
        </w:rPr>
      </w:pPr>
      <w:r>
        <w:rPr>
          <w:rFonts w:ascii="Arial Narrow" w:hAnsi="Arial Narrow" w:cs="Arial"/>
          <w:bCs/>
          <w:szCs w:val="24"/>
        </w:rPr>
        <w:t>T</w:t>
      </w:r>
      <w:r w:rsidRPr="00953BB8">
        <w:rPr>
          <w:rFonts w:ascii="Arial Narrow" w:hAnsi="Arial Narrow" w:cs="Arial"/>
          <w:bCs/>
          <w:szCs w:val="24"/>
        </w:rPr>
        <w:t>his clause</w:t>
      </w:r>
      <w:r>
        <w:rPr>
          <w:rFonts w:ascii="Arial Narrow" w:hAnsi="Arial Narrow" w:cs="Arial"/>
          <w:bCs/>
          <w:szCs w:val="24"/>
        </w:rPr>
        <w:t xml:space="preserve"> inserts new section 31A to the Regulation to allow a prescriber to retain a prescription in accordance with a </w:t>
      </w:r>
      <w:r w:rsidR="002C4CFD">
        <w:rPr>
          <w:rFonts w:ascii="Arial Narrow" w:hAnsi="Arial Narrow" w:cs="Arial"/>
          <w:bCs/>
          <w:szCs w:val="24"/>
        </w:rPr>
        <w:t>s</w:t>
      </w:r>
      <w:r>
        <w:rPr>
          <w:rFonts w:ascii="Arial Narrow" w:hAnsi="Arial Narrow" w:cs="Arial"/>
          <w:bCs/>
          <w:szCs w:val="24"/>
        </w:rPr>
        <w:t xml:space="preserve">pecial </w:t>
      </w:r>
      <w:r w:rsidR="002C4CFD">
        <w:rPr>
          <w:rFonts w:ascii="Arial Narrow" w:hAnsi="Arial Narrow" w:cs="Arial"/>
          <w:bCs/>
          <w:szCs w:val="24"/>
        </w:rPr>
        <w:t>a</w:t>
      </w:r>
      <w:r>
        <w:rPr>
          <w:rFonts w:ascii="Arial Narrow" w:hAnsi="Arial Narrow" w:cs="Arial"/>
          <w:bCs/>
          <w:szCs w:val="24"/>
        </w:rPr>
        <w:t xml:space="preserve">rrangement instrument published under the </w:t>
      </w:r>
      <w:r w:rsidRPr="003F096C">
        <w:rPr>
          <w:rFonts w:ascii="Arial Narrow" w:hAnsi="Arial Narrow" w:cs="Arial"/>
          <w:bCs/>
          <w:i/>
          <w:iCs/>
          <w:szCs w:val="24"/>
        </w:rPr>
        <w:t xml:space="preserve">National Health Act </w:t>
      </w:r>
      <w:r w:rsidR="003F096C" w:rsidRPr="003F096C">
        <w:rPr>
          <w:rFonts w:ascii="Arial Narrow" w:hAnsi="Arial Narrow" w:cs="Arial"/>
          <w:bCs/>
          <w:i/>
          <w:iCs/>
          <w:szCs w:val="24"/>
        </w:rPr>
        <w:t xml:space="preserve">1953 </w:t>
      </w:r>
      <w:r w:rsidRPr="003F096C">
        <w:rPr>
          <w:rFonts w:ascii="Arial Narrow" w:hAnsi="Arial Narrow" w:cs="Arial"/>
          <w:bCs/>
          <w:i/>
          <w:iCs/>
          <w:szCs w:val="24"/>
        </w:rPr>
        <w:t>(Cwth)</w:t>
      </w:r>
      <w:r>
        <w:rPr>
          <w:rFonts w:ascii="Arial Narrow" w:hAnsi="Arial Narrow" w:cs="Arial"/>
          <w:bCs/>
          <w:szCs w:val="24"/>
        </w:rPr>
        <w:t xml:space="preserve"> for the purposes of claiming a PBS subsidy for the prescription.</w:t>
      </w:r>
      <w:r w:rsidR="00570F5B">
        <w:rPr>
          <w:rFonts w:ascii="Arial Narrow" w:hAnsi="Arial Narrow" w:cs="Arial"/>
          <w:bCs/>
          <w:szCs w:val="24"/>
        </w:rPr>
        <w:t xml:space="preserve">  </w:t>
      </w:r>
    </w:p>
    <w:p w14:paraId="50252569" w14:textId="22B23E9F" w:rsidR="00EB337B" w:rsidRDefault="00570F5B" w:rsidP="00EB337B">
      <w:pPr>
        <w:spacing w:after="120"/>
        <w:rPr>
          <w:rFonts w:ascii="Arial Narrow" w:hAnsi="Arial Narrow" w:cs="Arial"/>
          <w:bCs/>
          <w:szCs w:val="24"/>
        </w:rPr>
      </w:pPr>
      <w:r>
        <w:rPr>
          <w:rFonts w:ascii="Arial Narrow" w:hAnsi="Arial Narrow" w:cs="Arial"/>
          <w:bCs/>
          <w:szCs w:val="24"/>
        </w:rPr>
        <w:t xml:space="preserve">This clause provides for alternative record keeping requirements to </w:t>
      </w:r>
      <w:r w:rsidR="002C4CFD">
        <w:rPr>
          <w:rFonts w:ascii="Arial Narrow" w:hAnsi="Arial Narrow" w:cs="Arial"/>
          <w:bCs/>
          <w:szCs w:val="24"/>
        </w:rPr>
        <w:t xml:space="preserve">those required by </w:t>
      </w:r>
      <w:r>
        <w:rPr>
          <w:rFonts w:ascii="Arial Narrow" w:hAnsi="Arial Narrow" w:cs="Arial"/>
          <w:bCs/>
          <w:szCs w:val="24"/>
        </w:rPr>
        <w:t xml:space="preserve">the MPTG Regulation, in favour of those described by a special arrangement. It is noted that this </w:t>
      </w:r>
      <w:r w:rsidR="002C4CFD">
        <w:rPr>
          <w:rFonts w:ascii="Arial Narrow" w:hAnsi="Arial Narrow" w:cs="Arial"/>
          <w:bCs/>
          <w:szCs w:val="24"/>
        </w:rPr>
        <w:t>variation</w:t>
      </w:r>
      <w:r>
        <w:rPr>
          <w:rFonts w:ascii="Arial Narrow" w:hAnsi="Arial Narrow" w:cs="Arial"/>
          <w:bCs/>
          <w:szCs w:val="24"/>
        </w:rPr>
        <w:t xml:space="preserve"> is associated with an offence under section 44 of the MPTG Act concerning the handling of regulated substances as prescribed by regulation and has potential to cause confusion among health professionals regarding the record keeping obligations and associated liability for faxed prescriptions.</w:t>
      </w:r>
      <w:r w:rsidR="000C3C58">
        <w:rPr>
          <w:rFonts w:ascii="Arial Narrow" w:hAnsi="Arial Narrow" w:cs="Arial"/>
          <w:bCs/>
          <w:szCs w:val="24"/>
        </w:rPr>
        <w:t xml:space="preserve"> It is considered that the benefits of the variation for prescribers </w:t>
      </w:r>
      <w:r w:rsidR="000C3C58">
        <w:rPr>
          <w:rFonts w:ascii="Arial Narrow" w:hAnsi="Arial Narrow" w:cs="Arial"/>
          <w:bCs/>
          <w:szCs w:val="24"/>
        </w:rPr>
        <w:lastRenderedPageBreak/>
        <w:t>and pharmacists outweigh the minor</w:t>
      </w:r>
      <w:r w:rsidR="002C4CFD">
        <w:rPr>
          <w:rFonts w:ascii="Arial Narrow" w:hAnsi="Arial Narrow" w:cs="Arial"/>
          <w:bCs/>
          <w:szCs w:val="24"/>
        </w:rPr>
        <w:t xml:space="preserve"> </w:t>
      </w:r>
      <w:r w:rsidR="000C3C58">
        <w:rPr>
          <w:rFonts w:ascii="Arial Narrow" w:hAnsi="Arial Narrow" w:cs="Arial"/>
          <w:bCs/>
          <w:szCs w:val="24"/>
        </w:rPr>
        <w:t xml:space="preserve">risks and that these can be suitably managed with </w:t>
      </w:r>
      <w:r w:rsidR="003243BA">
        <w:rPr>
          <w:rFonts w:ascii="Arial Narrow" w:hAnsi="Arial Narrow" w:cs="Arial"/>
          <w:bCs/>
          <w:szCs w:val="24"/>
        </w:rPr>
        <w:t xml:space="preserve">information </w:t>
      </w:r>
      <w:r w:rsidR="000C3C58">
        <w:rPr>
          <w:rFonts w:ascii="Arial Narrow" w:hAnsi="Arial Narrow" w:cs="Arial"/>
          <w:bCs/>
          <w:szCs w:val="24"/>
        </w:rPr>
        <w:t xml:space="preserve">and support from the ACT Health Directorate. </w:t>
      </w:r>
    </w:p>
    <w:p w14:paraId="2028B1C0" w14:textId="53F87DDD" w:rsidR="007E7472" w:rsidRDefault="007E7472" w:rsidP="002C4CFD">
      <w:pPr>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6</w:t>
      </w:r>
      <w:r w:rsidRPr="00263A5E">
        <w:rPr>
          <w:rFonts w:ascii="Arial Narrow" w:hAnsi="Arial Narrow" w:cs="Arial"/>
          <w:b/>
          <w:szCs w:val="24"/>
        </w:rPr>
        <w:t xml:space="preserve"> </w:t>
      </w:r>
      <w:r>
        <w:rPr>
          <w:rFonts w:ascii="Arial Narrow" w:hAnsi="Arial Narrow" w:cs="Arial"/>
          <w:b/>
          <w:szCs w:val="24"/>
        </w:rPr>
        <w:tab/>
        <w:t>Section 120 (1) (g)</w:t>
      </w:r>
    </w:p>
    <w:p w14:paraId="7F016910" w14:textId="2935969B" w:rsidR="00570F5B" w:rsidRPr="00F87DF0" w:rsidRDefault="00570F5B" w:rsidP="002C4CFD">
      <w:pPr>
        <w:spacing w:after="200"/>
        <w:rPr>
          <w:rFonts w:ascii="Arial Narrow" w:hAnsi="Arial Narrow" w:cs="Arial"/>
          <w:bCs/>
          <w:szCs w:val="24"/>
        </w:rPr>
      </w:pPr>
      <w:r w:rsidRPr="00F87DF0">
        <w:rPr>
          <w:rFonts w:ascii="Arial Narrow" w:hAnsi="Arial Narrow" w:cs="Arial"/>
          <w:bCs/>
          <w:szCs w:val="24"/>
        </w:rPr>
        <w:t xml:space="preserve">This clause updates section 120 (1)(g) of the MPTG Regulation to increase the time allowed </w:t>
      </w:r>
      <w:r w:rsidR="000C3C58">
        <w:rPr>
          <w:rFonts w:ascii="Arial Narrow" w:hAnsi="Arial Narrow" w:cs="Arial"/>
          <w:bCs/>
          <w:szCs w:val="24"/>
        </w:rPr>
        <w:t>for a</w:t>
      </w:r>
      <w:r w:rsidRPr="00F87DF0">
        <w:rPr>
          <w:rFonts w:ascii="Arial Narrow" w:hAnsi="Arial Narrow" w:cs="Arial"/>
          <w:bCs/>
          <w:szCs w:val="24"/>
        </w:rPr>
        <w:t xml:space="preserve"> pharmacist </w:t>
      </w:r>
      <w:r w:rsidR="00F87DF0" w:rsidRPr="00F87DF0">
        <w:rPr>
          <w:rFonts w:ascii="Arial Narrow" w:hAnsi="Arial Narrow" w:cs="Arial"/>
          <w:bCs/>
          <w:szCs w:val="24"/>
        </w:rPr>
        <w:t xml:space="preserve">to receive a prescription </w:t>
      </w:r>
      <w:r w:rsidR="00BE0055" w:rsidRPr="00F87DF0">
        <w:rPr>
          <w:rFonts w:ascii="Arial Narrow" w:hAnsi="Arial Narrow" w:cs="Arial"/>
          <w:bCs/>
          <w:szCs w:val="24"/>
        </w:rPr>
        <w:t xml:space="preserve">from </w:t>
      </w:r>
      <w:r w:rsidR="0008751E">
        <w:rPr>
          <w:rFonts w:ascii="Arial Narrow" w:hAnsi="Arial Narrow" w:cs="Arial"/>
          <w:bCs/>
          <w:szCs w:val="24"/>
        </w:rPr>
        <w:t>7</w:t>
      </w:r>
      <w:r w:rsidR="00BE0055" w:rsidRPr="00F87DF0">
        <w:rPr>
          <w:rFonts w:ascii="Arial Narrow" w:hAnsi="Arial Narrow" w:cs="Arial"/>
          <w:bCs/>
          <w:szCs w:val="24"/>
        </w:rPr>
        <w:t xml:space="preserve"> days</w:t>
      </w:r>
      <w:r w:rsidR="00BE0055">
        <w:rPr>
          <w:rFonts w:ascii="Arial Narrow" w:hAnsi="Arial Narrow" w:cs="Arial"/>
          <w:bCs/>
          <w:szCs w:val="24"/>
        </w:rPr>
        <w:t xml:space="preserve"> to 14 days</w:t>
      </w:r>
      <w:r w:rsidR="00BE0055" w:rsidRPr="00F87DF0">
        <w:rPr>
          <w:rFonts w:ascii="Arial Narrow" w:hAnsi="Arial Narrow" w:cs="Arial"/>
          <w:bCs/>
          <w:szCs w:val="24"/>
        </w:rPr>
        <w:t xml:space="preserve"> </w:t>
      </w:r>
      <w:r w:rsidR="00F87DF0" w:rsidRPr="00F87DF0">
        <w:rPr>
          <w:rFonts w:ascii="Arial Narrow" w:hAnsi="Arial Narrow" w:cs="Arial"/>
          <w:bCs/>
          <w:szCs w:val="24"/>
        </w:rPr>
        <w:t>following dispensing a regulated substance at the oral direction of a prescriber</w:t>
      </w:r>
      <w:r w:rsidR="000C3C58">
        <w:rPr>
          <w:rFonts w:ascii="Arial Narrow" w:hAnsi="Arial Narrow" w:cs="Arial"/>
          <w:bCs/>
          <w:szCs w:val="24"/>
        </w:rPr>
        <w:t xml:space="preserve"> or based on a faxed prescription</w:t>
      </w:r>
      <w:r w:rsidR="00F87DF0" w:rsidRPr="00F87DF0">
        <w:rPr>
          <w:rFonts w:ascii="Arial Narrow" w:hAnsi="Arial Narrow" w:cs="Arial"/>
          <w:bCs/>
          <w:szCs w:val="24"/>
        </w:rPr>
        <w:t xml:space="preserve">. This increased time period is made to align with other provisions as amended by this amendment regulation. </w:t>
      </w:r>
    </w:p>
    <w:p w14:paraId="5437E35F" w14:textId="306D7074" w:rsidR="007E7472" w:rsidRDefault="007E7472" w:rsidP="002C4CFD">
      <w:pPr>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7</w:t>
      </w:r>
      <w:r w:rsidRPr="00263A5E">
        <w:rPr>
          <w:rFonts w:ascii="Arial Narrow" w:hAnsi="Arial Narrow" w:cs="Arial"/>
          <w:b/>
          <w:szCs w:val="24"/>
        </w:rPr>
        <w:t xml:space="preserve"> </w:t>
      </w:r>
      <w:r>
        <w:rPr>
          <w:rFonts w:ascii="Arial Narrow" w:hAnsi="Arial Narrow" w:cs="Arial"/>
          <w:b/>
          <w:szCs w:val="24"/>
        </w:rPr>
        <w:tab/>
        <w:t>New section 120A</w:t>
      </w:r>
    </w:p>
    <w:p w14:paraId="254AD8F3" w14:textId="6B8E93F1" w:rsidR="007E7472" w:rsidRDefault="00EB337B" w:rsidP="00EB337B">
      <w:pPr>
        <w:spacing w:after="120"/>
        <w:rPr>
          <w:rFonts w:ascii="Arial Narrow" w:hAnsi="Arial Narrow" w:cs="Arial"/>
          <w:bCs/>
          <w:szCs w:val="24"/>
        </w:rPr>
      </w:pPr>
      <w:r>
        <w:rPr>
          <w:rFonts w:ascii="Arial Narrow" w:hAnsi="Arial Narrow" w:cs="Arial"/>
          <w:bCs/>
          <w:szCs w:val="24"/>
        </w:rPr>
        <w:t>T</w:t>
      </w:r>
      <w:r w:rsidRPr="00953BB8">
        <w:rPr>
          <w:rFonts w:ascii="Arial Narrow" w:hAnsi="Arial Narrow" w:cs="Arial"/>
          <w:bCs/>
          <w:szCs w:val="24"/>
        </w:rPr>
        <w:t>his clause</w:t>
      </w:r>
      <w:r>
        <w:rPr>
          <w:rFonts w:ascii="Arial Narrow" w:hAnsi="Arial Narrow" w:cs="Arial"/>
          <w:bCs/>
          <w:szCs w:val="24"/>
        </w:rPr>
        <w:t xml:space="preserve"> </w:t>
      </w:r>
      <w:r w:rsidR="00F87DF0">
        <w:rPr>
          <w:rFonts w:ascii="Arial Narrow" w:hAnsi="Arial Narrow" w:cs="Arial"/>
          <w:bCs/>
          <w:szCs w:val="24"/>
        </w:rPr>
        <w:t xml:space="preserve">inserts new section 120A to provide that a pharmacist is not required to advise the Chief Health Officer of an instance where a prescription was not provided following dispensing of a substance </w:t>
      </w:r>
      <w:r w:rsidR="00BE0055">
        <w:rPr>
          <w:rFonts w:ascii="Arial Narrow" w:hAnsi="Arial Narrow" w:cs="Arial"/>
          <w:bCs/>
          <w:szCs w:val="24"/>
        </w:rPr>
        <w:t>based on a faxed prescription</w:t>
      </w:r>
      <w:r w:rsidR="00F87DF0">
        <w:rPr>
          <w:rFonts w:ascii="Arial Narrow" w:hAnsi="Arial Narrow" w:cs="Arial"/>
          <w:bCs/>
          <w:szCs w:val="24"/>
        </w:rPr>
        <w:t>, i</w:t>
      </w:r>
      <w:r w:rsidR="00BE0055">
        <w:rPr>
          <w:rFonts w:ascii="Arial Narrow" w:hAnsi="Arial Narrow" w:cs="Arial"/>
          <w:bCs/>
          <w:szCs w:val="24"/>
        </w:rPr>
        <w:t>f</w:t>
      </w:r>
      <w:r w:rsidR="00F87DF0">
        <w:rPr>
          <w:rFonts w:ascii="Arial Narrow" w:hAnsi="Arial Narrow" w:cs="Arial"/>
          <w:bCs/>
          <w:szCs w:val="24"/>
        </w:rPr>
        <w:t xml:space="preserve"> the prescription </w:t>
      </w:r>
      <w:r w:rsidR="00BE0055">
        <w:rPr>
          <w:rFonts w:ascii="Arial Narrow" w:hAnsi="Arial Narrow" w:cs="Arial"/>
          <w:bCs/>
          <w:szCs w:val="24"/>
        </w:rPr>
        <w:t>must</w:t>
      </w:r>
      <w:r w:rsidR="00F87DF0">
        <w:rPr>
          <w:rFonts w:ascii="Arial Narrow" w:hAnsi="Arial Narrow" w:cs="Arial"/>
          <w:bCs/>
          <w:szCs w:val="24"/>
        </w:rPr>
        <w:t xml:space="preserve"> be retained by the prescriber in accordance with a Commonwealth </w:t>
      </w:r>
      <w:r w:rsidR="00BE0055">
        <w:rPr>
          <w:rFonts w:ascii="Arial Narrow" w:hAnsi="Arial Narrow" w:cs="Arial"/>
          <w:bCs/>
          <w:szCs w:val="24"/>
        </w:rPr>
        <w:t>s</w:t>
      </w:r>
      <w:r w:rsidR="00F87DF0">
        <w:rPr>
          <w:rFonts w:ascii="Arial Narrow" w:hAnsi="Arial Narrow" w:cs="Arial"/>
          <w:bCs/>
          <w:szCs w:val="24"/>
        </w:rPr>
        <w:t xml:space="preserve">pecial </w:t>
      </w:r>
      <w:r w:rsidR="00BE0055">
        <w:rPr>
          <w:rFonts w:ascii="Arial Narrow" w:hAnsi="Arial Narrow" w:cs="Arial"/>
          <w:bCs/>
          <w:szCs w:val="24"/>
        </w:rPr>
        <w:t>a</w:t>
      </w:r>
      <w:r w:rsidR="00F87DF0">
        <w:rPr>
          <w:rFonts w:ascii="Arial Narrow" w:hAnsi="Arial Narrow" w:cs="Arial"/>
          <w:bCs/>
          <w:szCs w:val="24"/>
        </w:rPr>
        <w:t xml:space="preserve">rrangement. </w:t>
      </w:r>
    </w:p>
    <w:p w14:paraId="22763184" w14:textId="440B0D41" w:rsidR="00EB337B" w:rsidRPr="007E7472" w:rsidRDefault="00EB337B" w:rsidP="00FA7FD8">
      <w:pPr>
        <w:spacing w:after="160" w:line="259" w:lineRule="auto"/>
        <w:rPr>
          <w:rFonts w:ascii="Arial Narrow" w:hAnsi="Arial Narrow" w:cs="Arial"/>
          <w:b/>
          <w:strike/>
          <w:szCs w:val="24"/>
        </w:rPr>
      </w:pPr>
    </w:p>
    <w:p w14:paraId="42D2B256" w14:textId="77777777" w:rsidR="00F5110D" w:rsidRDefault="00F5110D"/>
    <w:sectPr w:rsidR="00F5110D"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D878D" w14:textId="77777777" w:rsidR="006F11B2" w:rsidRDefault="006F11B2">
      <w:r>
        <w:separator/>
      </w:r>
    </w:p>
  </w:endnote>
  <w:endnote w:type="continuationSeparator" w:id="0">
    <w:p w14:paraId="02D1128D" w14:textId="77777777" w:rsidR="006F11B2" w:rsidRDefault="006F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18B2" w14:textId="77777777" w:rsidR="00DA3B00" w:rsidRDefault="001D5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92AB" w14:textId="4C614C69" w:rsidR="00DA3B00" w:rsidRPr="001D51B1" w:rsidRDefault="001D51B1" w:rsidP="001D51B1">
    <w:pPr>
      <w:pStyle w:val="Footer"/>
      <w:jc w:val="center"/>
      <w:rPr>
        <w:rFonts w:cs="Arial"/>
        <w:sz w:val="14"/>
      </w:rPr>
    </w:pPr>
    <w:r w:rsidRPr="001D51B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D3B7" w14:textId="77777777" w:rsidR="00DA3B00" w:rsidRDefault="001D5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F761C" w14:textId="77777777" w:rsidR="006F11B2" w:rsidRDefault="006F11B2">
      <w:r>
        <w:separator/>
      </w:r>
    </w:p>
  </w:footnote>
  <w:footnote w:type="continuationSeparator" w:id="0">
    <w:p w14:paraId="3397CEB6" w14:textId="77777777" w:rsidR="006F11B2" w:rsidRDefault="006F1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540B" w14:textId="77777777" w:rsidR="00DA3B00" w:rsidRDefault="001D5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BE4C" w14:textId="77777777" w:rsidR="00DA3B00" w:rsidRDefault="001D5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E4AC" w14:textId="77777777" w:rsidR="00DA3B00" w:rsidRDefault="001D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7B"/>
    <w:rsid w:val="0008751E"/>
    <w:rsid w:val="000C3C58"/>
    <w:rsid w:val="00114343"/>
    <w:rsid w:val="00130F5B"/>
    <w:rsid w:val="001479E6"/>
    <w:rsid w:val="001650F6"/>
    <w:rsid w:val="00170536"/>
    <w:rsid w:val="001D51B1"/>
    <w:rsid w:val="00213FF9"/>
    <w:rsid w:val="002A4C32"/>
    <w:rsid w:val="002C4CFD"/>
    <w:rsid w:val="002D3BCE"/>
    <w:rsid w:val="003243BA"/>
    <w:rsid w:val="003F096C"/>
    <w:rsid w:val="004F05DF"/>
    <w:rsid w:val="004F117D"/>
    <w:rsid w:val="005173F7"/>
    <w:rsid w:val="00570F5B"/>
    <w:rsid w:val="005D1287"/>
    <w:rsid w:val="00642F6B"/>
    <w:rsid w:val="00662CE6"/>
    <w:rsid w:val="006A3EA4"/>
    <w:rsid w:val="006A489F"/>
    <w:rsid w:val="006F11B2"/>
    <w:rsid w:val="0070499A"/>
    <w:rsid w:val="007C6C8F"/>
    <w:rsid w:val="007E7472"/>
    <w:rsid w:val="009C1A12"/>
    <w:rsid w:val="009D6C4D"/>
    <w:rsid w:val="00AE20AB"/>
    <w:rsid w:val="00AE7D77"/>
    <w:rsid w:val="00B64879"/>
    <w:rsid w:val="00B6666B"/>
    <w:rsid w:val="00BE0055"/>
    <w:rsid w:val="00C567BF"/>
    <w:rsid w:val="00C91B57"/>
    <w:rsid w:val="00CD6378"/>
    <w:rsid w:val="00D92F99"/>
    <w:rsid w:val="00EB337B"/>
    <w:rsid w:val="00EB59BF"/>
    <w:rsid w:val="00EC321D"/>
    <w:rsid w:val="00F31AFF"/>
    <w:rsid w:val="00F5110D"/>
    <w:rsid w:val="00F87DF0"/>
    <w:rsid w:val="00FA7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74539"/>
  <w15:chartTrackingRefBased/>
  <w15:docId w15:val="{C1B024E4-85C5-4ADC-A178-5F44575B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7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B337B"/>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EB337B"/>
    <w:rPr>
      <w:rFonts w:ascii="Arial" w:eastAsia="Times New Roman" w:hAnsi="Arial" w:cs="Times New Roman"/>
      <w:sz w:val="18"/>
      <w:szCs w:val="20"/>
    </w:rPr>
  </w:style>
  <w:style w:type="paragraph" w:customStyle="1" w:styleId="Billname">
    <w:name w:val="Billname"/>
    <w:basedOn w:val="Normal"/>
    <w:rsid w:val="00EB337B"/>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EB337B"/>
    <w:pPr>
      <w:pBdr>
        <w:bottom w:val="single" w:sz="12" w:space="1" w:color="auto"/>
      </w:pBdr>
      <w:jc w:val="both"/>
    </w:pPr>
  </w:style>
  <w:style w:type="paragraph" w:customStyle="1" w:styleId="madeunder">
    <w:name w:val="made under"/>
    <w:basedOn w:val="Normal"/>
    <w:rsid w:val="00EB337B"/>
    <w:pPr>
      <w:spacing w:before="180" w:after="60"/>
      <w:jc w:val="both"/>
    </w:pPr>
  </w:style>
  <w:style w:type="paragraph" w:customStyle="1" w:styleId="CoverActName">
    <w:name w:val="CoverActName"/>
    <w:basedOn w:val="Normal"/>
    <w:rsid w:val="00EB337B"/>
    <w:pPr>
      <w:tabs>
        <w:tab w:val="left" w:pos="2600"/>
      </w:tabs>
      <w:spacing w:before="200" w:after="60"/>
      <w:jc w:val="both"/>
    </w:pPr>
    <w:rPr>
      <w:rFonts w:ascii="Arial" w:hAnsi="Arial"/>
      <w:b/>
    </w:rPr>
  </w:style>
  <w:style w:type="paragraph" w:styleId="Header">
    <w:name w:val="header"/>
    <w:basedOn w:val="Normal"/>
    <w:link w:val="HeaderChar"/>
    <w:semiHidden/>
    <w:rsid w:val="00EB337B"/>
    <w:pPr>
      <w:tabs>
        <w:tab w:val="left" w:pos="2880"/>
        <w:tab w:val="center" w:pos="4153"/>
        <w:tab w:val="right" w:pos="8306"/>
      </w:tabs>
    </w:pPr>
  </w:style>
  <w:style w:type="character" w:customStyle="1" w:styleId="HeaderChar">
    <w:name w:val="Header Char"/>
    <w:basedOn w:val="DefaultParagraphFont"/>
    <w:link w:val="Header"/>
    <w:semiHidden/>
    <w:rsid w:val="00EB337B"/>
    <w:rPr>
      <w:rFonts w:ascii="Times New Roman" w:eastAsia="Times New Roman" w:hAnsi="Times New Roman" w:cs="Times New Roman"/>
      <w:sz w:val="24"/>
      <w:szCs w:val="20"/>
    </w:rPr>
  </w:style>
  <w:style w:type="character" w:styleId="Hyperlink">
    <w:name w:val="Hyperlink"/>
    <w:basedOn w:val="DefaultParagraphFont"/>
    <w:semiHidden/>
    <w:rsid w:val="00EB337B"/>
    <w:rPr>
      <w:color w:val="0000FF"/>
      <w:u w:val="single"/>
    </w:rPr>
  </w:style>
  <w:style w:type="character" w:styleId="CommentReference">
    <w:name w:val="annotation reference"/>
    <w:basedOn w:val="DefaultParagraphFont"/>
    <w:uiPriority w:val="99"/>
    <w:semiHidden/>
    <w:unhideWhenUsed/>
    <w:rsid w:val="00662CE6"/>
    <w:rPr>
      <w:sz w:val="16"/>
      <w:szCs w:val="16"/>
    </w:rPr>
  </w:style>
  <w:style w:type="paragraph" w:styleId="CommentText">
    <w:name w:val="annotation text"/>
    <w:basedOn w:val="Normal"/>
    <w:link w:val="CommentTextChar"/>
    <w:uiPriority w:val="99"/>
    <w:semiHidden/>
    <w:unhideWhenUsed/>
    <w:rsid w:val="00662CE6"/>
    <w:rPr>
      <w:sz w:val="20"/>
    </w:rPr>
  </w:style>
  <w:style w:type="character" w:customStyle="1" w:styleId="CommentTextChar">
    <w:name w:val="Comment Text Char"/>
    <w:basedOn w:val="DefaultParagraphFont"/>
    <w:link w:val="CommentText"/>
    <w:uiPriority w:val="99"/>
    <w:semiHidden/>
    <w:rsid w:val="00662C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2CE6"/>
    <w:rPr>
      <w:b/>
      <w:bCs/>
    </w:rPr>
  </w:style>
  <w:style w:type="character" w:customStyle="1" w:styleId="CommentSubjectChar">
    <w:name w:val="Comment Subject Char"/>
    <w:basedOn w:val="CommentTextChar"/>
    <w:link w:val="CommentSubject"/>
    <w:uiPriority w:val="99"/>
    <w:semiHidden/>
    <w:rsid w:val="00662C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2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CE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62CE6"/>
    <w:rPr>
      <w:color w:val="605E5C"/>
      <w:shd w:val="clear" w:color="auto" w:fill="E1DFDD"/>
    </w:rPr>
  </w:style>
  <w:style w:type="character" w:styleId="FollowedHyperlink">
    <w:name w:val="FollowedHyperlink"/>
    <w:basedOn w:val="DefaultParagraphFont"/>
    <w:uiPriority w:val="99"/>
    <w:semiHidden/>
    <w:unhideWhenUsed/>
    <w:rsid w:val="006A4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5633</Characters>
  <Application>Microsoft Office Word</Application>
  <DocSecurity>0</DocSecurity>
  <Lines>95</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Adam (Health)</dc:creator>
  <cp:keywords>2</cp:keywords>
  <dc:description/>
  <cp:lastModifiedBy>Moxon, KarenL</cp:lastModifiedBy>
  <cp:revision>4</cp:revision>
  <dcterms:created xsi:type="dcterms:W3CDTF">2020-06-19T06:38:00Z</dcterms:created>
  <dcterms:modified xsi:type="dcterms:W3CDTF">2020-06-19T06:38:00Z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1203979</vt:lpwstr>
  </property>
  <property fmtid="{D5CDD505-2E9C-101B-9397-08002B2CF9AE}" pid="4" name="JMSREQUIREDCHECKIN">
    <vt:lpwstr/>
  </property>
</Properties>
</file>