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26B" w:rsidRDefault="00FE326B" w:rsidP="00CC10F7">
      <w:pPr>
        <w:rPr>
          <w:rFonts w:ascii="Times New Roman" w:hAnsi="Times New Roman" w:cs="Times New Roman"/>
        </w:rPr>
      </w:pPr>
      <w:bookmarkStart w:id="0" w:name="_GoBack"/>
      <w:bookmarkEnd w:id="0"/>
    </w:p>
    <w:p w:rsidR="00CC10F7" w:rsidRPr="00CC10F7" w:rsidRDefault="00CC10F7" w:rsidP="00CC10F7">
      <w:pPr>
        <w:rPr>
          <w:rFonts w:ascii="Times New Roman" w:hAnsi="Times New Roman" w:cs="Times New Roman"/>
        </w:rPr>
      </w:pPr>
    </w:p>
    <w:p w:rsidR="00FE326B" w:rsidRDefault="00FE326B" w:rsidP="00B53682">
      <w:pPr>
        <w:spacing w:before="120"/>
        <w:jc w:val="both"/>
      </w:pPr>
      <w:r>
        <w:t>Australian Capital Territory</w:t>
      </w:r>
    </w:p>
    <w:p w:rsidR="00FE326B" w:rsidRDefault="00FE326B" w:rsidP="00B53682">
      <w:pPr>
        <w:pStyle w:val="Billname"/>
        <w:spacing w:before="700" w:after="0"/>
        <w:jc w:val="both"/>
      </w:pPr>
      <w:r>
        <w:t>Lotteries (Fees)</w:t>
      </w:r>
    </w:p>
    <w:p w:rsidR="00FE326B" w:rsidRDefault="00FE326B" w:rsidP="00B53682">
      <w:pPr>
        <w:pStyle w:val="Billname"/>
        <w:spacing w:before="0"/>
        <w:jc w:val="both"/>
      </w:pPr>
      <w:r>
        <w:t>Determination 20</w:t>
      </w:r>
      <w:r w:rsidR="00EF7CDD">
        <w:t>20</w:t>
      </w:r>
      <w:r>
        <w:t xml:space="preserve"> (No </w:t>
      </w:r>
      <w:r w:rsidR="006E2282">
        <w:t>2</w:t>
      </w:r>
      <w:r>
        <w:t>)</w:t>
      </w:r>
    </w:p>
    <w:p w:rsidR="00FE326B" w:rsidRDefault="00E605EA" w:rsidP="00B53682">
      <w:pPr>
        <w:spacing w:before="240" w:after="60"/>
        <w:jc w:val="both"/>
        <w:rPr>
          <w:b/>
          <w:bCs/>
          <w:vertAlign w:val="superscript"/>
        </w:rPr>
      </w:pPr>
      <w:r>
        <w:rPr>
          <w:b/>
          <w:bCs/>
        </w:rPr>
        <w:t>Disallowable Instrument DI20</w:t>
      </w:r>
      <w:r w:rsidR="00EF7CDD">
        <w:rPr>
          <w:b/>
          <w:bCs/>
        </w:rPr>
        <w:t>20</w:t>
      </w:r>
      <w:r w:rsidR="00F43AB3">
        <w:rPr>
          <w:b/>
          <w:bCs/>
        </w:rPr>
        <w:t>-171</w:t>
      </w:r>
    </w:p>
    <w:p w:rsidR="00FE326B" w:rsidRDefault="00FE326B" w:rsidP="00B53682">
      <w:pPr>
        <w:pStyle w:val="madeunder"/>
        <w:spacing w:before="240" w:after="120"/>
        <w:rPr>
          <w:rFonts w:ascii="Times New Roman" w:hAnsi="Times New Roman"/>
        </w:rPr>
      </w:pPr>
      <w:r>
        <w:rPr>
          <w:rFonts w:ascii="Times New Roman" w:hAnsi="Times New Roman"/>
        </w:rPr>
        <w:t xml:space="preserve">made under the  </w:t>
      </w:r>
    </w:p>
    <w:p w:rsidR="00FE326B" w:rsidRDefault="00FE326B" w:rsidP="00B53682">
      <w:pPr>
        <w:pStyle w:val="CoverActName"/>
      </w:pPr>
      <w:r>
        <w:rPr>
          <w:sz w:val="20"/>
          <w:szCs w:val="20"/>
        </w:rPr>
        <w:t>Lotteries Act 1964, section 18A (Determination of Fees)</w:t>
      </w:r>
    </w:p>
    <w:p w:rsidR="00FE326B" w:rsidRDefault="00FE326B" w:rsidP="00B53682">
      <w:pPr>
        <w:pStyle w:val="N-line3"/>
        <w:pBdr>
          <w:bottom w:val="none" w:sz="0" w:space="0" w:color="auto"/>
        </w:pBdr>
      </w:pPr>
    </w:p>
    <w:p w:rsidR="00FE326B" w:rsidRDefault="00FE326B" w:rsidP="00B53682">
      <w:pPr>
        <w:jc w:val="both"/>
      </w:pPr>
    </w:p>
    <w:p w:rsidR="00FE326B" w:rsidRDefault="00FE326B" w:rsidP="00B53682">
      <w:pPr>
        <w:pStyle w:val="Heading3"/>
        <w:jc w:val="both"/>
      </w:pPr>
      <w:r>
        <w:t>EXPLANATORY STATEMENT</w:t>
      </w:r>
    </w:p>
    <w:p w:rsidR="00FE326B" w:rsidRDefault="00FE326B" w:rsidP="00B53682">
      <w:pPr>
        <w:jc w:val="both"/>
      </w:pPr>
    </w:p>
    <w:p w:rsidR="00FE326B" w:rsidRDefault="00FE326B" w:rsidP="00B53682">
      <w:pPr>
        <w:pStyle w:val="N-line3"/>
        <w:pBdr>
          <w:top w:val="single" w:sz="12" w:space="1" w:color="auto"/>
          <w:bottom w:val="none" w:sz="0" w:space="0" w:color="auto"/>
        </w:pBdr>
      </w:pPr>
    </w:p>
    <w:p w:rsidR="00FE326B" w:rsidRDefault="00FE326B" w:rsidP="00B53682">
      <w:pPr>
        <w:jc w:val="both"/>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Lotteries Act 1964</w:t>
      </w:r>
      <w:r>
        <w:rPr>
          <w:rFonts w:ascii="Times New Roman" w:hAnsi="Times New Roman" w:cs="Times New Roman"/>
        </w:rPr>
        <w:t xml:space="preserve"> (the Act) provides for the approval and regulation of lotteries in the Territory.</w:t>
      </w:r>
    </w:p>
    <w:p w:rsidR="00FE326B" w:rsidRDefault="00FE326B" w:rsidP="00B53682">
      <w:pPr>
        <w:jc w:val="both"/>
        <w:rPr>
          <w:rFonts w:ascii="Times New Roman" w:hAnsi="Times New Roman" w:cs="Times New Roman"/>
        </w:rPr>
      </w:pPr>
    </w:p>
    <w:p w:rsidR="00FE326B" w:rsidRPr="009571FE" w:rsidRDefault="00FE326B" w:rsidP="00B53682">
      <w:pPr>
        <w:jc w:val="both"/>
        <w:rPr>
          <w:rFonts w:ascii="Times New Roman" w:hAnsi="Times New Roman" w:cs="Times New Roman"/>
        </w:rPr>
      </w:pPr>
      <w:r>
        <w:rPr>
          <w:rFonts w:ascii="Times New Roman" w:hAnsi="Times New Roman" w:cs="Times New Roman"/>
        </w:rPr>
        <w:t xml:space="preserve">This instrument revokes the determination of fees made by Disallowable Instrument </w:t>
      </w:r>
      <w:r>
        <w:rPr>
          <w:rFonts w:ascii="Times New Roman" w:hAnsi="Times New Roman" w:cs="Times New Roman"/>
        </w:rPr>
        <w:br/>
      </w:r>
      <w:r w:rsidRPr="009571FE">
        <w:rPr>
          <w:rFonts w:ascii="Times New Roman" w:hAnsi="Times New Roman" w:cs="Times New Roman"/>
        </w:rPr>
        <w:t>DI20</w:t>
      </w:r>
      <w:r w:rsidR="006E2282">
        <w:rPr>
          <w:rFonts w:ascii="Times New Roman" w:hAnsi="Times New Roman" w:cs="Times New Roman"/>
        </w:rPr>
        <w:t>20</w:t>
      </w:r>
      <w:r w:rsidR="00E31625" w:rsidRPr="009571FE">
        <w:rPr>
          <w:rFonts w:ascii="Times New Roman" w:hAnsi="Times New Roman" w:cs="Times New Roman"/>
        </w:rPr>
        <w:t>-</w:t>
      </w:r>
      <w:r w:rsidR="006015FF">
        <w:rPr>
          <w:rFonts w:ascii="Times New Roman" w:hAnsi="Times New Roman" w:cs="Times New Roman"/>
        </w:rPr>
        <w:t>1</w:t>
      </w:r>
      <w:r w:rsidR="006E2282">
        <w:rPr>
          <w:rFonts w:ascii="Times New Roman" w:hAnsi="Times New Roman" w:cs="Times New Roman"/>
        </w:rPr>
        <w:t>32</w:t>
      </w:r>
      <w:r w:rsidR="00D20226" w:rsidRPr="009571FE">
        <w:rPr>
          <w:rFonts w:ascii="Times New Roman" w:hAnsi="Times New Roman" w:cs="Times New Roman"/>
        </w:rPr>
        <w:t xml:space="preserve"> </w:t>
      </w:r>
      <w:r w:rsidRPr="009571FE">
        <w:rPr>
          <w:rFonts w:ascii="Times New Roman" w:hAnsi="Times New Roman" w:cs="Times New Roman"/>
        </w:rPr>
        <w:t xml:space="preserve">notified on the Legislation Register on </w:t>
      </w:r>
      <w:r w:rsidR="006E2282">
        <w:rPr>
          <w:rFonts w:ascii="Times New Roman" w:hAnsi="Times New Roman" w:cs="Times New Roman"/>
        </w:rPr>
        <w:t>4</w:t>
      </w:r>
      <w:r w:rsidR="00C7779A">
        <w:rPr>
          <w:rFonts w:ascii="Times New Roman" w:hAnsi="Times New Roman" w:cs="Times New Roman"/>
        </w:rPr>
        <w:t> June 20</w:t>
      </w:r>
      <w:r w:rsidR="006E2282">
        <w:rPr>
          <w:rFonts w:ascii="Times New Roman" w:hAnsi="Times New Roman" w:cs="Times New Roman"/>
        </w:rPr>
        <w:t>20</w:t>
      </w:r>
      <w:r w:rsidRPr="009571FE">
        <w:rPr>
          <w:rFonts w:ascii="Times New Roman" w:hAnsi="Times New Roman" w:cs="Times New Roman"/>
        </w:rPr>
        <w:t>.</w:t>
      </w:r>
    </w:p>
    <w:p w:rsidR="00FE326B" w:rsidRDefault="00FE326B" w:rsidP="00B53682">
      <w:pPr>
        <w:jc w:val="both"/>
        <w:rPr>
          <w:rFonts w:ascii="Times New Roman" w:hAnsi="Times New Roman" w:cs="Times New Roman"/>
        </w:rPr>
      </w:pPr>
    </w:p>
    <w:p w:rsidR="00FE326B" w:rsidRDefault="00FE326B" w:rsidP="00B53682">
      <w:pPr>
        <w:jc w:val="both"/>
        <w:rPr>
          <w:rFonts w:ascii="Times New Roman" w:hAnsi="Times New Roman" w:cs="Times New Roman"/>
        </w:rPr>
      </w:pPr>
      <w:r>
        <w:rPr>
          <w:rFonts w:ascii="Times New Roman" w:hAnsi="Times New Roman" w:cs="Times New Roman"/>
        </w:rPr>
        <w:t>Section 18A of the Act provides that the Commission may determine fees for the Act.  This instrument provides for fees in relation to applications to the ACT Gambling and Racing Commission for approval to conduct lotteries in the Australian Capital Territory.</w:t>
      </w:r>
    </w:p>
    <w:p w:rsidR="00FE326B" w:rsidRDefault="00FE326B" w:rsidP="00B53682">
      <w:pPr>
        <w:jc w:val="both"/>
        <w:rPr>
          <w:rFonts w:ascii="Times New Roman" w:hAnsi="Times New Roman" w:cs="Times New Roman"/>
        </w:rPr>
      </w:pPr>
    </w:p>
    <w:p w:rsidR="00FE326B" w:rsidRDefault="00FE326B" w:rsidP="00B53682">
      <w:pPr>
        <w:jc w:val="both"/>
        <w:rPr>
          <w:rFonts w:ascii="Times New Roman" w:hAnsi="Times New Roman" w:cs="Times New Roman"/>
        </w:rPr>
      </w:pPr>
      <w:r>
        <w:rPr>
          <w:rFonts w:ascii="Times New Roman" w:hAnsi="Times New Roman" w:cs="Times New Roman"/>
        </w:rPr>
        <w:t xml:space="preserve">This instrument increases fees </w:t>
      </w:r>
      <w:r w:rsidR="00804189">
        <w:rPr>
          <w:rFonts w:ascii="Times New Roman" w:hAnsi="Times New Roman" w:cs="Times New Roman"/>
        </w:rPr>
        <w:t xml:space="preserve">by </w:t>
      </w:r>
      <w:r w:rsidR="0071356D">
        <w:rPr>
          <w:rFonts w:ascii="Times New Roman" w:hAnsi="Times New Roman" w:cs="Times New Roman"/>
        </w:rPr>
        <w:t>Wage Price Index of 2.</w:t>
      </w:r>
      <w:r w:rsidR="00EF7CDD">
        <w:rPr>
          <w:rFonts w:ascii="Times New Roman" w:hAnsi="Times New Roman" w:cs="Times New Roman"/>
        </w:rPr>
        <w:t>0</w:t>
      </w:r>
      <w:r w:rsidR="00804189">
        <w:rPr>
          <w:rFonts w:ascii="Times New Roman" w:hAnsi="Times New Roman" w:cs="Times New Roman"/>
        </w:rPr>
        <w:t> percent</w:t>
      </w:r>
      <w:r w:rsidR="00804189" w:rsidRPr="00804189">
        <w:rPr>
          <w:rFonts w:ascii="Times New Roman" w:hAnsi="Times New Roman" w:cs="Times New Roman"/>
        </w:rPr>
        <w:t xml:space="preserve"> </w:t>
      </w:r>
      <w:r>
        <w:rPr>
          <w:rFonts w:ascii="Times New Roman" w:hAnsi="Times New Roman" w:cs="Times New Roman"/>
        </w:rPr>
        <w:t>in accordance with</w:t>
      </w:r>
      <w:r w:rsidR="0033287E">
        <w:rPr>
          <w:rFonts w:ascii="Times New Roman" w:hAnsi="Times New Roman" w:cs="Times New Roman"/>
        </w:rPr>
        <w:t xml:space="preserve"> Government policy </w:t>
      </w:r>
      <w:r w:rsidR="00804189">
        <w:rPr>
          <w:rFonts w:ascii="Times New Roman" w:hAnsi="Times New Roman" w:cs="Times New Roman"/>
        </w:rPr>
        <w:t>regarding</w:t>
      </w:r>
      <w:r w:rsidRPr="009571FE">
        <w:rPr>
          <w:rFonts w:ascii="Times New Roman" w:hAnsi="Times New Roman" w:cs="Times New Roman"/>
        </w:rPr>
        <w:t xml:space="preserve"> </w:t>
      </w:r>
      <w:r w:rsidR="00804189">
        <w:rPr>
          <w:rFonts w:ascii="Times New Roman" w:hAnsi="Times New Roman" w:cs="Times New Roman"/>
        </w:rPr>
        <w:t xml:space="preserve">regulatory </w:t>
      </w:r>
      <w:r w:rsidR="00CE2E4E">
        <w:rPr>
          <w:rFonts w:ascii="Times New Roman" w:hAnsi="Times New Roman" w:cs="Times New Roman"/>
        </w:rPr>
        <w:t>fee increase</w:t>
      </w:r>
      <w:r w:rsidR="00804189">
        <w:rPr>
          <w:rFonts w:ascii="Times New Roman" w:hAnsi="Times New Roman" w:cs="Times New Roman"/>
        </w:rPr>
        <w:t>s</w:t>
      </w:r>
      <w:r w:rsidR="00CE2E4E">
        <w:rPr>
          <w:rFonts w:ascii="Times New Roman" w:hAnsi="Times New Roman" w:cs="Times New Roman"/>
        </w:rPr>
        <w:t xml:space="preserve"> </w:t>
      </w:r>
      <w:r w:rsidR="00804189">
        <w:rPr>
          <w:rFonts w:ascii="Times New Roman" w:hAnsi="Times New Roman" w:cs="Times New Roman"/>
        </w:rPr>
        <w:t xml:space="preserve">for </w:t>
      </w:r>
      <w:r w:rsidR="00804189" w:rsidRPr="009571FE">
        <w:rPr>
          <w:rFonts w:ascii="Times New Roman" w:hAnsi="Times New Roman" w:cs="Times New Roman"/>
        </w:rPr>
        <w:t>20</w:t>
      </w:r>
      <w:r w:rsidR="00EF7CDD">
        <w:rPr>
          <w:rFonts w:ascii="Times New Roman" w:hAnsi="Times New Roman" w:cs="Times New Roman"/>
        </w:rPr>
        <w:t>20</w:t>
      </w:r>
      <w:r w:rsidR="00804189" w:rsidRPr="009571FE">
        <w:rPr>
          <w:rFonts w:ascii="Times New Roman" w:hAnsi="Times New Roman" w:cs="Times New Roman"/>
        </w:rPr>
        <w:t>-20</w:t>
      </w:r>
      <w:r w:rsidR="0071356D">
        <w:rPr>
          <w:rFonts w:ascii="Times New Roman" w:hAnsi="Times New Roman" w:cs="Times New Roman"/>
        </w:rPr>
        <w:t>2</w:t>
      </w:r>
      <w:r w:rsidR="00EF7CDD">
        <w:rPr>
          <w:rFonts w:ascii="Times New Roman" w:hAnsi="Times New Roman" w:cs="Times New Roman"/>
        </w:rPr>
        <w:t>1</w:t>
      </w:r>
      <w:r w:rsidR="00804189">
        <w:rPr>
          <w:rFonts w:ascii="Times New Roman" w:hAnsi="Times New Roman" w:cs="Times New Roman"/>
        </w:rPr>
        <w:t>.</w:t>
      </w:r>
      <w:r w:rsidR="00804189" w:rsidRPr="009571FE">
        <w:rPr>
          <w:rFonts w:ascii="Times New Roman" w:hAnsi="Times New Roman" w:cs="Times New Roman"/>
        </w:rPr>
        <w:t xml:space="preserve"> </w:t>
      </w:r>
      <w:r w:rsidR="00295098" w:rsidRPr="009571FE">
        <w:rPr>
          <w:rFonts w:ascii="Times New Roman" w:hAnsi="Times New Roman" w:cs="Times New Roman"/>
        </w:rPr>
        <w:t>R</w:t>
      </w:r>
      <w:r w:rsidRPr="009571FE">
        <w:rPr>
          <w:rFonts w:ascii="Times New Roman" w:hAnsi="Times New Roman" w:cs="Times New Roman"/>
          <w:bCs/>
        </w:rPr>
        <w:t xml:space="preserve">ounding </w:t>
      </w:r>
      <w:r w:rsidR="00295098" w:rsidRPr="009571FE">
        <w:rPr>
          <w:rFonts w:ascii="Times New Roman" w:hAnsi="Times New Roman" w:cs="Times New Roman"/>
          <w:bCs/>
        </w:rPr>
        <w:t xml:space="preserve">to the nearest dollar </w:t>
      </w:r>
      <w:r w:rsidRPr="009571FE">
        <w:rPr>
          <w:rFonts w:ascii="Times New Roman" w:hAnsi="Times New Roman" w:cs="Times New Roman"/>
          <w:bCs/>
        </w:rPr>
        <w:t>has</w:t>
      </w:r>
      <w:r>
        <w:rPr>
          <w:rFonts w:ascii="Times New Roman" w:hAnsi="Times New Roman" w:cs="Times New Roman"/>
          <w:bCs/>
        </w:rPr>
        <w:t xml:space="preserve"> occurred</w:t>
      </w:r>
      <w:r w:rsidR="001D770C">
        <w:rPr>
          <w:rFonts w:ascii="Times New Roman" w:hAnsi="Times New Roman" w:cs="Times New Roman"/>
          <w:bCs/>
        </w:rPr>
        <w:t xml:space="preserve"> in relation to the increases.</w:t>
      </w:r>
      <w:r w:rsidR="0033287E">
        <w:rPr>
          <w:rFonts w:ascii="Times New Roman" w:hAnsi="Times New Roman" w:cs="Times New Roman"/>
          <w:bCs/>
        </w:rPr>
        <w:t xml:space="preserve"> </w:t>
      </w:r>
      <w:r>
        <w:rPr>
          <w:rFonts w:ascii="Times New Roman" w:hAnsi="Times New Roman" w:cs="Times New Roman"/>
        </w:rPr>
        <w:t>A comparative table indicating the previous and revised fees is included as an Attachment to this Explanatory Statement.</w:t>
      </w:r>
    </w:p>
    <w:p w:rsidR="00FE326B" w:rsidRDefault="00FE326B" w:rsidP="00B53682">
      <w:pPr>
        <w:pStyle w:val="01Contents"/>
        <w:tabs>
          <w:tab w:val="clear" w:pos="2880"/>
        </w:tabs>
        <w:jc w:val="both"/>
        <w:rPr>
          <w:rFonts w:ascii="Times New Roman" w:hAnsi="Times New Roman"/>
        </w:rPr>
      </w:pPr>
    </w:p>
    <w:p w:rsidR="00FE326B" w:rsidRDefault="00FE326B" w:rsidP="00B53682">
      <w:pPr>
        <w:pStyle w:val="01Contents"/>
        <w:tabs>
          <w:tab w:val="clear" w:pos="2880"/>
        </w:tabs>
        <w:jc w:val="both"/>
        <w:rPr>
          <w:rFonts w:ascii="Times New Roman" w:hAnsi="Times New Roman"/>
        </w:rPr>
      </w:pPr>
      <w:r>
        <w:rPr>
          <w:rFonts w:ascii="Times New Roman" w:hAnsi="Times New Roman"/>
        </w:rPr>
        <w:t>The new instrument does not change the types of fees that may be charged in comparison to the revoked instrument.</w:t>
      </w:r>
    </w:p>
    <w:p w:rsidR="002E5C13" w:rsidRDefault="002E5C13" w:rsidP="00B53682">
      <w:pPr>
        <w:pStyle w:val="01Contents"/>
        <w:tabs>
          <w:tab w:val="clear" w:pos="2880"/>
        </w:tabs>
        <w:jc w:val="both"/>
        <w:rPr>
          <w:rFonts w:ascii="Times New Roman" w:hAnsi="Times New Roman"/>
        </w:rPr>
      </w:pPr>
    </w:p>
    <w:p w:rsidR="00FE326B" w:rsidRDefault="00FE326B" w:rsidP="00B53682">
      <w:pPr>
        <w:jc w:val="both"/>
        <w:rPr>
          <w:rFonts w:ascii="Times New Roman" w:hAnsi="Times New Roman" w:cs="Times New Roman"/>
        </w:rPr>
      </w:pPr>
      <w:r>
        <w:rPr>
          <w:rFonts w:ascii="Times New Roman" w:hAnsi="Times New Roman" w:cs="Times New Roman"/>
        </w:rPr>
        <w:t>A determination under section 18A is a disallowable instrument and must be tabled in the Legislative Assembly.</w:t>
      </w:r>
    </w:p>
    <w:p w:rsidR="00FE326B" w:rsidRDefault="00FE326B" w:rsidP="00B53682">
      <w:pPr>
        <w:jc w:val="both"/>
        <w:rPr>
          <w:rFonts w:ascii="Times New Roman" w:hAnsi="Times New Roman" w:cs="Times New Roman"/>
        </w:rPr>
      </w:pPr>
    </w:p>
    <w:p w:rsidR="00FE326B" w:rsidRDefault="00FE326B" w:rsidP="00B53682">
      <w:pPr>
        <w:jc w:val="both"/>
        <w:rPr>
          <w:rFonts w:ascii="Times New Roman" w:hAnsi="Times New Roman" w:cs="Times New Roman"/>
        </w:rPr>
      </w:pPr>
      <w:r>
        <w:rPr>
          <w:rFonts w:ascii="Times New Roman" w:hAnsi="Times New Roman" w:cs="Times New Roman"/>
        </w:rPr>
        <w:t>The instrument is effective from 1 July 20</w:t>
      </w:r>
      <w:r w:rsidR="00EF7CDD">
        <w:rPr>
          <w:rFonts w:ascii="Times New Roman" w:hAnsi="Times New Roman" w:cs="Times New Roman"/>
        </w:rPr>
        <w:t>20</w:t>
      </w:r>
      <w:r>
        <w:rPr>
          <w:rFonts w:ascii="Times New Roman" w:hAnsi="Times New Roman" w:cs="Times New Roman"/>
        </w:rPr>
        <w:t>.</w:t>
      </w:r>
    </w:p>
    <w:p w:rsidR="00FE326B" w:rsidRDefault="00FE326B">
      <w:pPr>
        <w:rPr>
          <w:rFonts w:ascii="Times New Roman" w:hAnsi="Times New Roman" w:cs="Times New Roman"/>
        </w:rPr>
      </w:pPr>
    </w:p>
    <w:p w:rsidR="00FE326B" w:rsidRDefault="00FE326B">
      <w:pPr>
        <w:rPr>
          <w:rFonts w:ascii="Times New Roman" w:hAnsi="Times New Roman" w:cs="Times New Roman"/>
        </w:rPr>
        <w:sectPr w:rsidR="00FE326B" w:rsidSect="00A540E1">
          <w:headerReference w:type="even" r:id="rId7"/>
          <w:headerReference w:type="default" r:id="rId8"/>
          <w:footerReference w:type="even" r:id="rId9"/>
          <w:footerReference w:type="default" r:id="rId10"/>
          <w:headerReference w:type="first" r:id="rId11"/>
          <w:footerReference w:type="first" r:id="rId12"/>
          <w:pgSz w:w="11907" w:h="16839" w:code="9"/>
          <w:pgMar w:top="851" w:right="1418" w:bottom="249" w:left="1418" w:header="1134" w:footer="85" w:gutter="0"/>
          <w:paperSrc w:first="7" w:other="7"/>
          <w:cols w:space="720"/>
          <w:titlePg/>
        </w:sectPr>
      </w:pPr>
    </w:p>
    <w:p w:rsidR="00FE326B" w:rsidRDefault="00FE326B">
      <w:pPr>
        <w:pStyle w:val="Heading6"/>
        <w:rPr>
          <w:u w:val="single"/>
        </w:rPr>
      </w:pPr>
      <w:r>
        <w:rPr>
          <w:u w:val="single"/>
        </w:rPr>
        <w:lastRenderedPageBreak/>
        <w:t>Comparison of Previous and Revised Fees</w:t>
      </w:r>
    </w:p>
    <w:p w:rsidR="006E2282" w:rsidRPr="006E2282" w:rsidRDefault="006E2282" w:rsidP="006E22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5097"/>
        <w:gridCol w:w="1421"/>
        <w:gridCol w:w="1515"/>
      </w:tblGrid>
      <w:tr w:rsidR="006E2282" w:rsidRPr="00421632" w:rsidTr="00421632">
        <w:tc>
          <w:tcPr>
            <w:tcW w:w="1254" w:type="dxa"/>
            <w:shd w:val="clear" w:color="auto" w:fill="auto"/>
          </w:tcPr>
          <w:p w:rsidR="006E2282" w:rsidRPr="00421632" w:rsidRDefault="006E2282" w:rsidP="00421632">
            <w:pPr>
              <w:rPr>
                <w:rFonts w:eastAsia="Calibri"/>
                <w:b/>
                <w:bCs/>
                <w:sz w:val="22"/>
                <w:szCs w:val="22"/>
              </w:rPr>
            </w:pPr>
            <w:r w:rsidRPr="00421632">
              <w:rPr>
                <w:rFonts w:eastAsia="Calibri"/>
                <w:b/>
                <w:bCs/>
                <w:sz w:val="22"/>
                <w:szCs w:val="22"/>
              </w:rPr>
              <w:t>Column 1</w:t>
            </w:r>
          </w:p>
        </w:tc>
        <w:tc>
          <w:tcPr>
            <w:tcW w:w="5097" w:type="dxa"/>
            <w:shd w:val="clear" w:color="auto" w:fill="auto"/>
          </w:tcPr>
          <w:p w:rsidR="006E2282" w:rsidRPr="00421632" w:rsidRDefault="006E2282" w:rsidP="00421632">
            <w:pPr>
              <w:rPr>
                <w:rFonts w:eastAsia="Calibri"/>
                <w:b/>
                <w:bCs/>
                <w:sz w:val="22"/>
                <w:szCs w:val="22"/>
              </w:rPr>
            </w:pPr>
            <w:r w:rsidRPr="00421632">
              <w:rPr>
                <w:rFonts w:eastAsia="Calibri"/>
                <w:b/>
                <w:bCs/>
                <w:sz w:val="22"/>
                <w:szCs w:val="22"/>
              </w:rPr>
              <w:t>Column 2</w:t>
            </w:r>
          </w:p>
        </w:tc>
        <w:tc>
          <w:tcPr>
            <w:tcW w:w="1421" w:type="dxa"/>
            <w:shd w:val="clear" w:color="auto" w:fill="auto"/>
          </w:tcPr>
          <w:p w:rsidR="006E2282" w:rsidRPr="00421632" w:rsidRDefault="006E2282" w:rsidP="00421632">
            <w:pPr>
              <w:rPr>
                <w:rFonts w:eastAsia="Calibri"/>
                <w:b/>
                <w:bCs/>
                <w:sz w:val="22"/>
                <w:szCs w:val="22"/>
              </w:rPr>
            </w:pPr>
            <w:r w:rsidRPr="00421632">
              <w:rPr>
                <w:rFonts w:eastAsia="Calibri"/>
                <w:b/>
                <w:bCs/>
                <w:sz w:val="22"/>
                <w:szCs w:val="22"/>
              </w:rPr>
              <w:t>Column 3</w:t>
            </w:r>
          </w:p>
        </w:tc>
        <w:tc>
          <w:tcPr>
            <w:tcW w:w="1515" w:type="dxa"/>
            <w:shd w:val="clear" w:color="auto" w:fill="auto"/>
          </w:tcPr>
          <w:p w:rsidR="006E2282" w:rsidRPr="00421632" w:rsidRDefault="006E2282" w:rsidP="00421632">
            <w:pPr>
              <w:rPr>
                <w:rFonts w:eastAsia="Calibri"/>
                <w:b/>
                <w:bCs/>
                <w:sz w:val="22"/>
                <w:szCs w:val="22"/>
              </w:rPr>
            </w:pPr>
            <w:r w:rsidRPr="00421632">
              <w:rPr>
                <w:rFonts w:eastAsia="Calibri"/>
                <w:b/>
                <w:bCs/>
                <w:sz w:val="22"/>
                <w:szCs w:val="22"/>
              </w:rPr>
              <w:t>Column 4</w:t>
            </w:r>
          </w:p>
        </w:tc>
      </w:tr>
      <w:tr w:rsidR="006E2282" w:rsidRPr="00421632" w:rsidTr="00421632">
        <w:tc>
          <w:tcPr>
            <w:tcW w:w="1254" w:type="dxa"/>
            <w:shd w:val="clear" w:color="auto" w:fill="auto"/>
          </w:tcPr>
          <w:p w:rsidR="006E2282" w:rsidRPr="00421632" w:rsidRDefault="006E2282" w:rsidP="006E2282">
            <w:pPr>
              <w:rPr>
                <w:rFonts w:eastAsia="Calibri"/>
                <w:b/>
                <w:bCs/>
                <w:sz w:val="22"/>
                <w:szCs w:val="22"/>
              </w:rPr>
            </w:pPr>
            <w:r w:rsidRPr="00421632">
              <w:rPr>
                <w:rFonts w:eastAsia="Calibri"/>
                <w:b/>
                <w:bCs/>
                <w:sz w:val="22"/>
                <w:szCs w:val="22"/>
              </w:rPr>
              <w:t>Item</w:t>
            </w:r>
          </w:p>
        </w:tc>
        <w:tc>
          <w:tcPr>
            <w:tcW w:w="5097" w:type="dxa"/>
            <w:shd w:val="clear" w:color="auto" w:fill="auto"/>
          </w:tcPr>
          <w:p w:rsidR="006E2282" w:rsidRPr="00421632" w:rsidRDefault="006E2282" w:rsidP="006E2282">
            <w:pPr>
              <w:rPr>
                <w:rFonts w:eastAsia="Calibri"/>
                <w:b/>
                <w:bCs/>
                <w:sz w:val="22"/>
                <w:szCs w:val="22"/>
              </w:rPr>
            </w:pPr>
            <w:r w:rsidRPr="00421632">
              <w:rPr>
                <w:rFonts w:eastAsia="Calibri"/>
                <w:b/>
                <w:bCs/>
                <w:sz w:val="22"/>
                <w:szCs w:val="22"/>
              </w:rPr>
              <w:t>Matter in respect of which fee or charge is payable</w:t>
            </w:r>
          </w:p>
        </w:tc>
        <w:tc>
          <w:tcPr>
            <w:tcW w:w="1421" w:type="dxa"/>
            <w:shd w:val="clear" w:color="auto" w:fill="auto"/>
          </w:tcPr>
          <w:p w:rsidR="006E2282" w:rsidRPr="00421632" w:rsidRDefault="006E2282" w:rsidP="006E2282">
            <w:pPr>
              <w:rPr>
                <w:rFonts w:eastAsia="Calibri"/>
                <w:b/>
                <w:bCs/>
                <w:sz w:val="22"/>
                <w:szCs w:val="22"/>
              </w:rPr>
            </w:pPr>
            <w:r w:rsidRPr="00421632">
              <w:rPr>
                <w:rFonts w:eastAsia="Calibri"/>
                <w:b/>
                <w:bCs/>
                <w:sz w:val="22"/>
                <w:szCs w:val="22"/>
              </w:rPr>
              <w:t>Previous Fee</w:t>
            </w:r>
          </w:p>
        </w:tc>
        <w:tc>
          <w:tcPr>
            <w:tcW w:w="1515" w:type="dxa"/>
            <w:shd w:val="clear" w:color="auto" w:fill="auto"/>
          </w:tcPr>
          <w:p w:rsidR="006E2282" w:rsidRPr="00421632" w:rsidRDefault="006E2282" w:rsidP="00421632">
            <w:pPr>
              <w:spacing w:after="120"/>
              <w:rPr>
                <w:rFonts w:eastAsia="Calibri"/>
                <w:b/>
                <w:bCs/>
                <w:sz w:val="22"/>
                <w:szCs w:val="22"/>
              </w:rPr>
            </w:pPr>
            <w:r w:rsidRPr="00421632">
              <w:rPr>
                <w:rFonts w:eastAsia="Calibri"/>
                <w:b/>
                <w:bCs/>
                <w:sz w:val="22"/>
                <w:szCs w:val="22"/>
              </w:rPr>
              <w:t>Fee from 1 July 2019</w:t>
            </w:r>
          </w:p>
        </w:tc>
      </w:tr>
      <w:tr w:rsidR="006E2282" w:rsidRPr="00421632" w:rsidTr="00421632">
        <w:tc>
          <w:tcPr>
            <w:tcW w:w="1254" w:type="dxa"/>
            <w:shd w:val="clear" w:color="auto" w:fill="auto"/>
          </w:tcPr>
          <w:p w:rsidR="006E2282" w:rsidRPr="00421632" w:rsidRDefault="006E2282" w:rsidP="006E2282">
            <w:pPr>
              <w:rPr>
                <w:rFonts w:eastAsia="Calibri"/>
                <w:sz w:val="22"/>
                <w:szCs w:val="22"/>
              </w:rPr>
            </w:pPr>
            <w:r w:rsidRPr="00421632">
              <w:rPr>
                <w:rFonts w:eastAsia="Calibri"/>
                <w:sz w:val="22"/>
                <w:szCs w:val="22"/>
              </w:rPr>
              <w:t>1</w:t>
            </w:r>
          </w:p>
        </w:tc>
        <w:tc>
          <w:tcPr>
            <w:tcW w:w="5097" w:type="dxa"/>
            <w:shd w:val="clear" w:color="auto" w:fill="auto"/>
          </w:tcPr>
          <w:p w:rsidR="006E2282" w:rsidRPr="00421632" w:rsidRDefault="006E2282" w:rsidP="006E2282">
            <w:pPr>
              <w:rPr>
                <w:rFonts w:eastAsia="Calibri"/>
                <w:sz w:val="22"/>
                <w:szCs w:val="22"/>
              </w:rPr>
            </w:pPr>
            <w:r w:rsidRPr="00421632">
              <w:rPr>
                <w:rFonts w:eastAsia="Calibri"/>
                <w:sz w:val="22"/>
                <w:szCs w:val="22"/>
              </w:rPr>
              <w:t xml:space="preserve">Fee for application under section 7 of the </w:t>
            </w:r>
            <w:r w:rsidRPr="00421632">
              <w:rPr>
                <w:rFonts w:eastAsia="Calibri"/>
                <w:i/>
                <w:iCs/>
                <w:sz w:val="22"/>
                <w:szCs w:val="22"/>
              </w:rPr>
              <w:t>Lotteries Act 1964</w:t>
            </w:r>
            <w:r w:rsidRPr="00421632">
              <w:rPr>
                <w:rFonts w:eastAsia="Calibri"/>
                <w:sz w:val="22"/>
                <w:szCs w:val="22"/>
              </w:rPr>
              <w:t xml:space="preserve"> for approval to conduct a non-trade promotion lottery with a total prize value of ≤</w:t>
            </w:r>
            <w:r w:rsidR="00876F23" w:rsidRPr="00421632">
              <w:rPr>
                <w:rFonts w:eastAsia="Calibri"/>
                <w:sz w:val="22"/>
                <w:szCs w:val="22"/>
              </w:rPr>
              <w:t> </w:t>
            </w:r>
            <w:r w:rsidRPr="00421632">
              <w:rPr>
                <w:rFonts w:eastAsia="Calibri"/>
                <w:sz w:val="22"/>
                <w:szCs w:val="22"/>
              </w:rPr>
              <w:t>$500</w:t>
            </w:r>
          </w:p>
        </w:tc>
        <w:tc>
          <w:tcPr>
            <w:tcW w:w="1421" w:type="dxa"/>
            <w:shd w:val="clear" w:color="auto" w:fill="auto"/>
          </w:tcPr>
          <w:p w:rsidR="006E2282" w:rsidRPr="00421632" w:rsidRDefault="006E2282" w:rsidP="006E2282">
            <w:pPr>
              <w:rPr>
                <w:rFonts w:eastAsia="Calibri"/>
                <w:sz w:val="22"/>
                <w:szCs w:val="22"/>
              </w:rPr>
            </w:pPr>
            <w:r w:rsidRPr="00421632">
              <w:rPr>
                <w:rFonts w:eastAsia="Calibri"/>
                <w:sz w:val="22"/>
                <w:szCs w:val="22"/>
              </w:rPr>
              <w:t>Nil</w:t>
            </w:r>
          </w:p>
        </w:tc>
        <w:tc>
          <w:tcPr>
            <w:tcW w:w="1515" w:type="dxa"/>
            <w:shd w:val="clear" w:color="auto" w:fill="auto"/>
          </w:tcPr>
          <w:p w:rsidR="006E2282" w:rsidRPr="00421632" w:rsidRDefault="006E2282" w:rsidP="006E2282">
            <w:pPr>
              <w:rPr>
                <w:rFonts w:eastAsia="Calibri"/>
                <w:sz w:val="22"/>
                <w:szCs w:val="22"/>
              </w:rPr>
            </w:pPr>
            <w:r w:rsidRPr="00421632">
              <w:rPr>
                <w:rFonts w:eastAsia="Calibri"/>
                <w:sz w:val="22"/>
                <w:szCs w:val="22"/>
              </w:rPr>
              <w:t>Nil</w:t>
            </w:r>
          </w:p>
        </w:tc>
      </w:tr>
      <w:tr w:rsidR="006E2282" w:rsidRPr="00421632" w:rsidTr="00421632">
        <w:tc>
          <w:tcPr>
            <w:tcW w:w="1254" w:type="dxa"/>
            <w:shd w:val="clear" w:color="auto" w:fill="auto"/>
          </w:tcPr>
          <w:p w:rsidR="006E2282" w:rsidRPr="00421632" w:rsidRDefault="006E2282" w:rsidP="006E2282">
            <w:pPr>
              <w:rPr>
                <w:rFonts w:eastAsia="Calibri"/>
                <w:sz w:val="22"/>
                <w:szCs w:val="22"/>
              </w:rPr>
            </w:pPr>
            <w:r w:rsidRPr="00421632">
              <w:rPr>
                <w:rFonts w:eastAsia="Calibri"/>
                <w:sz w:val="22"/>
                <w:szCs w:val="22"/>
              </w:rPr>
              <w:t>2</w:t>
            </w:r>
          </w:p>
        </w:tc>
        <w:tc>
          <w:tcPr>
            <w:tcW w:w="5097" w:type="dxa"/>
            <w:shd w:val="clear" w:color="auto" w:fill="auto"/>
          </w:tcPr>
          <w:p w:rsidR="006E2282" w:rsidRPr="00421632" w:rsidRDefault="006E2282" w:rsidP="006E2282">
            <w:pPr>
              <w:rPr>
                <w:rFonts w:eastAsia="Calibri"/>
                <w:sz w:val="22"/>
                <w:szCs w:val="22"/>
              </w:rPr>
            </w:pPr>
            <w:r w:rsidRPr="00421632">
              <w:rPr>
                <w:rFonts w:eastAsia="Calibri"/>
                <w:sz w:val="22"/>
                <w:szCs w:val="22"/>
              </w:rPr>
              <w:t xml:space="preserve">Fee for application under section 7 of the </w:t>
            </w:r>
            <w:r w:rsidRPr="00421632">
              <w:rPr>
                <w:rFonts w:eastAsia="Calibri"/>
                <w:i/>
                <w:iCs/>
                <w:sz w:val="22"/>
                <w:szCs w:val="22"/>
              </w:rPr>
              <w:t>Lotteries Act 1964</w:t>
            </w:r>
            <w:r w:rsidRPr="00421632">
              <w:rPr>
                <w:rFonts w:eastAsia="Calibri"/>
                <w:sz w:val="22"/>
                <w:szCs w:val="22"/>
              </w:rPr>
              <w:t xml:space="preserve"> for approval to conduct a non-trade promotion lottery with a total prize value of &gt;</w:t>
            </w:r>
            <w:r w:rsidR="00876F23" w:rsidRPr="00421632">
              <w:rPr>
                <w:rFonts w:eastAsia="Calibri"/>
                <w:sz w:val="22"/>
                <w:szCs w:val="22"/>
              </w:rPr>
              <w:t> </w:t>
            </w:r>
            <w:r w:rsidRPr="00421632">
              <w:rPr>
                <w:rFonts w:eastAsia="Calibri"/>
                <w:sz w:val="22"/>
                <w:szCs w:val="22"/>
              </w:rPr>
              <w:t>$500 and ≤ $1,000</w:t>
            </w:r>
          </w:p>
        </w:tc>
        <w:tc>
          <w:tcPr>
            <w:tcW w:w="1421" w:type="dxa"/>
            <w:shd w:val="clear" w:color="auto" w:fill="auto"/>
          </w:tcPr>
          <w:p w:rsidR="006E2282" w:rsidRPr="00421632" w:rsidRDefault="006E2282" w:rsidP="006E2282">
            <w:pPr>
              <w:rPr>
                <w:rFonts w:eastAsia="Calibri"/>
                <w:sz w:val="22"/>
                <w:szCs w:val="22"/>
              </w:rPr>
            </w:pPr>
            <w:r w:rsidRPr="00421632">
              <w:rPr>
                <w:rFonts w:eastAsia="Calibri"/>
                <w:sz w:val="22"/>
                <w:szCs w:val="22"/>
              </w:rPr>
              <w:t>$76.00</w:t>
            </w:r>
          </w:p>
        </w:tc>
        <w:tc>
          <w:tcPr>
            <w:tcW w:w="1515" w:type="dxa"/>
            <w:shd w:val="clear" w:color="auto" w:fill="auto"/>
          </w:tcPr>
          <w:p w:rsidR="006E2282" w:rsidRPr="00421632" w:rsidRDefault="006E2282" w:rsidP="006E2282">
            <w:pPr>
              <w:rPr>
                <w:rFonts w:eastAsia="Calibri"/>
                <w:sz w:val="22"/>
                <w:szCs w:val="22"/>
              </w:rPr>
            </w:pPr>
            <w:r w:rsidRPr="00421632">
              <w:rPr>
                <w:rFonts w:eastAsia="Calibri"/>
                <w:sz w:val="22"/>
                <w:szCs w:val="22"/>
              </w:rPr>
              <w:t>$77.00</w:t>
            </w:r>
          </w:p>
        </w:tc>
      </w:tr>
      <w:tr w:rsidR="006E2282" w:rsidRPr="00421632" w:rsidTr="00421632">
        <w:tc>
          <w:tcPr>
            <w:tcW w:w="1254" w:type="dxa"/>
            <w:shd w:val="clear" w:color="auto" w:fill="auto"/>
          </w:tcPr>
          <w:p w:rsidR="006E2282" w:rsidRPr="00421632" w:rsidRDefault="006E2282" w:rsidP="006E2282">
            <w:pPr>
              <w:rPr>
                <w:rFonts w:eastAsia="Calibri"/>
                <w:sz w:val="22"/>
                <w:szCs w:val="22"/>
              </w:rPr>
            </w:pPr>
            <w:r w:rsidRPr="00421632">
              <w:rPr>
                <w:rFonts w:eastAsia="Calibri"/>
                <w:sz w:val="22"/>
                <w:szCs w:val="22"/>
              </w:rPr>
              <w:t>3</w:t>
            </w:r>
          </w:p>
        </w:tc>
        <w:tc>
          <w:tcPr>
            <w:tcW w:w="5097" w:type="dxa"/>
            <w:shd w:val="clear" w:color="auto" w:fill="auto"/>
          </w:tcPr>
          <w:p w:rsidR="006E2282" w:rsidRPr="00421632" w:rsidRDefault="006E2282" w:rsidP="006E2282">
            <w:pPr>
              <w:rPr>
                <w:rFonts w:eastAsia="Calibri"/>
                <w:sz w:val="22"/>
                <w:szCs w:val="22"/>
              </w:rPr>
            </w:pPr>
            <w:r w:rsidRPr="00421632">
              <w:rPr>
                <w:rFonts w:eastAsia="Calibri"/>
                <w:sz w:val="22"/>
                <w:szCs w:val="22"/>
              </w:rPr>
              <w:t xml:space="preserve">Fee for application under section 7 of the </w:t>
            </w:r>
            <w:r w:rsidRPr="00421632">
              <w:rPr>
                <w:rFonts w:eastAsia="Calibri"/>
                <w:i/>
                <w:iCs/>
                <w:sz w:val="22"/>
                <w:szCs w:val="22"/>
              </w:rPr>
              <w:t>Lotteries Act 1964</w:t>
            </w:r>
            <w:r w:rsidRPr="00421632">
              <w:rPr>
                <w:rFonts w:eastAsia="Calibri"/>
                <w:sz w:val="22"/>
                <w:szCs w:val="22"/>
              </w:rPr>
              <w:t xml:space="preserve"> for approval to conduct a non-trade promotion lottery with a total prize value of &gt;</w:t>
            </w:r>
            <w:r w:rsidR="00876F23" w:rsidRPr="00421632">
              <w:rPr>
                <w:rFonts w:eastAsia="Calibri"/>
                <w:sz w:val="22"/>
                <w:szCs w:val="22"/>
              </w:rPr>
              <w:t> </w:t>
            </w:r>
            <w:r w:rsidRPr="00421632">
              <w:rPr>
                <w:rFonts w:eastAsia="Calibri"/>
                <w:sz w:val="22"/>
                <w:szCs w:val="22"/>
              </w:rPr>
              <w:t>$1,000 and ≤ $2,500</w:t>
            </w:r>
          </w:p>
        </w:tc>
        <w:tc>
          <w:tcPr>
            <w:tcW w:w="1421" w:type="dxa"/>
            <w:shd w:val="clear" w:color="auto" w:fill="auto"/>
          </w:tcPr>
          <w:p w:rsidR="006E2282" w:rsidRPr="00421632" w:rsidRDefault="006E2282" w:rsidP="006E2282">
            <w:pPr>
              <w:rPr>
                <w:rFonts w:eastAsia="Calibri"/>
                <w:sz w:val="22"/>
                <w:szCs w:val="22"/>
              </w:rPr>
            </w:pPr>
            <w:r w:rsidRPr="00421632">
              <w:rPr>
                <w:rFonts w:eastAsia="Calibri"/>
                <w:sz w:val="22"/>
                <w:szCs w:val="22"/>
              </w:rPr>
              <w:t>$146.00</w:t>
            </w:r>
          </w:p>
        </w:tc>
        <w:tc>
          <w:tcPr>
            <w:tcW w:w="1515" w:type="dxa"/>
            <w:shd w:val="clear" w:color="auto" w:fill="auto"/>
          </w:tcPr>
          <w:p w:rsidR="006E2282" w:rsidRPr="00421632" w:rsidRDefault="006E2282" w:rsidP="006E2282">
            <w:pPr>
              <w:rPr>
                <w:rFonts w:eastAsia="Calibri"/>
                <w:sz w:val="22"/>
                <w:szCs w:val="22"/>
              </w:rPr>
            </w:pPr>
            <w:r w:rsidRPr="00421632">
              <w:rPr>
                <w:rFonts w:eastAsia="Calibri"/>
                <w:sz w:val="22"/>
                <w:szCs w:val="22"/>
              </w:rPr>
              <w:t>$149.00</w:t>
            </w:r>
          </w:p>
        </w:tc>
      </w:tr>
      <w:tr w:rsidR="006E2282" w:rsidRPr="00421632" w:rsidTr="00421632">
        <w:tc>
          <w:tcPr>
            <w:tcW w:w="1254" w:type="dxa"/>
            <w:shd w:val="clear" w:color="auto" w:fill="auto"/>
          </w:tcPr>
          <w:p w:rsidR="006E2282" w:rsidRPr="00421632" w:rsidRDefault="006E2282" w:rsidP="006E2282">
            <w:pPr>
              <w:rPr>
                <w:rFonts w:eastAsia="Calibri"/>
                <w:sz w:val="22"/>
                <w:szCs w:val="22"/>
              </w:rPr>
            </w:pPr>
            <w:r w:rsidRPr="00421632">
              <w:rPr>
                <w:rFonts w:eastAsia="Calibri"/>
                <w:sz w:val="22"/>
                <w:szCs w:val="22"/>
              </w:rPr>
              <w:t>4</w:t>
            </w:r>
          </w:p>
        </w:tc>
        <w:tc>
          <w:tcPr>
            <w:tcW w:w="5097" w:type="dxa"/>
            <w:shd w:val="clear" w:color="auto" w:fill="auto"/>
          </w:tcPr>
          <w:p w:rsidR="006E2282" w:rsidRPr="00421632" w:rsidRDefault="006E2282" w:rsidP="006E2282">
            <w:pPr>
              <w:rPr>
                <w:rFonts w:eastAsia="Calibri"/>
                <w:sz w:val="22"/>
                <w:szCs w:val="22"/>
              </w:rPr>
            </w:pPr>
            <w:r w:rsidRPr="00421632">
              <w:rPr>
                <w:rFonts w:eastAsia="Calibri"/>
                <w:sz w:val="22"/>
                <w:szCs w:val="22"/>
              </w:rPr>
              <w:t xml:space="preserve">Fee for application under section 7 of the </w:t>
            </w:r>
            <w:r w:rsidRPr="00421632">
              <w:rPr>
                <w:rFonts w:eastAsia="Calibri"/>
                <w:i/>
                <w:iCs/>
                <w:sz w:val="22"/>
                <w:szCs w:val="22"/>
              </w:rPr>
              <w:t>Lotteries Act 1964</w:t>
            </w:r>
            <w:r w:rsidRPr="00421632">
              <w:rPr>
                <w:rFonts w:eastAsia="Calibri"/>
                <w:sz w:val="22"/>
                <w:szCs w:val="22"/>
              </w:rPr>
              <w:t xml:space="preserve"> for approval to conduct a non-trade promotion lottery with a total prize value of &gt;</w:t>
            </w:r>
            <w:r w:rsidR="00876F23" w:rsidRPr="00421632">
              <w:rPr>
                <w:rFonts w:eastAsia="Calibri"/>
                <w:sz w:val="22"/>
                <w:szCs w:val="22"/>
              </w:rPr>
              <w:t> </w:t>
            </w:r>
            <w:r w:rsidRPr="00421632">
              <w:rPr>
                <w:rFonts w:eastAsia="Calibri"/>
                <w:sz w:val="22"/>
                <w:szCs w:val="22"/>
              </w:rPr>
              <w:t>$2,500 and ≤ $5,000</w:t>
            </w:r>
          </w:p>
        </w:tc>
        <w:tc>
          <w:tcPr>
            <w:tcW w:w="1421" w:type="dxa"/>
            <w:shd w:val="clear" w:color="auto" w:fill="auto"/>
          </w:tcPr>
          <w:p w:rsidR="006E2282" w:rsidRPr="00421632" w:rsidRDefault="006E2282" w:rsidP="006E2282">
            <w:pPr>
              <w:rPr>
                <w:rFonts w:eastAsia="Calibri"/>
                <w:sz w:val="22"/>
                <w:szCs w:val="22"/>
              </w:rPr>
            </w:pPr>
            <w:r w:rsidRPr="00421632">
              <w:rPr>
                <w:rFonts w:eastAsia="Calibri"/>
                <w:sz w:val="22"/>
                <w:szCs w:val="22"/>
              </w:rPr>
              <w:t>$216.00</w:t>
            </w:r>
          </w:p>
        </w:tc>
        <w:tc>
          <w:tcPr>
            <w:tcW w:w="1515" w:type="dxa"/>
            <w:shd w:val="clear" w:color="auto" w:fill="auto"/>
          </w:tcPr>
          <w:p w:rsidR="006E2282" w:rsidRPr="00421632" w:rsidRDefault="006E2282" w:rsidP="006E2282">
            <w:pPr>
              <w:rPr>
                <w:rFonts w:eastAsia="Calibri"/>
                <w:sz w:val="22"/>
                <w:szCs w:val="22"/>
              </w:rPr>
            </w:pPr>
            <w:r w:rsidRPr="00421632">
              <w:rPr>
                <w:rFonts w:eastAsia="Calibri"/>
                <w:sz w:val="22"/>
                <w:szCs w:val="22"/>
              </w:rPr>
              <w:t>$220.00</w:t>
            </w:r>
          </w:p>
        </w:tc>
      </w:tr>
      <w:tr w:rsidR="006E2282" w:rsidRPr="00421632" w:rsidTr="00421632">
        <w:tc>
          <w:tcPr>
            <w:tcW w:w="1254" w:type="dxa"/>
            <w:shd w:val="clear" w:color="auto" w:fill="auto"/>
          </w:tcPr>
          <w:p w:rsidR="006E2282" w:rsidRPr="00421632" w:rsidRDefault="006E2282" w:rsidP="006E2282">
            <w:pPr>
              <w:rPr>
                <w:rFonts w:eastAsia="Calibri"/>
                <w:sz w:val="22"/>
                <w:szCs w:val="22"/>
              </w:rPr>
            </w:pPr>
            <w:r w:rsidRPr="00421632">
              <w:rPr>
                <w:rFonts w:eastAsia="Calibri"/>
                <w:sz w:val="22"/>
                <w:szCs w:val="22"/>
              </w:rPr>
              <w:t>5</w:t>
            </w:r>
          </w:p>
        </w:tc>
        <w:tc>
          <w:tcPr>
            <w:tcW w:w="5097" w:type="dxa"/>
            <w:shd w:val="clear" w:color="auto" w:fill="auto"/>
          </w:tcPr>
          <w:p w:rsidR="006E2282" w:rsidRPr="00421632" w:rsidRDefault="006E2282" w:rsidP="006E2282">
            <w:pPr>
              <w:rPr>
                <w:rFonts w:eastAsia="Calibri"/>
                <w:sz w:val="22"/>
                <w:szCs w:val="22"/>
              </w:rPr>
            </w:pPr>
            <w:r w:rsidRPr="00421632">
              <w:rPr>
                <w:rFonts w:eastAsia="Calibri"/>
                <w:sz w:val="22"/>
                <w:szCs w:val="22"/>
              </w:rPr>
              <w:t xml:space="preserve">Fee for application under section 7 of the </w:t>
            </w:r>
            <w:r w:rsidRPr="00421632">
              <w:rPr>
                <w:rFonts w:eastAsia="Calibri"/>
                <w:i/>
                <w:iCs/>
                <w:sz w:val="22"/>
                <w:szCs w:val="22"/>
              </w:rPr>
              <w:t>Lotteries Act 1964</w:t>
            </w:r>
            <w:r w:rsidRPr="00421632">
              <w:rPr>
                <w:rFonts w:eastAsia="Calibri"/>
                <w:sz w:val="22"/>
                <w:szCs w:val="22"/>
              </w:rPr>
              <w:t xml:space="preserve"> for approval to conduct a non-trade promotion lottery with a total prize value of &gt;$5,000 and ≤$10,000</w:t>
            </w:r>
          </w:p>
        </w:tc>
        <w:tc>
          <w:tcPr>
            <w:tcW w:w="1421" w:type="dxa"/>
            <w:shd w:val="clear" w:color="auto" w:fill="auto"/>
          </w:tcPr>
          <w:p w:rsidR="006E2282" w:rsidRPr="00421632" w:rsidRDefault="006E2282" w:rsidP="006E2282">
            <w:pPr>
              <w:rPr>
                <w:rFonts w:eastAsia="Calibri"/>
                <w:sz w:val="22"/>
                <w:szCs w:val="22"/>
              </w:rPr>
            </w:pPr>
            <w:r w:rsidRPr="00421632">
              <w:rPr>
                <w:rFonts w:eastAsia="Calibri"/>
                <w:sz w:val="22"/>
                <w:szCs w:val="22"/>
              </w:rPr>
              <w:t>$315.00</w:t>
            </w:r>
          </w:p>
        </w:tc>
        <w:tc>
          <w:tcPr>
            <w:tcW w:w="1515" w:type="dxa"/>
            <w:shd w:val="clear" w:color="auto" w:fill="auto"/>
          </w:tcPr>
          <w:p w:rsidR="006E2282" w:rsidRPr="00421632" w:rsidRDefault="006E2282" w:rsidP="006E2282">
            <w:pPr>
              <w:rPr>
                <w:rFonts w:eastAsia="Calibri"/>
                <w:sz w:val="22"/>
                <w:szCs w:val="22"/>
              </w:rPr>
            </w:pPr>
            <w:r w:rsidRPr="00421632">
              <w:rPr>
                <w:rFonts w:eastAsia="Calibri"/>
                <w:sz w:val="22"/>
                <w:szCs w:val="22"/>
              </w:rPr>
              <w:t>$321.00</w:t>
            </w:r>
          </w:p>
        </w:tc>
      </w:tr>
      <w:tr w:rsidR="006E2282" w:rsidRPr="00421632" w:rsidTr="00421632">
        <w:tc>
          <w:tcPr>
            <w:tcW w:w="1254" w:type="dxa"/>
            <w:shd w:val="clear" w:color="auto" w:fill="auto"/>
          </w:tcPr>
          <w:p w:rsidR="006E2282" w:rsidRPr="00421632" w:rsidRDefault="006E2282" w:rsidP="006E2282">
            <w:pPr>
              <w:rPr>
                <w:rFonts w:eastAsia="Calibri"/>
                <w:sz w:val="22"/>
                <w:szCs w:val="22"/>
              </w:rPr>
            </w:pPr>
            <w:r w:rsidRPr="00421632">
              <w:rPr>
                <w:rFonts w:eastAsia="Calibri"/>
                <w:sz w:val="22"/>
                <w:szCs w:val="22"/>
              </w:rPr>
              <w:t>6</w:t>
            </w:r>
          </w:p>
        </w:tc>
        <w:tc>
          <w:tcPr>
            <w:tcW w:w="5097" w:type="dxa"/>
            <w:shd w:val="clear" w:color="auto" w:fill="auto"/>
          </w:tcPr>
          <w:p w:rsidR="006E2282" w:rsidRPr="00421632" w:rsidRDefault="006E2282" w:rsidP="006E2282">
            <w:pPr>
              <w:rPr>
                <w:rFonts w:eastAsia="Calibri"/>
                <w:sz w:val="22"/>
                <w:szCs w:val="22"/>
              </w:rPr>
            </w:pPr>
            <w:r w:rsidRPr="00421632">
              <w:rPr>
                <w:rFonts w:eastAsia="Calibri"/>
                <w:sz w:val="22"/>
                <w:szCs w:val="22"/>
              </w:rPr>
              <w:t xml:space="preserve">Fee for application under section 7 of the </w:t>
            </w:r>
            <w:r w:rsidRPr="00421632">
              <w:rPr>
                <w:rFonts w:eastAsia="Calibri"/>
                <w:i/>
                <w:iCs/>
                <w:sz w:val="22"/>
                <w:szCs w:val="22"/>
              </w:rPr>
              <w:t>Lotteries Act 1964</w:t>
            </w:r>
            <w:r w:rsidRPr="00421632">
              <w:rPr>
                <w:rFonts w:eastAsia="Calibri"/>
                <w:sz w:val="22"/>
                <w:szCs w:val="22"/>
              </w:rPr>
              <w:t xml:space="preserve"> for approval to conduct a non-trade promotion lottery with a total prize value of &gt;$10,000 and ≤$50,000</w:t>
            </w:r>
          </w:p>
        </w:tc>
        <w:tc>
          <w:tcPr>
            <w:tcW w:w="1421" w:type="dxa"/>
            <w:shd w:val="clear" w:color="auto" w:fill="auto"/>
          </w:tcPr>
          <w:p w:rsidR="006E2282" w:rsidRPr="00421632" w:rsidRDefault="006E2282" w:rsidP="006E2282">
            <w:pPr>
              <w:rPr>
                <w:rFonts w:eastAsia="Calibri"/>
                <w:sz w:val="22"/>
                <w:szCs w:val="22"/>
              </w:rPr>
            </w:pPr>
            <w:r w:rsidRPr="00421632">
              <w:rPr>
                <w:rFonts w:eastAsia="Calibri"/>
                <w:sz w:val="22"/>
                <w:szCs w:val="22"/>
              </w:rPr>
              <w:t>$605.00</w:t>
            </w:r>
          </w:p>
        </w:tc>
        <w:tc>
          <w:tcPr>
            <w:tcW w:w="1515" w:type="dxa"/>
            <w:shd w:val="clear" w:color="auto" w:fill="auto"/>
          </w:tcPr>
          <w:p w:rsidR="006E2282" w:rsidRPr="00421632" w:rsidRDefault="006E2282" w:rsidP="006E2282">
            <w:pPr>
              <w:rPr>
                <w:rFonts w:eastAsia="Calibri"/>
                <w:sz w:val="22"/>
                <w:szCs w:val="22"/>
              </w:rPr>
            </w:pPr>
            <w:r w:rsidRPr="00421632">
              <w:rPr>
                <w:rFonts w:eastAsia="Calibri"/>
                <w:sz w:val="22"/>
                <w:szCs w:val="22"/>
              </w:rPr>
              <w:t>$617.00</w:t>
            </w:r>
          </w:p>
        </w:tc>
      </w:tr>
      <w:tr w:rsidR="006E2282" w:rsidRPr="00421632" w:rsidTr="00421632">
        <w:tc>
          <w:tcPr>
            <w:tcW w:w="1254" w:type="dxa"/>
            <w:shd w:val="clear" w:color="auto" w:fill="auto"/>
          </w:tcPr>
          <w:p w:rsidR="006E2282" w:rsidRPr="00421632" w:rsidRDefault="006E2282" w:rsidP="006E2282">
            <w:pPr>
              <w:rPr>
                <w:rFonts w:eastAsia="Calibri"/>
                <w:sz w:val="22"/>
                <w:szCs w:val="22"/>
              </w:rPr>
            </w:pPr>
            <w:r w:rsidRPr="00421632">
              <w:rPr>
                <w:rFonts w:eastAsia="Calibri"/>
                <w:sz w:val="22"/>
                <w:szCs w:val="22"/>
              </w:rPr>
              <w:t>7</w:t>
            </w:r>
          </w:p>
        </w:tc>
        <w:tc>
          <w:tcPr>
            <w:tcW w:w="5097" w:type="dxa"/>
            <w:shd w:val="clear" w:color="auto" w:fill="auto"/>
          </w:tcPr>
          <w:p w:rsidR="006E2282" w:rsidRPr="00421632" w:rsidRDefault="006E2282" w:rsidP="006E2282">
            <w:pPr>
              <w:rPr>
                <w:rFonts w:eastAsia="Calibri"/>
                <w:sz w:val="22"/>
                <w:szCs w:val="22"/>
              </w:rPr>
            </w:pPr>
            <w:r w:rsidRPr="00421632">
              <w:rPr>
                <w:rFonts w:eastAsia="Calibri"/>
                <w:sz w:val="22"/>
                <w:szCs w:val="22"/>
              </w:rPr>
              <w:t xml:space="preserve">Fee for application under section 7 of the </w:t>
            </w:r>
            <w:r w:rsidRPr="00421632">
              <w:rPr>
                <w:rFonts w:eastAsia="Calibri"/>
                <w:i/>
                <w:iCs/>
                <w:sz w:val="22"/>
                <w:szCs w:val="22"/>
              </w:rPr>
              <w:t>Lotteries Act 1964</w:t>
            </w:r>
            <w:r w:rsidRPr="00421632">
              <w:rPr>
                <w:rFonts w:eastAsia="Calibri"/>
                <w:sz w:val="22"/>
                <w:szCs w:val="22"/>
              </w:rPr>
              <w:t xml:space="preserve"> for approval to conduct a non-trade promotion lottery with a total prize value of &gt;$50,000</w:t>
            </w:r>
          </w:p>
        </w:tc>
        <w:tc>
          <w:tcPr>
            <w:tcW w:w="1421" w:type="dxa"/>
            <w:shd w:val="clear" w:color="auto" w:fill="auto"/>
          </w:tcPr>
          <w:p w:rsidR="006E2282" w:rsidRPr="00421632" w:rsidRDefault="006E2282" w:rsidP="006E2282">
            <w:pPr>
              <w:rPr>
                <w:rFonts w:eastAsia="Calibri"/>
                <w:sz w:val="22"/>
                <w:szCs w:val="22"/>
              </w:rPr>
            </w:pPr>
            <w:r w:rsidRPr="00421632">
              <w:rPr>
                <w:rFonts w:eastAsia="Calibri"/>
                <w:sz w:val="22"/>
                <w:szCs w:val="22"/>
              </w:rPr>
              <w:t>$864.00</w:t>
            </w:r>
          </w:p>
        </w:tc>
        <w:tc>
          <w:tcPr>
            <w:tcW w:w="1515" w:type="dxa"/>
            <w:shd w:val="clear" w:color="auto" w:fill="auto"/>
          </w:tcPr>
          <w:p w:rsidR="006E2282" w:rsidRPr="00421632" w:rsidRDefault="006E2282" w:rsidP="006E2282">
            <w:pPr>
              <w:rPr>
                <w:rFonts w:eastAsia="Calibri"/>
                <w:sz w:val="22"/>
                <w:szCs w:val="22"/>
              </w:rPr>
            </w:pPr>
            <w:r w:rsidRPr="00421632">
              <w:rPr>
                <w:rFonts w:eastAsia="Calibri"/>
                <w:sz w:val="22"/>
                <w:szCs w:val="22"/>
              </w:rPr>
              <w:t>$881.00</w:t>
            </w:r>
          </w:p>
        </w:tc>
      </w:tr>
      <w:tr w:rsidR="006E2282" w:rsidRPr="00421632" w:rsidTr="00421632">
        <w:tc>
          <w:tcPr>
            <w:tcW w:w="1254" w:type="dxa"/>
            <w:shd w:val="clear" w:color="auto" w:fill="auto"/>
          </w:tcPr>
          <w:p w:rsidR="006E2282" w:rsidRPr="00421632" w:rsidRDefault="006E2282" w:rsidP="006E2282">
            <w:pPr>
              <w:rPr>
                <w:rFonts w:eastAsia="Calibri"/>
                <w:sz w:val="22"/>
                <w:szCs w:val="22"/>
              </w:rPr>
            </w:pPr>
            <w:r w:rsidRPr="00421632">
              <w:rPr>
                <w:rFonts w:eastAsia="Calibri"/>
                <w:sz w:val="22"/>
                <w:szCs w:val="22"/>
              </w:rPr>
              <w:t>8</w:t>
            </w:r>
          </w:p>
        </w:tc>
        <w:tc>
          <w:tcPr>
            <w:tcW w:w="5097" w:type="dxa"/>
            <w:shd w:val="clear" w:color="auto" w:fill="auto"/>
          </w:tcPr>
          <w:p w:rsidR="006E2282" w:rsidRPr="00421632" w:rsidRDefault="006E2282" w:rsidP="006E2282">
            <w:pPr>
              <w:rPr>
                <w:rFonts w:eastAsia="Calibri"/>
                <w:sz w:val="22"/>
                <w:szCs w:val="22"/>
              </w:rPr>
            </w:pPr>
            <w:r w:rsidRPr="00421632">
              <w:rPr>
                <w:rFonts w:eastAsia="Calibri"/>
                <w:sz w:val="22"/>
                <w:szCs w:val="22"/>
              </w:rPr>
              <w:t xml:space="preserve">Fee for application under section 7 of the </w:t>
            </w:r>
            <w:r w:rsidRPr="00421632">
              <w:rPr>
                <w:rFonts w:eastAsia="Calibri"/>
                <w:i/>
                <w:iCs/>
                <w:sz w:val="22"/>
                <w:szCs w:val="22"/>
              </w:rPr>
              <w:t>Lotteries Act 1964</w:t>
            </w:r>
            <w:r w:rsidRPr="00421632">
              <w:rPr>
                <w:rFonts w:eastAsia="Calibri"/>
                <w:sz w:val="22"/>
                <w:szCs w:val="22"/>
              </w:rPr>
              <w:t xml:space="preserve"> for approval to conduct a trade promotion lottery with a total prize value of &gt;$3,000 and ≤$5,000</w:t>
            </w:r>
          </w:p>
        </w:tc>
        <w:tc>
          <w:tcPr>
            <w:tcW w:w="1421" w:type="dxa"/>
            <w:shd w:val="clear" w:color="auto" w:fill="auto"/>
          </w:tcPr>
          <w:p w:rsidR="006E2282" w:rsidRPr="00421632" w:rsidRDefault="006E2282" w:rsidP="006E2282">
            <w:pPr>
              <w:rPr>
                <w:rFonts w:eastAsia="Calibri"/>
                <w:sz w:val="22"/>
                <w:szCs w:val="22"/>
              </w:rPr>
            </w:pPr>
            <w:r w:rsidRPr="00421632">
              <w:rPr>
                <w:rFonts w:eastAsia="Calibri"/>
                <w:sz w:val="22"/>
                <w:szCs w:val="22"/>
              </w:rPr>
              <w:t>$216.00</w:t>
            </w:r>
          </w:p>
        </w:tc>
        <w:tc>
          <w:tcPr>
            <w:tcW w:w="1515" w:type="dxa"/>
            <w:shd w:val="clear" w:color="auto" w:fill="auto"/>
          </w:tcPr>
          <w:p w:rsidR="006E2282" w:rsidRPr="00421632" w:rsidRDefault="006E2282" w:rsidP="006E2282">
            <w:pPr>
              <w:rPr>
                <w:rFonts w:eastAsia="Calibri"/>
                <w:sz w:val="22"/>
                <w:szCs w:val="22"/>
              </w:rPr>
            </w:pPr>
            <w:r w:rsidRPr="00421632">
              <w:rPr>
                <w:rFonts w:eastAsia="Calibri"/>
                <w:sz w:val="22"/>
                <w:szCs w:val="22"/>
              </w:rPr>
              <w:t>$220.00</w:t>
            </w:r>
          </w:p>
        </w:tc>
      </w:tr>
      <w:tr w:rsidR="006E2282" w:rsidRPr="00421632" w:rsidTr="00421632">
        <w:tc>
          <w:tcPr>
            <w:tcW w:w="1254" w:type="dxa"/>
            <w:shd w:val="clear" w:color="auto" w:fill="auto"/>
          </w:tcPr>
          <w:p w:rsidR="006E2282" w:rsidRPr="00421632" w:rsidRDefault="006E2282" w:rsidP="006E2282">
            <w:pPr>
              <w:rPr>
                <w:rFonts w:eastAsia="Calibri"/>
                <w:sz w:val="22"/>
                <w:szCs w:val="22"/>
              </w:rPr>
            </w:pPr>
            <w:r w:rsidRPr="00421632">
              <w:rPr>
                <w:rFonts w:eastAsia="Calibri"/>
                <w:sz w:val="22"/>
                <w:szCs w:val="22"/>
              </w:rPr>
              <w:t>9</w:t>
            </w:r>
          </w:p>
        </w:tc>
        <w:tc>
          <w:tcPr>
            <w:tcW w:w="5097" w:type="dxa"/>
            <w:shd w:val="clear" w:color="auto" w:fill="auto"/>
          </w:tcPr>
          <w:p w:rsidR="006E2282" w:rsidRPr="00421632" w:rsidRDefault="006E2282" w:rsidP="006E2282">
            <w:pPr>
              <w:rPr>
                <w:rFonts w:eastAsia="Calibri"/>
                <w:sz w:val="22"/>
                <w:szCs w:val="22"/>
              </w:rPr>
            </w:pPr>
            <w:r w:rsidRPr="00421632">
              <w:rPr>
                <w:rFonts w:eastAsia="Calibri"/>
                <w:sz w:val="22"/>
                <w:szCs w:val="22"/>
              </w:rPr>
              <w:t xml:space="preserve">Fee for application under section 7 of the </w:t>
            </w:r>
            <w:r w:rsidRPr="00421632">
              <w:rPr>
                <w:rFonts w:eastAsia="Calibri"/>
                <w:i/>
                <w:iCs/>
                <w:sz w:val="22"/>
                <w:szCs w:val="22"/>
              </w:rPr>
              <w:t>Lotteries Act 1964</w:t>
            </w:r>
            <w:r w:rsidRPr="00421632">
              <w:rPr>
                <w:rFonts w:eastAsia="Calibri"/>
                <w:sz w:val="22"/>
                <w:szCs w:val="22"/>
              </w:rPr>
              <w:t xml:space="preserve"> for approval to conduct a trade promotion lottery with a total prize value of &gt;$5,000 and ≤$10,000</w:t>
            </w:r>
          </w:p>
        </w:tc>
        <w:tc>
          <w:tcPr>
            <w:tcW w:w="1421" w:type="dxa"/>
            <w:shd w:val="clear" w:color="auto" w:fill="auto"/>
          </w:tcPr>
          <w:p w:rsidR="006E2282" w:rsidRPr="00421632" w:rsidRDefault="006E2282" w:rsidP="006E2282">
            <w:pPr>
              <w:rPr>
                <w:rFonts w:eastAsia="Calibri"/>
                <w:sz w:val="22"/>
                <w:szCs w:val="22"/>
              </w:rPr>
            </w:pPr>
            <w:r w:rsidRPr="00421632">
              <w:rPr>
                <w:rFonts w:eastAsia="Calibri"/>
                <w:sz w:val="22"/>
                <w:szCs w:val="22"/>
              </w:rPr>
              <w:t>$315.00</w:t>
            </w:r>
          </w:p>
        </w:tc>
        <w:tc>
          <w:tcPr>
            <w:tcW w:w="1515" w:type="dxa"/>
            <w:shd w:val="clear" w:color="auto" w:fill="auto"/>
          </w:tcPr>
          <w:p w:rsidR="006E2282" w:rsidRPr="00421632" w:rsidRDefault="006E2282" w:rsidP="006E2282">
            <w:pPr>
              <w:rPr>
                <w:rFonts w:eastAsia="Calibri"/>
                <w:sz w:val="22"/>
                <w:szCs w:val="22"/>
              </w:rPr>
            </w:pPr>
            <w:r w:rsidRPr="00421632">
              <w:rPr>
                <w:rFonts w:eastAsia="Calibri"/>
                <w:sz w:val="22"/>
                <w:szCs w:val="22"/>
              </w:rPr>
              <w:t>$321.00</w:t>
            </w:r>
          </w:p>
        </w:tc>
      </w:tr>
      <w:tr w:rsidR="006E2282" w:rsidRPr="00421632" w:rsidTr="00421632">
        <w:tc>
          <w:tcPr>
            <w:tcW w:w="1254" w:type="dxa"/>
            <w:shd w:val="clear" w:color="auto" w:fill="auto"/>
          </w:tcPr>
          <w:p w:rsidR="006E2282" w:rsidRPr="00421632" w:rsidRDefault="006E2282" w:rsidP="006E2282">
            <w:pPr>
              <w:rPr>
                <w:rFonts w:eastAsia="Calibri"/>
                <w:sz w:val="22"/>
                <w:szCs w:val="22"/>
              </w:rPr>
            </w:pPr>
            <w:r w:rsidRPr="00421632">
              <w:rPr>
                <w:rFonts w:eastAsia="Calibri"/>
                <w:sz w:val="22"/>
                <w:szCs w:val="22"/>
              </w:rPr>
              <w:t>10</w:t>
            </w:r>
          </w:p>
        </w:tc>
        <w:tc>
          <w:tcPr>
            <w:tcW w:w="5097" w:type="dxa"/>
            <w:shd w:val="clear" w:color="auto" w:fill="auto"/>
          </w:tcPr>
          <w:p w:rsidR="006E2282" w:rsidRPr="00421632" w:rsidRDefault="006E2282" w:rsidP="006E2282">
            <w:pPr>
              <w:rPr>
                <w:rFonts w:eastAsia="Calibri"/>
                <w:sz w:val="22"/>
                <w:szCs w:val="22"/>
              </w:rPr>
            </w:pPr>
            <w:r w:rsidRPr="00421632">
              <w:rPr>
                <w:rFonts w:eastAsia="Calibri"/>
                <w:sz w:val="22"/>
                <w:szCs w:val="22"/>
              </w:rPr>
              <w:t xml:space="preserve">Fee for application under section 7 of the </w:t>
            </w:r>
            <w:r w:rsidRPr="00421632">
              <w:rPr>
                <w:rFonts w:eastAsia="Calibri"/>
                <w:i/>
                <w:iCs/>
                <w:sz w:val="22"/>
                <w:szCs w:val="22"/>
              </w:rPr>
              <w:t>Lotteries Act 1964</w:t>
            </w:r>
            <w:r w:rsidRPr="00421632">
              <w:rPr>
                <w:rFonts w:eastAsia="Calibri"/>
                <w:sz w:val="22"/>
                <w:szCs w:val="22"/>
              </w:rPr>
              <w:t xml:space="preserve"> for approval to conduct a trade promotion lottery with a total prize value of &gt;$10,000 and ≤$50,000</w:t>
            </w:r>
          </w:p>
        </w:tc>
        <w:tc>
          <w:tcPr>
            <w:tcW w:w="1421" w:type="dxa"/>
            <w:shd w:val="clear" w:color="auto" w:fill="auto"/>
          </w:tcPr>
          <w:p w:rsidR="006E2282" w:rsidRPr="00421632" w:rsidRDefault="006E2282" w:rsidP="006E2282">
            <w:pPr>
              <w:rPr>
                <w:rFonts w:eastAsia="Calibri"/>
                <w:sz w:val="22"/>
                <w:szCs w:val="22"/>
              </w:rPr>
            </w:pPr>
            <w:r w:rsidRPr="00421632">
              <w:rPr>
                <w:rFonts w:eastAsia="Calibri"/>
                <w:sz w:val="22"/>
                <w:szCs w:val="22"/>
              </w:rPr>
              <w:t>$605.00</w:t>
            </w:r>
          </w:p>
        </w:tc>
        <w:tc>
          <w:tcPr>
            <w:tcW w:w="1515" w:type="dxa"/>
            <w:shd w:val="clear" w:color="auto" w:fill="auto"/>
          </w:tcPr>
          <w:p w:rsidR="006E2282" w:rsidRPr="00421632" w:rsidRDefault="006E2282" w:rsidP="006E2282">
            <w:pPr>
              <w:rPr>
                <w:rFonts w:eastAsia="Calibri"/>
                <w:sz w:val="22"/>
                <w:szCs w:val="22"/>
              </w:rPr>
            </w:pPr>
            <w:r w:rsidRPr="00421632">
              <w:rPr>
                <w:rFonts w:eastAsia="Calibri"/>
                <w:sz w:val="22"/>
                <w:szCs w:val="22"/>
              </w:rPr>
              <w:t>$617.00</w:t>
            </w:r>
          </w:p>
        </w:tc>
      </w:tr>
      <w:tr w:rsidR="006E2282" w:rsidRPr="00421632" w:rsidTr="00421632">
        <w:tc>
          <w:tcPr>
            <w:tcW w:w="1254" w:type="dxa"/>
            <w:shd w:val="clear" w:color="auto" w:fill="auto"/>
          </w:tcPr>
          <w:p w:rsidR="006E2282" w:rsidRPr="00421632" w:rsidRDefault="006E2282" w:rsidP="006E2282">
            <w:pPr>
              <w:rPr>
                <w:rFonts w:eastAsia="Calibri"/>
                <w:sz w:val="22"/>
                <w:szCs w:val="22"/>
              </w:rPr>
            </w:pPr>
            <w:r w:rsidRPr="00421632">
              <w:rPr>
                <w:rFonts w:eastAsia="Calibri"/>
                <w:sz w:val="22"/>
                <w:szCs w:val="22"/>
              </w:rPr>
              <w:t>11</w:t>
            </w:r>
          </w:p>
        </w:tc>
        <w:tc>
          <w:tcPr>
            <w:tcW w:w="5097" w:type="dxa"/>
            <w:shd w:val="clear" w:color="auto" w:fill="auto"/>
          </w:tcPr>
          <w:p w:rsidR="006E2282" w:rsidRPr="00421632" w:rsidRDefault="006E2282" w:rsidP="006E2282">
            <w:pPr>
              <w:rPr>
                <w:rFonts w:eastAsia="Calibri"/>
                <w:sz w:val="22"/>
                <w:szCs w:val="22"/>
              </w:rPr>
            </w:pPr>
            <w:r w:rsidRPr="00421632">
              <w:rPr>
                <w:rFonts w:eastAsia="Calibri"/>
                <w:sz w:val="22"/>
                <w:szCs w:val="22"/>
              </w:rPr>
              <w:t xml:space="preserve">Fee for application under section 7 of the </w:t>
            </w:r>
            <w:r w:rsidRPr="00421632">
              <w:rPr>
                <w:rFonts w:eastAsia="Calibri"/>
                <w:i/>
                <w:iCs/>
                <w:sz w:val="22"/>
                <w:szCs w:val="22"/>
              </w:rPr>
              <w:t>Lotteries Act 1964</w:t>
            </w:r>
            <w:r w:rsidRPr="00421632">
              <w:rPr>
                <w:rFonts w:eastAsia="Calibri"/>
                <w:sz w:val="22"/>
                <w:szCs w:val="22"/>
              </w:rPr>
              <w:t xml:space="preserve"> for approval to conduct a trade promotion lottery with a total prize value of &gt;$50,000 and ≤$100,000</w:t>
            </w:r>
          </w:p>
        </w:tc>
        <w:tc>
          <w:tcPr>
            <w:tcW w:w="1421" w:type="dxa"/>
            <w:shd w:val="clear" w:color="auto" w:fill="auto"/>
          </w:tcPr>
          <w:p w:rsidR="006E2282" w:rsidRPr="00421632" w:rsidRDefault="006E2282" w:rsidP="006E2282">
            <w:pPr>
              <w:rPr>
                <w:rFonts w:eastAsia="Calibri"/>
                <w:sz w:val="22"/>
                <w:szCs w:val="22"/>
              </w:rPr>
            </w:pPr>
            <w:r w:rsidRPr="00421632">
              <w:rPr>
                <w:rFonts w:eastAsia="Calibri"/>
                <w:sz w:val="22"/>
                <w:szCs w:val="22"/>
              </w:rPr>
              <w:t>$864.00</w:t>
            </w:r>
          </w:p>
        </w:tc>
        <w:tc>
          <w:tcPr>
            <w:tcW w:w="1515" w:type="dxa"/>
            <w:shd w:val="clear" w:color="auto" w:fill="auto"/>
          </w:tcPr>
          <w:p w:rsidR="006E2282" w:rsidRPr="00421632" w:rsidRDefault="006E2282" w:rsidP="006E2282">
            <w:pPr>
              <w:rPr>
                <w:rFonts w:eastAsia="Calibri"/>
                <w:sz w:val="22"/>
                <w:szCs w:val="22"/>
              </w:rPr>
            </w:pPr>
            <w:r w:rsidRPr="00421632">
              <w:rPr>
                <w:rFonts w:eastAsia="Calibri"/>
                <w:sz w:val="22"/>
                <w:szCs w:val="22"/>
              </w:rPr>
              <w:t>$881.00</w:t>
            </w:r>
          </w:p>
        </w:tc>
      </w:tr>
    </w:tbl>
    <w:p w:rsidR="00FE326B" w:rsidRDefault="00FE326B">
      <w:pPr>
        <w:pStyle w:val="01Contents"/>
        <w:tabs>
          <w:tab w:val="clear" w:pos="2880"/>
        </w:tabs>
        <w:rPr>
          <w:rFonts w:ascii="Times New Roman" w:hAnsi="Times New Roman"/>
          <w:u w:val="single"/>
        </w:rPr>
      </w:pPr>
    </w:p>
    <w:p w:rsidR="00FE326B" w:rsidRDefault="00FE326B">
      <w:pPr>
        <w:pStyle w:val="01Contents"/>
        <w:tabs>
          <w:tab w:val="clear" w:pos="2880"/>
        </w:tabs>
        <w:rPr>
          <w:rFonts w:ascii="Times New Roman" w:hAnsi="Times New Roman"/>
        </w:rPr>
      </w:pPr>
    </w:p>
    <w:p w:rsidR="006E2282" w:rsidRDefault="006E2282">
      <w:pPr>
        <w:pStyle w:val="01Contents"/>
        <w:tabs>
          <w:tab w:val="clear" w:pos="2880"/>
        </w:tabs>
        <w:rPr>
          <w:rFonts w:ascii="Times New Roman" w:hAnsi="Times New Roman"/>
        </w:rPr>
      </w:pPr>
    </w:p>
    <w:p w:rsidR="006E2282" w:rsidRDefault="006E2282">
      <w:pPr>
        <w:pStyle w:val="01Contents"/>
        <w:tabs>
          <w:tab w:val="clear" w:pos="288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5085"/>
        <w:gridCol w:w="1418"/>
        <w:gridCol w:w="1531"/>
      </w:tblGrid>
      <w:tr w:rsidR="006E2282" w:rsidRPr="00421632" w:rsidTr="00421632">
        <w:tc>
          <w:tcPr>
            <w:tcW w:w="1253" w:type="dxa"/>
            <w:shd w:val="clear" w:color="auto" w:fill="auto"/>
          </w:tcPr>
          <w:p w:rsidR="006E2282" w:rsidRPr="00421632" w:rsidRDefault="006E2282" w:rsidP="006E2282">
            <w:pPr>
              <w:rPr>
                <w:rFonts w:eastAsia="Calibri"/>
                <w:sz w:val="22"/>
                <w:szCs w:val="22"/>
              </w:rPr>
            </w:pPr>
            <w:r w:rsidRPr="00421632">
              <w:rPr>
                <w:rFonts w:eastAsia="Calibri"/>
                <w:b/>
                <w:bCs/>
                <w:sz w:val="22"/>
                <w:szCs w:val="22"/>
              </w:rPr>
              <w:lastRenderedPageBreak/>
              <w:t>Column 1</w:t>
            </w:r>
          </w:p>
        </w:tc>
        <w:tc>
          <w:tcPr>
            <w:tcW w:w="5085" w:type="dxa"/>
            <w:shd w:val="clear" w:color="auto" w:fill="auto"/>
          </w:tcPr>
          <w:p w:rsidR="006E2282" w:rsidRPr="00421632" w:rsidRDefault="006E2282" w:rsidP="006E2282">
            <w:pPr>
              <w:rPr>
                <w:rFonts w:eastAsia="Calibri"/>
                <w:sz w:val="22"/>
                <w:szCs w:val="22"/>
              </w:rPr>
            </w:pPr>
            <w:r w:rsidRPr="00421632">
              <w:rPr>
                <w:rFonts w:eastAsia="Calibri"/>
                <w:b/>
                <w:bCs/>
                <w:sz w:val="22"/>
                <w:szCs w:val="22"/>
              </w:rPr>
              <w:t>Column 2</w:t>
            </w:r>
          </w:p>
        </w:tc>
        <w:tc>
          <w:tcPr>
            <w:tcW w:w="1418" w:type="dxa"/>
            <w:shd w:val="clear" w:color="auto" w:fill="auto"/>
          </w:tcPr>
          <w:p w:rsidR="006E2282" w:rsidRPr="00421632" w:rsidRDefault="006E2282" w:rsidP="006E2282">
            <w:pPr>
              <w:rPr>
                <w:rFonts w:eastAsia="Calibri"/>
                <w:b/>
                <w:bCs/>
                <w:sz w:val="22"/>
                <w:szCs w:val="22"/>
              </w:rPr>
            </w:pPr>
            <w:r w:rsidRPr="00421632">
              <w:rPr>
                <w:rFonts w:eastAsia="Calibri"/>
                <w:b/>
                <w:bCs/>
                <w:sz w:val="22"/>
                <w:szCs w:val="22"/>
              </w:rPr>
              <w:t>Column 3</w:t>
            </w:r>
          </w:p>
        </w:tc>
        <w:tc>
          <w:tcPr>
            <w:tcW w:w="1531" w:type="dxa"/>
            <w:shd w:val="clear" w:color="auto" w:fill="auto"/>
          </w:tcPr>
          <w:p w:rsidR="006E2282" w:rsidRPr="00421632" w:rsidRDefault="006E2282" w:rsidP="006E2282">
            <w:pPr>
              <w:rPr>
                <w:rFonts w:eastAsia="Calibri"/>
                <w:b/>
                <w:bCs/>
                <w:sz w:val="22"/>
                <w:szCs w:val="22"/>
              </w:rPr>
            </w:pPr>
            <w:r w:rsidRPr="00421632">
              <w:rPr>
                <w:rFonts w:eastAsia="Calibri"/>
                <w:b/>
                <w:bCs/>
                <w:sz w:val="22"/>
                <w:szCs w:val="22"/>
              </w:rPr>
              <w:t>Column 4</w:t>
            </w:r>
          </w:p>
        </w:tc>
      </w:tr>
      <w:tr w:rsidR="006E2282" w:rsidRPr="00421632" w:rsidTr="00421632">
        <w:tc>
          <w:tcPr>
            <w:tcW w:w="1253" w:type="dxa"/>
            <w:shd w:val="clear" w:color="auto" w:fill="auto"/>
          </w:tcPr>
          <w:p w:rsidR="006E2282" w:rsidRPr="00421632" w:rsidRDefault="006E2282" w:rsidP="006E2282">
            <w:pPr>
              <w:rPr>
                <w:rFonts w:eastAsia="Calibri"/>
                <w:sz w:val="22"/>
                <w:szCs w:val="22"/>
              </w:rPr>
            </w:pPr>
            <w:r w:rsidRPr="00421632">
              <w:rPr>
                <w:rFonts w:eastAsia="Calibri"/>
                <w:b/>
                <w:bCs/>
                <w:sz w:val="22"/>
                <w:szCs w:val="22"/>
              </w:rPr>
              <w:t>Item</w:t>
            </w:r>
          </w:p>
        </w:tc>
        <w:tc>
          <w:tcPr>
            <w:tcW w:w="5085" w:type="dxa"/>
            <w:shd w:val="clear" w:color="auto" w:fill="auto"/>
          </w:tcPr>
          <w:p w:rsidR="006E2282" w:rsidRPr="00421632" w:rsidRDefault="006E2282" w:rsidP="006E2282">
            <w:pPr>
              <w:rPr>
                <w:rFonts w:eastAsia="Calibri"/>
                <w:sz w:val="22"/>
                <w:szCs w:val="22"/>
              </w:rPr>
            </w:pPr>
            <w:r w:rsidRPr="00421632">
              <w:rPr>
                <w:rFonts w:eastAsia="Calibri"/>
                <w:b/>
                <w:bCs/>
                <w:sz w:val="22"/>
                <w:szCs w:val="22"/>
              </w:rPr>
              <w:t>Matter in respect of which fee or charge is payable</w:t>
            </w:r>
          </w:p>
        </w:tc>
        <w:tc>
          <w:tcPr>
            <w:tcW w:w="1418" w:type="dxa"/>
            <w:shd w:val="clear" w:color="auto" w:fill="auto"/>
          </w:tcPr>
          <w:p w:rsidR="006E2282" w:rsidRPr="00421632" w:rsidRDefault="006E2282" w:rsidP="006E2282">
            <w:pPr>
              <w:rPr>
                <w:rFonts w:eastAsia="Calibri"/>
                <w:b/>
                <w:bCs/>
                <w:sz w:val="22"/>
                <w:szCs w:val="22"/>
              </w:rPr>
            </w:pPr>
            <w:r w:rsidRPr="00421632">
              <w:rPr>
                <w:rFonts w:eastAsia="Calibri"/>
                <w:b/>
                <w:bCs/>
                <w:sz w:val="22"/>
                <w:szCs w:val="22"/>
              </w:rPr>
              <w:t>Previous Fee</w:t>
            </w:r>
          </w:p>
        </w:tc>
        <w:tc>
          <w:tcPr>
            <w:tcW w:w="1531" w:type="dxa"/>
            <w:shd w:val="clear" w:color="auto" w:fill="auto"/>
          </w:tcPr>
          <w:p w:rsidR="006E2282" w:rsidRPr="00421632" w:rsidRDefault="006E2282" w:rsidP="00421632">
            <w:pPr>
              <w:spacing w:after="120"/>
              <w:rPr>
                <w:rFonts w:eastAsia="Calibri"/>
                <w:b/>
                <w:bCs/>
                <w:sz w:val="22"/>
                <w:szCs w:val="22"/>
              </w:rPr>
            </w:pPr>
            <w:r w:rsidRPr="00421632">
              <w:rPr>
                <w:rFonts w:eastAsia="Calibri"/>
                <w:b/>
                <w:bCs/>
                <w:sz w:val="22"/>
                <w:szCs w:val="22"/>
              </w:rPr>
              <w:t>Fee from 1 July 2019</w:t>
            </w:r>
          </w:p>
        </w:tc>
      </w:tr>
      <w:tr w:rsidR="006E2282" w:rsidRPr="00421632" w:rsidTr="00421632">
        <w:tc>
          <w:tcPr>
            <w:tcW w:w="1253" w:type="dxa"/>
            <w:shd w:val="clear" w:color="auto" w:fill="auto"/>
          </w:tcPr>
          <w:p w:rsidR="006E2282" w:rsidRPr="00421632" w:rsidRDefault="006E2282" w:rsidP="00421632">
            <w:pPr>
              <w:rPr>
                <w:rFonts w:eastAsia="Calibri"/>
                <w:sz w:val="22"/>
                <w:szCs w:val="22"/>
              </w:rPr>
            </w:pPr>
            <w:r w:rsidRPr="00421632">
              <w:rPr>
                <w:rFonts w:eastAsia="Calibri"/>
                <w:sz w:val="22"/>
                <w:szCs w:val="22"/>
              </w:rPr>
              <w:t>12</w:t>
            </w:r>
          </w:p>
        </w:tc>
        <w:tc>
          <w:tcPr>
            <w:tcW w:w="5085" w:type="dxa"/>
            <w:shd w:val="clear" w:color="auto" w:fill="auto"/>
          </w:tcPr>
          <w:p w:rsidR="006E2282" w:rsidRPr="00421632" w:rsidRDefault="006E2282" w:rsidP="00421632">
            <w:pPr>
              <w:rPr>
                <w:rFonts w:eastAsia="Calibri"/>
                <w:sz w:val="22"/>
                <w:szCs w:val="22"/>
              </w:rPr>
            </w:pPr>
            <w:r w:rsidRPr="00421632">
              <w:rPr>
                <w:rFonts w:eastAsia="Calibri"/>
                <w:sz w:val="22"/>
                <w:szCs w:val="22"/>
              </w:rPr>
              <w:t xml:space="preserve">Fee for application under section 7 of the </w:t>
            </w:r>
            <w:r w:rsidRPr="00421632">
              <w:rPr>
                <w:rFonts w:eastAsia="Calibri"/>
                <w:i/>
                <w:iCs/>
                <w:sz w:val="22"/>
                <w:szCs w:val="22"/>
              </w:rPr>
              <w:t>Lotteries Act 1964</w:t>
            </w:r>
            <w:r w:rsidRPr="00421632">
              <w:rPr>
                <w:rFonts w:eastAsia="Calibri"/>
                <w:sz w:val="22"/>
                <w:szCs w:val="22"/>
              </w:rPr>
              <w:t xml:space="preserve"> for approval to conduct a trade promotion lottery with a total prize value of &gt;$100,000 and ≤$200,000</w:t>
            </w:r>
          </w:p>
        </w:tc>
        <w:tc>
          <w:tcPr>
            <w:tcW w:w="1418" w:type="dxa"/>
            <w:shd w:val="clear" w:color="auto" w:fill="auto"/>
          </w:tcPr>
          <w:p w:rsidR="006E2282" w:rsidRPr="00421632" w:rsidRDefault="006E2282" w:rsidP="00421632">
            <w:pPr>
              <w:rPr>
                <w:rFonts w:eastAsia="Calibri"/>
                <w:sz w:val="22"/>
                <w:szCs w:val="22"/>
              </w:rPr>
            </w:pPr>
            <w:r w:rsidRPr="00421632">
              <w:rPr>
                <w:rFonts w:eastAsia="Calibri"/>
                <w:sz w:val="22"/>
                <w:szCs w:val="22"/>
              </w:rPr>
              <w:t>$1,724.00</w:t>
            </w:r>
          </w:p>
        </w:tc>
        <w:tc>
          <w:tcPr>
            <w:tcW w:w="1531" w:type="dxa"/>
            <w:shd w:val="clear" w:color="auto" w:fill="auto"/>
          </w:tcPr>
          <w:p w:rsidR="006E2282" w:rsidRPr="00421632" w:rsidRDefault="006E2282" w:rsidP="00421632">
            <w:pPr>
              <w:rPr>
                <w:rFonts w:eastAsia="Calibri"/>
                <w:sz w:val="22"/>
                <w:szCs w:val="22"/>
              </w:rPr>
            </w:pPr>
            <w:r w:rsidRPr="00421632">
              <w:rPr>
                <w:rFonts w:eastAsia="Calibri"/>
                <w:sz w:val="22"/>
                <w:szCs w:val="22"/>
              </w:rPr>
              <w:t>$1,758.00</w:t>
            </w:r>
          </w:p>
        </w:tc>
      </w:tr>
      <w:tr w:rsidR="006E2282" w:rsidRPr="00421632" w:rsidTr="00421632">
        <w:tc>
          <w:tcPr>
            <w:tcW w:w="1253" w:type="dxa"/>
            <w:shd w:val="clear" w:color="auto" w:fill="auto"/>
          </w:tcPr>
          <w:p w:rsidR="006E2282" w:rsidRPr="00421632" w:rsidRDefault="006E2282" w:rsidP="00421632">
            <w:pPr>
              <w:rPr>
                <w:rFonts w:eastAsia="Calibri"/>
                <w:sz w:val="22"/>
                <w:szCs w:val="22"/>
              </w:rPr>
            </w:pPr>
            <w:r w:rsidRPr="00421632">
              <w:rPr>
                <w:rFonts w:eastAsia="Calibri"/>
                <w:sz w:val="22"/>
                <w:szCs w:val="22"/>
              </w:rPr>
              <w:t>13</w:t>
            </w:r>
          </w:p>
        </w:tc>
        <w:tc>
          <w:tcPr>
            <w:tcW w:w="5085" w:type="dxa"/>
            <w:shd w:val="clear" w:color="auto" w:fill="auto"/>
          </w:tcPr>
          <w:p w:rsidR="006E2282" w:rsidRPr="00421632" w:rsidRDefault="006E2282" w:rsidP="00421632">
            <w:pPr>
              <w:rPr>
                <w:rFonts w:eastAsia="Calibri"/>
                <w:sz w:val="22"/>
                <w:szCs w:val="22"/>
              </w:rPr>
            </w:pPr>
            <w:r w:rsidRPr="00421632">
              <w:rPr>
                <w:rFonts w:eastAsia="Calibri"/>
                <w:sz w:val="22"/>
                <w:szCs w:val="22"/>
              </w:rPr>
              <w:t xml:space="preserve">Fee for application under section 7 of the </w:t>
            </w:r>
            <w:r w:rsidRPr="00421632">
              <w:rPr>
                <w:rFonts w:eastAsia="Calibri"/>
                <w:i/>
                <w:iCs/>
                <w:sz w:val="22"/>
                <w:szCs w:val="22"/>
              </w:rPr>
              <w:t>Lotteries Act 1964</w:t>
            </w:r>
            <w:r w:rsidRPr="00421632">
              <w:rPr>
                <w:rFonts w:eastAsia="Calibri"/>
                <w:sz w:val="22"/>
                <w:szCs w:val="22"/>
              </w:rPr>
              <w:t xml:space="preserve"> for approval to conduct a trade promotion lottery with a total prize value of &gt;$200,000</w:t>
            </w:r>
          </w:p>
        </w:tc>
        <w:tc>
          <w:tcPr>
            <w:tcW w:w="1418" w:type="dxa"/>
            <w:shd w:val="clear" w:color="auto" w:fill="auto"/>
          </w:tcPr>
          <w:p w:rsidR="006E2282" w:rsidRPr="00421632" w:rsidRDefault="006E2282" w:rsidP="00421632">
            <w:pPr>
              <w:rPr>
                <w:rFonts w:eastAsia="Calibri"/>
                <w:sz w:val="22"/>
                <w:szCs w:val="22"/>
              </w:rPr>
            </w:pPr>
            <w:r w:rsidRPr="00421632">
              <w:rPr>
                <w:rFonts w:eastAsia="Calibri"/>
                <w:sz w:val="22"/>
                <w:szCs w:val="22"/>
              </w:rPr>
              <w:t>$3,456.00</w:t>
            </w:r>
          </w:p>
        </w:tc>
        <w:tc>
          <w:tcPr>
            <w:tcW w:w="1531" w:type="dxa"/>
            <w:shd w:val="clear" w:color="auto" w:fill="auto"/>
          </w:tcPr>
          <w:p w:rsidR="006E2282" w:rsidRPr="00421632" w:rsidRDefault="006E2282" w:rsidP="00421632">
            <w:pPr>
              <w:rPr>
                <w:rFonts w:eastAsia="Calibri"/>
                <w:sz w:val="22"/>
                <w:szCs w:val="22"/>
              </w:rPr>
            </w:pPr>
            <w:r w:rsidRPr="00421632">
              <w:rPr>
                <w:rFonts w:eastAsia="Calibri"/>
                <w:sz w:val="22"/>
                <w:szCs w:val="22"/>
              </w:rPr>
              <w:t>$3,525.00</w:t>
            </w:r>
          </w:p>
        </w:tc>
      </w:tr>
      <w:tr w:rsidR="006E2282" w:rsidRPr="00421632" w:rsidTr="00421632">
        <w:tc>
          <w:tcPr>
            <w:tcW w:w="1253" w:type="dxa"/>
            <w:shd w:val="clear" w:color="auto" w:fill="auto"/>
          </w:tcPr>
          <w:p w:rsidR="006E2282" w:rsidRPr="00421632" w:rsidRDefault="006E2282" w:rsidP="00421632">
            <w:pPr>
              <w:rPr>
                <w:rFonts w:eastAsia="Calibri"/>
                <w:sz w:val="22"/>
                <w:szCs w:val="22"/>
              </w:rPr>
            </w:pPr>
            <w:r w:rsidRPr="00421632">
              <w:rPr>
                <w:rFonts w:eastAsia="Calibri"/>
                <w:sz w:val="22"/>
                <w:szCs w:val="22"/>
              </w:rPr>
              <w:t>14</w:t>
            </w:r>
          </w:p>
        </w:tc>
        <w:tc>
          <w:tcPr>
            <w:tcW w:w="5085" w:type="dxa"/>
            <w:shd w:val="clear" w:color="auto" w:fill="auto"/>
          </w:tcPr>
          <w:p w:rsidR="006E2282" w:rsidRPr="00421632" w:rsidRDefault="006E2282" w:rsidP="00421632">
            <w:pPr>
              <w:rPr>
                <w:rFonts w:eastAsia="Calibri"/>
                <w:sz w:val="22"/>
                <w:szCs w:val="22"/>
              </w:rPr>
            </w:pPr>
            <w:r w:rsidRPr="00421632">
              <w:rPr>
                <w:rFonts w:eastAsia="Calibri"/>
                <w:sz w:val="22"/>
                <w:szCs w:val="22"/>
              </w:rPr>
              <w:t xml:space="preserve">Fee for application for variation of approval under section 7A of the </w:t>
            </w:r>
            <w:r w:rsidRPr="00421632">
              <w:rPr>
                <w:rFonts w:eastAsia="Calibri"/>
                <w:i/>
                <w:iCs/>
                <w:sz w:val="22"/>
                <w:szCs w:val="22"/>
              </w:rPr>
              <w:t>Lotteries Act 1964</w:t>
            </w:r>
            <w:r w:rsidRPr="00421632">
              <w:rPr>
                <w:rFonts w:eastAsia="Calibri"/>
                <w:sz w:val="22"/>
                <w:szCs w:val="22"/>
              </w:rPr>
              <w:t xml:space="preserve"> to conduct a non-trade promotion lottery</w:t>
            </w:r>
          </w:p>
        </w:tc>
        <w:tc>
          <w:tcPr>
            <w:tcW w:w="1418" w:type="dxa"/>
            <w:shd w:val="clear" w:color="auto" w:fill="auto"/>
          </w:tcPr>
          <w:p w:rsidR="006E2282" w:rsidRPr="00421632" w:rsidRDefault="006E2282" w:rsidP="00421632">
            <w:pPr>
              <w:rPr>
                <w:rFonts w:eastAsia="Calibri"/>
                <w:sz w:val="22"/>
                <w:szCs w:val="22"/>
              </w:rPr>
            </w:pPr>
            <w:r w:rsidRPr="00421632">
              <w:rPr>
                <w:rFonts w:eastAsia="Calibri"/>
                <w:sz w:val="22"/>
                <w:szCs w:val="22"/>
              </w:rPr>
              <w:t>$64.00</w:t>
            </w:r>
          </w:p>
        </w:tc>
        <w:tc>
          <w:tcPr>
            <w:tcW w:w="1531" w:type="dxa"/>
            <w:shd w:val="clear" w:color="auto" w:fill="auto"/>
          </w:tcPr>
          <w:p w:rsidR="006E2282" w:rsidRPr="00421632" w:rsidRDefault="006E2282" w:rsidP="00421632">
            <w:pPr>
              <w:rPr>
                <w:rFonts w:eastAsia="Calibri"/>
                <w:sz w:val="22"/>
                <w:szCs w:val="22"/>
              </w:rPr>
            </w:pPr>
            <w:r w:rsidRPr="00421632">
              <w:rPr>
                <w:rFonts w:eastAsia="Calibri"/>
                <w:sz w:val="22"/>
                <w:szCs w:val="22"/>
              </w:rPr>
              <w:t>$65.00</w:t>
            </w:r>
          </w:p>
        </w:tc>
      </w:tr>
      <w:tr w:rsidR="006E2282" w:rsidRPr="00421632" w:rsidTr="00421632">
        <w:tc>
          <w:tcPr>
            <w:tcW w:w="1253" w:type="dxa"/>
            <w:shd w:val="clear" w:color="auto" w:fill="auto"/>
          </w:tcPr>
          <w:p w:rsidR="006E2282" w:rsidRPr="00421632" w:rsidRDefault="006E2282" w:rsidP="00421632">
            <w:pPr>
              <w:rPr>
                <w:rFonts w:eastAsia="Calibri"/>
                <w:sz w:val="22"/>
                <w:szCs w:val="22"/>
              </w:rPr>
            </w:pPr>
            <w:r w:rsidRPr="00421632">
              <w:rPr>
                <w:rFonts w:eastAsia="Calibri"/>
                <w:sz w:val="22"/>
                <w:szCs w:val="22"/>
              </w:rPr>
              <w:t>15</w:t>
            </w:r>
          </w:p>
        </w:tc>
        <w:tc>
          <w:tcPr>
            <w:tcW w:w="5085" w:type="dxa"/>
            <w:shd w:val="clear" w:color="auto" w:fill="auto"/>
          </w:tcPr>
          <w:p w:rsidR="006E2282" w:rsidRPr="00421632" w:rsidRDefault="006E2282" w:rsidP="00421632">
            <w:pPr>
              <w:rPr>
                <w:rFonts w:eastAsia="Calibri"/>
                <w:sz w:val="22"/>
                <w:szCs w:val="22"/>
              </w:rPr>
            </w:pPr>
            <w:r w:rsidRPr="00421632">
              <w:rPr>
                <w:rFonts w:eastAsia="Calibri"/>
                <w:sz w:val="22"/>
                <w:szCs w:val="22"/>
              </w:rPr>
              <w:t xml:space="preserve">Fee for application for variation of approval under section 7A of the </w:t>
            </w:r>
            <w:r w:rsidRPr="00421632">
              <w:rPr>
                <w:rFonts w:eastAsia="Calibri"/>
                <w:i/>
                <w:iCs/>
                <w:sz w:val="22"/>
                <w:szCs w:val="22"/>
              </w:rPr>
              <w:t>Lotteries Act 1964</w:t>
            </w:r>
            <w:r w:rsidRPr="00421632">
              <w:rPr>
                <w:rFonts w:eastAsia="Calibri"/>
                <w:sz w:val="22"/>
                <w:szCs w:val="22"/>
              </w:rPr>
              <w:t xml:space="preserve"> to conduct a trade promotion lottery with a total prize value of ≤$5,000</w:t>
            </w:r>
          </w:p>
        </w:tc>
        <w:tc>
          <w:tcPr>
            <w:tcW w:w="1418" w:type="dxa"/>
            <w:shd w:val="clear" w:color="auto" w:fill="auto"/>
          </w:tcPr>
          <w:p w:rsidR="006E2282" w:rsidRPr="00421632" w:rsidRDefault="006E2282" w:rsidP="00421632">
            <w:pPr>
              <w:rPr>
                <w:rFonts w:eastAsia="Calibri"/>
                <w:sz w:val="22"/>
                <w:szCs w:val="22"/>
              </w:rPr>
            </w:pPr>
            <w:r w:rsidRPr="00421632">
              <w:rPr>
                <w:rFonts w:eastAsia="Calibri"/>
                <w:sz w:val="22"/>
                <w:szCs w:val="22"/>
              </w:rPr>
              <w:t>$64.00</w:t>
            </w:r>
          </w:p>
        </w:tc>
        <w:tc>
          <w:tcPr>
            <w:tcW w:w="1531" w:type="dxa"/>
            <w:shd w:val="clear" w:color="auto" w:fill="auto"/>
          </w:tcPr>
          <w:p w:rsidR="006E2282" w:rsidRPr="00421632" w:rsidRDefault="006E2282" w:rsidP="00421632">
            <w:pPr>
              <w:rPr>
                <w:rFonts w:eastAsia="Calibri"/>
                <w:sz w:val="22"/>
                <w:szCs w:val="22"/>
              </w:rPr>
            </w:pPr>
            <w:r w:rsidRPr="00421632">
              <w:rPr>
                <w:rFonts w:eastAsia="Calibri"/>
                <w:sz w:val="22"/>
                <w:szCs w:val="22"/>
              </w:rPr>
              <w:t>$65.00</w:t>
            </w:r>
          </w:p>
        </w:tc>
      </w:tr>
      <w:tr w:rsidR="006E2282" w:rsidRPr="00421632" w:rsidTr="00421632">
        <w:tc>
          <w:tcPr>
            <w:tcW w:w="1253" w:type="dxa"/>
            <w:shd w:val="clear" w:color="auto" w:fill="auto"/>
          </w:tcPr>
          <w:p w:rsidR="006E2282" w:rsidRPr="00421632" w:rsidRDefault="006E2282" w:rsidP="00421632">
            <w:pPr>
              <w:rPr>
                <w:rFonts w:eastAsia="Calibri"/>
                <w:sz w:val="22"/>
                <w:szCs w:val="22"/>
              </w:rPr>
            </w:pPr>
            <w:r w:rsidRPr="00421632">
              <w:rPr>
                <w:rFonts w:eastAsia="Calibri"/>
                <w:sz w:val="22"/>
                <w:szCs w:val="22"/>
              </w:rPr>
              <w:t>16</w:t>
            </w:r>
          </w:p>
        </w:tc>
        <w:tc>
          <w:tcPr>
            <w:tcW w:w="5085" w:type="dxa"/>
            <w:shd w:val="clear" w:color="auto" w:fill="auto"/>
          </w:tcPr>
          <w:p w:rsidR="006E2282" w:rsidRPr="00421632" w:rsidRDefault="006E2282" w:rsidP="00421632">
            <w:pPr>
              <w:rPr>
                <w:rFonts w:eastAsia="Calibri"/>
                <w:sz w:val="22"/>
                <w:szCs w:val="22"/>
              </w:rPr>
            </w:pPr>
            <w:r w:rsidRPr="00421632">
              <w:rPr>
                <w:rFonts w:eastAsia="Calibri"/>
                <w:sz w:val="22"/>
                <w:szCs w:val="22"/>
              </w:rPr>
              <w:t xml:space="preserve">Fee for application for variation of approval under section 7A of the </w:t>
            </w:r>
            <w:r w:rsidRPr="00421632">
              <w:rPr>
                <w:rFonts w:eastAsia="Calibri"/>
                <w:i/>
                <w:iCs/>
                <w:sz w:val="22"/>
                <w:szCs w:val="22"/>
              </w:rPr>
              <w:t>Lotteries Act 1964</w:t>
            </w:r>
            <w:r w:rsidRPr="00421632">
              <w:rPr>
                <w:rFonts w:eastAsia="Calibri"/>
                <w:sz w:val="22"/>
                <w:szCs w:val="22"/>
              </w:rPr>
              <w:t xml:space="preserve"> to conduct a trade promotion lottery with a total prize value of &gt;$5,000</w:t>
            </w:r>
          </w:p>
        </w:tc>
        <w:tc>
          <w:tcPr>
            <w:tcW w:w="1418" w:type="dxa"/>
            <w:shd w:val="clear" w:color="auto" w:fill="auto"/>
          </w:tcPr>
          <w:p w:rsidR="006E2282" w:rsidRPr="00421632" w:rsidRDefault="006E2282" w:rsidP="00421632">
            <w:pPr>
              <w:rPr>
                <w:rFonts w:eastAsia="Calibri"/>
                <w:sz w:val="22"/>
                <w:szCs w:val="22"/>
              </w:rPr>
            </w:pPr>
            <w:r w:rsidRPr="00421632">
              <w:rPr>
                <w:rFonts w:eastAsia="Calibri"/>
                <w:sz w:val="22"/>
                <w:szCs w:val="22"/>
              </w:rPr>
              <w:t>$122.00</w:t>
            </w:r>
          </w:p>
        </w:tc>
        <w:tc>
          <w:tcPr>
            <w:tcW w:w="1531" w:type="dxa"/>
            <w:shd w:val="clear" w:color="auto" w:fill="auto"/>
          </w:tcPr>
          <w:p w:rsidR="006E2282" w:rsidRPr="00421632" w:rsidRDefault="006E2282" w:rsidP="00421632">
            <w:pPr>
              <w:rPr>
                <w:rFonts w:eastAsia="Calibri"/>
                <w:sz w:val="22"/>
                <w:szCs w:val="22"/>
              </w:rPr>
            </w:pPr>
            <w:r w:rsidRPr="00421632">
              <w:rPr>
                <w:rFonts w:eastAsia="Calibri"/>
                <w:sz w:val="22"/>
                <w:szCs w:val="22"/>
              </w:rPr>
              <w:t>$124.00</w:t>
            </w:r>
          </w:p>
        </w:tc>
      </w:tr>
      <w:tr w:rsidR="00D52694" w:rsidRPr="00421632" w:rsidTr="00421632">
        <w:tc>
          <w:tcPr>
            <w:tcW w:w="1253" w:type="dxa"/>
            <w:shd w:val="clear" w:color="auto" w:fill="auto"/>
          </w:tcPr>
          <w:p w:rsidR="00D52694" w:rsidRPr="00421632" w:rsidRDefault="00D52694" w:rsidP="00D52694">
            <w:pPr>
              <w:rPr>
                <w:rFonts w:eastAsia="Calibri"/>
                <w:sz w:val="22"/>
                <w:szCs w:val="22"/>
              </w:rPr>
            </w:pPr>
            <w:r w:rsidRPr="00421632">
              <w:rPr>
                <w:rFonts w:eastAsia="Calibri"/>
                <w:sz w:val="22"/>
                <w:szCs w:val="22"/>
              </w:rPr>
              <w:t>17</w:t>
            </w:r>
          </w:p>
        </w:tc>
        <w:tc>
          <w:tcPr>
            <w:tcW w:w="5085" w:type="dxa"/>
            <w:shd w:val="clear" w:color="auto" w:fill="auto"/>
          </w:tcPr>
          <w:p w:rsidR="00D52694" w:rsidRPr="00421632" w:rsidRDefault="00D52694" w:rsidP="00D52694">
            <w:pPr>
              <w:rPr>
                <w:rFonts w:eastAsia="Calibri"/>
                <w:sz w:val="22"/>
                <w:szCs w:val="22"/>
              </w:rPr>
            </w:pPr>
            <w:r w:rsidRPr="00421632">
              <w:rPr>
                <w:rFonts w:eastAsia="Calibri"/>
                <w:sz w:val="22"/>
                <w:szCs w:val="22"/>
              </w:rPr>
              <w:t xml:space="preserve">Fee for the </w:t>
            </w:r>
            <w:r w:rsidR="00827997" w:rsidRPr="00421632">
              <w:rPr>
                <w:rFonts w:eastAsia="Calibri"/>
                <w:sz w:val="22"/>
                <w:szCs w:val="22"/>
              </w:rPr>
              <w:t>w</w:t>
            </w:r>
            <w:r w:rsidRPr="00421632">
              <w:rPr>
                <w:rFonts w:eastAsia="Calibri"/>
                <w:sz w:val="22"/>
                <w:szCs w:val="22"/>
              </w:rPr>
              <w:t xml:space="preserve">ithdrawal of application for approval under section 7A of the </w:t>
            </w:r>
            <w:r w:rsidRPr="00421632">
              <w:rPr>
                <w:rFonts w:eastAsia="Calibri"/>
                <w:i/>
                <w:iCs/>
                <w:sz w:val="22"/>
                <w:szCs w:val="22"/>
              </w:rPr>
              <w:t>Lotteries Act 1964</w:t>
            </w:r>
            <w:r w:rsidRPr="00421632">
              <w:rPr>
                <w:rFonts w:eastAsia="Calibri"/>
                <w:sz w:val="22"/>
                <w:szCs w:val="22"/>
              </w:rPr>
              <w:t xml:space="preserve"> prior to commencement of assessment</w:t>
            </w:r>
          </w:p>
        </w:tc>
        <w:tc>
          <w:tcPr>
            <w:tcW w:w="1418" w:type="dxa"/>
            <w:shd w:val="clear" w:color="auto" w:fill="auto"/>
          </w:tcPr>
          <w:p w:rsidR="00D52694" w:rsidRPr="00421632" w:rsidRDefault="00D52694" w:rsidP="00D52694">
            <w:pPr>
              <w:rPr>
                <w:rFonts w:eastAsia="Calibri"/>
                <w:sz w:val="22"/>
                <w:szCs w:val="22"/>
              </w:rPr>
            </w:pPr>
            <w:r w:rsidRPr="00421632">
              <w:rPr>
                <w:rFonts w:eastAsia="Calibri"/>
                <w:sz w:val="22"/>
                <w:szCs w:val="22"/>
              </w:rPr>
              <w:t>$64.00</w:t>
            </w:r>
          </w:p>
        </w:tc>
        <w:tc>
          <w:tcPr>
            <w:tcW w:w="1531" w:type="dxa"/>
            <w:shd w:val="clear" w:color="auto" w:fill="auto"/>
          </w:tcPr>
          <w:p w:rsidR="00D52694" w:rsidRPr="00421632" w:rsidRDefault="00D52694" w:rsidP="00D52694">
            <w:pPr>
              <w:rPr>
                <w:rFonts w:eastAsia="Calibri"/>
                <w:sz w:val="22"/>
                <w:szCs w:val="22"/>
              </w:rPr>
            </w:pPr>
            <w:r w:rsidRPr="00421632">
              <w:rPr>
                <w:rFonts w:eastAsia="Calibri"/>
                <w:sz w:val="22"/>
                <w:szCs w:val="22"/>
              </w:rPr>
              <w:t>$65.00</w:t>
            </w:r>
          </w:p>
        </w:tc>
      </w:tr>
    </w:tbl>
    <w:p w:rsidR="006E2282" w:rsidRDefault="006E2282">
      <w:pPr>
        <w:pStyle w:val="01Contents"/>
        <w:tabs>
          <w:tab w:val="clear" w:pos="2880"/>
        </w:tabs>
        <w:rPr>
          <w:rFonts w:ascii="Times New Roman" w:hAnsi="Times New Roman"/>
        </w:rPr>
      </w:pPr>
    </w:p>
    <w:sectPr w:rsidR="006E2282">
      <w:headerReference w:type="first" r:id="rId13"/>
      <w:pgSz w:w="11907" w:h="16839" w:code="9"/>
      <w:pgMar w:top="851" w:right="1418" w:bottom="0" w:left="1418" w:header="1134" w:footer="83" w:gutter="0"/>
      <w:paperSrc w:first="2" w:other="2"/>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F98" w:rsidRDefault="007D6F98">
      <w:r>
        <w:separator/>
      </w:r>
    </w:p>
  </w:endnote>
  <w:endnote w:type="continuationSeparator" w:id="0">
    <w:p w:rsidR="007D6F98" w:rsidRDefault="007D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60" w:rsidRDefault="00D21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60" w:rsidRPr="00D21160" w:rsidRDefault="00D21160" w:rsidP="00D21160">
    <w:pPr>
      <w:pStyle w:val="Footer"/>
      <w:jc w:val="center"/>
      <w:rPr>
        <w:sz w:val="14"/>
      </w:rPr>
    </w:pPr>
    <w:r w:rsidRPr="00D21160">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6D3" w:rsidRDefault="007726D3">
    <w:pPr>
      <w:pStyle w:val="Status"/>
      <w:rPr>
        <w:sz w:val="16"/>
        <w:szCs w:val="16"/>
      </w:rPr>
    </w:pPr>
  </w:p>
  <w:p w:rsidR="007726D3" w:rsidRPr="00D21160" w:rsidRDefault="00D21160" w:rsidP="00D21160">
    <w:pPr>
      <w:pStyle w:val="Footer"/>
      <w:jc w:val="center"/>
      <w:rPr>
        <w:sz w:val="14"/>
      </w:rPr>
    </w:pPr>
    <w:r w:rsidRPr="00D21160">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F98" w:rsidRDefault="007D6F98">
      <w:r>
        <w:separator/>
      </w:r>
    </w:p>
  </w:footnote>
  <w:footnote w:type="continuationSeparator" w:id="0">
    <w:p w:rsidR="007D6F98" w:rsidRDefault="007D6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60" w:rsidRDefault="00D21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0F7" w:rsidRDefault="007726D3">
    <w:pPr>
      <w:pStyle w:val="Heading5"/>
      <w:tabs>
        <w:tab w:val="left" w:pos="6237"/>
      </w:tabs>
      <w:ind w:right="-427"/>
      <w:jc w:val="center"/>
      <w:rPr>
        <w:sz w:val="22"/>
        <w:szCs w:val="22"/>
      </w:rPr>
    </w:pPr>
    <w:r w:rsidRPr="007726D3">
      <w:rPr>
        <w:sz w:val="22"/>
        <w:szCs w:val="22"/>
      </w:rPr>
      <w:t xml:space="preserve">This is page </w:t>
    </w:r>
    <w:r w:rsidRPr="007726D3">
      <w:rPr>
        <w:rStyle w:val="PageNumber"/>
        <w:sz w:val="22"/>
        <w:szCs w:val="22"/>
      </w:rPr>
      <w:fldChar w:fldCharType="begin"/>
    </w:r>
    <w:r w:rsidRPr="007726D3">
      <w:rPr>
        <w:rStyle w:val="PageNumber"/>
        <w:sz w:val="22"/>
        <w:szCs w:val="22"/>
      </w:rPr>
      <w:instrText xml:space="preserve"> PAGE </w:instrText>
    </w:r>
    <w:r w:rsidRPr="007726D3">
      <w:rPr>
        <w:rStyle w:val="PageNumber"/>
        <w:sz w:val="22"/>
        <w:szCs w:val="22"/>
      </w:rPr>
      <w:fldChar w:fldCharType="separate"/>
    </w:r>
    <w:r w:rsidR="006015FF">
      <w:rPr>
        <w:rStyle w:val="PageNumber"/>
        <w:noProof/>
        <w:sz w:val="22"/>
        <w:szCs w:val="22"/>
      </w:rPr>
      <w:t>2</w:t>
    </w:r>
    <w:r w:rsidRPr="007726D3">
      <w:rPr>
        <w:rStyle w:val="PageNumber"/>
        <w:sz w:val="22"/>
        <w:szCs w:val="22"/>
      </w:rPr>
      <w:fldChar w:fldCharType="end"/>
    </w:r>
    <w:r w:rsidRPr="007726D3">
      <w:rPr>
        <w:rStyle w:val="PageNumber"/>
        <w:sz w:val="22"/>
        <w:szCs w:val="22"/>
      </w:rPr>
      <w:t xml:space="preserve"> of 2 pages of the </w:t>
    </w:r>
    <w:r w:rsidRPr="007726D3">
      <w:rPr>
        <w:sz w:val="22"/>
        <w:szCs w:val="22"/>
      </w:rPr>
      <w:t>Attachment to t</w:t>
    </w:r>
    <w:r w:rsidR="00CC10F7">
      <w:rPr>
        <w:sz w:val="22"/>
        <w:szCs w:val="22"/>
      </w:rPr>
      <w:t>he Explanatory Statement to the</w:t>
    </w:r>
  </w:p>
  <w:p w:rsidR="007726D3" w:rsidRPr="00B73D20" w:rsidRDefault="007726D3" w:rsidP="00B73D20">
    <w:pPr>
      <w:pStyle w:val="Heading5"/>
      <w:tabs>
        <w:tab w:val="left" w:pos="6237"/>
      </w:tabs>
      <w:ind w:right="-427"/>
      <w:jc w:val="center"/>
      <w:rPr>
        <w:i/>
        <w:iCs/>
        <w:sz w:val="22"/>
        <w:szCs w:val="22"/>
      </w:rPr>
    </w:pPr>
    <w:r w:rsidRPr="007726D3">
      <w:rPr>
        <w:i/>
        <w:iCs/>
        <w:sz w:val="22"/>
        <w:szCs w:val="22"/>
      </w:rPr>
      <w:t>Lotteries (Fees) Determination 20</w:t>
    </w:r>
    <w:r w:rsidR="00EF7CDD">
      <w:rPr>
        <w:i/>
        <w:iCs/>
        <w:sz w:val="22"/>
        <w:szCs w:val="22"/>
      </w:rPr>
      <w:t>20</w:t>
    </w:r>
    <w:r w:rsidRPr="007726D3">
      <w:rPr>
        <w:i/>
        <w:iCs/>
        <w:sz w:val="22"/>
        <w:szCs w:val="22"/>
      </w:rPr>
      <w:t xml:space="preserve"> (No </w:t>
    </w:r>
    <w:r w:rsidR="006E2282">
      <w:rPr>
        <w:i/>
        <w:iCs/>
        <w:sz w:val="22"/>
        <w:szCs w:val="22"/>
      </w:rPr>
      <w:t>2</w:t>
    </w:r>
    <w:r w:rsidRPr="007726D3">
      <w:rPr>
        <w:i/>
        <w:iCs/>
        <w:sz w:val="22"/>
        <w:szCs w:val="22"/>
      </w:rPr>
      <w:t>)</w:t>
    </w:r>
  </w:p>
  <w:p w:rsidR="007726D3" w:rsidRPr="007726D3" w:rsidRDefault="007726D3" w:rsidP="007726D3">
    <w:pPr>
      <w:pStyle w:val="Header"/>
      <w:rPr>
        <w:rFonts w:ascii="Times New Roman" w:hAnsi="Times New Roman" w:cs="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60" w:rsidRDefault="00D211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0F7" w:rsidRDefault="007726D3">
    <w:pPr>
      <w:pStyle w:val="Heading5"/>
      <w:tabs>
        <w:tab w:val="left" w:pos="6237"/>
      </w:tabs>
      <w:ind w:right="-427"/>
      <w:jc w:val="center"/>
      <w:rPr>
        <w:sz w:val="22"/>
        <w:szCs w:val="22"/>
      </w:rPr>
    </w:pPr>
    <w:r w:rsidRPr="007726D3">
      <w:rPr>
        <w:sz w:val="22"/>
        <w:szCs w:val="22"/>
      </w:rPr>
      <w:t xml:space="preserve">This is page </w:t>
    </w:r>
    <w:r w:rsidRPr="007726D3">
      <w:rPr>
        <w:rStyle w:val="PageNumber"/>
        <w:sz w:val="22"/>
        <w:szCs w:val="22"/>
      </w:rPr>
      <w:fldChar w:fldCharType="begin"/>
    </w:r>
    <w:r w:rsidRPr="007726D3">
      <w:rPr>
        <w:rStyle w:val="PageNumber"/>
        <w:sz w:val="22"/>
        <w:szCs w:val="22"/>
      </w:rPr>
      <w:instrText xml:space="preserve"> PAGE </w:instrText>
    </w:r>
    <w:r w:rsidRPr="007726D3">
      <w:rPr>
        <w:rStyle w:val="PageNumber"/>
        <w:sz w:val="22"/>
        <w:szCs w:val="22"/>
      </w:rPr>
      <w:fldChar w:fldCharType="separate"/>
    </w:r>
    <w:r w:rsidR="006015FF">
      <w:rPr>
        <w:rStyle w:val="PageNumber"/>
        <w:noProof/>
        <w:sz w:val="22"/>
        <w:szCs w:val="22"/>
      </w:rPr>
      <w:t>1</w:t>
    </w:r>
    <w:r w:rsidRPr="007726D3">
      <w:rPr>
        <w:rStyle w:val="PageNumber"/>
        <w:sz w:val="22"/>
        <w:szCs w:val="22"/>
      </w:rPr>
      <w:fldChar w:fldCharType="end"/>
    </w:r>
    <w:r w:rsidRPr="007726D3">
      <w:rPr>
        <w:rStyle w:val="PageNumber"/>
        <w:sz w:val="22"/>
        <w:szCs w:val="22"/>
      </w:rPr>
      <w:t xml:space="preserve"> of 2 pages of the </w:t>
    </w:r>
    <w:r w:rsidRPr="007726D3">
      <w:rPr>
        <w:sz w:val="22"/>
        <w:szCs w:val="22"/>
      </w:rPr>
      <w:t>Attachment to t</w:t>
    </w:r>
    <w:r w:rsidR="00CC10F7">
      <w:rPr>
        <w:sz w:val="22"/>
        <w:szCs w:val="22"/>
      </w:rPr>
      <w:t>he Explanatory Statement to the</w:t>
    </w:r>
  </w:p>
  <w:p w:rsidR="007726D3" w:rsidRPr="007726D3" w:rsidRDefault="007726D3" w:rsidP="00B73D20">
    <w:pPr>
      <w:pStyle w:val="Heading5"/>
      <w:tabs>
        <w:tab w:val="left" w:pos="6237"/>
      </w:tabs>
      <w:ind w:right="-427"/>
      <w:jc w:val="center"/>
      <w:rPr>
        <w:i/>
        <w:iCs/>
        <w:sz w:val="22"/>
        <w:szCs w:val="22"/>
      </w:rPr>
    </w:pPr>
    <w:r w:rsidRPr="007726D3">
      <w:rPr>
        <w:i/>
        <w:iCs/>
        <w:sz w:val="22"/>
        <w:szCs w:val="22"/>
      </w:rPr>
      <w:t>Lotteries (Fees) Determination 20</w:t>
    </w:r>
    <w:r w:rsidR="00EF7CDD">
      <w:rPr>
        <w:i/>
        <w:iCs/>
        <w:sz w:val="22"/>
        <w:szCs w:val="22"/>
      </w:rPr>
      <w:t>20</w:t>
    </w:r>
    <w:r w:rsidRPr="007726D3">
      <w:rPr>
        <w:i/>
        <w:iCs/>
        <w:sz w:val="22"/>
        <w:szCs w:val="22"/>
      </w:rPr>
      <w:t xml:space="preserve"> (No </w:t>
    </w:r>
    <w:r w:rsidR="006E2282">
      <w:rPr>
        <w:i/>
        <w:iCs/>
        <w:sz w:val="22"/>
        <w:szCs w:val="22"/>
      </w:rPr>
      <w:t>2</w:t>
    </w:r>
    <w:r w:rsidRPr="007726D3">
      <w:rPr>
        <w:i/>
        <w:iCs/>
        <w:sz w:val="22"/>
        <w:szCs w:val="22"/>
      </w:rPr>
      <w:t>)</w:t>
    </w:r>
  </w:p>
  <w:p w:rsidR="007726D3" w:rsidRPr="007726D3" w:rsidRDefault="007726D3" w:rsidP="007726D3">
    <w:pPr>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61651"/>
    <w:multiLevelType w:val="hybridMultilevel"/>
    <w:tmpl w:val="FB06D794"/>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2C58F6"/>
    <w:multiLevelType w:val="hybridMultilevel"/>
    <w:tmpl w:val="52C47A16"/>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AC0340"/>
    <w:multiLevelType w:val="hybridMultilevel"/>
    <w:tmpl w:val="68DA077C"/>
    <w:lvl w:ilvl="0" w:tplc="DCBCD83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7B14BD"/>
    <w:multiLevelType w:val="hybridMultilevel"/>
    <w:tmpl w:val="B0346684"/>
    <w:lvl w:ilvl="0" w:tplc="DCBCD836">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1C8725D"/>
    <w:multiLevelType w:val="hybridMultilevel"/>
    <w:tmpl w:val="D0EC66FA"/>
    <w:lvl w:ilvl="0" w:tplc="B3D449D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141619"/>
    <w:multiLevelType w:val="hybridMultilevel"/>
    <w:tmpl w:val="5D6A379E"/>
    <w:lvl w:ilvl="0" w:tplc="18DAA814">
      <w:start w:val="2"/>
      <w:numFmt w:val="lowerLetter"/>
      <w:lvlText w:val="(%1)"/>
      <w:lvlJc w:val="left"/>
      <w:pPr>
        <w:tabs>
          <w:tab w:val="num" w:pos="0"/>
        </w:tabs>
        <w:ind w:left="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D165E21"/>
    <w:multiLevelType w:val="hybridMultilevel"/>
    <w:tmpl w:val="C6D45D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9D7FF6"/>
    <w:multiLevelType w:val="hybridMultilevel"/>
    <w:tmpl w:val="C8169E42"/>
    <w:lvl w:ilvl="0" w:tplc="B3D449D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226FE8"/>
    <w:multiLevelType w:val="hybridMultilevel"/>
    <w:tmpl w:val="ABF6818A"/>
    <w:lvl w:ilvl="0" w:tplc="4164072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766878"/>
    <w:multiLevelType w:val="singleLevel"/>
    <w:tmpl w:val="10303C92"/>
    <w:lvl w:ilvl="0">
      <w:start w:val="1"/>
      <w:numFmt w:val="lowerRoman"/>
      <w:lvlText w:val="%1."/>
      <w:legacy w:legacy="1" w:legacySpace="120" w:legacyIndent="360"/>
      <w:lvlJc w:val="left"/>
      <w:pPr>
        <w:ind w:left="720" w:hanging="360"/>
      </w:pPr>
    </w:lvl>
  </w:abstractNum>
  <w:abstractNum w:abstractNumId="10" w15:restartNumberingAfterBreak="0">
    <w:nsid w:val="73A25D97"/>
    <w:multiLevelType w:val="hybridMultilevel"/>
    <w:tmpl w:val="491ABB68"/>
    <w:lvl w:ilvl="0" w:tplc="DCBCD83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10"/>
  </w:num>
  <w:num w:numId="4">
    <w:abstractNumId w:val="3"/>
  </w:num>
  <w:num w:numId="5">
    <w:abstractNumId w:val="2"/>
  </w:num>
  <w:num w:numId="6">
    <w:abstractNumId w:val="1"/>
  </w:num>
  <w:num w:numId="7">
    <w:abstractNumId w:val="5"/>
  </w:num>
  <w:num w:numId="8">
    <w:abstractNumId w:val="4"/>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770C"/>
    <w:rsid w:val="000031B5"/>
    <w:rsid w:val="00020046"/>
    <w:rsid w:val="00036EC3"/>
    <w:rsid w:val="00073A9F"/>
    <w:rsid w:val="000934B6"/>
    <w:rsid w:val="000E650A"/>
    <w:rsid w:val="000F1029"/>
    <w:rsid w:val="00113551"/>
    <w:rsid w:val="00186390"/>
    <w:rsid w:val="001B23FA"/>
    <w:rsid w:val="001D770C"/>
    <w:rsid w:val="001E02B7"/>
    <w:rsid w:val="001E5463"/>
    <w:rsid w:val="00276BF7"/>
    <w:rsid w:val="00287E9D"/>
    <w:rsid w:val="00295098"/>
    <w:rsid w:val="002B47D9"/>
    <w:rsid w:val="002B615A"/>
    <w:rsid w:val="002D4A8C"/>
    <w:rsid w:val="002E5C13"/>
    <w:rsid w:val="00325E35"/>
    <w:rsid w:val="00327A9D"/>
    <w:rsid w:val="00330B57"/>
    <w:rsid w:val="0033287E"/>
    <w:rsid w:val="00340396"/>
    <w:rsid w:val="003D1EC5"/>
    <w:rsid w:val="003E4263"/>
    <w:rsid w:val="004171C1"/>
    <w:rsid w:val="00421632"/>
    <w:rsid w:val="00480786"/>
    <w:rsid w:val="004858D9"/>
    <w:rsid w:val="004A575E"/>
    <w:rsid w:val="004F249F"/>
    <w:rsid w:val="005A2E7F"/>
    <w:rsid w:val="005A317A"/>
    <w:rsid w:val="005A5DE3"/>
    <w:rsid w:val="005D21B5"/>
    <w:rsid w:val="005E199C"/>
    <w:rsid w:val="006015FF"/>
    <w:rsid w:val="0066509C"/>
    <w:rsid w:val="00684E6D"/>
    <w:rsid w:val="006D3395"/>
    <w:rsid w:val="006E2282"/>
    <w:rsid w:val="0071356D"/>
    <w:rsid w:val="007251F0"/>
    <w:rsid w:val="007555BF"/>
    <w:rsid w:val="00757D58"/>
    <w:rsid w:val="007705CC"/>
    <w:rsid w:val="007726D3"/>
    <w:rsid w:val="00795F07"/>
    <w:rsid w:val="007A6042"/>
    <w:rsid w:val="007D6F98"/>
    <w:rsid w:val="00804189"/>
    <w:rsid w:val="00827997"/>
    <w:rsid w:val="00876F23"/>
    <w:rsid w:val="00913557"/>
    <w:rsid w:val="009261DF"/>
    <w:rsid w:val="009571FE"/>
    <w:rsid w:val="009C6EEC"/>
    <w:rsid w:val="009E6FF4"/>
    <w:rsid w:val="00A15E0C"/>
    <w:rsid w:val="00A42066"/>
    <w:rsid w:val="00A540E1"/>
    <w:rsid w:val="00AE4C08"/>
    <w:rsid w:val="00AF5FC7"/>
    <w:rsid w:val="00B00715"/>
    <w:rsid w:val="00B11A9D"/>
    <w:rsid w:val="00B53682"/>
    <w:rsid w:val="00B73D20"/>
    <w:rsid w:val="00BE1B4A"/>
    <w:rsid w:val="00BE2F95"/>
    <w:rsid w:val="00BF6E54"/>
    <w:rsid w:val="00C042F3"/>
    <w:rsid w:val="00C1634E"/>
    <w:rsid w:val="00C7779A"/>
    <w:rsid w:val="00CB51D7"/>
    <w:rsid w:val="00CC10F7"/>
    <w:rsid w:val="00CE19DF"/>
    <w:rsid w:val="00CE2E4E"/>
    <w:rsid w:val="00D20226"/>
    <w:rsid w:val="00D21160"/>
    <w:rsid w:val="00D2399B"/>
    <w:rsid w:val="00D52694"/>
    <w:rsid w:val="00D5698E"/>
    <w:rsid w:val="00D7011B"/>
    <w:rsid w:val="00D84837"/>
    <w:rsid w:val="00DA1BD2"/>
    <w:rsid w:val="00DB06B3"/>
    <w:rsid w:val="00E31625"/>
    <w:rsid w:val="00E43AA0"/>
    <w:rsid w:val="00E57DF3"/>
    <w:rsid w:val="00E605EA"/>
    <w:rsid w:val="00E61CF8"/>
    <w:rsid w:val="00EF7CDD"/>
    <w:rsid w:val="00F27B7A"/>
    <w:rsid w:val="00F43AB3"/>
    <w:rsid w:val="00FB6DE3"/>
    <w:rsid w:val="00FC70AF"/>
    <w:rsid w:val="00FE3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43468F2-6658-4C83-80D2-456E7B8E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sz w:val="24"/>
      <w:szCs w:val="24"/>
      <w:lang w:eastAsia="en-US"/>
    </w:rPr>
  </w:style>
  <w:style w:type="paragraph" w:styleId="Heading1">
    <w:name w:val="heading 1"/>
    <w:basedOn w:val="Normal"/>
    <w:next w:val="Normal"/>
    <w:qFormat/>
    <w:pPr>
      <w:keepNext/>
      <w:outlineLvl w:val="0"/>
    </w:pPr>
    <w:rPr>
      <w:rFonts w:cs="Times New Roman"/>
      <w:b/>
      <w:bCs/>
    </w:rPr>
  </w:style>
  <w:style w:type="paragraph" w:styleId="Heading2">
    <w:name w:val="heading 2"/>
    <w:basedOn w:val="Normal"/>
    <w:next w:val="Normal"/>
    <w:qFormat/>
    <w:pPr>
      <w:keepNext/>
      <w:outlineLvl w:val="1"/>
    </w:pPr>
    <w:rPr>
      <w:rFonts w:ascii="Times New Roman" w:hAnsi="Times New Roman" w:cs="Times New Roman"/>
      <w:b/>
      <w:bCs/>
      <w:sz w:val="20"/>
    </w:rPr>
  </w:style>
  <w:style w:type="paragraph" w:styleId="Heading3">
    <w:name w:val="heading 3"/>
    <w:basedOn w:val="Normal"/>
    <w:next w:val="Normal"/>
    <w:qFormat/>
    <w:pPr>
      <w:keepNext/>
      <w:overflowPunct/>
      <w:autoSpaceDE/>
      <w:autoSpaceDN/>
      <w:adjustRightInd/>
      <w:textAlignment w:val="auto"/>
      <w:outlineLvl w:val="2"/>
    </w:pPr>
    <w:rPr>
      <w:b/>
      <w:bCs/>
      <w:sz w:val="28"/>
      <w:szCs w:val="28"/>
    </w:rPr>
  </w:style>
  <w:style w:type="paragraph" w:styleId="Heading4">
    <w:name w:val="heading 4"/>
    <w:basedOn w:val="Normal"/>
    <w:next w:val="Normal"/>
    <w:qFormat/>
    <w:pPr>
      <w:keepNext/>
      <w:jc w:val="center"/>
      <w:outlineLvl w:val="3"/>
    </w:pPr>
    <w:rPr>
      <w:rFonts w:ascii="Times New Roman" w:hAnsi="Times New Roman" w:cs="Times New Roman"/>
      <w:b/>
      <w:bCs/>
      <w:sz w:val="20"/>
    </w:rPr>
  </w:style>
  <w:style w:type="paragraph" w:styleId="Heading5">
    <w:name w:val="heading 5"/>
    <w:basedOn w:val="Normal"/>
    <w:next w:val="Normal"/>
    <w:qFormat/>
    <w:pPr>
      <w:keepNext/>
      <w:jc w:val="right"/>
      <w:outlineLvl w:val="4"/>
    </w:pPr>
    <w:rPr>
      <w:rFonts w:ascii="Times New Roman" w:hAnsi="Times New Roman" w:cs="Times New Roman"/>
      <w:b/>
      <w:bCs/>
    </w:rPr>
  </w:style>
  <w:style w:type="paragraph" w:styleId="Heading6">
    <w:name w:val="heading 6"/>
    <w:basedOn w:val="Normal"/>
    <w:next w:val="Normal"/>
    <w:qFormat/>
    <w:pPr>
      <w:keepNext/>
      <w:jc w:val="center"/>
      <w:outlineLvl w:val="5"/>
    </w:pPr>
    <w:rPr>
      <w:rFonts w:ascii="Times New Roman" w:hAnsi="Times New Roman" w:cs="Times New Roman"/>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01Contents">
    <w:name w:val="01Contents"/>
    <w:basedOn w:val="Normal"/>
    <w:pPr>
      <w:tabs>
        <w:tab w:val="left" w:pos="2880"/>
      </w:tabs>
    </w:pPr>
    <w:rPr>
      <w:rFonts w:cs="Times New Roman"/>
    </w:rPr>
  </w:style>
  <w:style w:type="paragraph" w:styleId="Footer">
    <w:name w:val="footer"/>
    <w:basedOn w:val="Normal"/>
    <w:pPr>
      <w:tabs>
        <w:tab w:val="left" w:pos="2880"/>
      </w:tabs>
      <w:spacing w:before="120" w:after="60" w:line="240" w:lineRule="exact"/>
    </w:pPr>
    <w:rPr>
      <w:sz w:val="18"/>
      <w:szCs w:val="18"/>
    </w:rPr>
  </w:style>
  <w:style w:type="paragraph" w:customStyle="1" w:styleId="Billname">
    <w:name w:val="Billname"/>
    <w:basedOn w:val="Normal"/>
    <w:pPr>
      <w:tabs>
        <w:tab w:val="left" w:pos="2400"/>
        <w:tab w:val="left" w:pos="2880"/>
      </w:tabs>
      <w:spacing w:before="1220" w:after="100"/>
    </w:pPr>
    <w:rPr>
      <w:b/>
      <w:bCs/>
      <w:sz w:val="40"/>
      <w:szCs w:val="40"/>
    </w:rPr>
  </w:style>
  <w:style w:type="paragraph" w:customStyle="1" w:styleId="N-line3">
    <w:name w:val="N-line3"/>
    <w:basedOn w:val="Normal"/>
    <w:next w:val="Normal"/>
    <w:pPr>
      <w:pBdr>
        <w:bottom w:val="single" w:sz="12" w:space="1" w:color="auto"/>
      </w:pBdr>
      <w:jc w:val="both"/>
    </w:pPr>
    <w:rPr>
      <w:rFonts w:cs="Times New Roman"/>
    </w:rPr>
  </w:style>
  <w:style w:type="paragraph" w:customStyle="1" w:styleId="madeunder">
    <w:name w:val="made under"/>
    <w:basedOn w:val="Normal"/>
    <w:pPr>
      <w:spacing w:before="180" w:after="60"/>
      <w:jc w:val="both"/>
    </w:pPr>
    <w:rPr>
      <w:rFonts w:cs="Times New Roman"/>
    </w:rPr>
  </w:style>
  <w:style w:type="paragraph" w:customStyle="1" w:styleId="CoverActName">
    <w:name w:val="CoverActName"/>
    <w:basedOn w:val="Normal"/>
    <w:pPr>
      <w:tabs>
        <w:tab w:val="left" w:pos="2600"/>
      </w:tabs>
      <w:spacing w:before="200" w:after="60"/>
      <w:jc w:val="both"/>
    </w:pPr>
    <w:rPr>
      <w:b/>
      <w:bCs/>
    </w:rPr>
  </w:style>
  <w:style w:type="paragraph" w:customStyle="1" w:styleId="Status">
    <w:name w:val="Status"/>
    <w:basedOn w:val="Normal"/>
    <w:pPr>
      <w:tabs>
        <w:tab w:val="left" w:pos="2880"/>
      </w:tabs>
      <w:spacing w:before="280"/>
      <w:jc w:val="center"/>
    </w:pPr>
    <w:rPr>
      <w:sz w:val="14"/>
      <w:szCs w:val="1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H4">
    <w:name w:val="H4"/>
    <w:basedOn w:val="Normal"/>
    <w:next w:val="Normal"/>
    <w:pPr>
      <w:keepNext/>
      <w:spacing w:before="100" w:after="100"/>
    </w:pPr>
    <w:rPr>
      <w:rFonts w:cs="Times New Roman"/>
      <w:b/>
      <w:bCs/>
    </w:rPr>
  </w:style>
  <w:style w:type="character" w:styleId="Strong">
    <w:name w:val="Strong"/>
    <w:qFormat/>
    <w:rPr>
      <w:b/>
      <w:bCs/>
    </w:rPr>
  </w:style>
  <w:style w:type="paragraph" w:styleId="BodyTextIndent">
    <w:name w:val="Body Text Indent"/>
    <w:basedOn w:val="Normal"/>
    <w:pPr>
      <w:ind w:left="360"/>
    </w:pPr>
    <w:rPr>
      <w:rFonts w:ascii="Times New Roman" w:hAnsi="Times New Roman" w:cs="Times New Roman"/>
    </w:rPr>
  </w:style>
  <w:style w:type="paragraph" w:styleId="BodyText">
    <w:name w:val="Body Text"/>
    <w:basedOn w:val="Normal"/>
    <w:pPr>
      <w:tabs>
        <w:tab w:val="left" w:pos="567"/>
        <w:tab w:val="left" w:pos="1134"/>
        <w:tab w:val="left" w:pos="7230"/>
      </w:tabs>
      <w:overflowPunct/>
      <w:autoSpaceDE/>
      <w:autoSpaceDN/>
      <w:adjustRightInd/>
      <w:ind w:right="-51"/>
      <w:textAlignment w:val="auto"/>
    </w:pPr>
    <w:rPr>
      <w:rFonts w:cs="Times New Roman"/>
    </w:rPr>
  </w:style>
  <w:style w:type="paragraph" w:styleId="BodyTextIndent2">
    <w:name w:val="Body Text Indent 2"/>
    <w:basedOn w:val="Normal"/>
    <w:pPr>
      <w:ind w:firstLine="426"/>
    </w:pPr>
    <w:rPr>
      <w:rFonts w:ascii="Times New Roman" w:hAnsi="Times New Roman"/>
    </w:rPr>
  </w:style>
  <w:style w:type="table" w:styleId="TableGrid">
    <w:name w:val="Table Grid"/>
    <w:basedOn w:val="TableNormal"/>
    <w:uiPriority w:val="39"/>
    <w:rsid w:val="006E22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0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3831</Characters>
  <Application>Microsoft Office Word</Application>
  <DocSecurity>0</DocSecurity>
  <Lines>182</Lines>
  <Paragraphs>99</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InTACT</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InTACT</dc:creator>
  <cp:keywords/>
  <dc:description/>
  <cp:lastModifiedBy>Moxon, KarenL</cp:lastModifiedBy>
  <cp:revision>4</cp:revision>
  <cp:lastPrinted>2015-05-06T00:30:00Z</cp:lastPrinted>
  <dcterms:created xsi:type="dcterms:W3CDTF">2020-06-23T23:59:00Z</dcterms:created>
  <dcterms:modified xsi:type="dcterms:W3CDTF">2020-06-23T23:59:00Z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Unauthorised version prepared by ACT Parliamentary Counsel's Office</vt:lpwstr>
  </property>
  <property fmtid="{D5CDD505-2E9C-101B-9397-08002B2CF9AE}" pid="3" name="Objective-Id">
    <vt:lpwstr>A25723029</vt:lpwstr>
  </property>
  <property fmtid="{D5CDD505-2E9C-101B-9397-08002B2CF9AE}" pid="4" name="Objective-Title">
    <vt:lpwstr>Att C - Lotteries (Fees) Determination 2020 (No2) ES - DI2020-</vt:lpwstr>
  </property>
  <property fmtid="{D5CDD505-2E9C-101B-9397-08002B2CF9AE}" pid="5" name="Objective-Comment">
    <vt:lpwstr/>
  </property>
  <property fmtid="{D5CDD505-2E9C-101B-9397-08002B2CF9AE}" pid="6" name="Objective-CreationStamp">
    <vt:filetime>2020-06-10T00:19:19Z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2020-06-10T06:59:35Z</vt:filetime>
  </property>
  <property fmtid="{D5CDD505-2E9C-101B-9397-08002B2CF9AE}" pid="10" name="Objective-ModificationStamp">
    <vt:filetime>2020-06-10T06:59:35Z</vt:filetime>
  </property>
  <property fmtid="{D5CDD505-2E9C-101B-9397-08002B2CF9AE}" pid="11" name="Objective-Owner">
    <vt:lpwstr>Ron Leonard</vt:lpwstr>
  </property>
  <property fmtid="{D5CDD505-2E9C-101B-9397-08002B2CF9AE}" pid="12" name="Objective-Path">
    <vt:lpwstr>Whole of ACT Government:AC - Access Canberra:16. BRANCH - Projects, Governance &amp; Support:UNIT - Finance &amp; Budgets:Business and Finance Services - Finance:Business and Finance Services - GRC:15 - Fees and Charges:Lotteries Act 1964:2020:</vt:lpwstr>
  </property>
  <property fmtid="{D5CDD505-2E9C-101B-9397-08002B2CF9AE}" pid="13" name="Objective-Parent">
    <vt:lpwstr>2020</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ACCESS CANBERRA</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