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1C" w:rsidRDefault="00E21D1C">
      <w:pPr>
        <w:spacing w:before="120"/>
        <w:ind w:left="-284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E21D1C" w:rsidRDefault="00E21D1C">
      <w:pPr>
        <w:pStyle w:val="Billname"/>
        <w:spacing w:before="700"/>
        <w:ind w:left="-284" w:right="-198"/>
      </w:pPr>
      <w:r>
        <w:t xml:space="preserve">Adoption (Fees) </w:t>
      </w:r>
      <w:r>
        <w:rPr>
          <w:color w:val="000000"/>
        </w:rPr>
        <w:t>Determination</w:t>
      </w:r>
      <w:r w:rsidR="00B465F7">
        <w:t xml:space="preserve"> 20</w:t>
      </w:r>
      <w:r w:rsidR="00A25A19">
        <w:t>20</w:t>
      </w:r>
      <w:r w:rsidR="00A56A88">
        <w:t xml:space="preserve"> (No </w:t>
      </w:r>
      <w:r w:rsidR="006C092B">
        <w:t>1</w:t>
      </w:r>
      <w:r>
        <w:t>)</w:t>
      </w:r>
    </w:p>
    <w:p w:rsidR="00E21D1C" w:rsidRDefault="00E21D1C">
      <w:pPr>
        <w:pStyle w:val="Heading5"/>
        <w:ind w:left="-284"/>
        <w:rPr>
          <w:vertAlign w:val="superscript"/>
        </w:rPr>
      </w:pPr>
      <w:r>
        <w:t>Disallo</w:t>
      </w:r>
      <w:r w:rsidR="009A583D">
        <w:t>wable instrument DI20</w:t>
      </w:r>
      <w:r w:rsidR="00A25A19">
        <w:t>20</w:t>
      </w:r>
      <w:r w:rsidR="00FC4B3D">
        <w:t>-</w:t>
      </w:r>
      <w:r w:rsidR="00445DF0">
        <w:t>190</w:t>
      </w:r>
    </w:p>
    <w:p w:rsidR="00E21D1C" w:rsidRDefault="00E21D1C">
      <w:pPr>
        <w:pStyle w:val="madeunder"/>
        <w:spacing w:before="240" w:after="120"/>
        <w:ind w:left="-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made under the  </w:t>
      </w:r>
    </w:p>
    <w:p w:rsidR="00E21D1C" w:rsidRDefault="00E21D1C">
      <w:pPr>
        <w:pStyle w:val="CoverActName"/>
        <w:ind w:left="-28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</w:rPr>
        <w:t>Adoption Act 1993, section 118 (Determination of Fees)</w:t>
      </w:r>
    </w:p>
    <w:p w:rsidR="00E21D1C" w:rsidRDefault="00E21D1C">
      <w:pPr>
        <w:spacing w:before="360"/>
        <w:ind w:left="-284"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E21D1C" w:rsidRDefault="00E21D1C">
      <w:pPr>
        <w:pStyle w:val="N-line3"/>
        <w:pBdr>
          <w:bottom w:val="none" w:sz="0" w:space="0" w:color="auto"/>
        </w:pBdr>
        <w:ind w:left="-284"/>
      </w:pPr>
    </w:p>
    <w:p w:rsidR="00E21D1C" w:rsidRDefault="00E21D1C">
      <w:pPr>
        <w:pStyle w:val="N-line3"/>
        <w:pBdr>
          <w:top w:val="single" w:sz="12" w:space="1" w:color="auto"/>
          <w:bottom w:val="none" w:sz="0" w:space="0" w:color="auto"/>
        </w:pBdr>
        <w:ind w:left="-284"/>
      </w:pPr>
    </w:p>
    <w:bookmarkEnd w:id="0"/>
    <w:p w:rsidR="00E21D1C" w:rsidRDefault="00E21D1C">
      <w:pPr>
        <w:ind w:left="-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The </w:t>
      </w:r>
      <w:r w:rsidRPr="00FB7C30">
        <w:rPr>
          <w:rFonts w:ascii="Arial Narrow" w:hAnsi="Arial Narrow" w:cs="Arial Narrow"/>
          <w:i/>
        </w:rPr>
        <w:t>Adoptions Act 1993</w:t>
      </w:r>
      <w:r>
        <w:rPr>
          <w:rFonts w:ascii="Arial Narrow" w:hAnsi="Arial Narrow" w:cs="Arial Narrow"/>
        </w:rPr>
        <w:t xml:space="preserve"> </w:t>
      </w:r>
      <w:r w:rsidR="00FB7C30">
        <w:rPr>
          <w:rFonts w:ascii="Arial Narrow" w:hAnsi="Arial Narrow" w:cs="Arial Narrow"/>
        </w:rPr>
        <w:t xml:space="preserve">(the Act) </w:t>
      </w:r>
      <w:r>
        <w:rPr>
          <w:rFonts w:ascii="Arial Narrow" w:hAnsi="Arial Narrow" w:cs="Arial Narrow"/>
        </w:rPr>
        <w:t>commenced operation on 1</w:t>
      </w:r>
      <w:r w:rsidR="009A583D">
        <w:rPr>
          <w:rFonts w:ascii="Arial Narrow" w:hAnsi="Arial Narrow" w:cs="Arial Narrow"/>
        </w:rPr>
        <w:t xml:space="preserve"> July 1993. </w:t>
      </w:r>
      <w:r>
        <w:rPr>
          <w:rFonts w:ascii="Arial Narrow" w:hAnsi="Arial Narrow" w:cs="Arial Narrow"/>
        </w:rPr>
        <w:t>The Act provides the legal framework for adoptions in the ACT.</w:t>
      </w:r>
    </w:p>
    <w:p w:rsidR="00E21D1C" w:rsidRDefault="00E21D1C">
      <w:pPr>
        <w:ind w:left="-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p w:rsidR="00E21D1C" w:rsidRDefault="00E21D1C">
      <w:pPr>
        <w:ind w:left="-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Section 118 of the Act provides for fees to be determined</w:t>
      </w:r>
      <w:r w:rsidR="009A583D">
        <w:rPr>
          <w:rFonts w:ascii="Arial Narrow" w:hAnsi="Arial Narrow" w:cs="Arial Narrow"/>
        </w:rPr>
        <w:t xml:space="preserve"> in respect of these services. </w:t>
      </w:r>
      <w:r w:rsidR="00AC37B9">
        <w:rPr>
          <w:rFonts w:ascii="Arial Narrow" w:hAnsi="Arial Narrow" w:cs="Arial Narrow"/>
        </w:rPr>
        <w:t>Fees are charged in respect of Intercountry</w:t>
      </w:r>
      <w:r>
        <w:rPr>
          <w:rFonts w:ascii="Arial Narrow" w:hAnsi="Arial Narrow" w:cs="Arial Narrow"/>
        </w:rPr>
        <w:t xml:space="preserve"> Adoption as this program is not viewed as a service to </w:t>
      </w:r>
      <w:r w:rsidR="00AC37B9">
        <w:rPr>
          <w:rFonts w:ascii="Arial Narrow" w:hAnsi="Arial Narrow" w:cs="Arial Narrow"/>
        </w:rPr>
        <w:t xml:space="preserve">children of the ACT community. </w:t>
      </w:r>
      <w:r>
        <w:rPr>
          <w:rFonts w:ascii="Arial Narrow" w:hAnsi="Arial Narrow" w:cs="Arial Narrow"/>
        </w:rPr>
        <w:t xml:space="preserve">Fees assist in part reimbursement of the infrastructure necessary to maintain an overseas adoption program.  </w:t>
      </w:r>
    </w:p>
    <w:p w:rsidR="00E21D1C" w:rsidRDefault="00E21D1C">
      <w:pPr>
        <w:ind w:left="-284"/>
        <w:jc w:val="both"/>
        <w:rPr>
          <w:rFonts w:ascii="Arial Narrow" w:hAnsi="Arial Narrow" w:cs="Arial Narrow"/>
        </w:rPr>
      </w:pPr>
    </w:p>
    <w:p w:rsidR="00347816" w:rsidRDefault="00347816" w:rsidP="00347816">
      <w:pPr>
        <w:ind w:left="-284"/>
        <w:jc w:val="both"/>
        <w:rPr>
          <w:rFonts w:ascii="Arial Narrow" w:hAnsi="Arial Narrow" w:cs="Arial Narrow"/>
        </w:rPr>
      </w:pPr>
      <w:r w:rsidRPr="00347816">
        <w:rPr>
          <w:rFonts w:ascii="Arial Narrow" w:hAnsi="Arial Narrow" w:cs="Arial Narrow"/>
          <w:i/>
          <w:iCs/>
        </w:rPr>
        <w:t>"Known" child adoptions</w:t>
      </w:r>
      <w:r w:rsidRPr="00347816">
        <w:rPr>
          <w:rFonts w:ascii="Arial Narrow" w:hAnsi="Arial Narrow" w:cs="Arial Narrow"/>
        </w:rPr>
        <w:t xml:space="preserve"> are of children born or permanently residing in Australia who have a pre-existing relationship with the adoptive parent(s), such as step-parents, other relatives and carers</w:t>
      </w:r>
      <w:r>
        <w:rPr>
          <w:rFonts w:ascii="Arial Narrow" w:hAnsi="Arial Narrow" w:cs="Arial Narrow"/>
        </w:rPr>
        <w:t>.</w:t>
      </w:r>
    </w:p>
    <w:p w:rsidR="00347816" w:rsidRDefault="00347816" w:rsidP="00347816">
      <w:pPr>
        <w:ind w:left="-284"/>
        <w:jc w:val="both"/>
        <w:rPr>
          <w:rFonts w:ascii="Arial Narrow" w:hAnsi="Arial Narrow" w:cs="Arial Narrow"/>
        </w:rPr>
      </w:pPr>
    </w:p>
    <w:p w:rsidR="00E21D1C" w:rsidRDefault="00E21D1C">
      <w:pPr>
        <w:ind w:left="-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Fees are charged for </w:t>
      </w:r>
      <w:r w:rsidR="00586BD8"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</w:rPr>
        <w:t>tep</w:t>
      </w:r>
      <w:r w:rsidR="00586BD8"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</w:rPr>
        <w:t>parent adoption as these services are viewed as non-essential as a range of alternative options are available to these children through Family Law provisions.</w:t>
      </w:r>
    </w:p>
    <w:p w:rsidR="00347816" w:rsidRDefault="00347816">
      <w:pPr>
        <w:ind w:left="-284"/>
        <w:jc w:val="both"/>
        <w:rPr>
          <w:rFonts w:ascii="Arial Narrow" w:hAnsi="Arial Narrow" w:cs="Arial Narrow"/>
        </w:rPr>
      </w:pPr>
    </w:p>
    <w:p w:rsidR="00347816" w:rsidRDefault="00347816">
      <w:pPr>
        <w:ind w:left="-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Fees are not charged for known adoptions when the child or young person is in out of home care. </w:t>
      </w:r>
    </w:p>
    <w:p w:rsidR="00E21D1C" w:rsidRDefault="00E21D1C">
      <w:pPr>
        <w:ind w:left="-284"/>
        <w:jc w:val="both"/>
        <w:rPr>
          <w:rFonts w:ascii="Arial Narrow" w:hAnsi="Arial Narrow" w:cs="Arial Narrow"/>
        </w:rPr>
      </w:pPr>
    </w:p>
    <w:p w:rsidR="00E21D1C" w:rsidRDefault="00E21D1C">
      <w:pPr>
        <w:ind w:left="-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There are five different Adoption fees:  </w:t>
      </w:r>
    </w:p>
    <w:p w:rsidR="00E21D1C" w:rsidRDefault="00E21D1C">
      <w:pPr>
        <w:ind w:left="-284"/>
        <w:jc w:val="both"/>
        <w:rPr>
          <w:rFonts w:ascii="Arial Narrow" w:hAnsi="Arial Narrow" w:cs="Arial Narrow"/>
        </w:rPr>
      </w:pPr>
    </w:p>
    <w:p w:rsidR="00E21D1C" w:rsidRDefault="00AC37B9">
      <w:pPr>
        <w:ind w:left="-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u w:val="single"/>
        </w:rPr>
        <w:t>Intercountry</w:t>
      </w:r>
      <w:r w:rsidR="00E21D1C">
        <w:rPr>
          <w:rFonts w:ascii="Arial Narrow" w:hAnsi="Arial Narrow" w:cs="Arial Narrow"/>
          <w:b/>
          <w:bCs/>
          <w:u w:val="single"/>
        </w:rPr>
        <w:t xml:space="preserve"> Adoption</w:t>
      </w:r>
      <w:r w:rsidR="00E21D1C">
        <w:rPr>
          <w:rFonts w:ascii="Arial Narrow" w:hAnsi="Arial Narrow" w:cs="Arial Narrow"/>
        </w:rPr>
        <w:t xml:space="preserve"> – this type of adoption is for families residing in the ACT wishing to adopt a ch</w:t>
      </w:r>
      <w:r>
        <w:rPr>
          <w:rFonts w:ascii="Arial Narrow" w:hAnsi="Arial Narrow" w:cs="Arial Narrow"/>
        </w:rPr>
        <w:t>ild or children born overseas</w:t>
      </w:r>
      <w:r w:rsidR="00506C3A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</w:rPr>
        <w:t xml:space="preserve"> Intercountry</w:t>
      </w:r>
      <w:r w:rsidR="00E21D1C">
        <w:rPr>
          <w:rFonts w:ascii="Arial Narrow" w:hAnsi="Arial Narrow" w:cs="Arial Narrow"/>
        </w:rPr>
        <w:t xml:space="preserve"> adoption attracts four</w:t>
      </w:r>
      <w:r w:rsidR="00586BD8">
        <w:rPr>
          <w:rFonts w:ascii="Arial Narrow" w:hAnsi="Arial Narrow" w:cs="Arial Narrow"/>
        </w:rPr>
        <w:t xml:space="preserve"> fees</w:t>
      </w:r>
      <w:r w:rsidR="00E21D1C">
        <w:rPr>
          <w:rFonts w:ascii="Arial Narrow" w:hAnsi="Arial Narrow" w:cs="Arial Narrow"/>
        </w:rPr>
        <w:t xml:space="preserve"> </w:t>
      </w:r>
      <w:r w:rsidR="00586BD8">
        <w:rPr>
          <w:rFonts w:ascii="Arial Narrow" w:hAnsi="Arial Narrow" w:cs="Arial Narrow"/>
        </w:rPr>
        <w:t>for</w:t>
      </w:r>
      <w:r w:rsidR="00E21D1C">
        <w:rPr>
          <w:rFonts w:ascii="Arial Narrow" w:hAnsi="Arial Narrow" w:cs="Arial Narrow"/>
        </w:rPr>
        <w:t xml:space="preserve"> components at four different stages of the</w:t>
      </w:r>
      <w:r w:rsidR="00586BD8">
        <w:rPr>
          <w:rFonts w:ascii="Arial Narrow" w:hAnsi="Arial Narrow" w:cs="Arial Narrow"/>
        </w:rPr>
        <w:t xml:space="preserve"> adoptions</w:t>
      </w:r>
      <w:r w:rsidR="00E21D1C">
        <w:rPr>
          <w:rFonts w:ascii="Arial Narrow" w:hAnsi="Arial Narrow" w:cs="Arial Narrow"/>
        </w:rPr>
        <w:t xml:space="preserve"> process:</w:t>
      </w:r>
    </w:p>
    <w:p w:rsidR="00E21D1C" w:rsidRDefault="00E21D1C">
      <w:pPr>
        <w:ind w:left="-284"/>
        <w:rPr>
          <w:rFonts w:ascii="Arial Narrow" w:hAnsi="Arial Narrow" w:cs="Arial Narrow"/>
        </w:rPr>
      </w:pPr>
    </w:p>
    <w:p w:rsidR="00E21D1C" w:rsidRDefault="0006296A">
      <w:pPr>
        <w:numPr>
          <w:ilvl w:val="0"/>
          <w:numId w:val="12"/>
        </w:numPr>
        <w:rPr>
          <w:rFonts w:ascii="Arial Narrow" w:hAnsi="Arial Narrow" w:cs="Arial Narrow"/>
        </w:rPr>
      </w:pPr>
      <w:r>
        <w:rPr>
          <w:rFonts w:ascii="Arial Narrow" w:hAnsi="Arial Narrow"/>
        </w:rPr>
        <w:t>Two</w:t>
      </w:r>
      <w:r w:rsidR="00C9270F">
        <w:rPr>
          <w:rFonts w:ascii="Arial Narrow" w:hAnsi="Arial Narrow"/>
        </w:rPr>
        <w:t>-</w:t>
      </w:r>
      <w:r>
        <w:rPr>
          <w:rFonts w:ascii="Arial Narrow" w:hAnsi="Arial Narrow"/>
        </w:rPr>
        <w:t>day education s</w:t>
      </w:r>
      <w:r w:rsidRPr="00760B1F">
        <w:rPr>
          <w:rFonts w:ascii="Arial Narrow" w:hAnsi="Arial Narrow"/>
        </w:rPr>
        <w:t>eminar</w:t>
      </w:r>
    </w:p>
    <w:p w:rsidR="00E21D1C" w:rsidRDefault="0006296A">
      <w:pPr>
        <w:numPr>
          <w:ilvl w:val="0"/>
          <w:numId w:val="12"/>
        </w:numPr>
        <w:rPr>
          <w:rFonts w:ascii="Arial Narrow" w:hAnsi="Arial Narrow" w:cs="Arial Narrow"/>
        </w:rPr>
      </w:pPr>
      <w:r>
        <w:rPr>
          <w:rFonts w:ascii="Arial Narrow" w:hAnsi="Arial Narrow"/>
        </w:rPr>
        <w:t>Intercountry adoption application</w:t>
      </w:r>
    </w:p>
    <w:p w:rsidR="00E21D1C" w:rsidRDefault="0006296A">
      <w:pPr>
        <w:numPr>
          <w:ilvl w:val="0"/>
          <w:numId w:val="12"/>
        </w:numPr>
        <w:rPr>
          <w:rFonts w:ascii="Arial Narrow" w:hAnsi="Arial Narrow" w:cs="Arial Narrow"/>
        </w:rPr>
      </w:pPr>
      <w:r>
        <w:rPr>
          <w:rFonts w:ascii="Arial Narrow" w:hAnsi="Arial Narrow"/>
        </w:rPr>
        <w:t>Intercountry adoption private assessor</w:t>
      </w:r>
    </w:p>
    <w:p w:rsidR="00E21D1C" w:rsidRDefault="0006296A">
      <w:pPr>
        <w:numPr>
          <w:ilvl w:val="0"/>
          <w:numId w:val="12"/>
        </w:numPr>
        <w:rPr>
          <w:rFonts w:ascii="Arial Narrow" w:hAnsi="Arial Narrow" w:cs="Arial Narrow"/>
        </w:rPr>
      </w:pPr>
      <w:r>
        <w:rPr>
          <w:rFonts w:ascii="Arial Narrow" w:hAnsi="Arial Narrow"/>
        </w:rPr>
        <w:t>Intercountry adoption post placement reports</w:t>
      </w:r>
    </w:p>
    <w:p w:rsidR="00E21D1C" w:rsidRDefault="00E21D1C">
      <w:pPr>
        <w:ind w:left="-284"/>
        <w:rPr>
          <w:rFonts w:ascii="Arial Narrow" w:hAnsi="Arial Narrow" w:cs="Arial Narrow"/>
        </w:rPr>
      </w:pPr>
    </w:p>
    <w:p w:rsidR="00E21D1C" w:rsidRDefault="00E21D1C">
      <w:pPr>
        <w:ind w:left="-284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u w:val="single"/>
        </w:rPr>
        <w:t>Step</w:t>
      </w:r>
      <w:r w:rsidR="00C9270F">
        <w:rPr>
          <w:rFonts w:ascii="Arial Narrow" w:hAnsi="Arial Narrow" w:cs="Arial Narrow"/>
          <w:b/>
          <w:bCs/>
          <w:u w:val="single"/>
        </w:rPr>
        <w:t>-</w:t>
      </w:r>
      <w:r>
        <w:rPr>
          <w:rFonts w:ascii="Arial Narrow" w:hAnsi="Arial Narrow" w:cs="Arial Narrow"/>
          <w:b/>
          <w:bCs/>
          <w:u w:val="single"/>
        </w:rPr>
        <w:t xml:space="preserve">Parent </w:t>
      </w:r>
      <w:r w:rsidR="00511DB5">
        <w:rPr>
          <w:rFonts w:ascii="Arial Narrow" w:hAnsi="Arial Narrow" w:cs="Arial Narrow"/>
          <w:b/>
          <w:bCs/>
          <w:u w:val="single"/>
        </w:rPr>
        <w:t xml:space="preserve">or known </w:t>
      </w:r>
      <w:r>
        <w:rPr>
          <w:rFonts w:ascii="Arial Narrow" w:hAnsi="Arial Narrow" w:cs="Arial Narrow"/>
          <w:b/>
          <w:bCs/>
          <w:u w:val="single"/>
        </w:rPr>
        <w:t>Adoption</w:t>
      </w:r>
      <w:r>
        <w:rPr>
          <w:rFonts w:ascii="Arial Narrow" w:hAnsi="Arial Narrow" w:cs="Arial Narrow"/>
        </w:rPr>
        <w:t xml:space="preserve"> – this type of adoption is for families residing in the ACT wishing to adopt a relative </w:t>
      </w:r>
      <w:r w:rsidR="00511DB5">
        <w:rPr>
          <w:rFonts w:ascii="Arial Narrow" w:hAnsi="Arial Narrow" w:cs="Arial Narrow"/>
        </w:rPr>
        <w:t xml:space="preserve">or known </w:t>
      </w:r>
      <w:r>
        <w:rPr>
          <w:rFonts w:ascii="Arial Narrow" w:hAnsi="Arial Narrow" w:cs="Arial Narrow"/>
        </w:rPr>
        <w:t>child.  Step</w:t>
      </w:r>
      <w:r w:rsidR="00C9270F"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</w:rPr>
        <w:t xml:space="preserve">parent </w:t>
      </w:r>
      <w:r w:rsidR="00511DB5">
        <w:rPr>
          <w:rFonts w:ascii="Arial Narrow" w:hAnsi="Arial Narrow" w:cs="Arial Narrow"/>
        </w:rPr>
        <w:t xml:space="preserve">or known </w:t>
      </w:r>
      <w:r>
        <w:rPr>
          <w:rFonts w:ascii="Arial Narrow" w:hAnsi="Arial Narrow" w:cs="Arial Narrow"/>
        </w:rPr>
        <w:t>adoption attracts only one fee:</w:t>
      </w:r>
    </w:p>
    <w:p w:rsidR="00E21D1C" w:rsidRDefault="00E21D1C">
      <w:pPr>
        <w:ind w:left="-284"/>
        <w:rPr>
          <w:rFonts w:ascii="Arial Narrow" w:hAnsi="Arial Narrow" w:cs="Arial Narrow"/>
        </w:rPr>
      </w:pPr>
    </w:p>
    <w:p w:rsidR="00E21D1C" w:rsidRPr="00347816" w:rsidRDefault="0006296A" w:rsidP="00347816">
      <w:pPr>
        <w:numPr>
          <w:ilvl w:val="0"/>
          <w:numId w:val="12"/>
        </w:numPr>
        <w:rPr>
          <w:rFonts w:ascii="Arial Narrow" w:hAnsi="Arial Narrow"/>
        </w:rPr>
      </w:pPr>
      <w:r w:rsidRPr="00E74C93">
        <w:rPr>
          <w:rFonts w:ascii="Arial Narrow" w:hAnsi="Arial Narrow"/>
        </w:rPr>
        <w:t>Step</w:t>
      </w:r>
      <w:r>
        <w:rPr>
          <w:rFonts w:ascii="Arial Narrow" w:hAnsi="Arial Narrow"/>
        </w:rPr>
        <w:t xml:space="preserve">-parent </w:t>
      </w:r>
      <w:r w:rsidR="00511DB5">
        <w:rPr>
          <w:rFonts w:ascii="Arial Narrow" w:hAnsi="Arial Narrow"/>
        </w:rPr>
        <w:t xml:space="preserve">/ known </w:t>
      </w:r>
      <w:r>
        <w:rPr>
          <w:rFonts w:ascii="Arial Narrow" w:hAnsi="Arial Narrow"/>
        </w:rPr>
        <w:t>adoption application and assessment</w:t>
      </w:r>
    </w:p>
    <w:p w:rsidR="0006296A" w:rsidRPr="0006296A" w:rsidRDefault="0006296A" w:rsidP="00347816">
      <w:pPr>
        <w:ind w:left="-284"/>
        <w:jc w:val="both"/>
        <w:rPr>
          <w:rFonts w:ascii="Arial Narrow" w:hAnsi="Arial Narrow" w:cs="Arial Narrow"/>
        </w:rPr>
      </w:pPr>
    </w:p>
    <w:p w:rsidR="00347816" w:rsidRDefault="00347816">
      <w:pPr>
        <w:ind w:left="-284"/>
        <w:rPr>
          <w:rFonts w:ascii="Arial Narrow" w:hAnsi="Arial Narrow" w:cs="Arial Narrow"/>
        </w:rPr>
      </w:pPr>
    </w:p>
    <w:p w:rsidR="00E21D1C" w:rsidRPr="00231134" w:rsidRDefault="00E21D1C">
      <w:pPr>
        <w:ind w:left="-284"/>
        <w:rPr>
          <w:rFonts w:ascii="Arial Narrow" w:hAnsi="Arial Narrow" w:cs="Arial Narrow"/>
        </w:rPr>
      </w:pPr>
      <w:r w:rsidRPr="00231134">
        <w:rPr>
          <w:rFonts w:ascii="Arial Narrow" w:hAnsi="Arial Narrow" w:cs="Arial Narrow"/>
        </w:rPr>
        <w:t>Under Division 81 Determinations of the GST legislation, adoption fees do not attract GST.</w:t>
      </w:r>
    </w:p>
    <w:p w:rsidR="00E21D1C" w:rsidRPr="00231134" w:rsidRDefault="00E21D1C">
      <w:pPr>
        <w:ind w:left="-284"/>
        <w:jc w:val="both"/>
        <w:rPr>
          <w:rFonts w:ascii="Arial Narrow" w:hAnsi="Arial Narrow" w:cs="Arial Narrow"/>
        </w:rPr>
      </w:pPr>
    </w:p>
    <w:p w:rsidR="00E21D1C" w:rsidRPr="00231134" w:rsidRDefault="00E21D1C">
      <w:pPr>
        <w:ind w:left="-284"/>
        <w:jc w:val="both"/>
        <w:rPr>
          <w:rFonts w:ascii="Arial Narrow" w:hAnsi="Arial Narrow" w:cs="Arial Narrow"/>
        </w:rPr>
      </w:pPr>
      <w:r w:rsidRPr="00231134">
        <w:rPr>
          <w:rFonts w:ascii="Arial Narrow" w:hAnsi="Arial Narrow" w:cs="Arial Narrow"/>
        </w:rPr>
        <w:t xml:space="preserve">In accordance with Part 6.3 Legislation Act 2001 (Making of certain statutory instruments about fees), all mandatory conditions have been met.  Applicable mandatory conditions are: </w:t>
      </w:r>
    </w:p>
    <w:p w:rsidR="00E21D1C" w:rsidRPr="00231134" w:rsidRDefault="00E21D1C">
      <w:pPr>
        <w:ind w:left="-284"/>
        <w:jc w:val="both"/>
        <w:rPr>
          <w:rFonts w:ascii="Arial Narrow" w:hAnsi="Arial Narrow" w:cs="Arial Narrow"/>
        </w:rPr>
      </w:pPr>
      <w:r w:rsidRPr="00231134">
        <w:rPr>
          <w:rFonts w:ascii="Arial Narrow" w:hAnsi="Arial Narrow" w:cs="Arial Narrow"/>
        </w:rPr>
        <w:t>56 (5</w:t>
      </w:r>
      <w:r w:rsidR="00F15254" w:rsidRPr="00231134">
        <w:rPr>
          <w:rFonts w:ascii="Arial Narrow" w:hAnsi="Arial Narrow" w:cs="Arial Narrow"/>
        </w:rPr>
        <w:t>) the</w:t>
      </w:r>
      <w:r w:rsidRPr="00231134">
        <w:rPr>
          <w:rFonts w:ascii="Arial Narrow" w:hAnsi="Arial Narrow" w:cs="Arial Narrow"/>
        </w:rPr>
        <w:t xml:space="preserve"> determination</w:t>
      </w:r>
    </w:p>
    <w:p w:rsidR="00E21D1C" w:rsidRPr="00231134" w:rsidRDefault="00E21D1C">
      <w:pPr>
        <w:ind w:left="340"/>
        <w:jc w:val="both"/>
        <w:rPr>
          <w:rFonts w:ascii="Arial Narrow" w:hAnsi="Arial Narrow" w:cs="Arial Narrow"/>
        </w:rPr>
      </w:pPr>
      <w:r w:rsidRPr="00231134">
        <w:rPr>
          <w:rFonts w:ascii="Arial Narrow" w:hAnsi="Arial Narrow" w:cs="Arial Narrow"/>
        </w:rPr>
        <w:t>(a) must provide by whom the fee is payable; (intercountry and step</w:t>
      </w:r>
      <w:r w:rsidR="00C9270F">
        <w:rPr>
          <w:rFonts w:ascii="Arial Narrow" w:hAnsi="Arial Narrow" w:cs="Arial Narrow"/>
        </w:rPr>
        <w:t>-p</w:t>
      </w:r>
      <w:r w:rsidRPr="00231134">
        <w:rPr>
          <w:rFonts w:ascii="Arial Narrow" w:hAnsi="Arial Narrow" w:cs="Arial Narrow"/>
        </w:rPr>
        <w:t>arent adoption applicants) and</w:t>
      </w:r>
    </w:p>
    <w:p w:rsidR="00E21D1C" w:rsidRDefault="00E21D1C">
      <w:pPr>
        <w:ind w:left="340"/>
        <w:jc w:val="both"/>
        <w:rPr>
          <w:rFonts w:ascii="Arial Narrow" w:hAnsi="Arial Narrow" w:cs="Arial Narrow"/>
        </w:rPr>
      </w:pPr>
      <w:r w:rsidRPr="00231134">
        <w:rPr>
          <w:rFonts w:ascii="Arial Narrow" w:hAnsi="Arial Narrow" w:cs="Arial Narrow"/>
        </w:rPr>
        <w:t>(b) must provide to whom the fee is paid (</w:t>
      </w:r>
      <w:r w:rsidR="00FB7C30" w:rsidRPr="00231134">
        <w:rPr>
          <w:rFonts w:ascii="Arial Narrow" w:hAnsi="Arial Narrow" w:cs="Arial Narrow"/>
        </w:rPr>
        <w:t>Child and Youth Protection Services</w:t>
      </w:r>
      <w:r w:rsidRPr="00231134">
        <w:rPr>
          <w:rFonts w:ascii="Arial Narrow" w:hAnsi="Arial Narrow" w:cs="Arial Narrow"/>
        </w:rPr>
        <w:t>, Community Services</w:t>
      </w:r>
      <w:r w:rsidR="00E02884" w:rsidRPr="00231134">
        <w:rPr>
          <w:rFonts w:ascii="Arial Narrow" w:hAnsi="Arial Narrow" w:cs="Arial Narrow"/>
        </w:rPr>
        <w:t xml:space="preserve"> Directorate</w:t>
      </w:r>
      <w:r w:rsidRPr="00231134">
        <w:rPr>
          <w:rFonts w:ascii="Arial Narrow" w:hAnsi="Arial Narrow" w:cs="Arial Narrow"/>
        </w:rPr>
        <w:t>).</w:t>
      </w:r>
    </w:p>
    <w:p w:rsidR="00E21D1C" w:rsidRDefault="00E21D1C">
      <w:pPr>
        <w:pStyle w:val="BodyTextIndent2"/>
        <w:ind w:left="-284" w:firstLine="0"/>
      </w:pPr>
    </w:p>
    <w:p w:rsidR="00E21D1C" w:rsidRDefault="00FB7C30">
      <w:pPr>
        <w:pStyle w:val="BodyTextIndent2"/>
        <w:ind w:left="-284" w:firstLine="0"/>
      </w:pPr>
      <w:r>
        <w:t>Child and Youth Protection Services</w:t>
      </w:r>
      <w:r w:rsidR="00E21D1C">
        <w:t xml:space="preserve"> increased these ongoing fe</w:t>
      </w:r>
      <w:r w:rsidR="00B465F7">
        <w:t>es and charges for the</w:t>
      </w:r>
      <w:r>
        <w:t xml:space="preserve">          </w:t>
      </w:r>
      <w:r w:rsidR="00B465F7">
        <w:t xml:space="preserve"> 20</w:t>
      </w:r>
      <w:r w:rsidR="00A25A19">
        <w:t>20</w:t>
      </w:r>
      <w:r w:rsidR="009A583D">
        <w:t>-20</w:t>
      </w:r>
      <w:r w:rsidR="006C092B">
        <w:t>2</w:t>
      </w:r>
      <w:r w:rsidR="00A25A19">
        <w:t>1</w:t>
      </w:r>
      <w:r w:rsidR="009C55B2">
        <w:t xml:space="preserve"> financial </w:t>
      </w:r>
      <w:r w:rsidR="00CE0B71">
        <w:t>years</w:t>
      </w:r>
      <w:r>
        <w:t xml:space="preserve"> by the Wage Price Index</w:t>
      </w:r>
      <w:r w:rsidR="00882FF0">
        <w:t xml:space="preserve"> of </w:t>
      </w:r>
      <w:r w:rsidR="006C092B">
        <w:t>2</w:t>
      </w:r>
      <w:r w:rsidR="0006296A">
        <w:t xml:space="preserve">% </w:t>
      </w:r>
      <w:r w:rsidR="00393B14">
        <w:t>of the previous determination</w:t>
      </w:r>
      <w:r w:rsidR="0006296A">
        <w:t xml:space="preserve"> (DI-201</w:t>
      </w:r>
      <w:r w:rsidR="00A25A19">
        <w:t>9/150</w:t>
      </w:r>
      <w:r w:rsidR="0006296A">
        <w:t>).</w:t>
      </w:r>
      <w:r w:rsidR="00E21D1C">
        <w:t xml:space="preserve"> </w:t>
      </w:r>
    </w:p>
    <w:p w:rsidR="00E21D1C" w:rsidRDefault="00E21D1C">
      <w:pPr>
        <w:pStyle w:val="BodyTextIndent2"/>
        <w:ind w:left="-284" w:firstLine="0"/>
      </w:pPr>
    </w:p>
    <w:p w:rsidR="00E21D1C" w:rsidRDefault="00FB7C30">
      <w:pPr>
        <w:pStyle w:val="BodyTextIndent2"/>
        <w:ind w:left="3600" w:firstLine="0"/>
        <w:rPr>
          <w:u w:val="single"/>
        </w:rPr>
      </w:pPr>
      <w:r>
        <w:rPr>
          <w:u w:val="single"/>
        </w:rPr>
        <w:t>Ol</w:t>
      </w:r>
      <w:r w:rsidR="00271565">
        <w:rPr>
          <w:u w:val="single"/>
        </w:rPr>
        <w:t>d Rate (1</w:t>
      </w:r>
      <w:r w:rsidR="00390B93">
        <w:rPr>
          <w:u w:val="single"/>
        </w:rPr>
        <w:t>9/20</w:t>
      </w:r>
      <w:r w:rsidR="00E21D1C">
        <w:rPr>
          <w:u w:val="single"/>
        </w:rPr>
        <w:t>)</w:t>
      </w:r>
      <w:r>
        <w:tab/>
      </w:r>
      <w:r>
        <w:tab/>
      </w:r>
      <w:r w:rsidR="00CE0B71">
        <w:rPr>
          <w:u w:val="single"/>
        </w:rPr>
        <w:t>New Rate (</w:t>
      </w:r>
      <w:r w:rsidR="00390B93">
        <w:rPr>
          <w:u w:val="single"/>
        </w:rPr>
        <w:t>20</w:t>
      </w:r>
      <w:r w:rsidR="00271565">
        <w:rPr>
          <w:u w:val="single"/>
        </w:rPr>
        <w:t>/</w:t>
      </w:r>
      <w:r w:rsidR="006C092B">
        <w:rPr>
          <w:u w:val="single"/>
        </w:rPr>
        <w:t>2</w:t>
      </w:r>
      <w:r w:rsidR="00390B93">
        <w:rPr>
          <w:u w:val="single"/>
        </w:rPr>
        <w:t>1</w:t>
      </w:r>
      <w:r w:rsidR="00E21D1C">
        <w:rPr>
          <w:u w:val="single"/>
        </w:rPr>
        <w:t>)</w:t>
      </w:r>
    </w:p>
    <w:p w:rsidR="00747B07" w:rsidRPr="00747B07" w:rsidRDefault="00B03E8F">
      <w:pPr>
        <w:pStyle w:val="BodyTextIndent2"/>
        <w:numPr>
          <w:ilvl w:val="0"/>
          <w:numId w:val="11"/>
        </w:numPr>
      </w:pPr>
      <w:r w:rsidRPr="00747B07">
        <w:t>Two</w:t>
      </w:r>
      <w:r w:rsidR="00C9270F">
        <w:t>-</w:t>
      </w:r>
      <w:r w:rsidRPr="00747B07">
        <w:t>day education seminar</w:t>
      </w:r>
      <w:r w:rsidR="00E555C5" w:rsidRPr="00747B07">
        <w:tab/>
      </w:r>
      <w:r w:rsidR="00E555C5" w:rsidRPr="00747B07">
        <w:tab/>
      </w:r>
      <w:r w:rsidR="00747B07" w:rsidRPr="00747B07">
        <w:t xml:space="preserve">  $ </w:t>
      </w:r>
      <w:r w:rsidR="00C9270F">
        <w:t xml:space="preserve">   </w:t>
      </w:r>
      <w:r w:rsidR="00747B07" w:rsidRPr="00747B07">
        <w:t>3</w:t>
      </w:r>
      <w:r w:rsidR="00390B93">
        <w:t>62.00</w:t>
      </w:r>
      <w:r w:rsidR="00747B07" w:rsidRPr="00747B07">
        <w:t xml:space="preserve">   </w:t>
      </w:r>
      <w:r w:rsidR="00747B07" w:rsidRPr="00747B07">
        <w:tab/>
      </w:r>
      <w:r w:rsidR="00747B07" w:rsidRPr="00747B07">
        <w:tab/>
      </w:r>
      <w:r w:rsidR="00747B07" w:rsidRPr="00747B07">
        <w:tab/>
        <w:t xml:space="preserve">$ </w:t>
      </w:r>
      <w:r w:rsidR="000D714E">
        <w:t xml:space="preserve">    </w:t>
      </w:r>
      <w:r w:rsidR="00A25A19">
        <w:t>369.00</w:t>
      </w:r>
    </w:p>
    <w:p w:rsidR="00747B07" w:rsidRPr="00747B07" w:rsidRDefault="00B03E8F" w:rsidP="00747B07">
      <w:pPr>
        <w:pStyle w:val="BodyTextIndent2"/>
        <w:numPr>
          <w:ilvl w:val="0"/>
          <w:numId w:val="11"/>
        </w:numPr>
      </w:pPr>
      <w:r w:rsidRPr="00747B07">
        <w:t>Intercountry adoption application</w:t>
      </w:r>
      <w:r w:rsidR="00882FF0" w:rsidRPr="00747B07">
        <w:tab/>
      </w:r>
      <w:r w:rsidR="00C9270F">
        <w:t xml:space="preserve">  </w:t>
      </w:r>
      <w:r w:rsidR="00747B07" w:rsidRPr="00747B07">
        <w:t>$ 1,7</w:t>
      </w:r>
      <w:r w:rsidR="00390B93">
        <w:t>68.00</w:t>
      </w:r>
      <w:r w:rsidR="00747B07" w:rsidRPr="00747B07">
        <w:tab/>
      </w:r>
      <w:r w:rsidR="00747B07" w:rsidRPr="00747B07">
        <w:tab/>
      </w:r>
      <w:r w:rsidR="00747B07" w:rsidRPr="00747B07">
        <w:tab/>
        <w:t xml:space="preserve">$ </w:t>
      </w:r>
      <w:r w:rsidR="00A25A19">
        <w:t xml:space="preserve"> 1,803.00</w:t>
      </w:r>
    </w:p>
    <w:p w:rsidR="00E21D1C" w:rsidRPr="00747B07" w:rsidRDefault="00B03E8F">
      <w:pPr>
        <w:pStyle w:val="BodyTextIndent2"/>
        <w:numPr>
          <w:ilvl w:val="0"/>
          <w:numId w:val="11"/>
        </w:numPr>
      </w:pPr>
      <w:r w:rsidRPr="00747B07">
        <w:t>Intercountry adoption private assessor</w:t>
      </w:r>
      <w:r w:rsidR="00882FF0" w:rsidRPr="00747B07">
        <w:tab/>
      </w:r>
      <w:r w:rsidR="00C9270F">
        <w:t xml:space="preserve">  </w:t>
      </w:r>
      <w:r w:rsidR="00747B07" w:rsidRPr="00747B07">
        <w:t>$ 2,9</w:t>
      </w:r>
      <w:r w:rsidR="00390B93">
        <w:t>99.00</w:t>
      </w:r>
      <w:r w:rsidR="00747B07" w:rsidRPr="00747B07">
        <w:tab/>
      </w:r>
      <w:r w:rsidR="00747B07" w:rsidRPr="00747B07">
        <w:tab/>
      </w:r>
      <w:r w:rsidR="00747B07" w:rsidRPr="00747B07">
        <w:tab/>
      </w:r>
      <w:r w:rsidR="00A25A19" w:rsidRPr="00747B07">
        <w:t xml:space="preserve">$ </w:t>
      </w:r>
      <w:r w:rsidR="00A25A19">
        <w:t xml:space="preserve"> 3,058.00</w:t>
      </w:r>
    </w:p>
    <w:p w:rsidR="00B03E8F" w:rsidRPr="00747B07" w:rsidRDefault="00B03E8F" w:rsidP="00747B07">
      <w:pPr>
        <w:pStyle w:val="BodyTextIndent2"/>
        <w:numPr>
          <w:ilvl w:val="0"/>
          <w:numId w:val="11"/>
        </w:numPr>
      </w:pPr>
      <w:r w:rsidRPr="00747B07">
        <w:t xml:space="preserve">Intercountry adoption post placement </w:t>
      </w:r>
      <w:r w:rsidRPr="00747B07">
        <w:tab/>
      </w:r>
      <w:r w:rsidR="00C9270F">
        <w:t xml:space="preserve">  </w:t>
      </w:r>
      <w:r w:rsidR="00747B07" w:rsidRPr="00747B07">
        <w:t>$ 1,</w:t>
      </w:r>
      <w:r w:rsidR="00390B93">
        <w:t>217.00</w:t>
      </w:r>
      <w:r w:rsidR="00747B07" w:rsidRPr="00747B07">
        <w:tab/>
      </w:r>
      <w:r w:rsidR="00747B07" w:rsidRPr="00747B07">
        <w:tab/>
      </w:r>
      <w:r w:rsidR="00747B07" w:rsidRPr="00747B07">
        <w:tab/>
        <w:t xml:space="preserve">$ </w:t>
      </w:r>
      <w:r w:rsidR="00A25A19">
        <w:t xml:space="preserve"> 1,241.00</w:t>
      </w:r>
      <w:r w:rsidRPr="00747B07">
        <w:tab/>
        <w:t>reports</w:t>
      </w:r>
    </w:p>
    <w:p w:rsidR="00B03E8F" w:rsidRPr="00747B07" w:rsidRDefault="00B03E8F">
      <w:pPr>
        <w:pStyle w:val="BodyTextIndent2"/>
        <w:numPr>
          <w:ilvl w:val="0"/>
          <w:numId w:val="11"/>
        </w:numPr>
      </w:pPr>
      <w:r w:rsidRPr="00747B07">
        <w:t xml:space="preserve">Step-parent / known adoption application </w:t>
      </w:r>
      <w:r w:rsidR="00747B07" w:rsidRPr="00747B07">
        <w:t>$ 1,0</w:t>
      </w:r>
      <w:r w:rsidR="00390B93">
        <w:t>70.00</w:t>
      </w:r>
      <w:r w:rsidR="00747B07" w:rsidRPr="00747B07">
        <w:tab/>
      </w:r>
      <w:r w:rsidR="00747B07" w:rsidRPr="00747B07">
        <w:tab/>
      </w:r>
      <w:r w:rsidR="00747B07" w:rsidRPr="00747B07">
        <w:tab/>
        <w:t xml:space="preserve">$ </w:t>
      </w:r>
      <w:r w:rsidR="00A25A19">
        <w:t xml:space="preserve"> 1,091.00</w:t>
      </w:r>
    </w:p>
    <w:p w:rsidR="00E21D1C" w:rsidRPr="00747B07" w:rsidRDefault="00B03E8F" w:rsidP="00B03E8F">
      <w:pPr>
        <w:pStyle w:val="BodyTextIndent2"/>
        <w:ind w:left="56" w:firstLine="0"/>
      </w:pPr>
      <w:r w:rsidRPr="00747B07">
        <w:t>and assessment</w:t>
      </w:r>
      <w:r w:rsidR="00CE0B71" w:rsidRPr="00747B07">
        <w:tab/>
      </w:r>
      <w:r w:rsidR="00CE0B71" w:rsidRPr="00747B07">
        <w:tab/>
      </w:r>
      <w:r w:rsidR="00CE0B71" w:rsidRPr="00747B07">
        <w:tab/>
      </w:r>
      <w:r w:rsidR="00D51EE7" w:rsidRPr="00747B07">
        <w:tab/>
      </w:r>
      <w:r w:rsidR="00D51EE7" w:rsidRPr="00747B07">
        <w:tab/>
      </w:r>
      <w:r w:rsidR="00D51EE7" w:rsidRPr="00747B07">
        <w:tab/>
      </w:r>
    </w:p>
    <w:p w:rsidR="00E21D1C" w:rsidRDefault="00E21D1C">
      <w:pPr>
        <w:pStyle w:val="BodyTextIndent2"/>
      </w:pPr>
    </w:p>
    <w:sectPr w:rsidR="00E21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1800" w:bottom="1440" w:left="1800" w:header="720" w:footer="974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BD8" w:rsidRDefault="009D3BD8">
      <w:r>
        <w:separator/>
      </w:r>
    </w:p>
  </w:endnote>
  <w:endnote w:type="continuationSeparator" w:id="0">
    <w:p w:rsidR="009D3BD8" w:rsidRDefault="009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18" w:rsidRDefault="00426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4C0" w:rsidRPr="00426518" w:rsidRDefault="00426518" w:rsidP="00426518">
    <w:pPr>
      <w:pStyle w:val="Footer"/>
      <w:jc w:val="center"/>
      <w:rPr>
        <w:sz w:val="14"/>
        <w:szCs w:val="14"/>
      </w:rPr>
    </w:pPr>
    <w:r w:rsidRPr="00426518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18" w:rsidRDefault="00426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BD8" w:rsidRDefault="009D3BD8">
      <w:r>
        <w:separator/>
      </w:r>
    </w:p>
  </w:footnote>
  <w:footnote w:type="continuationSeparator" w:id="0">
    <w:p w:rsidR="009D3BD8" w:rsidRDefault="009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18" w:rsidRDefault="00426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4C0" w:rsidRDefault="009744C0" w:rsidP="0006074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18" w:rsidRDefault="00426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5558C"/>
    <w:multiLevelType w:val="hybridMultilevel"/>
    <w:tmpl w:val="AC969EBC"/>
    <w:lvl w:ilvl="0" w:tplc="729AEB3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35872B8"/>
    <w:multiLevelType w:val="hybridMultilevel"/>
    <w:tmpl w:val="18F85696"/>
    <w:lvl w:ilvl="0" w:tplc="4BC42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07A447A"/>
    <w:multiLevelType w:val="hybridMultilevel"/>
    <w:tmpl w:val="9B603372"/>
    <w:lvl w:ilvl="0" w:tplc="4426D2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329CB"/>
    <w:multiLevelType w:val="hybridMultilevel"/>
    <w:tmpl w:val="F2B6CE84"/>
    <w:lvl w:ilvl="0" w:tplc="4426D22C">
      <w:start w:val="1"/>
      <w:numFmt w:val="bullet"/>
      <w:lvlText w:val=""/>
      <w:lvlJc w:val="left"/>
      <w:pPr>
        <w:tabs>
          <w:tab w:val="num" w:pos="76"/>
        </w:tabs>
        <w:ind w:left="56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8E33A91"/>
    <w:multiLevelType w:val="hybridMultilevel"/>
    <w:tmpl w:val="0CF448FA"/>
    <w:lvl w:ilvl="0" w:tplc="4426D22C">
      <w:start w:val="1"/>
      <w:numFmt w:val="bullet"/>
      <w:lvlText w:val=""/>
      <w:lvlJc w:val="left"/>
      <w:pPr>
        <w:tabs>
          <w:tab w:val="num" w:pos="76"/>
        </w:tabs>
        <w:ind w:left="56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C65763B"/>
    <w:multiLevelType w:val="hybridMultilevel"/>
    <w:tmpl w:val="F2CC281E"/>
    <w:lvl w:ilvl="0" w:tplc="4426D22C">
      <w:start w:val="1"/>
      <w:numFmt w:val="bullet"/>
      <w:lvlText w:val=""/>
      <w:lvlJc w:val="left"/>
      <w:pPr>
        <w:tabs>
          <w:tab w:val="num" w:pos="76"/>
        </w:tabs>
        <w:ind w:left="56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A67"/>
    <w:rsid w:val="00004942"/>
    <w:rsid w:val="0003750E"/>
    <w:rsid w:val="00037AF6"/>
    <w:rsid w:val="000446B5"/>
    <w:rsid w:val="00055543"/>
    <w:rsid w:val="00057EDD"/>
    <w:rsid w:val="00060742"/>
    <w:rsid w:val="0006296A"/>
    <w:rsid w:val="000950EB"/>
    <w:rsid w:val="000D714E"/>
    <w:rsid w:val="000E74EE"/>
    <w:rsid w:val="000F01FB"/>
    <w:rsid w:val="00112B89"/>
    <w:rsid w:val="00157326"/>
    <w:rsid w:val="00164794"/>
    <w:rsid w:val="001909CE"/>
    <w:rsid w:val="001A69FD"/>
    <w:rsid w:val="001B11D7"/>
    <w:rsid w:val="001F2C94"/>
    <w:rsid w:val="00224568"/>
    <w:rsid w:val="00230674"/>
    <w:rsid w:val="00231134"/>
    <w:rsid w:val="00240DA7"/>
    <w:rsid w:val="00271565"/>
    <w:rsid w:val="002D209A"/>
    <w:rsid w:val="002F0925"/>
    <w:rsid w:val="002F138E"/>
    <w:rsid w:val="002F175B"/>
    <w:rsid w:val="003318EF"/>
    <w:rsid w:val="00347816"/>
    <w:rsid w:val="00390B93"/>
    <w:rsid w:val="00393B14"/>
    <w:rsid w:val="003B6FF8"/>
    <w:rsid w:val="00426518"/>
    <w:rsid w:val="00441FC9"/>
    <w:rsid w:val="00445DF0"/>
    <w:rsid w:val="0049464B"/>
    <w:rsid w:val="004A3E21"/>
    <w:rsid w:val="004E401B"/>
    <w:rsid w:val="00506C3A"/>
    <w:rsid w:val="00511DB5"/>
    <w:rsid w:val="00547762"/>
    <w:rsid w:val="005842B8"/>
    <w:rsid w:val="00586BD8"/>
    <w:rsid w:val="00586CCD"/>
    <w:rsid w:val="005D48D7"/>
    <w:rsid w:val="005D7D7C"/>
    <w:rsid w:val="005E62CB"/>
    <w:rsid w:val="00604CC1"/>
    <w:rsid w:val="00616A67"/>
    <w:rsid w:val="00635A74"/>
    <w:rsid w:val="006605FE"/>
    <w:rsid w:val="00674814"/>
    <w:rsid w:val="006C092B"/>
    <w:rsid w:val="006C265D"/>
    <w:rsid w:val="006E2D2D"/>
    <w:rsid w:val="00747B07"/>
    <w:rsid w:val="007B6092"/>
    <w:rsid w:val="0085353B"/>
    <w:rsid w:val="00882FF0"/>
    <w:rsid w:val="00896CC6"/>
    <w:rsid w:val="008B498C"/>
    <w:rsid w:val="0091633E"/>
    <w:rsid w:val="00955129"/>
    <w:rsid w:val="00965A39"/>
    <w:rsid w:val="009744C0"/>
    <w:rsid w:val="009A583D"/>
    <w:rsid w:val="009C55B2"/>
    <w:rsid w:val="009D01A2"/>
    <w:rsid w:val="009D3BD8"/>
    <w:rsid w:val="009E0AE9"/>
    <w:rsid w:val="009E126B"/>
    <w:rsid w:val="00A25A19"/>
    <w:rsid w:val="00A4101E"/>
    <w:rsid w:val="00A56A88"/>
    <w:rsid w:val="00A75AE3"/>
    <w:rsid w:val="00AB03B4"/>
    <w:rsid w:val="00AC37B9"/>
    <w:rsid w:val="00B01A74"/>
    <w:rsid w:val="00B03E8F"/>
    <w:rsid w:val="00B26415"/>
    <w:rsid w:val="00B465F7"/>
    <w:rsid w:val="00B72DF7"/>
    <w:rsid w:val="00BC60B0"/>
    <w:rsid w:val="00BF50F3"/>
    <w:rsid w:val="00C01E9A"/>
    <w:rsid w:val="00C329F9"/>
    <w:rsid w:val="00C9270F"/>
    <w:rsid w:val="00CE0B71"/>
    <w:rsid w:val="00D51EE7"/>
    <w:rsid w:val="00DE3B14"/>
    <w:rsid w:val="00E02884"/>
    <w:rsid w:val="00E06D8B"/>
    <w:rsid w:val="00E21D1C"/>
    <w:rsid w:val="00E555C5"/>
    <w:rsid w:val="00E869C7"/>
    <w:rsid w:val="00EB7C56"/>
    <w:rsid w:val="00EC218D"/>
    <w:rsid w:val="00EF799D"/>
    <w:rsid w:val="00F0390F"/>
    <w:rsid w:val="00F11D85"/>
    <w:rsid w:val="00F15254"/>
    <w:rsid w:val="00F313C7"/>
    <w:rsid w:val="00F33A1C"/>
    <w:rsid w:val="00F46BAB"/>
    <w:rsid w:val="00F77611"/>
    <w:rsid w:val="00F938BD"/>
    <w:rsid w:val="00FB7C30"/>
    <w:rsid w:val="00FC0512"/>
    <w:rsid w:val="00FC4B3D"/>
    <w:rsid w:val="00FD5BA7"/>
    <w:rsid w:val="00FE617F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61138AA-DDD4-4809-92FF-F46AC6FB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240" w:after="60"/>
      <w:outlineLvl w:val="4"/>
    </w:pPr>
    <w:rPr>
      <w:rFonts w:ascii="Arial Narrow" w:hAnsi="Arial Narrow" w:cs="Arial Narrow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uiPriority w:val="99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ref">
    <w:name w:val="ref"/>
    <w:basedOn w:val="Normal"/>
    <w:next w:val="Normal"/>
    <w:uiPriority w:val="99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uiPriority w:val="99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uiPriority w:val="99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uiPriority w:val="99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uiPriority w:val="99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</w:style>
  <w:style w:type="paragraph" w:styleId="TOC2">
    <w:name w:val="toc 2"/>
    <w:basedOn w:val="Normal"/>
    <w:next w:val="Normal"/>
    <w:autoRedefine/>
    <w:uiPriority w:val="99"/>
    <w:pPr>
      <w:ind w:left="240"/>
    </w:pPr>
  </w:style>
  <w:style w:type="paragraph" w:styleId="TOC3">
    <w:name w:val="toc 3"/>
    <w:basedOn w:val="Normal"/>
    <w:next w:val="Normal"/>
    <w:autoRedefine/>
    <w:uiPriority w:val="99"/>
    <w:pPr>
      <w:ind w:left="480"/>
    </w:pPr>
  </w:style>
  <w:style w:type="paragraph" w:styleId="TOC4">
    <w:name w:val="toc 4"/>
    <w:basedOn w:val="Normal"/>
    <w:next w:val="Normal"/>
    <w:autoRedefine/>
    <w:uiPriority w:val="99"/>
    <w:pPr>
      <w:ind w:left="720"/>
    </w:pPr>
  </w:style>
  <w:style w:type="paragraph" w:styleId="TOC5">
    <w:name w:val="toc 5"/>
    <w:basedOn w:val="Normal"/>
    <w:next w:val="Normal"/>
    <w:autoRedefine/>
    <w:uiPriority w:val="99"/>
    <w:pPr>
      <w:ind w:left="960"/>
    </w:pPr>
  </w:style>
  <w:style w:type="paragraph" w:styleId="TOC6">
    <w:name w:val="toc 6"/>
    <w:basedOn w:val="Normal"/>
    <w:next w:val="Normal"/>
    <w:autoRedefine/>
    <w:uiPriority w:val="99"/>
    <w:pPr>
      <w:ind w:left="1200"/>
    </w:pPr>
  </w:style>
  <w:style w:type="paragraph" w:styleId="TOC7">
    <w:name w:val="toc 7"/>
    <w:basedOn w:val="Normal"/>
    <w:next w:val="Normal"/>
    <w:autoRedefine/>
    <w:uiPriority w:val="99"/>
    <w:pPr>
      <w:ind w:left="1440"/>
    </w:pPr>
  </w:style>
  <w:style w:type="paragraph" w:styleId="TOC8">
    <w:name w:val="toc 8"/>
    <w:basedOn w:val="Normal"/>
    <w:next w:val="Normal"/>
    <w:autoRedefine/>
    <w:uiPriority w:val="99"/>
    <w:pPr>
      <w:ind w:left="1680"/>
    </w:pPr>
  </w:style>
  <w:style w:type="paragraph" w:styleId="TOC9">
    <w:name w:val="toc 9"/>
    <w:basedOn w:val="Normal"/>
    <w:next w:val="Normal"/>
    <w:autoRedefine/>
    <w:uiPriority w:val="99"/>
    <w:pPr>
      <w:ind w:left="1920"/>
    </w:p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before="120" w:after="60"/>
      <w:ind w:left="709"/>
    </w:p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Minister">
    <w:name w:val="Minister"/>
    <w:basedOn w:val="Normal"/>
    <w:uiPriority w:val="99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uiPriority w:val="99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uiPriority w:val="99"/>
    <w:pPr>
      <w:tabs>
        <w:tab w:val="left" w:pos="2880"/>
      </w:tabs>
      <w:jc w:val="right"/>
    </w:p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uiPriority w:val="99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spacing w:before="80" w:after="60"/>
      <w:jc w:val="both"/>
    </w:p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ShadedSchClause">
    <w:name w:val="Shaded Sch Clause"/>
    <w:basedOn w:val="Normal"/>
    <w:next w:val="Normal"/>
    <w:uiPriority w:val="99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uiPriority w:val="9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left="283" w:hanging="567"/>
    </w:pPr>
    <w:rPr>
      <w:rFonts w:ascii="Arial Narrow" w:hAnsi="Arial Narrow" w:cs="Arial Narrow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6296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6296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296A"/>
    <w:pPr>
      <w:widowControl w:val="0"/>
      <w:ind w:left="720"/>
      <w:contextualSpacing/>
    </w:pPr>
    <w:rPr>
      <w:iCs/>
      <w:lang w:val="en-US"/>
    </w:rPr>
  </w:style>
  <w:style w:type="character" w:styleId="Emphasis">
    <w:name w:val="Emphasis"/>
    <w:uiPriority w:val="20"/>
    <w:qFormat/>
    <w:rsid w:val="003478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7073-4F9B-4A9F-BE10-907AEBFA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cp:lastModifiedBy>Moxon, KarenL</cp:lastModifiedBy>
  <cp:revision>5</cp:revision>
  <cp:lastPrinted>2019-05-22T07:20:00Z</cp:lastPrinted>
  <dcterms:created xsi:type="dcterms:W3CDTF">2020-06-29T05:25:00Z</dcterms:created>
  <dcterms:modified xsi:type="dcterms:W3CDTF">2020-06-29T05:25:00Z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f0b67b-33c5-4e00-9a6f-3eb1c2333322_Enabled">
    <vt:lpwstr>True</vt:lpwstr>
  </property>
  <property fmtid="{D5CDD505-2E9C-101B-9397-08002B2CF9AE}" pid="3" name="MSIP_Label_5ff0b67b-33c5-4e00-9a6f-3eb1c2333322_SiteId">
    <vt:lpwstr>b46c1908-0334-4236-b978-585ee88e4199</vt:lpwstr>
  </property>
  <property fmtid="{D5CDD505-2E9C-101B-9397-08002B2CF9AE}" pid="4" name="MSIP_Label_5ff0b67b-33c5-4e00-9a6f-3eb1c2333322_Owner">
    <vt:lpwstr>Ethan.Moody@act.gov.au</vt:lpwstr>
  </property>
  <property fmtid="{D5CDD505-2E9C-101B-9397-08002B2CF9AE}" pid="5" name="MSIP_Label_5ff0b67b-33c5-4e00-9a6f-3eb1c2333322_SetDate">
    <vt:lpwstr>2020-06-29T05:24:14.7786751Z</vt:lpwstr>
  </property>
  <property fmtid="{D5CDD505-2E9C-101B-9397-08002B2CF9AE}" pid="6" name="MSIP_Label_5ff0b67b-33c5-4e00-9a6f-3eb1c2333322_Name">
    <vt:lpwstr>UNCLASSIFIED - NO MARKING</vt:lpwstr>
  </property>
  <property fmtid="{D5CDD505-2E9C-101B-9397-08002B2CF9AE}" pid="7" name="MSIP_Label_5ff0b67b-33c5-4e00-9a6f-3eb1c2333322_Application">
    <vt:lpwstr>Microsoft Azure Information Protection</vt:lpwstr>
  </property>
  <property fmtid="{D5CDD505-2E9C-101B-9397-08002B2CF9AE}" pid="8" name="MSIP_Label_5ff0b67b-33c5-4e00-9a6f-3eb1c2333322_Extended_MSFT_Method">
    <vt:lpwstr>Manual</vt:lpwstr>
  </property>
  <property fmtid="{D5CDD505-2E9C-101B-9397-08002B2CF9AE}" pid="9" name="Sensitivity">
    <vt:lpwstr>UNCLASSIFIED - NO MARKING</vt:lpwstr>
  </property>
</Properties>
</file>