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D127" w14:textId="77777777" w:rsidR="00C660B8" w:rsidRDefault="00C660B8" w:rsidP="00C660B8">
      <w:pPr>
        <w:spacing w:before="120"/>
        <w:rPr>
          <w:rFonts w:ascii="Arial" w:hAnsi="Arial" w:cs="Arial"/>
        </w:rPr>
      </w:pPr>
      <w:bookmarkStart w:id="0" w:name="_Toc44738651"/>
      <w:bookmarkStart w:id="1" w:name="_GoBack"/>
      <w:bookmarkEnd w:id="1"/>
      <w:r>
        <w:rPr>
          <w:rFonts w:ascii="Arial" w:hAnsi="Arial" w:cs="Arial"/>
        </w:rPr>
        <w:t>Australian Capital Territory</w:t>
      </w:r>
    </w:p>
    <w:p w14:paraId="2AA09BB6" w14:textId="02FD460B" w:rsidR="00C660B8" w:rsidRDefault="00E71564" w:rsidP="00C660B8">
      <w:pPr>
        <w:pStyle w:val="Billname"/>
        <w:spacing w:before="700"/>
      </w:pPr>
      <w:r>
        <w:t xml:space="preserve">Security Industry </w:t>
      </w:r>
      <w:r w:rsidR="00C660B8">
        <w:t>Amendment Regulation 20</w:t>
      </w:r>
      <w:r>
        <w:t>20</w:t>
      </w:r>
      <w:r w:rsidR="00C660B8">
        <w:t xml:space="preserve"> </w:t>
      </w:r>
      <w:r w:rsidR="00C660B8" w:rsidRPr="005E77B7">
        <w:t xml:space="preserve">(No </w:t>
      </w:r>
      <w:r w:rsidR="00450E99">
        <w:t>1</w:t>
      </w:r>
      <w:r w:rsidR="00C660B8" w:rsidRPr="005E77B7">
        <w:t>)</w:t>
      </w:r>
    </w:p>
    <w:p w14:paraId="6E826716" w14:textId="06EA5E83" w:rsidR="00C660B8" w:rsidRDefault="00C660B8" w:rsidP="00C660B8">
      <w:pPr>
        <w:spacing w:before="340"/>
        <w:rPr>
          <w:rFonts w:ascii="Arial" w:hAnsi="Arial" w:cs="Arial"/>
          <w:b/>
          <w:bCs/>
        </w:rPr>
      </w:pPr>
      <w:r>
        <w:rPr>
          <w:rFonts w:ascii="Arial" w:hAnsi="Arial" w:cs="Arial"/>
          <w:b/>
          <w:bCs/>
        </w:rPr>
        <w:t>Subordinate law SL20</w:t>
      </w:r>
      <w:r w:rsidR="00E71564">
        <w:rPr>
          <w:rFonts w:ascii="Arial" w:hAnsi="Arial" w:cs="Arial"/>
          <w:b/>
          <w:bCs/>
        </w:rPr>
        <w:t>20</w:t>
      </w:r>
      <w:r>
        <w:rPr>
          <w:rFonts w:ascii="Arial" w:hAnsi="Arial" w:cs="Arial"/>
          <w:b/>
          <w:bCs/>
        </w:rPr>
        <w:t>–</w:t>
      </w:r>
      <w:r w:rsidR="00F42FA6">
        <w:rPr>
          <w:rFonts w:ascii="Arial" w:hAnsi="Arial" w:cs="Arial"/>
          <w:b/>
          <w:bCs/>
        </w:rPr>
        <w:t>25</w:t>
      </w:r>
    </w:p>
    <w:p w14:paraId="1BB9AC42" w14:textId="77777777" w:rsidR="00C660B8" w:rsidRDefault="00C660B8" w:rsidP="00C660B8">
      <w:pPr>
        <w:pStyle w:val="madeunder"/>
        <w:spacing w:before="300" w:after="0"/>
      </w:pPr>
      <w:r>
        <w:t xml:space="preserve">made under the  </w:t>
      </w:r>
    </w:p>
    <w:p w14:paraId="3D121DCB" w14:textId="2F667025" w:rsidR="00C660B8" w:rsidRDefault="00A6621F" w:rsidP="00737FDE">
      <w:pPr>
        <w:pStyle w:val="CoverActName"/>
        <w:spacing w:before="320" w:after="0"/>
        <w:rPr>
          <w:rFonts w:cs="Arial"/>
          <w:sz w:val="20"/>
        </w:rPr>
      </w:pPr>
      <w:r>
        <w:rPr>
          <w:rFonts w:cs="Arial"/>
          <w:i/>
          <w:iCs/>
          <w:sz w:val="20"/>
        </w:rPr>
        <w:t>Security Industry Act 2003</w:t>
      </w:r>
      <w:r w:rsidR="00C660B8">
        <w:rPr>
          <w:rFonts w:cs="Arial"/>
          <w:sz w:val="20"/>
        </w:rPr>
        <w:t xml:space="preserve"> </w:t>
      </w:r>
    </w:p>
    <w:p w14:paraId="7B0DC8F6" w14:textId="77777777" w:rsidR="00C660B8" w:rsidRDefault="00C660B8" w:rsidP="00C660B8">
      <w:pPr>
        <w:spacing w:before="360"/>
        <w:ind w:right="565"/>
        <w:rPr>
          <w:rFonts w:ascii="Arial" w:hAnsi="Arial" w:cs="Arial"/>
          <w:b/>
          <w:bCs/>
          <w:sz w:val="28"/>
          <w:szCs w:val="28"/>
        </w:rPr>
      </w:pPr>
      <w:r>
        <w:rPr>
          <w:rFonts w:ascii="Arial" w:hAnsi="Arial" w:cs="Arial"/>
          <w:b/>
          <w:bCs/>
          <w:sz w:val="28"/>
          <w:szCs w:val="28"/>
        </w:rPr>
        <w:t>EXPLANATORY STATEMENT</w:t>
      </w:r>
    </w:p>
    <w:p w14:paraId="5AE38BDD" w14:textId="77777777" w:rsidR="00C660B8" w:rsidRDefault="00C660B8" w:rsidP="00C660B8">
      <w:pPr>
        <w:pStyle w:val="N-line3"/>
        <w:pBdr>
          <w:bottom w:val="none" w:sz="0" w:space="0" w:color="auto"/>
        </w:pBdr>
      </w:pPr>
    </w:p>
    <w:p w14:paraId="667978EC" w14:textId="77777777" w:rsidR="00C660B8" w:rsidRDefault="00C660B8" w:rsidP="00C660B8">
      <w:pPr>
        <w:pStyle w:val="N-line3"/>
        <w:pBdr>
          <w:top w:val="single" w:sz="12" w:space="1" w:color="auto"/>
          <w:bottom w:val="none" w:sz="0" w:space="0" w:color="auto"/>
        </w:pBdr>
      </w:pPr>
    </w:p>
    <w:p w14:paraId="29FD585C" w14:textId="0DBE2D0B" w:rsidR="00AC7089" w:rsidRPr="00F30D66" w:rsidRDefault="007B72C3" w:rsidP="00B00FC1">
      <w:pPr>
        <w:spacing w:after="120"/>
        <w:rPr>
          <w:rFonts w:ascii="Arial" w:hAnsi="Arial" w:cs="Arial"/>
          <w:b/>
          <w:bCs/>
          <w:sz w:val="28"/>
          <w:szCs w:val="28"/>
        </w:rPr>
      </w:pPr>
      <w:r>
        <w:rPr>
          <w:rFonts w:ascii="Arial" w:hAnsi="Arial" w:cs="Arial"/>
          <w:b/>
          <w:bCs/>
          <w:sz w:val="28"/>
          <w:szCs w:val="28"/>
        </w:rPr>
        <w:t>Overview</w:t>
      </w:r>
    </w:p>
    <w:p w14:paraId="115C9093" w14:textId="77777777" w:rsidR="00AC7089" w:rsidRPr="00F30D66" w:rsidRDefault="00AC7089" w:rsidP="00AC7089">
      <w:pPr>
        <w:rPr>
          <w:rFonts w:ascii="Arial" w:hAnsi="Arial" w:cs="Arial"/>
          <w:b/>
          <w:bCs/>
        </w:rPr>
      </w:pPr>
    </w:p>
    <w:p w14:paraId="25F73285" w14:textId="729CF622" w:rsidR="00AC7089" w:rsidRPr="00F30D66" w:rsidRDefault="00966EB5" w:rsidP="00966EB5">
      <w:pPr>
        <w:rPr>
          <w:rFonts w:ascii="Arial" w:hAnsi="Arial" w:cs="Arial"/>
        </w:rPr>
      </w:pPr>
      <w:r w:rsidRPr="00F30D66">
        <w:rPr>
          <w:rFonts w:ascii="Arial" w:hAnsi="Arial" w:cs="Arial"/>
        </w:rPr>
        <w:t xml:space="preserve">The </w:t>
      </w:r>
      <w:r w:rsidRPr="00F30D66">
        <w:rPr>
          <w:rFonts w:ascii="Arial" w:hAnsi="Arial" w:cs="Arial"/>
          <w:i/>
          <w:iCs/>
        </w:rPr>
        <w:t>Security Industry Act 2003</w:t>
      </w:r>
      <w:r w:rsidRPr="00F30D66">
        <w:rPr>
          <w:rFonts w:ascii="Arial" w:hAnsi="Arial" w:cs="Arial"/>
        </w:rPr>
        <w:t xml:space="preserve"> (the Act) provides the overarching legislative framework for security licences in the Territory. </w:t>
      </w:r>
      <w:r w:rsidR="00AC7089" w:rsidRPr="00F30D66">
        <w:rPr>
          <w:rFonts w:ascii="Arial" w:hAnsi="Arial" w:cs="Arial"/>
        </w:rPr>
        <w:t xml:space="preserve">The </w:t>
      </w:r>
      <w:r w:rsidR="00450E99" w:rsidRPr="00F30D66">
        <w:rPr>
          <w:rFonts w:ascii="Arial" w:hAnsi="Arial" w:cs="Arial"/>
          <w:i/>
          <w:iCs/>
        </w:rPr>
        <w:t>Security Industry Regulation 2003</w:t>
      </w:r>
      <w:r w:rsidR="00450E99" w:rsidRPr="00F30D66">
        <w:rPr>
          <w:rFonts w:ascii="Arial" w:hAnsi="Arial" w:cs="Arial"/>
        </w:rPr>
        <w:t xml:space="preserve"> (the Regulation) has been made under </w:t>
      </w:r>
      <w:r w:rsidR="00AC7089" w:rsidRPr="00F30D66">
        <w:rPr>
          <w:rFonts w:ascii="Arial" w:hAnsi="Arial" w:cs="Arial"/>
        </w:rPr>
        <w:t>Section 52 of the Act</w:t>
      </w:r>
      <w:r w:rsidR="00AC7089" w:rsidRPr="00F30D66">
        <w:rPr>
          <w:rFonts w:ascii="Arial" w:hAnsi="Arial" w:cs="Arial"/>
          <w:i/>
          <w:iCs/>
        </w:rPr>
        <w:t>.</w:t>
      </w:r>
    </w:p>
    <w:p w14:paraId="6B452F69" w14:textId="3537993D" w:rsidR="00AC7089" w:rsidRPr="00F30D66" w:rsidRDefault="00AC7089" w:rsidP="00C660B8">
      <w:pPr>
        <w:rPr>
          <w:rFonts w:ascii="Arial" w:hAnsi="Arial" w:cs="Arial"/>
          <w:b/>
          <w:bCs/>
        </w:rPr>
      </w:pPr>
    </w:p>
    <w:p w14:paraId="73948920" w14:textId="4F289994" w:rsidR="00FF1AA8" w:rsidRPr="00F30D66" w:rsidRDefault="00450E99" w:rsidP="00FF1AA8">
      <w:pPr>
        <w:rPr>
          <w:rFonts w:ascii="Arial" w:hAnsi="Arial" w:cs="Arial"/>
        </w:rPr>
      </w:pPr>
      <w:r w:rsidRPr="00F30D66">
        <w:rPr>
          <w:rFonts w:ascii="Arial" w:hAnsi="Arial" w:cs="Arial"/>
        </w:rPr>
        <w:t xml:space="preserve">The Security Industry Amendment Regulation 2020 (No 1) (the Amendment Regulation) amends the Regulation to implement </w:t>
      </w:r>
      <w:r w:rsidR="00FF1AA8" w:rsidRPr="00F30D66">
        <w:rPr>
          <w:rFonts w:ascii="Arial" w:hAnsi="Arial" w:cs="Arial"/>
        </w:rPr>
        <w:t xml:space="preserve">new minimum security operations qualification requirements determined by Australian Skills Quality Authority (ASQA), the national regulator for Australia’s vocational education and training sector. </w:t>
      </w:r>
    </w:p>
    <w:p w14:paraId="6398AEBC" w14:textId="737458AE" w:rsidR="001955B2" w:rsidRPr="00F30D66" w:rsidRDefault="001955B2" w:rsidP="00FF1AA8">
      <w:pPr>
        <w:rPr>
          <w:rFonts w:ascii="Arial" w:hAnsi="Arial" w:cs="Arial"/>
        </w:rPr>
      </w:pPr>
    </w:p>
    <w:p w14:paraId="517B0B1D" w14:textId="3E0E599C" w:rsidR="001955B2" w:rsidRPr="00F30D66" w:rsidRDefault="001955B2" w:rsidP="00FF1AA8">
      <w:pPr>
        <w:rPr>
          <w:rFonts w:ascii="Arial" w:hAnsi="Arial" w:cs="Arial"/>
          <w:b/>
          <w:bCs/>
          <w:u w:val="single"/>
        </w:rPr>
      </w:pPr>
      <w:r w:rsidRPr="00F30D66">
        <w:rPr>
          <w:rFonts w:ascii="Arial" w:hAnsi="Arial" w:cs="Arial"/>
          <w:u w:val="single"/>
        </w:rPr>
        <w:t>Background</w:t>
      </w:r>
    </w:p>
    <w:p w14:paraId="2A93A4E4" w14:textId="6B6B27EC" w:rsidR="005D3132" w:rsidRPr="00F30D66" w:rsidRDefault="005D3132" w:rsidP="00C660B8">
      <w:pPr>
        <w:rPr>
          <w:rFonts w:ascii="Arial" w:hAnsi="Arial" w:cs="Arial"/>
        </w:rPr>
      </w:pPr>
    </w:p>
    <w:p w14:paraId="0ADAAF08" w14:textId="4EF9DF2B" w:rsidR="00D54884" w:rsidRPr="00F30D66" w:rsidRDefault="00D54884" w:rsidP="00D54884">
      <w:pPr>
        <w:rPr>
          <w:rFonts w:ascii="Arial" w:hAnsi="Arial" w:cs="Arial"/>
        </w:rPr>
      </w:pPr>
      <w:r w:rsidRPr="00F30D66">
        <w:rPr>
          <w:rFonts w:ascii="Arial" w:hAnsi="Arial" w:cs="Arial"/>
        </w:rPr>
        <w:t xml:space="preserve">In 2016, ASQA, initiated a strategic review into security training programs in Australia. The review was initiated in response to concerns raised in successive reports </w:t>
      </w:r>
      <w:bookmarkStart w:id="2" w:name="_Hlk41908453"/>
      <w:r w:rsidRPr="00F30D66">
        <w:rPr>
          <w:rFonts w:ascii="Arial" w:hAnsi="Arial" w:cs="Arial"/>
        </w:rPr>
        <w:t xml:space="preserve">by </w:t>
      </w:r>
      <w:r w:rsidR="00DE3C75">
        <w:rPr>
          <w:rFonts w:ascii="Arial" w:hAnsi="Arial" w:cs="Arial"/>
        </w:rPr>
        <w:t>c</w:t>
      </w:r>
      <w:r w:rsidRPr="00F30D66">
        <w:rPr>
          <w:rFonts w:ascii="Arial" w:hAnsi="Arial" w:cs="Arial"/>
        </w:rPr>
        <w:t xml:space="preserve">oroners investigating the deaths of patrons during, or as a result of, restraint or intervention by security personnel in the course of incident control, particularly around licensed premises. </w:t>
      </w:r>
    </w:p>
    <w:bookmarkEnd w:id="2"/>
    <w:p w14:paraId="36E19FF4" w14:textId="77777777" w:rsidR="00D54884" w:rsidRPr="00F30D66" w:rsidRDefault="00D54884" w:rsidP="00D54884">
      <w:pPr>
        <w:rPr>
          <w:rFonts w:ascii="Arial" w:hAnsi="Arial" w:cs="Arial"/>
        </w:rPr>
      </w:pPr>
    </w:p>
    <w:p w14:paraId="02797FFB" w14:textId="7DDA4BD7" w:rsidR="00D54884" w:rsidRPr="00F30D66" w:rsidRDefault="00D54884" w:rsidP="00D54884">
      <w:pPr>
        <w:rPr>
          <w:rFonts w:ascii="Arial" w:hAnsi="Arial" w:cs="Arial"/>
        </w:rPr>
      </w:pPr>
      <w:r w:rsidRPr="00F30D66">
        <w:rPr>
          <w:rFonts w:ascii="Arial" w:hAnsi="Arial" w:cs="Arial"/>
        </w:rPr>
        <w:t xml:space="preserve">In its review, ASQA highlighted that security services have been the subject of significant public scrutiny and that concerns about the security industry, including about the adequacy of training have been longstanding and persistent. </w:t>
      </w:r>
      <w:bookmarkStart w:id="3" w:name="_Hlk41908887"/>
      <w:r w:rsidRPr="00F30D66">
        <w:rPr>
          <w:rFonts w:ascii="Arial" w:hAnsi="Arial" w:cs="Arial"/>
        </w:rPr>
        <w:t>Another key finding included that people were crossing borders to attain licences in jurisdictions with fewer requirements, driving distortions in where training is occurring compared to where the jobs are, and that this potentially compromised public safety.</w:t>
      </w:r>
      <w:bookmarkEnd w:id="3"/>
      <w:r w:rsidRPr="00F30D66">
        <w:rPr>
          <w:rFonts w:ascii="Arial" w:hAnsi="Arial" w:cs="Arial"/>
        </w:rPr>
        <w:t xml:space="preserve"> A key recommendation arising from ASQA’s review was the need for licensing authorities from all jurisdictions to agree on a single set of qualifications and units to be used, to pave the way for consistent licensing arrangements. </w:t>
      </w:r>
    </w:p>
    <w:p w14:paraId="43F384B7" w14:textId="7037499A" w:rsidR="00D54884" w:rsidRPr="00F30D66" w:rsidRDefault="00D54884" w:rsidP="00D54884">
      <w:pPr>
        <w:rPr>
          <w:rFonts w:ascii="Arial" w:hAnsi="Arial" w:cs="Arial"/>
        </w:rPr>
      </w:pPr>
    </w:p>
    <w:p w14:paraId="0A2F6AE5" w14:textId="136C7C91" w:rsidR="00D54884" w:rsidRPr="00F30D66" w:rsidRDefault="00D54884" w:rsidP="00D54884">
      <w:pPr>
        <w:rPr>
          <w:rFonts w:ascii="Arial" w:hAnsi="Arial" w:cs="Arial"/>
        </w:rPr>
      </w:pPr>
      <w:r w:rsidRPr="00F30D66">
        <w:rPr>
          <w:rFonts w:ascii="Arial" w:hAnsi="Arial" w:cs="Arial"/>
        </w:rPr>
        <w:lastRenderedPageBreak/>
        <w:t xml:space="preserve">Following the national strategic review, Artibus Innovation (Artibus) was commissioned by the Australian Government and the Australian Industry and Skills Committee to strengthen the quality and safety of security training and assessment provided to learners to address the public safety concerns raised by Coroners. </w:t>
      </w:r>
    </w:p>
    <w:p w14:paraId="7D231C3C" w14:textId="77777777" w:rsidR="00D54884" w:rsidRPr="00F30D66" w:rsidRDefault="00D54884" w:rsidP="00D54884">
      <w:pPr>
        <w:rPr>
          <w:rFonts w:ascii="Arial" w:hAnsi="Arial" w:cs="Arial"/>
        </w:rPr>
      </w:pPr>
    </w:p>
    <w:p w14:paraId="1346F2FF" w14:textId="768DA7ED" w:rsidR="00294DCE" w:rsidRPr="00F30D66" w:rsidRDefault="00D54884" w:rsidP="00C660B8">
      <w:pPr>
        <w:rPr>
          <w:rFonts w:ascii="Arial" w:hAnsi="Arial" w:cs="Arial"/>
        </w:rPr>
      </w:pPr>
      <w:r w:rsidRPr="00F30D66">
        <w:rPr>
          <w:rFonts w:ascii="Arial" w:hAnsi="Arial" w:cs="Arial"/>
        </w:rPr>
        <w:t>Artibus consulted representatives from security regulators from States and Territories across Australia at the Security Industry Regulators Forum (SIRF) to develop a new set of units of competency and skill sets for the qualification of security officers. All jurisdictions ultimately agreed to adopt a set of minimum</w:t>
      </w:r>
      <w:r w:rsidR="001955B2" w:rsidRPr="00F30D66">
        <w:rPr>
          <w:rFonts w:ascii="Arial" w:hAnsi="Arial" w:cs="Arial"/>
        </w:rPr>
        <w:t xml:space="preserve"> </w:t>
      </w:r>
      <w:r w:rsidRPr="00F30D66">
        <w:rPr>
          <w:rFonts w:ascii="Arial" w:hAnsi="Arial" w:cs="Arial"/>
        </w:rPr>
        <w:t>qualification requirements set out in Release 8 of the CPP - Property Services Training Package (CPP08).</w:t>
      </w:r>
    </w:p>
    <w:p w14:paraId="16114CF7" w14:textId="77777777" w:rsidR="00D54884" w:rsidRPr="00F30D66" w:rsidRDefault="00D54884" w:rsidP="00C660B8">
      <w:pPr>
        <w:rPr>
          <w:rFonts w:ascii="Arial" w:hAnsi="Arial" w:cs="Arial"/>
        </w:rPr>
      </w:pPr>
    </w:p>
    <w:bookmarkEnd w:id="0"/>
    <w:p w14:paraId="2C1747A3" w14:textId="32D2C8CD" w:rsidR="00523749" w:rsidRPr="00F30D66" w:rsidRDefault="00C660B8" w:rsidP="00523749">
      <w:pPr>
        <w:rPr>
          <w:rFonts w:ascii="Arial" w:hAnsi="Arial" w:cs="Arial"/>
        </w:rPr>
      </w:pPr>
      <w:r w:rsidRPr="00F30D66">
        <w:rPr>
          <w:rFonts w:ascii="Arial" w:hAnsi="Arial" w:cs="Arial"/>
        </w:rPr>
        <w:t>Th</w:t>
      </w:r>
      <w:r w:rsidR="000D4A4F">
        <w:rPr>
          <w:rFonts w:ascii="Arial" w:hAnsi="Arial" w:cs="Arial"/>
        </w:rPr>
        <w:t>e</w:t>
      </w:r>
      <w:r w:rsidRPr="00F30D66">
        <w:rPr>
          <w:rFonts w:ascii="Arial" w:hAnsi="Arial" w:cs="Arial"/>
        </w:rPr>
        <w:t xml:space="preserve"> Regulation as in force immediately before the commencement of th</w:t>
      </w:r>
      <w:r w:rsidR="00294DCE" w:rsidRPr="00F30D66">
        <w:rPr>
          <w:rFonts w:ascii="Arial" w:hAnsi="Arial" w:cs="Arial"/>
        </w:rPr>
        <w:t xml:space="preserve">e Amendment Regulation </w:t>
      </w:r>
      <w:r w:rsidRPr="00F30D66">
        <w:rPr>
          <w:rFonts w:ascii="Arial" w:hAnsi="Arial" w:cs="Arial"/>
        </w:rPr>
        <w:t>is referred to as the pre-amendment regulation.</w:t>
      </w:r>
    </w:p>
    <w:p w14:paraId="74926642" w14:textId="77777777" w:rsidR="00523749" w:rsidRPr="00F30D66" w:rsidRDefault="00523749" w:rsidP="00523749">
      <w:pPr>
        <w:rPr>
          <w:rFonts w:ascii="Arial" w:hAnsi="Arial" w:cs="Arial"/>
        </w:rPr>
      </w:pPr>
    </w:p>
    <w:p w14:paraId="0174B476" w14:textId="04E003C1" w:rsidR="00523749" w:rsidRDefault="00C660B8" w:rsidP="00523749">
      <w:pPr>
        <w:rPr>
          <w:rFonts w:ascii="Arial" w:hAnsi="Arial" w:cs="Arial"/>
        </w:rPr>
      </w:pPr>
      <w:r w:rsidRPr="00F30D66">
        <w:rPr>
          <w:rFonts w:ascii="Arial" w:hAnsi="Arial" w:cs="Arial"/>
        </w:rPr>
        <w:t>The amendments in this</w:t>
      </w:r>
      <w:r w:rsidR="000D4A4F">
        <w:rPr>
          <w:rFonts w:ascii="Arial" w:hAnsi="Arial" w:cs="Arial"/>
        </w:rPr>
        <w:t xml:space="preserve"> Amendment</w:t>
      </w:r>
      <w:r w:rsidRPr="00F30D66">
        <w:rPr>
          <w:rFonts w:ascii="Arial" w:hAnsi="Arial" w:cs="Arial"/>
        </w:rPr>
        <w:t xml:space="preserve"> Regulation</w:t>
      </w:r>
      <w:r w:rsidR="00A6533C" w:rsidRPr="00F30D66">
        <w:rPr>
          <w:rFonts w:ascii="Arial" w:hAnsi="Arial" w:cs="Arial"/>
        </w:rPr>
        <w:t xml:space="preserve"> update the qualification requirements for the various subclasses of employee licenses set out in section 8, table 8 of the pre-amendment regulation. </w:t>
      </w:r>
      <w:r w:rsidR="00EB2271" w:rsidRPr="00F30D66">
        <w:rPr>
          <w:rFonts w:ascii="Arial" w:hAnsi="Arial" w:cs="Arial"/>
        </w:rPr>
        <w:t xml:space="preserve">The first aid training requirements </w:t>
      </w:r>
      <w:r w:rsidR="00E83EA2">
        <w:rPr>
          <w:rFonts w:ascii="Arial" w:hAnsi="Arial" w:cs="Arial"/>
        </w:rPr>
        <w:t xml:space="preserve">has been </w:t>
      </w:r>
      <w:r w:rsidR="00EB2271" w:rsidRPr="00F30D66">
        <w:rPr>
          <w:rFonts w:ascii="Arial" w:hAnsi="Arial" w:cs="Arial"/>
        </w:rPr>
        <w:t xml:space="preserve">retained for all the employee licence </w:t>
      </w:r>
      <w:r w:rsidR="00E83EA2">
        <w:rPr>
          <w:rFonts w:ascii="Arial" w:hAnsi="Arial" w:cs="Arial"/>
        </w:rPr>
        <w:t>subclasses</w:t>
      </w:r>
      <w:r w:rsidR="00EB2271" w:rsidRPr="00F30D66">
        <w:rPr>
          <w:rFonts w:ascii="Arial" w:hAnsi="Arial" w:cs="Arial"/>
        </w:rPr>
        <w:t>.</w:t>
      </w:r>
    </w:p>
    <w:p w14:paraId="2EDFE72A" w14:textId="77777777" w:rsidR="00C21CBC" w:rsidRPr="00F30D66" w:rsidRDefault="00C21CBC" w:rsidP="00523749">
      <w:pPr>
        <w:rPr>
          <w:rFonts w:ascii="Arial" w:hAnsi="Arial" w:cs="Arial"/>
        </w:rPr>
      </w:pPr>
    </w:p>
    <w:p w14:paraId="1C2B9127" w14:textId="77777777" w:rsidR="00C660B8" w:rsidRPr="00F30D66" w:rsidRDefault="00C660B8" w:rsidP="00C660B8">
      <w:pPr>
        <w:rPr>
          <w:rFonts w:ascii="Arial" w:hAnsi="Arial" w:cs="Arial"/>
          <w:szCs w:val="24"/>
        </w:rPr>
      </w:pPr>
    </w:p>
    <w:p w14:paraId="4E6C39FE" w14:textId="655CC810" w:rsidR="00C660B8" w:rsidRPr="00F30D66" w:rsidRDefault="00C660B8" w:rsidP="00C660B8">
      <w:pPr>
        <w:spacing w:after="120"/>
        <w:rPr>
          <w:rFonts w:ascii="Arial" w:hAnsi="Arial" w:cs="Arial"/>
          <w:b/>
          <w:bCs/>
          <w:sz w:val="28"/>
          <w:szCs w:val="28"/>
        </w:rPr>
      </w:pPr>
      <w:r w:rsidRPr="00F30D66">
        <w:rPr>
          <w:rFonts w:ascii="Arial" w:hAnsi="Arial" w:cs="Arial"/>
          <w:b/>
          <w:bCs/>
          <w:sz w:val="28"/>
          <w:szCs w:val="28"/>
        </w:rPr>
        <w:t xml:space="preserve">Human rights </w:t>
      </w:r>
      <w:r w:rsidR="00DC0504">
        <w:rPr>
          <w:rFonts w:ascii="Arial" w:hAnsi="Arial" w:cs="Arial"/>
          <w:b/>
          <w:bCs/>
          <w:sz w:val="28"/>
          <w:szCs w:val="28"/>
        </w:rPr>
        <w:t xml:space="preserve">compatibility </w:t>
      </w:r>
    </w:p>
    <w:p w14:paraId="06AFFECF" w14:textId="77777777" w:rsidR="00B60BD9" w:rsidRDefault="00B60BD9" w:rsidP="00C660B8">
      <w:pPr>
        <w:rPr>
          <w:rFonts w:ascii="Arial" w:hAnsi="Arial" w:cs="Arial"/>
        </w:rPr>
      </w:pPr>
    </w:p>
    <w:p w14:paraId="28F9A14A" w14:textId="27A8EC31" w:rsidR="00C660B8" w:rsidRDefault="00C660B8" w:rsidP="00C660B8">
      <w:pPr>
        <w:rPr>
          <w:rFonts w:ascii="Arial" w:hAnsi="Arial" w:cs="Arial"/>
        </w:rPr>
      </w:pPr>
      <w:r w:rsidRPr="00F30D66">
        <w:rPr>
          <w:rFonts w:ascii="Arial" w:hAnsi="Arial" w:cs="Arial"/>
        </w:rPr>
        <w:t xml:space="preserve">During the development of this </w:t>
      </w:r>
      <w:r w:rsidR="000D4A4F">
        <w:rPr>
          <w:rFonts w:ascii="Arial" w:hAnsi="Arial" w:cs="Arial"/>
        </w:rPr>
        <w:t xml:space="preserve">Amendment </w:t>
      </w:r>
      <w:r w:rsidRPr="00F30D66">
        <w:rPr>
          <w:rFonts w:ascii="Arial" w:hAnsi="Arial" w:cs="Arial"/>
        </w:rPr>
        <w:t xml:space="preserve">Regulation due regard was given to its compatibility with human rights as set out in the </w:t>
      </w:r>
      <w:r w:rsidRPr="00F30D66">
        <w:rPr>
          <w:rFonts w:ascii="Arial" w:hAnsi="Arial" w:cs="Arial"/>
          <w:i/>
          <w:iCs/>
        </w:rPr>
        <w:t>Human Rights Act 2004</w:t>
      </w:r>
      <w:r w:rsidRPr="00F30D66">
        <w:rPr>
          <w:rFonts w:ascii="Arial" w:hAnsi="Arial" w:cs="Arial"/>
        </w:rPr>
        <w:t xml:space="preserve"> (HRA).</w:t>
      </w:r>
    </w:p>
    <w:p w14:paraId="1679E999" w14:textId="5E03453B" w:rsidR="00D20346" w:rsidRDefault="00D20346" w:rsidP="00C660B8">
      <w:pPr>
        <w:rPr>
          <w:rFonts w:ascii="Arial" w:hAnsi="Arial" w:cs="Arial"/>
        </w:rPr>
      </w:pPr>
    </w:p>
    <w:p w14:paraId="3E83E08B" w14:textId="32A146BC" w:rsidR="00D20346" w:rsidRPr="00F240DB" w:rsidRDefault="00D20346" w:rsidP="00C660B8">
      <w:pPr>
        <w:rPr>
          <w:rFonts w:ascii="Arial" w:hAnsi="Arial" w:cs="Arial"/>
          <w:b/>
          <w:bCs/>
        </w:rPr>
      </w:pPr>
      <w:r w:rsidRPr="00F240DB">
        <w:rPr>
          <w:rFonts w:ascii="Arial" w:hAnsi="Arial" w:cs="Arial"/>
          <w:b/>
          <w:bCs/>
        </w:rPr>
        <w:t xml:space="preserve">Rights engaged </w:t>
      </w:r>
    </w:p>
    <w:p w14:paraId="0BAD4976" w14:textId="77777777" w:rsidR="00C660B8" w:rsidRPr="00F30D66" w:rsidRDefault="00C660B8" w:rsidP="00C660B8">
      <w:pPr>
        <w:rPr>
          <w:rFonts w:ascii="Arial" w:hAnsi="Arial" w:cs="Arial"/>
        </w:rPr>
      </w:pPr>
    </w:p>
    <w:p w14:paraId="15C534ED" w14:textId="0AFC8798" w:rsidR="00D27C30" w:rsidRDefault="00D27C30" w:rsidP="00997E4B">
      <w:pPr>
        <w:rPr>
          <w:rFonts w:ascii="Arial" w:hAnsi="Arial" w:cs="Arial"/>
          <w:i/>
          <w:iCs/>
        </w:rPr>
      </w:pPr>
      <w:r w:rsidRPr="00F240DB">
        <w:rPr>
          <w:rFonts w:ascii="Arial" w:hAnsi="Arial" w:cs="Arial"/>
          <w:i/>
          <w:iCs/>
        </w:rPr>
        <w:t xml:space="preserve">Right to life </w:t>
      </w:r>
    </w:p>
    <w:p w14:paraId="14EA76B6" w14:textId="77777777" w:rsidR="00D27C30" w:rsidRPr="00F240DB" w:rsidRDefault="00D27C30" w:rsidP="00997E4B">
      <w:pPr>
        <w:rPr>
          <w:rFonts w:ascii="Arial" w:hAnsi="Arial" w:cs="Arial"/>
          <w:i/>
          <w:iCs/>
        </w:rPr>
      </w:pPr>
    </w:p>
    <w:p w14:paraId="14C7E08E" w14:textId="64B1C73B" w:rsidR="00D20346" w:rsidRDefault="00D20346" w:rsidP="00997E4B">
      <w:pPr>
        <w:rPr>
          <w:rFonts w:ascii="Arial" w:hAnsi="Arial" w:cs="Arial"/>
        </w:rPr>
      </w:pPr>
      <w:r>
        <w:rPr>
          <w:rFonts w:ascii="Arial" w:hAnsi="Arial" w:cs="Arial"/>
        </w:rPr>
        <w:t xml:space="preserve">As noted above, concerns had previously been raised by </w:t>
      </w:r>
      <w:r w:rsidR="00DE3C75">
        <w:rPr>
          <w:rFonts w:ascii="Arial" w:hAnsi="Arial" w:cs="Arial"/>
        </w:rPr>
        <w:t>c</w:t>
      </w:r>
      <w:r>
        <w:rPr>
          <w:rFonts w:ascii="Arial" w:hAnsi="Arial" w:cs="Arial"/>
        </w:rPr>
        <w:t xml:space="preserve">oroners’ </w:t>
      </w:r>
      <w:r w:rsidR="004639FE" w:rsidRPr="004639FE">
        <w:rPr>
          <w:rFonts w:ascii="Arial" w:hAnsi="Arial" w:cs="Arial"/>
        </w:rPr>
        <w:t>about the quality of training courses for security officers across Australian jurisdictions</w:t>
      </w:r>
      <w:r w:rsidR="004639FE">
        <w:rPr>
          <w:rFonts w:ascii="Arial" w:hAnsi="Arial" w:cs="Arial"/>
        </w:rPr>
        <w:t>,</w:t>
      </w:r>
      <w:r w:rsidR="004639FE" w:rsidRPr="004639FE">
        <w:rPr>
          <w:rFonts w:ascii="Arial" w:hAnsi="Arial" w:cs="Arial"/>
        </w:rPr>
        <w:t xml:space="preserve"> </w:t>
      </w:r>
      <w:r w:rsidR="004639FE">
        <w:rPr>
          <w:rFonts w:ascii="Arial" w:hAnsi="Arial" w:cs="Arial"/>
        </w:rPr>
        <w:t xml:space="preserve">in the course of </w:t>
      </w:r>
      <w:r w:rsidRPr="00D20346">
        <w:rPr>
          <w:rFonts w:ascii="Arial" w:hAnsi="Arial" w:cs="Arial"/>
        </w:rPr>
        <w:t xml:space="preserve">investigating the deaths of </w:t>
      </w:r>
      <w:r w:rsidR="00D27C30">
        <w:rPr>
          <w:rFonts w:ascii="Arial" w:hAnsi="Arial" w:cs="Arial"/>
        </w:rPr>
        <w:t>individuals that occurred as</w:t>
      </w:r>
      <w:r w:rsidRPr="00D20346">
        <w:rPr>
          <w:rFonts w:ascii="Arial" w:hAnsi="Arial" w:cs="Arial"/>
        </w:rPr>
        <w:t xml:space="preserve"> a result of intervention by security personnel.</w:t>
      </w:r>
      <w:r w:rsidR="00D27C30">
        <w:rPr>
          <w:rFonts w:ascii="Arial" w:hAnsi="Arial" w:cs="Arial"/>
        </w:rPr>
        <w:t xml:space="preserve"> </w:t>
      </w:r>
      <w:r w:rsidR="004639FE">
        <w:rPr>
          <w:rFonts w:ascii="Arial" w:hAnsi="Arial" w:cs="Arial"/>
        </w:rPr>
        <w:t xml:space="preserve"> </w:t>
      </w:r>
      <w:r w:rsidR="00D27C30" w:rsidRPr="00D27C30">
        <w:rPr>
          <w:rFonts w:ascii="Arial" w:hAnsi="Arial" w:cs="Arial"/>
        </w:rPr>
        <w:t>This Amendment Regulation engages and promotes the right to life under section 9 of the HRA by updating training requirements in-line with minimum training standards and the agreed national approach.</w:t>
      </w:r>
    </w:p>
    <w:p w14:paraId="7977357F" w14:textId="6D4C3F86" w:rsidR="00D27C30" w:rsidRDefault="00D27C30" w:rsidP="00997E4B">
      <w:pPr>
        <w:rPr>
          <w:rFonts w:ascii="Arial" w:hAnsi="Arial" w:cs="Arial"/>
        </w:rPr>
      </w:pPr>
    </w:p>
    <w:p w14:paraId="212DE84D" w14:textId="2DF87356" w:rsidR="00D27C30" w:rsidRPr="00F240DB" w:rsidRDefault="00D27C30" w:rsidP="00997E4B">
      <w:pPr>
        <w:rPr>
          <w:rFonts w:ascii="Arial" w:hAnsi="Arial" w:cs="Arial"/>
          <w:i/>
          <w:iCs/>
        </w:rPr>
      </w:pPr>
      <w:r w:rsidRPr="00F240DB">
        <w:rPr>
          <w:rFonts w:ascii="Arial" w:hAnsi="Arial" w:cs="Arial"/>
          <w:i/>
          <w:iCs/>
        </w:rPr>
        <w:t xml:space="preserve">Right to equality and non-discrimination </w:t>
      </w:r>
    </w:p>
    <w:p w14:paraId="72252CCF" w14:textId="1734F39E" w:rsidR="004639FE" w:rsidRDefault="004639FE" w:rsidP="00997E4B">
      <w:pPr>
        <w:rPr>
          <w:rFonts w:ascii="Arial" w:hAnsi="Arial" w:cs="Arial"/>
        </w:rPr>
      </w:pPr>
    </w:p>
    <w:p w14:paraId="4EA96F89" w14:textId="743167B8" w:rsidR="00D27C30" w:rsidRDefault="00D27C30" w:rsidP="00AA5635">
      <w:pPr>
        <w:rPr>
          <w:rFonts w:ascii="Arial" w:hAnsi="Arial" w:cs="Arial"/>
          <w:szCs w:val="24"/>
          <w:lang w:eastAsia="en-AU"/>
        </w:rPr>
      </w:pPr>
      <w:r>
        <w:rPr>
          <w:rFonts w:ascii="Arial" w:hAnsi="Arial" w:cs="Arial"/>
        </w:rPr>
        <w:t>T</w:t>
      </w:r>
      <w:r w:rsidR="004639FE">
        <w:rPr>
          <w:rFonts w:ascii="Arial" w:hAnsi="Arial" w:cs="Arial"/>
        </w:rPr>
        <w:t xml:space="preserve">he right to equality and non-discrimination (section 8 of the HRA) is not engaged or limited by the Regulation. </w:t>
      </w:r>
      <w:r w:rsidR="00C660B8" w:rsidRPr="00F30D66">
        <w:rPr>
          <w:rFonts w:ascii="Arial" w:hAnsi="Arial" w:cs="Arial"/>
          <w:szCs w:val="24"/>
          <w:lang w:eastAsia="en-AU"/>
        </w:rPr>
        <w:t>Section 8</w:t>
      </w:r>
      <w:r w:rsidR="00DC0504">
        <w:rPr>
          <w:rFonts w:ascii="Arial" w:hAnsi="Arial" w:cs="Arial"/>
          <w:szCs w:val="24"/>
          <w:lang w:eastAsia="en-AU"/>
        </w:rPr>
        <w:t>(2)-(3)</w:t>
      </w:r>
      <w:r w:rsidR="00C660B8" w:rsidRPr="00F30D66">
        <w:rPr>
          <w:rFonts w:ascii="Arial" w:hAnsi="Arial" w:cs="Arial"/>
          <w:szCs w:val="24"/>
          <w:lang w:eastAsia="en-AU"/>
        </w:rPr>
        <w:t xml:space="preserve"> of the HRA </w:t>
      </w:r>
      <w:r w:rsidR="004639FE">
        <w:rPr>
          <w:rFonts w:ascii="Arial" w:hAnsi="Arial" w:cs="Arial"/>
          <w:szCs w:val="24"/>
          <w:lang w:eastAsia="en-AU"/>
        </w:rPr>
        <w:t xml:space="preserve">relevantly </w:t>
      </w:r>
      <w:r w:rsidR="00C660B8" w:rsidRPr="00F30D66">
        <w:rPr>
          <w:rFonts w:ascii="Arial" w:hAnsi="Arial" w:cs="Arial"/>
          <w:szCs w:val="24"/>
          <w:lang w:eastAsia="en-AU"/>
        </w:rPr>
        <w:t>provide</w:t>
      </w:r>
      <w:r>
        <w:rPr>
          <w:rFonts w:ascii="Arial" w:hAnsi="Arial" w:cs="Arial"/>
          <w:szCs w:val="24"/>
          <w:lang w:eastAsia="en-AU"/>
        </w:rPr>
        <w:t>s</w:t>
      </w:r>
      <w:r w:rsidR="00C660B8" w:rsidRPr="00F30D66">
        <w:rPr>
          <w:rFonts w:ascii="Arial" w:hAnsi="Arial" w:cs="Arial"/>
          <w:szCs w:val="24"/>
          <w:lang w:eastAsia="en-AU"/>
        </w:rPr>
        <w:t xml:space="preserve"> that everyone is entitled to equal and effective protection against discrimination, and to enjoy their human rights without discrimination. </w:t>
      </w:r>
    </w:p>
    <w:p w14:paraId="7FBC2338" w14:textId="6FA01759" w:rsidR="00DC0504" w:rsidRDefault="00DC0504" w:rsidP="00AA5635">
      <w:pPr>
        <w:rPr>
          <w:rFonts w:ascii="Arial" w:hAnsi="Arial" w:cs="Arial"/>
          <w:szCs w:val="24"/>
          <w:lang w:eastAsia="en-AU"/>
        </w:rPr>
      </w:pPr>
    </w:p>
    <w:p w14:paraId="65C6AF75" w14:textId="77777777" w:rsidR="00D27C30" w:rsidRDefault="00DC0504" w:rsidP="00C660B8">
      <w:pPr>
        <w:rPr>
          <w:rFonts w:ascii="Arial" w:hAnsi="Arial" w:cs="Arial"/>
          <w:szCs w:val="24"/>
          <w:lang w:eastAsia="en-AU"/>
        </w:rPr>
      </w:pPr>
      <w:r w:rsidRPr="00DC0504">
        <w:rPr>
          <w:rFonts w:ascii="Arial" w:hAnsi="Arial" w:cs="Arial"/>
          <w:szCs w:val="24"/>
          <w:lang w:eastAsia="en-AU"/>
        </w:rPr>
        <w:t xml:space="preserve">The term ‘discrimination’ encompasses any distinction or exclusion which is based on certain protected grounds (such as, race, colour, sex, sexual </w:t>
      </w:r>
      <w:r w:rsidRPr="00DC0504">
        <w:rPr>
          <w:rFonts w:ascii="Arial" w:hAnsi="Arial" w:cs="Arial"/>
          <w:szCs w:val="24"/>
          <w:lang w:eastAsia="en-AU"/>
        </w:rPr>
        <w:lastRenderedPageBreak/>
        <w:t>orientation, language, religion, political or other opinion, national or social origin, property, birth, disability or ‘other status’), and which has the purpose (direct discrimination) or effect (indirect discrimination) of nullifying or impairing the recognition, enjoyment or exercise, on an equal footing, of rights and freedoms.</w:t>
      </w:r>
      <w:r w:rsidRPr="00DC0504">
        <w:rPr>
          <w:rFonts w:ascii="Arial" w:hAnsi="Arial" w:cs="Arial"/>
          <w:szCs w:val="24"/>
          <w:vertAlign w:val="superscript"/>
          <w:lang w:eastAsia="en-AU"/>
        </w:rPr>
        <w:footnoteReference w:id="1"/>
      </w:r>
      <w:r w:rsidRPr="00DC0504">
        <w:rPr>
          <w:rFonts w:ascii="Arial" w:hAnsi="Arial" w:cs="Arial"/>
          <w:szCs w:val="24"/>
          <w:lang w:eastAsia="en-AU"/>
        </w:rPr>
        <w:t xml:space="preserve"> That is, not every differential treatment will amount to discrimination as it must be linked to a prohibited ground of discrimination.</w:t>
      </w:r>
      <w:r w:rsidRPr="00DC0504">
        <w:rPr>
          <w:rFonts w:ascii="Arial" w:hAnsi="Arial" w:cs="Arial"/>
          <w:szCs w:val="24"/>
          <w:vertAlign w:val="superscript"/>
          <w:lang w:eastAsia="en-AU"/>
        </w:rPr>
        <w:footnoteReference w:id="2"/>
      </w:r>
      <w:r>
        <w:rPr>
          <w:rFonts w:ascii="Arial" w:hAnsi="Arial" w:cs="Arial"/>
          <w:szCs w:val="24"/>
          <w:lang w:eastAsia="en-AU"/>
        </w:rPr>
        <w:t xml:space="preserve"> </w:t>
      </w:r>
    </w:p>
    <w:p w14:paraId="264B844F" w14:textId="77777777" w:rsidR="00D27C30" w:rsidRDefault="00D27C30" w:rsidP="00C660B8">
      <w:pPr>
        <w:rPr>
          <w:rFonts w:ascii="Arial" w:hAnsi="Arial" w:cs="Arial"/>
          <w:szCs w:val="24"/>
          <w:lang w:eastAsia="en-AU"/>
        </w:rPr>
      </w:pPr>
    </w:p>
    <w:p w14:paraId="5688249D" w14:textId="509EC50A" w:rsidR="003B7C36" w:rsidRDefault="00DC0504" w:rsidP="00C660B8">
      <w:pPr>
        <w:rPr>
          <w:rFonts w:ascii="Arial" w:hAnsi="Arial" w:cs="Arial"/>
          <w:szCs w:val="24"/>
          <w:lang w:eastAsia="en-AU"/>
        </w:rPr>
      </w:pPr>
      <w:r>
        <w:rPr>
          <w:rFonts w:ascii="Arial" w:hAnsi="Arial" w:cs="Arial"/>
          <w:szCs w:val="24"/>
          <w:lang w:eastAsia="en-AU"/>
        </w:rPr>
        <w:t xml:space="preserve">While the </w:t>
      </w:r>
      <w:bookmarkStart w:id="4" w:name="_Hlk25926687"/>
      <w:r w:rsidR="00C660B8" w:rsidRPr="00E54480">
        <w:rPr>
          <w:rFonts w:ascii="Arial" w:hAnsi="Arial" w:cs="Arial"/>
          <w:szCs w:val="24"/>
          <w:lang w:eastAsia="en-AU"/>
        </w:rPr>
        <w:t xml:space="preserve">new </w:t>
      </w:r>
      <w:r w:rsidR="00C34AC8">
        <w:rPr>
          <w:rFonts w:ascii="Arial" w:hAnsi="Arial" w:cs="Arial"/>
          <w:szCs w:val="24"/>
          <w:lang w:eastAsia="en-AU"/>
        </w:rPr>
        <w:t>training</w:t>
      </w:r>
      <w:r w:rsidR="003B7C36" w:rsidRPr="00E54480">
        <w:rPr>
          <w:rFonts w:ascii="Arial" w:hAnsi="Arial" w:cs="Arial"/>
          <w:szCs w:val="24"/>
          <w:lang w:eastAsia="en-AU"/>
        </w:rPr>
        <w:t xml:space="preserve"> requirements </w:t>
      </w:r>
      <w:r w:rsidR="00520064" w:rsidRPr="00E54480">
        <w:rPr>
          <w:rFonts w:ascii="Arial" w:hAnsi="Arial" w:cs="Arial"/>
          <w:szCs w:val="24"/>
          <w:lang w:eastAsia="en-AU"/>
        </w:rPr>
        <w:t xml:space="preserve">will only apply to </w:t>
      </w:r>
      <w:r w:rsidR="00E54480" w:rsidRPr="00E54480">
        <w:rPr>
          <w:rFonts w:ascii="Arial" w:hAnsi="Arial" w:cs="Arial"/>
          <w:szCs w:val="24"/>
          <w:lang w:eastAsia="en-AU"/>
        </w:rPr>
        <w:t xml:space="preserve">a select </w:t>
      </w:r>
      <w:r w:rsidR="00520064" w:rsidRPr="00E54480">
        <w:rPr>
          <w:rFonts w:ascii="Arial" w:hAnsi="Arial" w:cs="Arial"/>
          <w:szCs w:val="24"/>
          <w:lang w:eastAsia="en-AU"/>
        </w:rPr>
        <w:t>group of people</w:t>
      </w:r>
      <w:r w:rsidR="004D591A">
        <w:rPr>
          <w:rFonts w:ascii="Arial" w:hAnsi="Arial" w:cs="Arial"/>
          <w:szCs w:val="24"/>
          <w:lang w:eastAsia="en-AU"/>
        </w:rPr>
        <w:t xml:space="preserve"> from 1 July 2020</w:t>
      </w:r>
      <w:r w:rsidR="001D082F">
        <w:rPr>
          <w:rFonts w:ascii="Arial" w:hAnsi="Arial" w:cs="Arial"/>
          <w:szCs w:val="24"/>
          <w:lang w:eastAsia="en-AU"/>
        </w:rPr>
        <w:t>,</w:t>
      </w:r>
      <w:r>
        <w:rPr>
          <w:rFonts w:ascii="Arial" w:hAnsi="Arial" w:cs="Arial"/>
          <w:szCs w:val="24"/>
          <w:lang w:eastAsia="en-AU"/>
        </w:rPr>
        <w:t xml:space="preserve"> this differential treatment is not linked to any grounds of discrimination. </w:t>
      </w:r>
      <w:r w:rsidR="00D27C30">
        <w:rPr>
          <w:rFonts w:ascii="Arial" w:hAnsi="Arial" w:cs="Arial"/>
          <w:szCs w:val="24"/>
          <w:lang w:eastAsia="en-AU"/>
        </w:rPr>
        <w:t>The training requirements will apply to:</w:t>
      </w:r>
    </w:p>
    <w:p w14:paraId="342B9200" w14:textId="77777777" w:rsidR="007F2152" w:rsidRDefault="007F2152" w:rsidP="00C660B8">
      <w:pPr>
        <w:rPr>
          <w:rFonts w:ascii="Arial" w:hAnsi="Arial" w:cs="Arial"/>
          <w:szCs w:val="24"/>
          <w:lang w:eastAsia="en-AU"/>
        </w:rPr>
      </w:pPr>
    </w:p>
    <w:p w14:paraId="3459C941" w14:textId="74C4B94A" w:rsidR="007F2152" w:rsidRDefault="007F2152" w:rsidP="00C660B8">
      <w:pPr>
        <w:pStyle w:val="ListParagraph"/>
        <w:numPr>
          <w:ilvl w:val="0"/>
          <w:numId w:val="22"/>
        </w:numPr>
        <w:rPr>
          <w:rFonts w:ascii="Arial" w:hAnsi="Arial" w:cs="Arial"/>
          <w:szCs w:val="24"/>
          <w:lang w:eastAsia="en-AU"/>
        </w:rPr>
      </w:pPr>
      <w:r w:rsidRPr="007F2152">
        <w:rPr>
          <w:rFonts w:ascii="Arial" w:hAnsi="Arial" w:cs="Arial"/>
          <w:szCs w:val="24"/>
          <w:lang w:eastAsia="en-AU"/>
        </w:rPr>
        <w:t xml:space="preserve">security officers </w:t>
      </w:r>
      <w:r>
        <w:rPr>
          <w:rFonts w:ascii="Arial" w:hAnsi="Arial" w:cs="Arial"/>
          <w:szCs w:val="24"/>
          <w:lang w:eastAsia="en-AU"/>
        </w:rPr>
        <w:t xml:space="preserve">who </w:t>
      </w:r>
      <w:r w:rsidRPr="007F2152">
        <w:rPr>
          <w:rFonts w:ascii="Arial" w:hAnsi="Arial" w:cs="Arial"/>
          <w:szCs w:val="24"/>
          <w:lang w:eastAsia="en-AU"/>
        </w:rPr>
        <w:t xml:space="preserve">allow their </w:t>
      </w:r>
      <w:r w:rsidR="00907E7E">
        <w:rPr>
          <w:rFonts w:ascii="Arial" w:hAnsi="Arial" w:cs="Arial"/>
          <w:szCs w:val="24"/>
          <w:lang w:eastAsia="en-AU"/>
        </w:rPr>
        <w:t xml:space="preserve">subclass of </w:t>
      </w:r>
      <w:r w:rsidR="00E722AF">
        <w:rPr>
          <w:rFonts w:ascii="Arial" w:hAnsi="Arial" w:cs="Arial"/>
          <w:szCs w:val="24"/>
          <w:lang w:eastAsia="en-AU"/>
        </w:rPr>
        <w:t xml:space="preserve">employee </w:t>
      </w:r>
      <w:r w:rsidRPr="007F2152">
        <w:rPr>
          <w:rFonts w:ascii="Arial" w:hAnsi="Arial" w:cs="Arial"/>
          <w:szCs w:val="24"/>
          <w:lang w:eastAsia="en-AU"/>
        </w:rPr>
        <w:t xml:space="preserve">licence to lapse </w:t>
      </w:r>
      <w:r>
        <w:rPr>
          <w:rFonts w:ascii="Arial" w:hAnsi="Arial" w:cs="Arial"/>
          <w:szCs w:val="24"/>
          <w:lang w:eastAsia="en-AU"/>
        </w:rPr>
        <w:t xml:space="preserve">for </w:t>
      </w:r>
      <w:r w:rsidRPr="003B7C36">
        <w:rPr>
          <w:rFonts w:ascii="Arial" w:hAnsi="Arial" w:cs="Arial"/>
          <w:szCs w:val="24"/>
          <w:lang w:eastAsia="en-AU"/>
        </w:rPr>
        <w:t>more than 12 months after its expiry</w:t>
      </w:r>
      <w:r w:rsidR="005F73CF">
        <w:rPr>
          <w:rFonts w:ascii="Arial" w:hAnsi="Arial" w:cs="Arial"/>
          <w:szCs w:val="24"/>
          <w:lang w:eastAsia="en-AU"/>
        </w:rPr>
        <w:t>;</w:t>
      </w:r>
    </w:p>
    <w:p w14:paraId="5083B9B5" w14:textId="145C463A" w:rsidR="007F2152" w:rsidRPr="007917A8" w:rsidRDefault="00802F1B" w:rsidP="007917A8">
      <w:pPr>
        <w:pStyle w:val="ListParagraph"/>
        <w:numPr>
          <w:ilvl w:val="0"/>
          <w:numId w:val="22"/>
        </w:numPr>
        <w:rPr>
          <w:rFonts w:ascii="Arial" w:hAnsi="Arial" w:cs="Arial"/>
          <w:szCs w:val="24"/>
          <w:lang w:eastAsia="en-AU"/>
        </w:rPr>
      </w:pPr>
      <w:r>
        <w:rPr>
          <w:rFonts w:ascii="Arial" w:hAnsi="Arial" w:cs="Arial"/>
          <w:szCs w:val="24"/>
          <w:lang w:eastAsia="en-AU"/>
        </w:rPr>
        <w:t>s</w:t>
      </w:r>
      <w:r w:rsidRPr="00802F1B">
        <w:rPr>
          <w:rFonts w:ascii="Arial" w:hAnsi="Arial" w:cs="Arial"/>
          <w:szCs w:val="24"/>
          <w:lang w:eastAsia="en-AU"/>
        </w:rPr>
        <w:t>ecurity officers who hold a</w:t>
      </w:r>
      <w:r w:rsidR="00520064">
        <w:rPr>
          <w:rFonts w:ascii="Arial" w:hAnsi="Arial" w:cs="Arial"/>
          <w:szCs w:val="24"/>
          <w:lang w:eastAsia="en-AU"/>
        </w:rPr>
        <w:t xml:space="preserve"> current</w:t>
      </w:r>
      <w:r w:rsidRPr="00802F1B">
        <w:rPr>
          <w:rFonts w:ascii="Arial" w:hAnsi="Arial" w:cs="Arial"/>
          <w:szCs w:val="24"/>
          <w:lang w:eastAsia="en-AU"/>
        </w:rPr>
        <w:t xml:space="preserve"> </w:t>
      </w:r>
      <w:r w:rsidR="00907E7E">
        <w:rPr>
          <w:rFonts w:ascii="Arial" w:hAnsi="Arial" w:cs="Arial"/>
          <w:szCs w:val="24"/>
          <w:lang w:eastAsia="en-AU"/>
        </w:rPr>
        <w:t xml:space="preserve">subclass of employee </w:t>
      </w:r>
      <w:r w:rsidR="00907E7E" w:rsidRPr="007F2152">
        <w:rPr>
          <w:rFonts w:ascii="Arial" w:hAnsi="Arial" w:cs="Arial"/>
          <w:szCs w:val="24"/>
          <w:lang w:eastAsia="en-AU"/>
        </w:rPr>
        <w:t>licence</w:t>
      </w:r>
      <w:r w:rsidRPr="00802F1B">
        <w:rPr>
          <w:rFonts w:ascii="Arial" w:hAnsi="Arial" w:cs="Arial"/>
          <w:szCs w:val="24"/>
          <w:lang w:eastAsia="en-AU"/>
        </w:rPr>
        <w:t xml:space="preserve"> but who wish to obtain an additional licence in a different subclass will need to complete additional training for that additional licence</w:t>
      </w:r>
      <w:r w:rsidR="005F73CF">
        <w:rPr>
          <w:rFonts w:ascii="Arial" w:hAnsi="Arial" w:cs="Arial"/>
          <w:szCs w:val="24"/>
          <w:lang w:eastAsia="en-AU"/>
        </w:rPr>
        <w:t xml:space="preserve">; and </w:t>
      </w:r>
    </w:p>
    <w:p w14:paraId="2A4B450F" w14:textId="1395764D" w:rsidR="003B7C36" w:rsidRDefault="003B7C36" w:rsidP="00C660B8">
      <w:pPr>
        <w:pStyle w:val="ListParagraph"/>
        <w:numPr>
          <w:ilvl w:val="0"/>
          <w:numId w:val="22"/>
        </w:numPr>
        <w:rPr>
          <w:rFonts w:ascii="Arial" w:hAnsi="Arial" w:cs="Arial"/>
          <w:szCs w:val="24"/>
          <w:lang w:eastAsia="en-AU"/>
        </w:rPr>
      </w:pPr>
      <w:r w:rsidRPr="003B7C36">
        <w:rPr>
          <w:rFonts w:ascii="Arial" w:hAnsi="Arial" w:cs="Arial"/>
          <w:szCs w:val="24"/>
          <w:lang w:eastAsia="en-AU"/>
        </w:rPr>
        <w:t xml:space="preserve">those </w:t>
      </w:r>
      <w:r w:rsidR="007F2152">
        <w:rPr>
          <w:rFonts w:ascii="Arial" w:hAnsi="Arial" w:cs="Arial"/>
          <w:szCs w:val="24"/>
          <w:lang w:eastAsia="en-AU"/>
        </w:rPr>
        <w:t>who have not previously held</w:t>
      </w:r>
      <w:r w:rsidRPr="003B7C36">
        <w:rPr>
          <w:rFonts w:ascii="Arial" w:hAnsi="Arial" w:cs="Arial"/>
          <w:szCs w:val="24"/>
          <w:lang w:eastAsia="en-AU"/>
        </w:rPr>
        <w:t xml:space="preserve"> </w:t>
      </w:r>
      <w:r w:rsidR="00EF2F63">
        <w:rPr>
          <w:rFonts w:ascii="Arial" w:hAnsi="Arial" w:cs="Arial"/>
          <w:szCs w:val="24"/>
          <w:lang w:eastAsia="en-AU"/>
        </w:rPr>
        <w:t>a</w:t>
      </w:r>
      <w:r w:rsidRPr="003B7C36">
        <w:rPr>
          <w:rFonts w:ascii="Arial" w:hAnsi="Arial" w:cs="Arial"/>
          <w:szCs w:val="24"/>
          <w:lang w:eastAsia="en-AU"/>
        </w:rPr>
        <w:t xml:space="preserve"> </w:t>
      </w:r>
      <w:r w:rsidR="00EF2F63">
        <w:rPr>
          <w:rFonts w:ascii="Arial" w:hAnsi="Arial" w:cs="Arial"/>
          <w:szCs w:val="24"/>
          <w:lang w:eastAsia="en-AU"/>
        </w:rPr>
        <w:t xml:space="preserve">subclass of employee </w:t>
      </w:r>
      <w:r w:rsidR="00EF2F63" w:rsidRPr="007F2152">
        <w:rPr>
          <w:rFonts w:ascii="Arial" w:hAnsi="Arial" w:cs="Arial"/>
          <w:szCs w:val="24"/>
          <w:lang w:eastAsia="en-AU"/>
        </w:rPr>
        <w:t>licence</w:t>
      </w:r>
      <w:r w:rsidR="007917A8">
        <w:rPr>
          <w:rFonts w:ascii="Arial" w:hAnsi="Arial" w:cs="Arial"/>
          <w:szCs w:val="24"/>
          <w:lang w:eastAsia="en-AU"/>
        </w:rPr>
        <w:t xml:space="preserve">. </w:t>
      </w:r>
    </w:p>
    <w:p w14:paraId="29438176" w14:textId="77777777" w:rsidR="00C660B8" w:rsidRPr="00F30D66" w:rsidRDefault="00C660B8" w:rsidP="00C660B8">
      <w:pPr>
        <w:rPr>
          <w:rFonts w:ascii="Arial" w:hAnsi="Arial" w:cs="Arial"/>
          <w:highlight w:val="yellow"/>
        </w:rPr>
      </w:pPr>
    </w:p>
    <w:p w14:paraId="18A87A1A" w14:textId="35A20CFA" w:rsidR="002E4804" w:rsidRPr="007A3E18" w:rsidRDefault="00D27C30" w:rsidP="00C660B8">
      <w:pPr>
        <w:tabs>
          <w:tab w:val="left" w:pos="2600"/>
        </w:tabs>
        <w:autoSpaceDE w:val="0"/>
        <w:autoSpaceDN w:val="0"/>
        <w:adjustRightInd w:val="0"/>
        <w:spacing w:after="120"/>
        <w:rPr>
          <w:rFonts w:ascii="Arial" w:hAnsi="Arial" w:cs="Arial"/>
        </w:rPr>
      </w:pPr>
      <w:r w:rsidRPr="00F240DB">
        <w:rPr>
          <w:rFonts w:ascii="Arial" w:hAnsi="Arial" w:cs="Arial"/>
        </w:rPr>
        <w:t xml:space="preserve">In this respect, the differential treatment is based on reasonable and objective criteria. </w:t>
      </w:r>
      <w:r w:rsidR="003C6748">
        <w:rPr>
          <w:rFonts w:ascii="Arial" w:hAnsi="Arial" w:cs="Arial"/>
        </w:rPr>
        <w:t>Th</w:t>
      </w:r>
      <w:r w:rsidR="00450A97">
        <w:rPr>
          <w:rFonts w:ascii="Arial" w:hAnsi="Arial" w:cs="Arial"/>
        </w:rPr>
        <w:t>e</w:t>
      </w:r>
      <w:r w:rsidR="003C6748">
        <w:rPr>
          <w:rFonts w:ascii="Arial" w:hAnsi="Arial" w:cs="Arial"/>
        </w:rPr>
        <w:t xml:space="preserve"> Amendment Regulation </w:t>
      </w:r>
      <w:r w:rsidR="00450A97">
        <w:rPr>
          <w:rFonts w:ascii="Arial" w:hAnsi="Arial" w:cs="Arial"/>
        </w:rPr>
        <w:t>seeks</w:t>
      </w:r>
      <w:r w:rsidR="003E00B3">
        <w:rPr>
          <w:rFonts w:ascii="Arial" w:hAnsi="Arial" w:cs="Arial"/>
        </w:rPr>
        <w:t xml:space="preserve"> to</w:t>
      </w:r>
      <w:r w:rsidR="003C6748">
        <w:rPr>
          <w:rFonts w:ascii="Arial" w:hAnsi="Arial" w:cs="Arial"/>
        </w:rPr>
        <w:t xml:space="preserve"> reduce public safety risks by </w:t>
      </w:r>
      <w:r w:rsidR="002E4804">
        <w:rPr>
          <w:rFonts w:ascii="Arial" w:hAnsi="Arial" w:cs="Arial"/>
        </w:rPr>
        <w:t>i</w:t>
      </w:r>
      <w:r w:rsidR="003C6748">
        <w:rPr>
          <w:rFonts w:ascii="Arial" w:hAnsi="Arial" w:cs="Arial"/>
        </w:rPr>
        <w:t xml:space="preserve">mplementing minimum standards for </w:t>
      </w:r>
      <w:r w:rsidR="002E4804">
        <w:rPr>
          <w:rFonts w:ascii="Arial" w:hAnsi="Arial" w:cs="Arial"/>
        </w:rPr>
        <w:t xml:space="preserve">security </w:t>
      </w:r>
      <w:r w:rsidR="003C6748">
        <w:rPr>
          <w:rFonts w:ascii="Arial" w:hAnsi="Arial" w:cs="Arial"/>
        </w:rPr>
        <w:t xml:space="preserve">training requirements that </w:t>
      </w:r>
      <w:r w:rsidR="004D591A">
        <w:rPr>
          <w:rFonts w:ascii="Arial" w:hAnsi="Arial" w:cs="Arial"/>
        </w:rPr>
        <w:t>are</w:t>
      </w:r>
      <w:r w:rsidR="003C6748">
        <w:rPr>
          <w:rFonts w:ascii="Arial" w:hAnsi="Arial" w:cs="Arial"/>
        </w:rPr>
        <w:t xml:space="preserve"> consistent with other jurisdictions.</w:t>
      </w:r>
      <w:r w:rsidR="002E4804">
        <w:rPr>
          <w:rFonts w:ascii="Arial" w:hAnsi="Arial" w:cs="Arial"/>
        </w:rPr>
        <w:t xml:space="preserve"> The Amendment Regulation also aims to elevate the reputation of the security industry by boosting public confidence in security officers’ ability to perform their duties</w:t>
      </w:r>
      <w:r w:rsidR="000B0A30">
        <w:rPr>
          <w:rFonts w:ascii="Arial" w:hAnsi="Arial" w:cs="Arial"/>
        </w:rPr>
        <w:t xml:space="preserve">, following the outcome of the strategic review conducted by ASQA in </w:t>
      </w:r>
      <w:r w:rsidR="000B0A30" w:rsidRPr="00F30D66">
        <w:rPr>
          <w:rFonts w:ascii="Arial" w:hAnsi="Arial" w:cs="Arial"/>
        </w:rPr>
        <w:t>2016</w:t>
      </w:r>
      <w:r w:rsidR="002E4804">
        <w:rPr>
          <w:rFonts w:ascii="Arial" w:hAnsi="Arial" w:cs="Arial"/>
        </w:rPr>
        <w:t>.</w:t>
      </w:r>
      <w:r w:rsidR="007A3E18">
        <w:rPr>
          <w:rFonts w:ascii="Arial" w:hAnsi="Arial" w:cs="Arial"/>
        </w:rPr>
        <w:br/>
      </w:r>
    </w:p>
    <w:p w14:paraId="206B2921" w14:textId="14AA0B5A" w:rsidR="00C21CBC" w:rsidRPr="00F30D66" w:rsidRDefault="007A3E18" w:rsidP="00F240DB">
      <w:pPr>
        <w:tabs>
          <w:tab w:val="left" w:pos="2600"/>
        </w:tabs>
        <w:autoSpaceDE w:val="0"/>
        <w:autoSpaceDN w:val="0"/>
        <w:adjustRightInd w:val="0"/>
        <w:spacing w:after="120"/>
        <w:rPr>
          <w:rFonts w:ascii="Arial" w:hAnsi="Arial" w:cs="Arial"/>
        </w:rPr>
      </w:pPr>
      <w:r w:rsidRPr="007A3E18">
        <w:rPr>
          <w:rFonts w:ascii="Arial" w:hAnsi="Arial" w:cs="Arial"/>
        </w:rPr>
        <w:t>The Amendment Regulation</w:t>
      </w:r>
      <w:r w:rsidR="00450A97">
        <w:rPr>
          <w:rFonts w:ascii="Arial" w:hAnsi="Arial" w:cs="Arial"/>
        </w:rPr>
        <w:t xml:space="preserve"> </w:t>
      </w:r>
      <w:r w:rsidR="00D37552">
        <w:rPr>
          <w:rFonts w:ascii="Arial" w:hAnsi="Arial" w:cs="Arial"/>
        </w:rPr>
        <w:t xml:space="preserve">also </w:t>
      </w:r>
      <w:r w:rsidR="00450A97">
        <w:rPr>
          <w:rFonts w:ascii="Arial" w:hAnsi="Arial" w:cs="Arial"/>
        </w:rPr>
        <w:t>recognises</w:t>
      </w:r>
      <w:r w:rsidRPr="007A3E18">
        <w:rPr>
          <w:rFonts w:ascii="Arial" w:hAnsi="Arial" w:cs="Arial"/>
        </w:rPr>
        <w:t xml:space="preserve"> prior practical experience</w:t>
      </w:r>
      <w:r>
        <w:rPr>
          <w:rFonts w:ascii="Arial" w:hAnsi="Arial" w:cs="Arial"/>
        </w:rPr>
        <w:t xml:space="preserve"> held by security officers</w:t>
      </w:r>
      <w:r w:rsidRPr="007A3E18">
        <w:rPr>
          <w:rFonts w:ascii="Arial" w:hAnsi="Arial" w:cs="Arial"/>
        </w:rPr>
        <w:t xml:space="preserve"> in the industry and </w:t>
      </w:r>
      <w:r w:rsidR="004D591A">
        <w:rPr>
          <w:rFonts w:ascii="Arial" w:hAnsi="Arial" w:cs="Arial"/>
        </w:rPr>
        <w:t>of</w:t>
      </w:r>
      <w:r w:rsidRPr="007A3E18">
        <w:rPr>
          <w:rFonts w:ascii="Arial" w:hAnsi="Arial" w:cs="Arial"/>
        </w:rPr>
        <w:t xml:space="preserve"> existing security industry standards in the ACT (contained in the pre-amendment regulation)</w:t>
      </w:r>
      <w:r w:rsidR="004D591A">
        <w:rPr>
          <w:rFonts w:ascii="Arial" w:hAnsi="Arial" w:cs="Arial"/>
        </w:rPr>
        <w:t xml:space="preserve"> are</w:t>
      </w:r>
      <w:r w:rsidRPr="007A3E18">
        <w:rPr>
          <w:rFonts w:ascii="Arial" w:hAnsi="Arial" w:cs="Arial"/>
        </w:rPr>
        <w:t xml:space="preserve"> higher when compared with some</w:t>
      </w:r>
      <w:r w:rsidR="004D591A">
        <w:rPr>
          <w:rFonts w:ascii="Arial" w:hAnsi="Arial" w:cs="Arial"/>
        </w:rPr>
        <w:t xml:space="preserve"> other</w:t>
      </w:r>
      <w:r w:rsidRPr="007A3E18">
        <w:rPr>
          <w:rFonts w:ascii="Arial" w:hAnsi="Arial" w:cs="Arial"/>
        </w:rPr>
        <w:t xml:space="preserve"> jurisdictions</w:t>
      </w:r>
      <w:r>
        <w:rPr>
          <w:rFonts w:ascii="Arial" w:hAnsi="Arial" w:cs="Arial"/>
        </w:rPr>
        <w:t>.</w:t>
      </w:r>
      <w:r w:rsidR="00D37552">
        <w:rPr>
          <w:rFonts w:ascii="Arial" w:hAnsi="Arial" w:cs="Arial"/>
        </w:rPr>
        <w:t xml:space="preserve"> Accordingly, the right to equality and non-discrimination is not engaged or limited. </w:t>
      </w:r>
      <w:bookmarkEnd w:id="4"/>
    </w:p>
    <w:p w14:paraId="45A58C8D" w14:textId="77777777" w:rsidR="00C660B8" w:rsidRPr="00F30D66" w:rsidRDefault="00C660B8" w:rsidP="00C660B8">
      <w:pPr>
        <w:rPr>
          <w:rFonts w:ascii="Arial" w:hAnsi="Arial" w:cs="Arial"/>
        </w:rPr>
      </w:pPr>
    </w:p>
    <w:p w14:paraId="508A7CEF" w14:textId="68753C20" w:rsidR="00C660B8" w:rsidRPr="00F30D66" w:rsidRDefault="00C27577" w:rsidP="00C660B8">
      <w:pPr>
        <w:spacing w:after="120"/>
        <w:rPr>
          <w:rFonts w:ascii="Arial" w:hAnsi="Arial" w:cs="Arial"/>
          <w:b/>
          <w:bCs/>
          <w:sz w:val="28"/>
          <w:szCs w:val="28"/>
        </w:rPr>
      </w:pPr>
      <w:r>
        <w:rPr>
          <w:rFonts w:ascii="Arial" w:hAnsi="Arial" w:cs="Arial"/>
          <w:b/>
          <w:bCs/>
          <w:sz w:val="28"/>
          <w:szCs w:val="28"/>
        </w:rPr>
        <w:t>Clause notes</w:t>
      </w:r>
    </w:p>
    <w:p w14:paraId="6BE7C379" w14:textId="77777777" w:rsidR="00C660B8" w:rsidRPr="00F30D66" w:rsidRDefault="00C660B8" w:rsidP="00C660B8">
      <w:pPr>
        <w:spacing w:after="120"/>
        <w:rPr>
          <w:rFonts w:ascii="Arial" w:hAnsi="Arial" w:cs="Arial"/>
          <w:b/>
          <w:bCs/>
          <w:sz w:val="28"/>
          <w:szCs w:val="28"/>
        </w:rPr>
      </w:pPr>
    </w:p>
    <w:p w14:paraId="3542F351" w14:textId="77777777" w:rsidR="00C660B8" w:rsidRPr="00C27577" w:rsidRDefault="00C660B8" w:rsidP="00C660B8">
      <w:pPr>
        <w:spacing w:after="120"/>
        <w:rPr>
          <w:rFonts w:ascii="Arial" w:hAnsi="Arial" w:cs="Arial"/>
          <w:b/>
          <w:bCs/>
        </w:rPr>
      </w:pPr>
      <w:r w:rsidRPr="00C27577">
        <w:rPr>
          <w:rFonts w:ascii="Arial" w:hAnsi="Arial" w:cs="Arial"/>
          <w:b/>
          <w:bCs/>
        </w:rPr>
        <w:t>Clause 1</w:t>
      </w:r>
      <w:r w:rsidRPr="00C27577">
        <w:rPr>
          <w:rFonts w:ascii="Arial" w:hAnsi="Arial" w:cs="Arial"/>
          <w:b/>
          <w:bCs/>
        </w:rPr>
        <w:tab/>
      </w:r>
      <w:r w:rsidRPr="00C27577">
        <w:rPr>
          <w:rFonts w:ascii="Arial" w:hAnsi="Arial" w:cs="Arial"/>
          <w:b/>
          <w:bCs/>
        </w:rPr>
        <w:tab/>
        <w:t>Name of regulation</w:t>
      </w:r>
    </w:p>
    <w:p w14:paraId="647D35BA" w14:textId="10BBA463" w:rsidR="00C660B8" w:rsidRPr="00C27577" w:rsidRDefault="00C660B8" w:rsidP="00C660B8">
      <w:pPr>
        <w:rPr>
          <w:rFonts w:ascii="Arial" w:hAnsi="Arial" w:cs="Arial"/>
          <w:i/>
          <w:iCs/>
        </w:rPr>
      </w:pPr>
      <w:r w:rsidRPr="00C27577">
        <w:rPr>
          <w:rFonts w:ascii="Arial" w:hAnsi="Arial" w:cs="Arial"/>
        </w:rPr>
        <w:t xml:space="preserve">This clause specifies the name of the </w:t>
      </w:r>
      <w:r w:rsidR="000D7DAC" w:rsidRPr="00C27577">
        <w:rPr>
          <w:rFonts w:ascii="Arial" w:hAnsi="Arial" w:cs="Arial"/>
        </w:rPr>
        <w:t xml:space="preserve">Amendment </w:t>
      </w:r>
      <w:r w:rsidRPr="00C27577">
        <w:rPr>
          <w:rFonts w:ascii="Arial" w:hAnsi="Arial" w:cs="Arial"/>
        </w:rPr>
        <w:t xml:space="preserve">Regulation. This clause provides that the </w:t>
      </w:r>
      <w:r w:rsidR="000D7DAC" w:rsidRPr="00C27577">
        <w:rPr>
          <w:rFonts w:ascii="Arial" w:hAnsi="Arial" w:cs="Arial"/>
        </w:rPr>
        <w:t>Amendment R</w:t>
      </w:r>
      <w:r w:rsidRPr="00C27577">
        <w:rPr>
          <w:rFonts w:ascii="Arial" w:hAnsi="Arial" w:cs="Arial"/>
        </w:rPr>
        <w:t xml:space="preserve">egulation may be cited as the </w:t>
      </w:r>
      <w:r w:rsidR="000D7DAC" w:rsidRPr="00C27577">
        <w:rPr>
          <w:rFonts w:ascii="Arial" w:hAnsi="Arial" w:cs="Arial"/>
          <w:i/>
          <w:iCs/>
        </w:rPr>
        <w:t>Security Industry Amendment Regulation 2020</w:t>
      </w:r>
      <w:r w:rsidRPr="00C27577">
        <w:rPr>
          <w:rFonts w:ascii="Arial" w:hAnsi="Arial" w:cs="Arial"/>
          <w:i/>
          <w:iCs/>
        </w:rPr>
        <w:t xml:space="preserve"> (No </w:t>
      </w:r>
      <w:r w:rsidR="000D7DAC" w:rsidRPr="00C27577">
        <w:rPr>
          <w:rFonts w:ascii="Arial" w:hAnsi="Arial" w:cs="Arial"/>
          <w:i/>
          <w:iCs/>
        </w:rPr>
        <w:t>1</w:t>
      </w:r>
      <w:r w:rsidRPr="00C27577">
        <w:rPr>
          <w:rFonts w:ascii="Arial" w:hAnsi="Arial" w:cs="Arial"/>
          <w:i/>
          <w:iCs/>
        </w:rPr>
        <w:t>).</w:t>
      </w:r>
    </w:p>
    <w:p w14:paraId="32830F77" w14:textId="77777777" w:rsidR="00C660B8" w:rsidRPr="00C27577" w:rsidRDefault="00C660B8" w:rsidP="00C660B8">
      <w:pPr>
        <w:rPr>
          <w:rFonts w:ascii="Arial" w:hAnsi="Arial" w:cs="Arial"/>
        </w:rPr>
      </w:pPr>
    </w:p>
    <w:p w14:paraId="68F51B79" w14:textId="77777777" w:rsidR="00C660B8" w:rsidRPr="00C27577" w:rsidRDefault="00C660B8" w:rsidP="00C660B8">
      <w:pPr>
        <w:spacing w:after="120"/>
        <w:rPr>
          <w:rFonts w:ascii="Arial" w:hAnsi="Arial" w:cs="Arial"/>
          <w:b/>
          <w:bCs/>
        </w:rPr>
      </w:pPr>
      <w:r w:rsidRPr="00C27577">
        <w:rPr>
          <w:rFonts w:ascii="Arial" w:hAnsi="Arial" w:cs="Arial"/>
          <w:b/>
          <w:bCs/>
        </w:rPr>
        <w:t>Clause 2</w:t>
      </w:r>
      <w:r w:rsidRPr="00C27577">
        <w:rPr>
          <w:rFonts w:ascii="Arial" w:hAnsi="Arial" w:cs="Arial"/>
          <w:b/>
          <w:bCs/>
        </w:rPr>
        <w:tab/>
      </w:r>
      <w:r w:rsidRPr="00C27577">
        <w:rPr>
          <w:rFonts w:ascii="Arial" w:hAnsi="Arial" w:cs="Arial"/>
          <w:b/>
          <w:bCs/>
        </w:rPr>
        <w:tab/>
        <w:t>Commencement</w:t>
      </w:r>
    </w:p>
    <w:p w14:paraId="1E2BE998" w14:textId="2B9072D3" w:rsidR="00C660B8" w:rsidRPr="00C27577" w:rsidRDefault="00C660B8" w:rsidP="00C660B8">
      <w:pPr>
        <w:rPr>
          <w:rFonts w:ascii="Arial" w:hAnsi="Arial" w:cs="Arial"/>
        </w:rPr>
      </w:pPr>
      <w:r w:rsidRPr="00C27577">
        <w:rPr>
          <w:rFonts w:ascii="Arial" w:hAnsi="Arial" w:cs="Arial"/>
        </w:rPr>
        <w:lastRenderedPageBreak/>
        <w:t xml:space="preserve">This clause provides for the commencement of the </w:t>
      </w:r>
      <w:r w:rsidR="00936519" w:rsidRPr="00C27577">
        <w:rPr>
          <w:rFonts w:ascii="Arial" w:hAnsi="Arial" w:cs="Arial"/>
        </w:rPr>
        <w:t xml:space="preserve">Amendment </w:t>
      </w:r>
      <w:r w:rsidRPr="00C27577">
        <w:rPr>
          <w:rFonts w:ascii="Arial" w:hAnsi="Arial" w:cs="Arial"/>
        </w:rPr>
        <w:t xml:space="preserve">Regulation. The </w:t>
      </w:r>
      <w:r w:rsidR="00936519" w:rsidRPr="00C27577">
        <w:rPr>
          <w:rFonts w:ascii="Arial" w:hAnsi="Arial" w:cs="Arial"/>
        </w:rPr>
        <w:t xml:space="preserve">Amendment </w:t>
      </w:r>
      <w:r w:rsidRPr="00C27577">
        <w:rPr>
          <w:rFonts w:ascii="Arial" w:hAnsi="Arial" w:cs="Arial"/>
        </w:rPr>
        <w:t xml:space="preserve">Regulation will commence on 1 </w:t>
      </w:r>
      <w:r w:rsidR="00936519" w:rsidRPr="00C27577">
        <w:rPr>
          <w:rFonts w:ascii="Arial" w:hAnsi="Arial" w:cs="Arial"/>
        </w:rPr>
        <w:t>July</w:t>
      </w:r>
      <w:r w:rsidRPr="00C27577">
        <w:rPr>
          <w:rFonts w:ascii="Arial" w:hAnsi="Arial" w:cs="Arial"/>
        </w:rPr>
        <w:t xml:space="preserve"> 2020.</w:t>
      </w:r>
    </w:p>
    <w:p w14:paraId="15AD30A2" w14:textId="77777777" w:rsidR="00C660B8" w:rsidRPr="00C27577" w:rsidRDefault="00C660B8" w:rsidP="00C660B8">
      <w:pPr>
        <w:rPr>
          <w:rFonts w:ascii="Arial" w:hAnsi="Arial" w:cs="Arial"/>
        </w:rPr>
      </w:pPr>
    </w:p>
    <w:p w14:paraId="302F641C" w14:textId="77777777" w:rsidR="00C660B8" w:rsidRPr="00C27577" w:rsidRDefault="00C660B8" w:rsidP="00C660B8">
      <w:pPr>
        <w:spacing w:after="120"/>
        <w:rPr>
          <w:rFonts w:ascii="Arial" w:hAnsi="Arial" w:cs="Arial"/>
          <w:b/>
          <w:bCs/>
        </w:rPr>
      </w:pPr>
      <w:r w:rsidRPr="00C27577">
        <w:rPr>
          <w:rFonts w:ascii="Arial" w:hAnsi="Arial" w:cs="Arial"/>
          <w:b/>
          <w:bCs/>
        </w:rPr>
        <w:t>Clause 3</w:t>
      </w:r>
      <w:r w:rsidRPr="00C27577">
        <w:rPr>
          <w:rFonts w:ascii="Arial" w:hAnsi="Arial" w:cs="Arial"/>
          <w:b/>
          <w:bCs/>
        </w:rPr>
        <w:tab/>
      </w:r>
      <w:r w:rsidRPr="00C27577">
        <w:rPr>
          <w:rFonts w:ascii="Arial" w:hAnsi="Arial" w:cs="Arial"/>
          <w:b/>
          <w:bCs/>
        </w:rPr>
        <w:tab/>
        <w:t>Legislation amended</w:t>
      </w:r>
    </w:p>
    <w:p w14:paraId="252054EC" w14:textId="7622CE53" w:rsidR="00C660B8" w:rsidRPr="00F30D66" w:rsidRDefault="00C660B8" w:rsidP="00C660B8">
      <w:pPr>
        <w:rPr>
          <w:rFonts w:ascii="Arial" w:hAnsi="Arial" w:cs="Arial"/>
        </w:rPr>
      </w:pPr>
      <w:r w:rsidRPr="00C27577">
        <w:rPr>
          <w:rFonts w:ascii="Arial" w:hAnsi="Arial" w:cs="Arial"/>
        </w:rPr>
        <w:t xml:space="preserve">This clause names the regulation that is being amended by this </w:t>
      </w:r>
      <w:r w:rsidR="00541BA9" w:rsidRPr="00C27577">
        <w:rPr>
          <w:rFonts w:ascii="Arial" w:hAnsi="Arial" w:cs="Arial"/>
        </w:rPr>
        <w:t xml:space="preserve">Amendment </w:t>
      </w:r>
      <w:r w:rsidRPr="00C27577">
        <w:rPr>
          <w:rFonts w:ascii="Arial" w:hAnsi="Arial" w:cs="Arial"/>
        </w:rPr>
        <w:t xml:space="preserve">Regulation. This Regulation amends the </w:t>
      </w:r>
      <w:r w:rsidR="00541BA9" w:rsidRPr="00C27577">
        <w:rPr>
          <w:rFonts w:ascii="Arial" w:hAnsi="Arial" w:cs="Arial"/>
          <w:i/>
          <w:iCs/>
        </w:rPr>
        <w:t>Security Industry Regulation 2003</w:t>
      </w:r>
      <w:r w:rsidRPr="00C27577">
        <w:rPr>
          <w:rFonts w:ascii="Arial" w:hAnsi="Arial" w:cs="Arial"/>
        </w:rPr>
        <w:t xml:space="preserve">. </w:t>
      </w:r>
    </w:p>
    <w:p w14:paraId="6466B7E6" w14:textId="77777777" w:rsidR="00C660B8" w:rsidRPr="00F30D66" w:rsidRDefault="00C660B8" w:rsidP="00C660B8">
      <w:pPr>
        <w:rPr>
          <w:rFonts w:ascii="Arial" w:hAnsi="Arial" w:cs="Arial"/>
        </w:rPr>
      </w:pPr>
    </w:p>
    <w:p w14:paraId="7515A08E" w14:textId="7C40B6F1" w:rsidR="007C63E6" w:rsidRDefault="007C63E6" w:rsidP="007C63E6">
      <w:pPr>
        <w:spacing w:after="120"/>
        <w:rPr>
          <w:rFonts w:ascii="Arial" w:hAnsi="Arial" w:cs="Arial"/>
          <w:b/>
          <w:bCs/>
        </w:rPr>
      </w:pPr>
      <w:r w:rsidRPr="00C27577">
        <w:rPr>
          <w:rFonts w:ascii="Arial" w:hAnsi="Arial" w:cs="Arial"/>
          <w:b/>
          <w:bCs/>
        </w:rPr>
        <w:t xml:space="preserve">Clause </w:t>
      </w:r>
      <w:r>
        <w:rPr>
          <w:rFonts w:ascii="Arial" w:hAnsi="Arial" w:cs="Arial"/>
          <w:b/>
          <w:bCs/>
        </w:rPr>
        <w:t>4</w:t>
      </w:r>
      <w:r w:rsidRPr="00C27577">
        <w:rPr>
          <w:rFonts w:ascii="Arial" w:hAnsi="Arial" w:cs="Arial"/>
          <w:b/>
          <w:bCs/>
        </w:rPr>
        <w:tab/>
      </w:r>
      <w:r w:rsidRPr="00C27577">
        <w:rPr>
          <w:rFonts w:ascii="Arial" w:hAnsi="Arial" w:cs="Arial"/>
          <w:b/>
          <w:bCs/>
        </w:rPr>
        <w:tab/>
      </w:r>
      <w:r>
        <w:rPr>
          <w:rFonts w:ascii="Arial" w:hAnsi="Arial" w:cs="Arial"/>
          <w:b/>
          <w:bCs/>
        </w:rPr>
        <w:t>Section 8</w:t>
      </w:r>
    </w:p>
    <w:p w14:paraId="59B73C5A" w14:textId="02346D60" w:rsidR="007C63E6" w:rsidRDefault="007C63E6" w:rsidP="007C63E6">
      <w:pPr>
        <w:spacing w:after="120"/>
        <w:rPr>
          <w:rFonts w:ascii="Arial" w:hAnsi="Arial" w:cs="Arial"/>
          <w:i/>
          <w:iCs/>
        </w:rPr>
      </w:pPr>
      <w:r>
        <w:rPr>
          <w:rFonts w:ascii="Arial" w:hAnsi="Arial" w:cs="Arial"/>
        </w:rPr>
        <w:t xml:space="preserve">This clause substitutes section 8 of the </w:t>
      </w:r>
      <w:r w:rsidRPr="00C27577">
        <w:rPr>
          <w:rFonts w:ascii="Arial" w:hAnsi="Arial" w:cs="Arial"/>
          <w:i/>
          <w:iCs/>
        </w:rPr>
        <w:t>Security Industry Regulation 2003</w:t>
      </w:r>
      <w:r>
        <w:rPr>
          <w:rFonts w:ascii="Arial" w:hAnsi="Arial" w:cs="Arial"/>
          <w:i/>
          <w:iCs/>
        </w:rPr>
        <w:t xml:space="preserve"> </w:t>
      </w:r>
      <w:r w:rsidRPr="00D72759">
        <w:rPr>
          <w:rFonts w:ascii="Arial" w:hAnsi="Arial" w:cs="Arial"/>
        </w:rPr>
        <w:t>and updates the prescribed training courses required for employee licences.</w:t>
      </w:r>
    </w:p>
    <w:p w14:paraId="3054B6CF" w14:textId="7318CF10" w:rsidR="007C63E6" w:rsidRPr="00C963B2" w:rsidRDefault="00626C55" w:rsidP="007C63E6">
      <w:pPr>
        <w:spacing w:after="120"/>
        <w:rPr>
          <w:rFonts w:ascii="Arial" w:hAnsi="Arial" w:cs="Arial"/>
          <w:szCs w:val="24"/>
        </w:rPr>
      </w:pPr>
      <w:r>
        <w:rPr>
          <w:rFonts w:ascii="Arial" w:hAnsi="Arial" w:cs="Arial"/>
        </w:rPr>
        <w:t>Section 8 (1) notes that column 4 in Table 8 sets out the new prescribed training courses</w:t>
      </w:r>
      <w:r w:rsidR="001946CB">
        <w:rPr>
          <w:rFonts w:ascii="Arial" w:hAnsi="Arial" w:cs="Arial"/>
        </w:rPr>
        <w:t xml:space="preserve"> </w:t>
      </w:r>
      <w:r w:rsidR="001946CB" w:rsidRPr="00C963B2">
        <w:rPr>
          <w:rFonts w:ascii="Arial" w:hAnsi="Arial" w:cs="Arial"/>
          <w:szCs w:val="24"/>
        </w:rPr>
        <w:t>for each subclass of employee licence.</w:t>
      </w:r>
    </w:p>
    <w:p w14:paraId="5652F42F" w14:textId="44D4C7A5" w:rsidR="00626C55" w:rsidRPr="00C963B2" w:rsidRDefault="00626C55" w:rsidP="007C63E6">
      <w:pPr>
        <w:spacing w:after="120"/>
        <w:rPr>
          <w:rFonts w:ascii="Arial" w:hAnsi="Arial" w:cs="Arial"/>
          <w:szCs w:val="24"/>
        </w:rPr>
      </w:pPr>
      <w:r w:rsidRPr="00C963B2">
        <w:rPr>
          <w:rFonts w:ascii="Arial" w:hAnsi="Arial" w:cs="Arial"/>
          <w:szCs w:val="24"/>
        </w:rPr>
        <w:t xml:space="preserve">Section 8 (2) clarifies that </w:t>
      </w:r>
      <w:r w:rsidR="0097724F">
        <w:rPr>
          <w:rFonts w:ascii="Arial" w:hAnsi="Arial" w:cs="Arial"/>
          <w:szCs w:val="24"/>
        </w:rPr>
        <w:t xml:space="preserve">the </w:t>
      </w:r>
      <w:r w:rsidRPr="00C963B2">
        <w:rPr>
          <w:rFonts w:ascii="Arial" w:hAnsi="Arial" w:cs="Arial"/>
          <w:szCs w:val="24"/>
        </w:rPr>
        <w:t xml:space="preserve">training </w:t>
      </w:r>
      <w:r w:rsidR="00C963B2" w:rsidRPr="00C963B2">
        <w:rPr>
          <w:rFonts w:ascii="Arial" w:hAnsi="Arial" w:cs="Arial"/>
          <w:szCs w:val="24"/>
        </w:rPr>
        <w:t xml:space="preserve">courses </w:t>
      </w:r>
      <w:r w:rsidRPr="00C963B2">
        <w:rPr>
          <w:rFonts w:ascii="Arial" w:hAnsi="Arial" w:cs="Arial"/>
          <w:szCs w:val="24"/>
        </w:rPr>
        <w:t>set out in column 3 of Table 8 are also recognised as prescribed training courses so long as:</w:t>
      </w:r>
    </w:p>
    <w:p w14:paraId="4C90D3FA" w14:textId="38FD9AF7" w:rsidR="00626C55" w:rsidRPr="00C963B2" w:rsidRDefault="00626C55" w:rsidP="00626C55">
      <w:pPr>
        <w:pStyle w:val="ListParagraph"/>
        <w:numPr>
          <w:ilvl w:val="0"/>
          <w:numId w:val="25"/>
        </w:numPr>
        <w:spacing w:after="120"/>
        <w:rPr>
          <w:rFonts w:ascii="Arial" w:hAnsi="Arial" w:cs="Arial"/>
          <w:szCs w:val="24"/>
        </w:rPr>
      </w:pPr>
      <w:r w:rsidRPr="00C963B2">
        <w:rPr>
          <w:rFonts w:ascii="Arial" w:hAnsi="Arial" w:cs="Arial"/>
          <w:szCs w:val="24"/>
        </w:rPr>
        <w:t xml:space="preserve">the person applying for the </w:t>
      </w:r>
      <w:r w:rsidR="00907E7E" w:rsidRPr="00C963B2">
        <w:rPr>
          <w:rFonts w:ascii="Arial" w:hAnsi="Arial" w:cs="Arial"/>
          <w:szCs w:val="24"/>
        </w:rPr>
        <w:t xml:space="preserve">subclass of employee </w:t>
      </w:r>
      <w:r w:rsidRPr="00C963B2">
        <w:rPr>
          <w:rFonts w:ascii="Arial" w:hAnsi="Arial" w:cs="Arial"/>
          <w:szCs w:val="24"/>
        </w:rPr>
        <w:t xml:space="preserve">licence completed the </w:t>
      </w:r>
      <w:r w:rsidR="003933AF">
        <w:rPr>
          <w:rFonts w:ascii="Arial" w:hAnsi="Arial" w:cs="Arial"/>
          <w:szCs w:val="24"/>
        </w:rPr>
        <w:t xml:space="preserve">prescribed </w:t>
      </w:r>
      <w:r w:rsidRPr="00C963B2">
        <w:rPr>
          <w:rFonts w:ascii="Arial" w:hAnsi="Arial" w:cs="Arial"/>
          <w:szCs w:val="24"/>
        </w:rPr>
        <w:t xml:space="preserve">training </w:t>
      </w:r>
      <w:r w:rsidR="003933AF">
        <w:rPr>
          <w:rFonts w:ascii="Arial" w:hAnsi="Arial" w:cs="Arial"/>
          <w:szCs w:val="24"/>
        </w:rPr>
        <w:t>courses</w:t>
      </w:r>
      <w:r w:rsidRPr="00C963B2">
        <w:rPr>
          <w:rFonts w:ascii="Arial" w:hAnsi="Arial" w:cs="Arial"/>
          <w:szCs w:val="24"/>
        </w:rPr>
        <w:t xml:space="preserve"> </w:t>
      </w:r>
      <w:r w:rsidR="003933AF">
        <w:rPr>
          <w:rFonts w:ascii="Arial" w:hAnsi="Arial" w:cs="Arial"/>
          <w:szCs w:val="24"/>
        </w:rPr>
        <w:t>prior</w:t>
      </w:r>
      <w:r w:rsidRPr="00C963B2">
        <w:rPr>
          <w:rFonts w:ascii="Arial" w:hAnsi="Arial" w:cs="Arial"/>
          <w:szCs w:val="24"/>
        </w:rPr>
        <w:t xml:space="preserve"> to 1 July 2020; and, </w:t>
      </w:r>
    </w:p>
    <w:p w14:paraId="02919EC2" w14:textId="6D12ABAC" w:rsidR="00626C55" w:rsidRPr="00C963B2" w:rsidRDefault="00907E7E" w:rsidP="00626C55">
      <w:pPr>
        <w:pStyle w:val="ListParagraph"/>
        <w:numPr>
          <w:ilvl w:val="0"/>
          <w:numId w:val="25"/>
        </w:numPr>
        <w:spacing w:after="120"/>
        <w:rPr>
          <w:rFonts w:ascii="Arial" w:hAnsi="Arial" w:cs="Arial"/>
          <w:szCs w:val="24"/>
        </w:rPr>
      </w:pPr>
      <w:r w:rsidRPr="00C963B2">
        <w:rPr>
          <w:rFonts w:ascii="Arial" w:hAnsi="Arial" w:cs="Arial"/>
          <w:szCs w:val="24"/>
        </w:rPr>
        <w:t xml:space="preserve">the person applying for the licence </w:t>
      </w:r>
      <w:r w:rsidR="00626C55" w:rsidRPr="00C963B2">
        <w:rPr>
          <w:rFonts w:ascii="Arial" w:hAnsi="Arial" w:cs="Arial"/>
          <w:szCs w:val="24"/>
        </w:rPr>
        <w:t>either:</w:t>
      </w:r>
    </w:p>
    <w:p w14:paraId="48998D47" w14:textId="2429C4F4" w:rsidR="00626C55" w:rsidRPr="00C963B2" w:rsidRDefault="00626C55" w:rsidP="00626C55">
      <w:pPr>
        <w:pStyle w:val="ListParagraph"/>
        <w:numPr>
          <w:ilvl w:val="0"/>
          <w:numId w:val="26"/>
        </w:numPr>
        <w:spacing w:after="120"/>
        <w:rPr>
          <w:rFonts w:ascii="Arial" w:hAnsi="Arial" w:cs="Arial"/>
          <w:szCs w:val="24"/>
        </w:rPr>
      </w:pPr>
      <w:r w:rsidRPr="00C963B2">
        <w:rPr>
          <w:rFonts w:ascii="Arial" w:hAnsi="Arial" w:cs="Arial"/>
          <w:szCs w:val="24"/>
        </w:rPr>
        <w:t>on 1 July 2020, hold</w:t>
      </w:r>
      <w:r w:rsidR="00C963B2" w:rsidRPr="00C963B2">
        <w:rPr>
          <w:rFonts w:ascii="Arial" w:hAnsi="Arial" w:cs="Arial"/>
          <w:szCs w:val="24"/>
        </w:rPr>
        <w:t xml:space="preserve">s a current subclass of employee licence to which the </w:t>
      </w:r>
      <w:r w:rsidR="00A7748C">
        <w:rPr>
          <w:rFonts w:ascii="Arial" w:hAnsi="Arial" w:cs="Arial"/>
          <w:szCs w:val="24"/>
        </w:rPr>
        <w:t xml:space="preserve">prescribed </w:t>
      </w:r>
      <w:r w:rsidR="00C963B2" w:rsidRPr="00C963B2">
        <w:rPr>
          <w:rFonts w:ascii="Arial" w:hAnsi="Arial" w:cs="Arial"/>
          <w:szCs w:val="24"/>
        </w:rPr>
        <w:t>training course relates and does not at any time allow their licence to lapse for a continuous period of more than 12 months; or</w:t>
      </w:r>
    </w:p>
    <w:p w14:paraId="39C9AE78" w14:textId="47193878" w:rsidR="00626C55" w:rsidRPr="00D47CB8" w:rsidRDefault="00C963B2" w:rsidP="007C63E6">
      <w:pPr>
        <w:pStyle w:val="ListParagraph"/>
        <w:numPr>
          <w:ilvl w:val="0"/>
          <w:numId w:val="26"/>
        </w:numPr>
        <w:spacing w:after="120"/>
        <w:rPr>
          <w:rFonts w:ascii="Arial" w:hAnsi="Arial" w:cs="Arial"/>
          <w:szCs w:val="24"/>
        </w:rPr>
      </w:pPr>
      <w:r w:rsidRPr="00C963B2">
        <w:rPr>
          <w:rFonts w:ascii="Arial" w:hAnsi="Arial" w:cs="Arial"/>
          <w:szCs w:val="24"/>
        </w:rPr>
        <w:t xml:space="preserve">before 1 July 2021, applies to the </w:t>
      </w:r>
      <w:r w:rsidR="00AC667A">
        <w:rPr>
          <w:rFonts w:ascii="Arial" w:hAnsi="Arial" w:cs="Arial"/>
          <w:szCs w:val="24"/>
        </w:rPr>
        <w:t xml:space="preserve">Commissioner </w:t>
      </w:r>
      <w:r w:rsidRPr="00C963B2">
        <w:rPr>
          <w:rFonts w:ascii="Arial" w:hAnsi="Arial" w:cs="Arial"/>
          <w:szCs w:val="24"/>
        </w:rPr>
        <w:t>for the issue of the subclass of employee licence to which the</w:t>
      </w:r>
      <w:r w:rsidR="00A7748C">
        <w:rPr>
          <w:rFonts w:ascii="Arial" w:hAnsi="Arial" w:cs="Arial"/>
          <w:szCs w:val="24"/>
        </w:rPr>
        <w:t xml:space="preserve"> prescribed training</w:t>
      </w:r>
      <w:r w:rsidRPr="00C963B2">
        <w:rPr>
          <w:rFonts w:ascii="Arial" w:hAnsi="Arial" w:cs="Arial"/>
          <w:szCs w:val="24"/>
        </w:rPr>
        <w:t xml:space="preserve"> course relates.</w:t>
      </w:r>
    </w:p>
    <w:p w14:paraId="12DEFFF1" w14:textId="6F37BDA6" w:rsidR="00D27C30" w:rsidRDefault="00D27C30" w:rsidP="009723BE">
      <w:pPr>
        <w:spacing w:after="120"/>
        <w:rPr>
          <w:rFonts w:ascii="Arial" w:hAnsi="Arial" w:cs="Arial"/>
        </w:rPr>
      </w:pPr>
      <w:r>
        <w:rPr>
          <w:rFonts w:ascii="Arial" w:hAnsi="Arial" w:cs="Arial"/>
        </w:rPr>
        <w:t xml:space="preserve">This is to provide some recognition of those already qualified under the old training requirements.  </w:t>
      </w:r>
    </w:p>
    <w:p w14:paraId="7A1DC6ED" w14:textId="2F6D6596" w:rsidR="00626C55" w:rsidRDefault="009723BE" w:rsidP="009723BE">
      <w:pPr>
        <w:spacing w:after="120"/>
        <w:rPr>
          <w:rFonts w:ascii="Arial" w:hAnsi="Arial" w:cs="Arial"/>
        </w:rPr>
      </w:pPr>
      <w:r>
        <w:rPr>
          <w:rFonts w:ascii="Arial" w:hAnsi="Arial" w:cs="Arial"/>
        </w:rPr>
        <w:t xml:space="preserve">Table 8 which is set out in </w:t>
      </w:r>
      <w:r w:rsidR="00D47CB8">
        <w:rPr>
          <w:rFonts w:ascii="Arial" w:hAnsi="Arial" w:cs="Arial"/>
        </w:rPr>
        <w:t>s</w:t>
      </w:r>
      <w:r>
        <w:rPr>
          <w:rFonts w:ascii="Arial" w:hAnsi="Arial" w:cs="Arial"/>
        </w:rPr>
        <w:t>ection 8 has been updated to introduce column 4</w:t>
      </w:r>
      <w:r w:rsidR="006D0BB2">
        <w:rPr>
          <w:rFonts w:ascii="Arial" w:hAnsi="Arial" w:cs="Arial"/>
        </w:rPr>
        <w:t xml:space="preserve">. Column 4 </w:t>
      </w:r>
      <w:r w:rsidR="00626C55">
        <w:rPr>
          <w:rFonts w:ascii="Arial" w:hAnsi="Arial" w:cs="Arial"/>
        </w:rPr>
        <w:t xml:space="preserve">sets out the new prescribed training </w:t>
      </w:r>
      <w:r w:rsidR="00F807C0">
        <w:rPr>
          <w:rFonts w:ascii="Arial" w:hAnsi="Arial" w:cs="Arial"/>
        </w:rPr>
        <w:t>course</w:t>
      </w:r>
      <w:r w:rsidR="00626C55">
        <w:rPr>
          <w:rFonts w:ascii="Arial" w:hAnsi="Arial" w:cs="Arial"/>
        </w:rPr>
        <w:t>s</w:t>
      </w:r>
      <w:r w:rsidR="00E63B95">
        <w:rPr>
          <w:rFonts w:ascii="Arial" w:hAnsi="Arial" w:cs="Arial"/>
        </w:rPr>
        <w:t xml:space="preserve">. </w:t>
      </w:r>
      <w:r w:rsidR="00656901">
        <w:rPr>
          <w:rFonts w:ascii="Arial" w:hAnsi="Arial" w:cs="Arial"/>
        </w:rPr>
        <w:t>The contents of c</w:t>
      </w:r>
      <w:r w:rsidR="00DA3195">
        <w:rPr>
          <w:rFonts w:ascii="Arial" w:hAnsi="Arial" w:cs="Arial"/>
        </w:rPr>
        <w:t xml:space="preserve">olumns 1, 2 and 3 </w:t>
      </w:r>
      <w:r w:rsidR="005673E5">
        <w:rPr>
          <w:rFonts w:ascii="Arial" w:hAnsi="Arial" w:cs="Arial"/>
        </w:rPr>
        <w:t xml:space="preserve">in Table 8 </w:t>
      </w:r>
      <w:r w:rsidR="00DA3195">
        <w:rPr>
          <w:rFonts w:ascii="Arial" w:hAnsi="Arial" w:cs="Arial"/>
        </w:rPr>
        <w:t>have not been amended.</w:t>
      </w:r>
    </w:p>
    <w:p w14:paraId="4E2FFE4C" w14:textId="77777777" w:rsidR="00626C55" w:rsidRPr="007C63E6" w:rsidRDefault="00626C55" w:rsidP="007C63E6">
      <w:pPr>
        <w:spacing w:after="120"/>
        <w:rPr>
          <w:rFonts w:ascii="Arial" w:hAnsi="Arial" w:cs="Arial"/>
        </w:rPr>
      </w:pPr>
    </w:p>
    <w:p w14:paraId="3270EBC3" w14:textId="77777777" w:rsidR="008039F5" w:rsidRPr="00F30D66" w:rsidRDefault="008039F5">
      <w:pPr>
        <w:rPr>
          <w:rFonts w:ascii="Arial" w:hAnsi="Arial" w:cs="Arial"/>
        </w:rPr>
      </w:pPr>
    </w:p>
    <w:sectPr w:rsidR="008039F5" w:rsidRPr="00F30D66"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53B8" w14:textId="77777777" w:rsidR="006B49A7" w:rsidRDefault="006B49A7" w:rsidP="00C660B8">
      <w:r>
        <w:separator/>
      </w:r>
    </w:p>
  </w:endnote>
  <w:endnote w:type="continuationSeparator" w:id="0">
    <w:p w14:paraId="3C8864A1" w14:textId="77777777" w:rsidR="006B49A7" w:rsidRDefault="006B49A7" w:rsidP="00C6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E3B0" w14:textId="77777777" w:rsidR="007831FD" w:rsidRDefault="004D2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6866" w14:textId="29F0DFEB" w:rsidR="007831FD" w:rsidRPr="00B956A1" w:rsidRDefault="00B956A1" w:rsidP="00B956A1">
    <w:pPr>
      <w:pStyle w:val="Footer"/>
      <w:jc w:val="center"/>
      <w:rPr>
        <w:rFonts w:cs="Arial"/>
        <w:sz w:val="14"/>
      </w:rPr>
    </w:pPr>
    <w:r w:rsidRPr="00B956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7604" w14:textId="77777777" w:rsidR="007831FD" w:rsidRDefault="004D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5B82" w14:textId="77777777" w:rsidR="006B49A7" w:rsidRDefault="006B49A7" w:rsidP="00C660B8">
      <w:r>
        <w:separator/>
      </w:r>
    </w:p>
  </w:footnote>
  <w:footnote w:type="continuationSeparator" w:id="0">
    <w:p w14:paraId="7924E19B" w14:textId="77777777" w:rsidR="006B49A7" w:rsidRDefault="006B49A7" w:rsidP="00C660B8">
      <w:r>
        <w:continuationSeparator/>
      </w:r>
    </w:p>
  </w:footnote>
  <w:footnote w:id="1">
    <w:p w14:paraId="7AA27AEC" w14:textId="77777777" w:rsidR="00DC0504" w:rsidRPr="00F240DB" w:rsidRDefault="00DC0504" w:rsidP="00DC0504">
      <w:pPr>
        <w:pStyle w:val="FootnoteText"/>
        <w:rPr>
          <w:rFonts w:ascii="Arial" w:hAnsi="Arial" w:cs="Arial"/>
          <w:sz w:val="20"/>
          <w:szCs w:val="20"/>
        </w:rPr>
      </w:pPr>
      <w:r w:rsidRPr="00F240DB">
        <w:rPr>
          <w:rStyle w:val="FootnoteReference"/>
          <w:rFonts w:ascii="Arial" w:hAnsi="Arial" w:cs="Arial"/>
          <w:sz w:val="20"/>
          <w:szCs w:val="20"/>
        </w:rPr>
        <w:footnoteRef/>
      </w:r>
      <w:r w:rsidRPr="00F240DB">
        <w:rPr>
          <w:rFonts w:ascii="Arial" w:hAnsi="Arial" w:cs="Arial"/>
          <w:sz w:val="20"/>
          <w:szCs w:val="20"/>
        </w:rPr>
        <w:t xml:space="preserve"> Human Rights Committee, </w:t>
      </w:r>
      <w:r w:rsidRPr="00F240DB">
        <w:rPr>
          <w:rFonts w:ascii="Arial" w:hAnsi="Arial" w:cs="Arial"/>
          <w:i/>
          <w:iCs/>
          <w:sz w:val="20"/>
          <w:szCs w:val="20"/>
        </w:rPr>
        <w:t>General Comment No. 18:  Non-discrimination</w:t>
      </w:r>
      <w:r w:rsidRPr="00F240DB">
        <w:rPr>
          <w:rFonts w:ascii="Arial" w:hAnsi="Arial" w:cs="Arial"/>
          <w:sz w:val="20"/>
          <w:szCs w:val="20"/>
        </w:rPr>
        <w:t>, 37</w:t>
      </w:r>
      <w:r w:rsidRPr="00F240DB">
        <w:rPr>
          <w:rFonts w:ascii="Arial" w:hAnsi="Arial" w:cs="Arial"/>
          <w:sz w:val="20"/>
          <w:szCs w:val="20"/>
          <w:vertAlign w:val="superscript"/>
        </w:rPr>
        <w:t>th</w:t>
      </w:r>
      <w:r w:rsidRPr="00F240DB">
        <w:rPr>
          <w:rFonts w:ascii="Arial" w:hAnsi="Arial" w:cs="Arial"/>
          <w:sz w:val="20"/>
          <w:szCs w:val="20"/>
        </w:rPr>
        <w:t xml:space="preserve"> sess (10 November 1989) (‘General Comment No. 18’) [7]. </w:t>
      </w:r>
    </w:p>
  </w:footnote>
  <w:footnote w:id="2">
    <w:p w14:paraId="4ED00D00" w14:textId="77777777" w:rsidR="00DC0504" w:rsidRPr="00300B92" w:rsidRDefault="00DC0504" w:rsidP="00DC0504">
      <w:pPr>
        <w:pStyle w:val="FootnoteText"/>
        <w:rPr>
          <w:rFonts w:ascii="Arial" w:hAnsi="Arial" w:cs="Arial"/>
        </w:rPr>
      </w:pPr>
      <w:r w:rsidRPr="00F240DB">
        <w:rPr>
          <w:rStyle w:val="FootnoteReference"/>
          <w:rFonts w:ascii="Arial" w:hAnsi="Arial" w:cs="Arial"/>
          <w:sz w:val="20"/>
          <w:szCs w:val="20"/>
        </w:rPr>
        <w:footnoteRef/>
      </w:r>
      <w:r w:rsidRPr="00F240DB">
        <w:rPr>
          <w:rFonts w:ascii="Arial" w:hAnsi="Arial" w:cs="Arial"/>
          <w:sz w:val="20"/>
          <w:szCs w:val="20"/>
        </w:rPr>
        <w:t xml:space="preserve"> The grounds of discrimination are not specifically or exhaustively defined under the HRA. However, the following examples of discrimination are provided in the HRA: ‘race, colour, sex, sexual orientation, language, religion, political or other opinion, national or social origin, property, birth, disability or other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2348" w14:textId="77777777" w:rsidR="007831FD" w:rsidRDefault="004D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1FEE" w14:textId="77777777" w:rsidR="007831FD" w:rsidRDefault="004D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A773" w14:textId="77777777" w:rsidR="007831FD" w:rsidRDefault="004D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 w15:restartNumberingAfterBreak="0">
    <w:nsid w:val="0B6D7629"/>
    <w:multiLevelType w:val="hybridMultilevel"/>
    <w:tmpl w:val="A042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054C8"/>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4358DD"/>
    <w:multiLevelType w:val="hybridMultilevel"/>
    <w:tmpl w:val="7A7AF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3A8D"/>
    <w:multiLevelType w:val="hybridMultilevel"/>
    <w:tmpl w:val="265048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111C7"/>
    <w:multiLevelType w:val="hybridMultilevel"/>
    <w:tmpl w:val="E232233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5662E20"/>
    <w:multiLevelType w:val="hybridMultilevel"/>
    <w:tmpl w:val="78F4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67326F"/>
    <w:multiLevelType w:val="hybridMultilevel"/>
    <w:tmpl w:val="2AE2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426A2"/>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E1348F"/>
    <w:multiLevelType w:val="hybridMultilevel"/>
    <w:tmpl w:val="FE1C219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296F5D"/>
    <w:multiLevelType w:val="hybridMultilevel"/>
    <w:tmpl w:val="35D2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932B3"/>
    <w:multiLevelType w:val="hybridMultilevel"/>
    <w:tmpl w:val="80524ED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3" w15:restartNumberingAfterBreak="0">
    <w:nsid w:val="2B615CFB"/>
    <w:multiLevelType w:val="hybridMultilevel"/>
    <w:tmpl w:val="478C3000"/>
    <w:lvl w:ilvl="0" w:tplc="D9C268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5872B8"/>
    <w:multiLevelType w:val="hybridMultilevel"/>
    <w:tmpl w:val="39944286"/>
    <w:lvl w:ilvl="0" w:tplc="6DBAF65E">
      <w:start w:val="1"/>
      <w:numFmt w:val="decimal"/>
      <w:pStyle w:val="CS-Paragraphnumbering"/>
      <w:lvlText w:val="%1."/>
      <w:lvlJc w:val="left"/>
      <w:pPr>
        <w:ind w:left="1080" w:hanging="360"/>
      </w:pPr>
      <w:rPr>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5C8071F"/>
    <w:multiLevelType w:val="hybridMultilevel"/>
    <w:tmpl w:val="8A9AE158"/>
    <w:lvl w:ilvl="0" w:tplc="EF4E20D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ED53901"/>
    <w:multiLevelType w:val="hybridMultilevel"/>
    <w:tmpl w:val="DEBA16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EB1ED1"/>
    <w:multiLevelType w:val="hybridMultilevel"/>
    <w:tmpl w:val="E93A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601AE3"/>
    <w:multiLevelType w:val="hybridMultilevel"/>
    <w:tmpl w:val="6442B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117A4"/>
    <w:multiLevelType w:val="hybridMultilevel"/>
    <w:tmpl w:val="64C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6EFA35C7"/>
    <w:multiLevelType w:val="hybridMultilevel"/>
    <w:tmpl w:val="7E6C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A77F0"/>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7C75C3"/>
    <w:multiLevelType w:val="hybridMultilevel"/>
    <w:tmpl w:val="F6CA66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34471E"/>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1"/>
  </w:num>
  <w:num w:numId="4">
    <w:abstractNumId w:val="17"/>
  </w:num>
  <w:num w:numId="5">
    <w:abstractNumId w:val="12"/>
  </w:num>
  <w:num w:numId="6">
    <w:abstractNumId w:val="10"/>
  </w:num>
  <w:num w:numId="7">
    <w:abstractNumId w:val="25"/>
  </w:num>
  <w:num w:numId="8">
    <w:abstractNumId w:val="26"/>
  </w:num>
  <w:num w:numId="9">
    <w:abstractNumId w:val="19"/>
  </w:num>
  <w:num w:numId="10">
    <w:abstractNumId w:val="8"/>
  </w:num>
  <w:num w:numId="11">
    <w:abstractNumId w:val="24"/>
  </w:num>
  <w:num w:numId="12">
    <w:abstractNumId w:val="7"/>
  </w:num>
  <w:num w:numId="13">
    <w:abstractNumId w:val="20"/>
  </w:num>
  <w:num w:numId="14">
    <w:abstractNumId w:val="23"/>
  </w:num>
  <w:num w:numId="15">
    <w:abstractNumId w:val="9"/>
  </w:num>
  <w:num w:numId="16">
    <w:abstractNumId w:val="3"/>
  </w:num>
  <w:num w:numId="17">
    <w:abstractNumId w:val="2"/>
  </w:num>
  <w:num w:numId="18">
    <w:abstractNumId w:val="1"/>
  </w:num>
  <w:num w:numId="19">
    <w:abstractNumId w:val="6"/>
  </w:num>
  <w:num w:numId="20">
    <w:abstractNumId w:val="22"/>
  </w:num>
  <w:num w:numId="21">
    <w:abstractNumId w:val="18"/>
  </w:num>
  <w:num w:numId="22">
    <w:abstractNumId w:val="4"/>
  </w:num>
  <w:num w:numId="23">
    <w:abstractNumId w:val="14"/>
  </w:num>
  <w:num w:numId="24">
    <w:abstractNumId w:val="5"/>
  </w:num>
  <w:num w:numId="25">
    <w:abstractNumId w:val="1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8"/>
    <w:rsid w:val="0000063F"/>
    <w:rsid w:val="00002EDB"/>
    <w:rsid w:val="000042E2"/>
    <w:rsid w:val="00031DB1"/>
    <w:rsid w:val="00035EA7"/>
    <w:rsid w:val="000602F9"/>
    <w:rsid w:val="00062339"/>
    <w:rsid w:val="0006296B"/>
    <w:rsid w:val="00062C3A"/>
    <w:rsid w:val="000702AF"/>
    <w:rsid w:val="00084EA6"/>
    <w:rsid w:val="000A0891"/>
    <w:rsid w:val="000A0C32"/>
    <w:rsid w:val="000A6BC7"/>
    <w:rsid w:val="000B0A30"/>
    <w:rsid w:val="000B5A63"/>
    <w:rsid w:val="000B6145"/>
    <w:rsid w:val="000B6DA7"/>
    <w:rsid w:val="000C012A"/>
    <w:rsid w:val="000D35C4"/>
    <w:rsid w:val="000D4A4F"/>
    <w:rsid w:val="000D74FF"/>
    <w:rsid w:val="000D7DAC"/>
    <w:rsid w:val="000E099C"/>
    <w:rsid w:val="000F3867"/>
    <w:rsid w:val="001045B2"/>
    <w:rsid w:val="001115F0"/>
    <w:rsid w:val="001147DD"/>
    <w:rsid w:val="00124C2B"/>
    <w:rsid w:val="001253D0"/>
    <w:rsid w:val="001422CE"/>
    <w:rsid w:val="0015029F"/>
    <w:rsid w:val="00152FDB"/>
    <w:rsid w:val="001562A3"/>
    <w:rsid w:val="0015723A"/>
    <w:rsid w:val="00164E0E"/>
    <w:rsid w:val="00165F04"/>
    <w:rsid w:val="00182DFE"/>
    <w:rsid w:val="001841E2"/>
    <w:rsid w:val="00185110"/>
    <w:rsid w:val="0018705F"/>
    <w:rsid w:val="001946CB"/>
    <w:rsid w:val="00195108"/>
    <w:rsid w:val="001955B2"/>
    <w:rsid w:val="001A1C19"/>
    <w:rsid w:val="001A2BA9"/>
    <w:rsid w:val="001B5BC3"/>
    <w:rsid w:val="001C2DA1"/>
    <w:rsid w:val="001C4417"/>
    <w:rsid w:val="001D082F"/>
    <w:rsid w:val="001D4D3C"/>
    <w:rsid w:val="001F0171"/>
    <w:rsid w:val="001F21F1"/>
    <w:rsid w:val="002037FE"/>
    <w:rsid w:val="00205CDA"/>
    <w:rsid w:val="00206C87"/>
    <w:rsid w:val="002118EB"/>
    <w:rsid w:val="0021307D"/>
    <w:rsid w:val="00213465"/>
    <w:rsid w:val="0021482A"/>
    <w:rsid w:val="00244910"/>
    <w:rsid w:val="00251FB5"/>
    <w:rsid w:val="00260AA2"/>
    <w:rsid w:val="002639D0"/>
    <w:rsid w:val="00263E2D"/>
    <w:rsid w:val="00264340"/>
    <w:rsid w:val="002679F5"/>
    <w:rsid w:val="0027245A"/>
    <w:rsid w:val="00283BF5"/>
    <w:rsid w:val="00285D27"/>
    <w:rsid w:val="00293D70"/>
    <w:rsid w:val="00294DCE"/>
    <w:rsid w:val="002B2F5F"/>
    <w:rsid w:val="002B793A"/>
    <w:rsid w:val="002C0E96"/>
    <w:rsid w:val="002C4758"/>
    <w:rsid w:val="002E0E54"/>
    <w:rsid w:val="002E1585"/>
    <w:rsid w:val="002E4804"/>
    <w:rsid w:val="002E6603"/>
    <w:rsid w:val="002F7DD4"/>
    <w:rsid w:val="0030342B"/>
    <w:rsid w:val="00306DB7"/>
    <w:rsid w:val="00331C9F"/>
    <w:rsid w:val="00334E88"/>
    <w:rsid w:val="003365BE"/>
    <w:rsid w:val="00353F26"/>
    <w:rsid w:val="0035406C"/>
    <w:rsid w:val="003554A0"/>
    <w:rsid w:val="003678A7"/>
    <w:rsid w:val="00373467"/>
    <w:rsid w:val="00373529"/>
    <w:rsid w:val="00375690"/>
    <w:rsid w:val="00384CC7"/>
    <w:rsid w:val="003933AF"/>
    <w:rsid w:val="0039407E"/>
    <w:rsid w:val="003A1267"/>
    <w:rsid w:val="003A3383"/>
    <w:rsid w:val="003A42C7"/>
    <w:rsid w:val="003B7C36"/>
    <w:rsid w:val="003C535E"/>
    <w:rsid w:val="003C6748"/>
    <w:rsid w:val="003D53A7"/>
    <w:rsid w:val="003E00B3"/>
    <w:rsid w:val="003E31D5"/>
    <w:rsid w:val="00410C8C"/>
    <w:rsid w:val="00427ECC"/>
    <w:rsid w:val="004376CE"/>
    <w:rsid w:val="00441FDA"/>
    <w:rsid w:val="0044373A"/>
    <w:rsid w:val="00446F91"/>
    <w:rsid w:val="00450A97"/>
    <w:rsid w:val="00450E99"/>
    <w:rsid w:val="0045463B"/>
    <w:rsid w:val="00455B19"/>
    <w:rsid w:val="00456B1D"/>
    <w:rsid w:val="004639FE"/>
    <w:rsid w:val="004711AE"/>
    <w:rsid w:val="004775D3"/>
    <w:rsid w:val="00477B6D"/>
    <w:rsid w:val="00480E0B"/>
    <w:rsid w:val="00485A13"/>
    <w:rsid w:val="0049625B"/>
    <w:rsid w:val="004D11F8"/>
    <w:rsid w:val="004D20B6"/>
    <w:rsid w:val="004D3520"/>
    <w:rsid w:val="004D363C"/>
    <w:rsid w:val="004D591A"/>
    <w:rsid w:val="004D59A6"/>
    <w:rsid w:val="004E270C"/>
    <w:rsid w:val="004E5C74"/>
    <w:rsid w:val="004E606C"/>
    <w:rsid w:val="004E777C"/>
    <w:rsid w:val="00501A4C"/>
    <w:rsid w:val="00507877"/>
    <w:rsid w:val="00510B78"/>
    <w:rsid w:val="00520064"/>
    <w:rsid w:val="00523749"/>
    <w:rsid w:val="0053453E"/>
    <w:rsid w:val="00534A31"/>
    <w:rsid w:val="005371B0"/>
    <w:rsid w:val="00541BA9"/>
    <w:rsid w:val="00541F73"/>
    <w:rsid w:val="00545A21"/>
    <w:rsid w:val="00566CA1"/>
    <w:rsid w:val="0056701E"/>
    <w:rsid w:val="005673E5"/>
    <w:rsid w:val="00570E35"/>
    <w:rsid w:val="00577929"/>
    <w:rsid w:val="00581474"/>
    <w:rsid w:val="005942EC"/>
    <w:rsid w:val="005A121E"/>
    <w:rsid w:val="005A267D"/>
    <w:rsid w:val="005A639F"/>
    <w:rsid w:val="005B4159"/>
    <w:rsid w:val="005D3132"/>
    <w:rsid w:val="005D5502"/>
    <w:rsid w:val="005E24E3"/>
    <w:rsid w:val="005E781F"/>
    <w:rsid w:val="005F13AB"/>
    <w:rsid w:val="005F3D40"/>
    <w:rsid w:val="005F73CF"/>
    <w:rsid w:val="00604399"/>
    <w:rsid w:val="00626C55"/>
    <w:rsid w:val="00627EAE"/>
    <w:rsid w:val="00644EA5"/>
    <w:rsid w:val="00644FAB"/>
    <w:rsid w:val="00650F8D"/>
    <w:rsid w:val="006520B5"/>
    <w:rsid w:val="00656901"/>
    <w:rsid w:val="00673016"/>
    <w:rsid w:val="00673383"/>
    <w:rsid w:val="006744A5"/>
    <w:rsid w:val="00675FBA"/>
    <w:rsid w:val="006A1D26"/>
    <w:rsid w:val="006B49A7"/>
    <w:rsid w:val="006B4F08"/>
    <w:rsid w:val="006B6D7A"/>
    <w:rsid w:val="006C6D82"/>
    <w:rsid w:val="006D0BB2"/>
    <w:rsid w:val="006D1015"/>
    <w:rsid w:val="006D40D8"/>
    <w:rsid w:val="006D430A"/>
    <w:rsid w:val="006D7E1C"/>
    <w:rsid w:val="006E7689"/>
    <w:rsid w:val="006F11EE"/>
    <w:rsid w:val="006F126C"/>
    <w:rsid w:val="006F7D88"/>
    <w:rsid w:val="007046AA"/>
    <w:rsid w:val="00704A30"/>
    <w:rsid w:val="00710FF0"/>
    <w:rsid w:val="00721397"/>
    <w:rsid w:val="00724B2B"/>
    <w:rsid w:val="00734969"/>
    <w:rsid w:val="0073552E"/>
    <w:rsid w:val="00737FDE"/>
    <w:rsid w:val="00752DDE"/>
    <w:rsid w:val="007532DA"/>
    <w:rsid w:val="007544E2"/>
    <w:rsid w:val="00760F33"/>
    <w:rsid w:val="00761D56"/>
    <w:rsid w:val="007761A0"/>
    <w:rsid w:val="00776CAA"/>
    <w:rsid w:val="007824A3"/>
    <w:rsid w:val="00791353"/>
    <w:rsid w:val="007917A8"/>
    <w:rsid w:val="00796906"/>
    <w:rsid w:val="007A0A6B"/>
    <w:rsid w:val="007A25FF"/>
    <w:rsid w:val="007A3E18"/>
    <w:rsid w:val="007A71D4"/>
    <w:rsid w:val="007B25A0"/>
    <w:rsid w:val="007B31FE"/>
    <w:rsid w:val="007B72C3"/>
    <w:rsid w:val="007C098B"/>
    <w:rsid w:val="007C63E6"/>
    <w:rsid w:val="007C6CDC"/>
    <w:rsid w:val="007D00AF"/>
    <w:rsid w:val="007D02AE"/>
    <w:rsid w:val="007E4CCA"/>
    <w:rsid w:val="007E730F"/>
    <w:rsid w:val="007F2152"/>
    <w:rsid w:val="00802F1B"/>
    <w:rsid w:val="008039F5"/>
    <w:rsid w:val="0080429F"/>
    <w:rsid w:val="00805909"/>
    <w:rsid w:val="00805CCE"/>
    <w:rsid w:val="0081543E"/>
    <w:rsid w:val="0082002B"/>
    <w:rsid w:val="008227A8"/>
    <w:rsid w:val="008263EC"/>
    <w:rsid w:val="0083554A"/>
    <w:rsid w:val="0083698E"/>
    <w:rsid w:val="008369E1"/>
    <w:rsid w:val="00877C7F"/>
    <w:rsid w:val="0088041C"/>
    <w:rsid w:val="008870ED"/>
    <w:rsid w:val="00896DF8"/>
    <w:rsid w:val="008B3595"/>
    <w:rsid w:val="008B48D9"/>
    <w:rsid w:val="008B4C72"/>
    <w:rsid w:val="008C1C21"/>
    <w:rsid w:val="008D4E7A"/>
    <w:rsid w:val="008D718D"/>
    <w:rsid w:val="008E0781"/>
    <w:rsid w:val="008E6A03"/>
    <w:rsid w:val="00900AA7"/>
    <w:rsid w:val="0090167F"/>
    <w:rsid w:val="00907E7E"/>
    <w:rsid w:val="00920EAA"/>
    <w:rsid w:val="00920FF8"/>
    <w:rsid w:val="00923FD1"/>
    <w:rsid w:val="00930E4A"/>
    <w:rsid w:val="0093101A"/>
    <w:rsid w:val="009321BC"/>
    <w:rsid w:val="00936519"/>
    <w:rsid w:val="00952CB7"/>
    <w:rsid w:val="00957A37"/>
    <w:rsid w:val="00966EB5"/>
    <w:rsid w:val="009723BE"/>
    <w:rsid w:val="00974862"/>
    <w:rsid w:val="00976CDB"/>
    <w:rsid w:val="0097724F"/>
    <w:rsid w:val="009775EA"/>
    <w:rsid w:val="00981E47"/>
    <w:rsid w:val="00982369"/>
    <w:rsid w:val="00997E4B"/>
    <w:rsid w:val="009A64F3"/>
    <w:rsid w:val="009A7D18"/>
    <w:rsid w:val="009B75B0"/>
    <w:rsid w:val="009E1688"/>
    <w:rsid w:val="00A025E4"/>
    <w:rsid w:val="00A126EE"/>
    <w:rsid w:val="00A44C34"/>
    <w:rsid w:val="00A52EA9"/>
    <w:rsid w:val="00A61006"/>
    <w:rsid w:val="00A6533C"/>
    <w:rsid w:val="00A6621F"/>
    <w:rsid w:val="00A700F7"/>
    <w:rsid w:val="00A77474"/>
    <w:rsid w:val="00A7748C"/>
    <w:rsid w:val="00A877E6"/>
    <w:rsid w:val="00AA0B17"/>
    <w:rsid w:val="00AA49A0"/>
    <w:rsid w:val="00AA5635"/>
    <w:rsid w:val="00AB1EDD"/>
    <w:rsid w:val="00AB712D"/>
    <w:rsid w:val="00AC667A"/>
    <w:rsid w:val="00AC7089"/>
    <w:rsid w:val="00AD45C1"/>
    <w:rsid w:val="00AD6BAA"/>
    <w:rsid w:val="00AE2031"/>
    <w:rsid w:val="00B00FC1"/>
    <w:rsid w:val="00B13747"/>
    <w:rsid w:val="00B43E27"/>
    <w:rsid w:val="00B4438F"/>
    <w:rsid w:val="00B52E30"/>
    <w:rsid w:val="00B56765"/>
    <w:rsid w:val="00B60BD9"/>
    <w:rsid w:val="00B700CA"/>
    <w:rsid w:val="00B71185"/>
    <w:rsid w:val="00B924F3"/>
    <w:rsid w:val="00B956A1"/>
    <w:rsid w:val="00BA2F35"/>
    <w:rsid w:val="00BB2A1E"/>
    <w:rsid w:val="00BC00D6"/>
    <w:rsid w:val="00BC12FF"/>
    <w:rsid w:val="00BC6F9C"/>
    <w:rsid w:val="00BD25A4"/>
    <w:rsid w:val="00BD3F75"/>
    <w:rsid w:val="00BD7207"/>
    <w:rsid w:val="00C0095D"/>
    <w:rsid w:val="00C10692"/>
    <w:rsid w:val="00C12DDB"/>
    <w:rsid w:val="00C13443"/>
    <w:rsid w:val="00C17249"/>
    <w:rsid w:val="00C17FCB"/>
    <w:rsid w:val="00C21CBC"/>
    <w:rsid w:val="00C24AA9"/>
    <w:rsid w:val="00C27577"/>
    <w:rsid w:val="00C34AC8"/>
    <w:rsid w:val="00C356C8"/>
    <w:rsid w:val="00C43F5E"/>
    <w:rsid w:val="00C6317C"/>
    <w:rsid w:val="00C660B8"/>
    <w:rsid w:val="00C70894"/>
    <w:rsid w:val="00C72029"/>
    <w:rsid w:val="00C72ACA"/>
    <w:rsid w:val="00C73523"/>
    <w:rsid w:val="00C80E78"/>
    <w:rsid w:val="00C815C4"/>
    <w:rsid w:val="00C841E7"/>
    <w:rsid w:val="00C963B2"/>
    <w:rsid w:val="00CA3B1A"/>
    <w:rsid w:val="00CB2753"/>
    <w:rsid w:val="00CB7849"/>
    <w:rsid w:val="00CC1A62"/>
    <w:rsid w:val="00CD77AB"/>
    <w:rsid w:val="00CF3934"/>
    <w:rsid w:val="00CF4959"/>
    <w:rsid w:val="00D00955"/>
    <w:rsid w:val="00D01C56"/>
    <w:rsid w:val="00D02537"/>
    <w:rsid w:val="00D06F90"/>
    <w:rsid w:val="00D132E9"/>
    <w:rsid w:val="00D15054"/>
    <w:rsid w:val="00D20346"/>
    <w:rsid w:val="00D20A54"/>
    <w:rsid w:val="00D23E03"/>
    <w:rsid w:val="00D26A37"/>
    <w:rsid w:val="00D27C30"/>
    <w:rsid w:val="00D3578E"/>
    <w:rsid w:val="00D37552"/>
    <w:rsid w:val="00D40F36"/>
    <w:rsid w:val="00D47CB8"/>
    <w:rsid w:val="00D5069D"/>
    <w:rsid w:val="00D54884"/>
    <w:rsid w:val="00D61A0C"/>
    <w:rsid w:val="00D71983"/>
    <w:rsid w:val="00D72759"/>
    <w:rsid w:val="00D777A7"/>
    <w:rsid w:val="00D800E4"/>
    <w:rsid w:val="00D96AE6"/>
    <w:rsid w:val="00DA3195"/>
    <w:rsid w:val="00DA5203"/>
    <w:rsid w:val="00DA5F03"/>
    <w:rsid w:val="00DA697E"/>
    <w:rsid w:val="00DB37C2"/>
    <w:rsid w:val="00DC0504"/>
    <w:rsid w:val="00DC1C8B"/>
    <w:rsid w:val="00DC3D80"/>
    <w:rsid w:val="00DC4AE3"/>
    <w:rsid w:val="00DE09B1"/>
    <w:rsid w:val="00DE3C75"/>
    <w:rsid w:val="00DE763D"/>
    <w:rsid w:val="00DF2AA5"/>
    <w:rsid w:val="00DF5D00"/>
    <w:rsid w:val="00E0412E"/>
    <w:rsid w:val="00E125BC"/>
    <w:rsid w:val="00E16995"/>
    <w:rsid w:val="00E33366"/>
    <w:rsid w:val="00E369AB"/>
    <w:rsid w:val="00E36CDE"/>
    <w:rsid w:val="00E41CED"/>
    <w:rsid w:val="00E45712"/>
    <w:rsid w:val="00E45E3C"/>
    <w:rsid w:val="00E539B1"/>
    <w:rsid w:val="00E54480"/>
    <w:rsid w:val="00E60CC3"/>
    <w:rsid w:val="00E63B95"/>
    <w:rsid w:val="00E71564"/>
    <w:rsid w:val="00E722AF"/>
    <w:rsid w:val="00E7668E"/>
    <w:rsid w:val="00E82337"/>
    <w:rsid w:val="00E83EA2"/>
    <w:rsid w:val="00E91B7F"/>
    <w:rsid w:val="00E96050"/>
    <w:rsid w:val="00EA4596"/>
    <w:rsid w:val="00EB2271"/>
    <w:rsid w:val="00EB34E0"/>
    <w:rsid w:val="00EC5975"/>
    <w:rsid w:val="00EE4A51"/>
    <w:rsid w:val="00EF1379"/>
    <w:rsid w:val="00EF2F63"/>
    <w:rsid w:val="00EF7DEB"/>
    <w:rsid w:val="00F03B4A"/>
    <w:rsid w:val="00F07DF1"/>
    <w:rsid w:val="00F1506B"/>
    <w:rsid w:val="00F17CE4"/>
    <w:rsid w:val="00F240DB"/>
    <w:rsid w:val="00F2539C"/>
    <w:rsid w:val="00F26E19"/>
    <w:rsid w:val="00F27DA4"/>
    <w:rsid w:val="00F30D66"/>
    <w:rsid w:val="00F35CE7"/>
    <w:rsid w:val="00F37F82"/>
    <w:rsid w:val="00F421DD"/>
    <w:rsid w:val="00F42FA6"/>
    <w:rsid w:val="00F442AE"/>
    <w:rsid w:val="00F447A7"/>
    <w:rsid w:val="00F472C7"/>
    <w:rsid w:val="00F55C97"/>
    <w:rsid w:val="00F56BE6"/>
    <w:rsid w:val="00F627C5"/>
    <w:rsid w:val="00F64639"/>
    <w:rsid w:val="00F654BC"/>
    <w:rsid w:val="00F7138D"/>
    <w:rsid w:val="00F807C0"/>
    <w:rsid w:val="00F86AF6"/>
    <w:rsid w:val="00FA1771"/>
    <w:rsid w:val="00FA7939"/>
    <w:rsid w:val="00FB4022"/>
    <w:rsid w:val="00FC3D07"/>
    <w:rsid w:val="00FD1DF4"/>
    <w:rsid w:val="00FF1AA8"/>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C117"/>
  <w15:chartTrackingRefBased/>
  <w15:docId w15:val="{027C6293-9CB3-421F-969E-FF0EEB0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60B8"/>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C660B8"/>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qFormat/>
    <w:rsid w:val="00C660B8"/>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C660B8"/>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0B8"/>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C660B8"/>
    <w:rPr>
      <w:rFonts w:ascii="Arial" w:eastAsia="Times New Roman" w:hAnsi="Arial" w:cs="Arial"/>
      <w:i/>
      <w:iCs/>
      <w:sz w:val="16"/>
      <w:szCs w:val="16"/>
    </w:rPr>
  </w:style>
  <w:style w:type="character" w:customStyle="1" w:styleId="Heading3Char">
    <w:name w:val="Heading 3 Char"/>
    <w:basedOn w:val="DefaultParagraphFont"/>
    <w:link w:val="Heading3"/>
    <w:rsid w:val="00C660B8"/>
    <w:rPr>
      <w:rFonts w:ascii="Times New Roman" w:eastAsia="Times New Roman" w:hAnsi="Times New Roman" w:cs="Times New Roman"/>
      <w:i/>
      <w:iCs/>
    </w:rPr>
  </w:style>
  <w:style w:type="character" w:customStyle="1" w:styleId="Heading4Char">
    <w:name w:val="Heading 4 Char"/>
    <w:basedOn w:val="DefaultParagraphFont"/>
    <w:link w:val="Heading4"/>
    <w:rsid w:val="00C660B8"/>
    <w:rPr>
      <w:rFonts w:ascii="Times New Roman" w:eastAsia="Times New Roman" w:hAnsi="Times New Roman" w:cs="Times New Roman"/>
      <w:i/>
      <w:iCs/>
    </w:rPr>
  </w:style>
  <w:style w:type="paragraph" w:styleId="Title">
    <w:name w:val="Title"/>
    <w:basedOn w:val="Normal"/>
    <w:link w:val="TitleChar"/>
    <w:qFormat/>
    <w:rsid w:val="00C660B8"/>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rsid w:val="00C660B8"/>
    <w:rPr>
      <w:rFonts w:ascii="Arial" w:eastAsia="Times New Roman" w:hAnsi="Arial" w:cs="Times New Roman"/>
      <w:b/>
      <w:kern w:val="28"/>
      <w:sz w:val="40"/>
      <w:szCs w:val="20"/>
    </w:rPr>
  </w:style>
  <w:style w:type="paragraph" w:styleId="Footer">
    <w:name w:val="footer"/>
    <w:basedOn w:val="Normal"/>
    <w:link w:val="FooterChar"/>
    <w:semiHidden/>
    <w:rsid w:val="00C660B8"/>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C660B8"/>
    <w:rPr>
      <w:rFonts w:ascii="Arial" w:eastAsia="Times New Roman" w:hAnsi="Arial" w:cs="Times New Roman"/>
      <w:sz w:val="18"/>
      <w:szCs w:val="20"/>
    </w:rPr>
  </w:style>
  <w:style w:type="paragraph" w:customStyle="1" w:styleId="Billname">
    <w:name w:val="Billname"/>
    <w:basedOn w:val="Normal"/>
    <w:rsid w:val="00C660B8"/>
    <w:pPr>
      <w:tabs>
        <w:tab w:val="left" w:pos="2400"/>
        <w:tab w:val="left" w:pos="2880"/>
      </w:tabs>
      <w:spacing w:before="1220" w:after="100"/>
    </w:pPr>
    <w:rPr>
      <w:rFonts w:ascii="Arial" w:hAnsi="Arial"/>
      <w:b/>
      <w:sz w:val="40"/>
    </w:rPr>
  </w:style>
  <w:style w:type="paragraph" w:customStyle="1" w:styleId="Amain">
    <w:name w:val="A main"/>
    <w:basedOn w:val="Normal"/>
    <w:rsid w:val="00C660B8"/>
    <w:pPr>
      <w:tabs>
        <w:tab w:val="right" w:pos="500"/>
        <w:tab w:val="left" w:pos="700"/>
      </w:tabs>
      <w:spacing w:before="80" w:after="60"/>
      <w:ind w:left="700" w:hanging="700"/>
      <w:jc w:val="both"/>
      <w:outlineLvl w:val="5"/>
    </w:pPr>
  </w:style>
  <w:style w:type="paragraph" w:customStyle="1" w:styleId="N-line3">
    <w:name w:val="N-line3"/>
    <w:basedOn w:val="Normal"/>
    <w:next w:val="Normal"/>
    <w:rsid w:val="00C660B8"/>
    <w:pPr>
      <w:pBdr>
        <w:bottom w:val="single" w:sz="12" w:space="1" w:color="auto"/>
      </w:pBdr>
      <w:jc w:val="both"/>
    </w:pPr>
  </w:style>
  <w:style w:type="paragraph" w:customStyle="1" w:styleId="madeunder">
    <w:name w:val="made under"/>
    <w:basedOn w:val="Normal"/>
    <w:rsid w:val="00C660B8"/>
    <w:pPr>
      <w:spacing w:before="180" w:after="60"/>
      <w:jc w:val="both"/>
    </w:pPr>
  </w:style>
  <w:style w:type="paragraph" w:customStyle="1" w:styleId="CoverActName">
    <w:name w:val="CoverActName"/>
    <w:basedOn w:val="Normal"/>
    <w:rsid w:val="00C660B8"/>
    <w:pPr>
      <w:tabs>
        <w:tab w:val="left" w:pos="2600"/>
      </w:tabs>
      <w:spacing w:before="200" w:after="60"/>
      <w:jc w:val="both"/>
    </w:pPr>
    <w:rPr>
      <w:rFonts w:ascii="Arial" w:hAnsi="Arial"/>
      <w:b/>
    </w:rPr>
  </w:style>
  <w:style w:type="paragraph" w:customStyle="1" w:styleId="06Copyright">
    <w:name w:val="06Copyright"/>
    <w:basedOn w:val="Normal"/>
    <w:rsid w:val="00C660B8"/>
    <w:pPr>
      <w:tabs>
        <w:tab w:val="left" w:pos="2880"/>
      </w:tabs>
    </w:pPr>
  </w:style>
  <w:style w:type="paragraph" w:customStyle="1" w:styleId="Apara">
    <w:name w:val="A para"/>
    <w:basedOn w:val="Normal"/>
    <w:rsid w:val="00C660B8"/>
    <w:pPr>
      <w:numPr>
        <w:ilvl w:val="6"/>
        <w:numId w:val="3"/>
      </w:numPr>
      <w:spacing w:before="80" w:after="60"/>
      <w:jc w:val="both"/>
      <w:outlineLvl w:val="6"/>
    </w:pPr>
  </w:style>
  <w:style w:type="paragraph" w:customStyle="1" w:styleId="Asubpara">
    <w:name w:val="A subpara"/>
    <w:basedOn w:val="Normal"/>
    <w:rsid w:val="00C660B8"/>
    <w:pPr>
      <w:numPr>
        <w:ilvl w:val="7"/>
        <w:numId w:val="3"/>
      </w:numPr>
      <w:spacing w:before="80" w:after="60"/>
      <w:jc w:val="both"/>
      <w:outlineLvl w:val="7"/>
    </w:pPr>
  </w:style>
  <w:style w:type="paragraph" w:customStyle="1" w:styleId="Asubsubpara">
    <w:name w:val="A subsubpara"/>
    <w:basedOn w:val="Normal"/>
    <w:rsid w:val="00C660B8"/>
    <w:pPr>
      <w:numPr>
        <w:ilvl w:val="8"/>
        <w:numId w:val="3"/>
      </w:numPr>
      <w:spacing w:before="80" w:after="60"/>
      <w:jc w:val="both"/>
      <w:outlineLvl w:val="8"/>
    </w:pPr>
  </w:style>
  <w:style w:type="paragraph" w:customStyle="1" w:styleId="AH5Sec">
    <w:name w:val="A H5 Sec"/>
    <w:basedOn w:val="Normal"/>
    <w:next w:val="Amain"/>
    <w:rsid w:val="00C660B8"/>
    <w:pPr>
      <w:keepNext/>
      <w:numPr>
        <w:ilvl w:val="4"/>
        <w:numId w:val="1"/>
      </w:numPr>
      <w:spacing w:before="180" w:after="60"/>
      <w:outlineLvl w:val="4"/>
    </w:pPr>
    <w:rPr>
      <w:rFonts w:ascii="Arial" w:hAnsi="Arial"/>
      <w:b/>
    </w:rPr>
  </w:style>
  <w:style w:type="paragraph" w:styleId="Header">
    <w:name w:val="header"/>
    <w:basedOn w:val="Normal"/>
    <w:link w:val="HeaderChar"/>
    <w:semiHidden/>
    <w:rsid w:val="00C660B8"/>
    <w:pPr>
      <w:tabs>
        <w:tab w:val="left" w:pos="2880"/>
        <w:tab w:val="center" w:pos="4153"/>
        <w:tab w:val="right" w:pos="8306"/>
      </w:tabs>
    </w:pPr>
  </w:style>
  <w:style w:type="character" w:customStyle="1" w:styleId="HeaderChar">
    <w:name w:val="Header Char"/>
    <w:basedOn w:val="DefaultParagraphFont"/>
    <w:link w:val="Header"/>
    <w:semiHidden/>
    <w:rsid w:val="00C660B8"/>
    <w:rPr>
      <w:rFonts w:ascii="Times New Roman" w:eastAsia="Times New Roman" w:hAnsi="Times New Roman" w:cs="Times New Roman"/>
      <w:sz w:val="24"/>
      <w:szCs w:val="20"/>
    </w:rPr>
  </w:style>
  <w:style w:type="paragraph" w:customStyle="1" w:styleId="ref">
    <w:name w:val="ref"/>
    <w:basedOn w:val="Normal"/>
    <w:next w:val="Normal"/>
    <w:rsid w:val="00C660B8"/>
    <w:pPr>
      <w:spacing w:after="60"/>
      <w:jc w:val="both"/>
    </w:pPr>
    <w:rPr>
      <w:sz w:val="18"/>
    </w:rPr>
  </w:style>
  <w:style w:type="character" w:customStyle="1" w:styleId="CharDivText">
    <w:name w:val="CharDivText"/>
    <w:basedOn w:val="DefaultParagraphFont"/>
    <w:rsid w:val="00C660B8"/>
  </w:style>
  <w:style w:type="paragraph" w:customStyle="1" w:styleId="CoverInForce">
    <w:name w:val="CoverInForce"/>
    <w:basedOn w:val="Normal"/>
    <w:rsid w:val="00C660B8"/>
    <w:pPr>
      <w:tabs>
        <w:tab w:val="left" w:pos="2600"/>
      </w:tabs>
      <w:spacing w:before="200" w:after="60"/>
      <w:jc w:val="both"/>
    </w:pPr>
    <w:rPr>
      <w:rFonts w:ascii="Arial" w:hAnsi="Arial"/>
    </w:rPr>
  </w:style>
  <w:style w:type="paragraph" w:customStyle="1" w:styleId="AFHdg">
    <w:name w:val="AFHdg"/>
    <w:basedOn w:val="Normal"/>
    <w:rsid w:val="00C660B8"/>
    <w:pPr>
      <w:tabs>
        <w:tab w:val="left" w:pos="2600"/>
      </w:tabs>
      <w:spacing w:before="80" w:after="60"/>
      <w:jc w:val="both"/>
    </w:pPr>
    <w:rPr>
      <w:rFonts w:ascii="Arial" w:hAnsi="Arial"/>
      <w:b/>
      <w:sz w:val="32"/>
    </w:rPr>
  </w:style>
  <w:style w:type="paragraph" w:customStyle="1" w:styleId="ApprFormHd">
    <w:name w:val="ApprFormHd"/>
    <w:basedOn w:val="Normal"/>
    <w:rsid w:val="00C660B8"/>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660B8"/>
  </w:style>
  <w:style w:type="paragraph" w:customStyle="1" w:styleId="Aparabullet">
    <w:name w:val="A para bullet"/>
    <w:basedOn w:val="Normal"/>
    <w:rsid w:val="00C660B8"/>
    <w:pPr>
      <w:numPr>
        <w:numId w:val="2"/>
      </w:numPr>
    </w:pPr>
  </w:style>
  <w:style w:type="paragraph" w:styleId="TOC1">
    <w:name w:val="toc 1"/>
    <w:basedOn w:val="Normal"/>
    <w:next w:val="Normal"/>
    <w:autoRedefine/>
    <w:semiHidden/>
    <w:rsid w:val="00C660B8"/>
  </w:style>
  <w:style w:type="paragraph" w:styleId="TOC2">
    <w:name w:val="toc 2"/>
    <w:basedOn w:val="Normal"/>
    <w:next w:val="Normal"/>
    <w:autoRedefine/>
    <w:semiHidden/>
    <w:rsid w:val="00C660B8"/>
    <w:pPr>
      <w:ind w:left="240"/>
    </w:pPr>
  </w:style>
  <w:style w:type="paragraph" w:styleId="TOC3">
    <w:name w:val="toc 3"/>
    <w:basedOn w:val="Normal"/>
    <w:next w:val="Normal"/>
    <w:autoRedefine/>
    <w:semiHidden/>
    <w:rsid w:val="00C660B8"/>
    <w:pPr>
      <w:ind w:left="480"/>
    </w:pPr>
  </w:style>
  <w:style w:type="paragraph" w:styleId="TOC4">
    <w:name w:val="toc 4"/>
    <w:basedOn w:val="Normal"/>
    <w:next w:val="Normal"/>
    <w:autoRedefine/>
    <w:semiHidden/>
    <w:rsid w:val="00C660B8"/>
    <w:pPr>
      <w:ind w:left="720"/>
    </w:pPr>
  </w:style>
  <w:style w:type="paragraph" w:styleId="TOC5">
    <w:name w:val="toc 5"/>
    <w:basedOn w:val="Normal"/>
    <w:next w:val="Normal"/>
    <w:autoRedefine/>
    <w:semiHidden/>
    <w:rsid w:val="00C660B8"/>
    <w:pPr>
      <w:ind w:left="960"/>
    </w:pPr>
  </w:style>
  <w:style w:type="paragraph" w:styleId="TOC6">
    <w:name w:val="toc 6"/>
    <w:basedOn w:val="Normal"/>
    <w:next w:val="Normal"/>
    <w:autoRedefine/>
    <w:semiHidden/>
    <w:rsid w:val="00C660B8"/>
    <w:pPr>
      <w:ind w:left="1200"/>
    </w:pPr>
  </w:style>
  <w:style w:type="paragraph" w:styleId="TOC7">
    <w:name w:val="toc 7"/>
    <w:basedOn w:val="Normal"/>
    <w:next w:val="Normal"/>
    <w:autoRedefine/>
    <w:semiHidden/>
    <w:rsid w:val="00C660B8"/>
    <w:pPr>
      <w:ind w:left="1440"/>
    </w:pPr>
  </w:style>
  <w:style w:type="paragraph" w:styleId="TOC8">
    <w:name w:val="toc 8"/>
    <w:basedOn w:val="Normal"/>
    <w:next w:val="Normal"/>
    <w:autoRedefine/>
    <w:semiHidden/>
    <w:rsid w:val="00C660B8"/>
    <w:pPr>
      <w:ind w:left="1680"/>
    </w:pPr>
  </w:style>
  <w:style w:type="paragraph" w:styleId="TOC9">
    <w:name w:val="toc 9"/>
    <w:basedOn w:val="Normal"/>
    <w:next w:val="Normal"/>
    <w:autoRedefine/>
    <w:semiHidden/>
    <w:rsid w:val="00C660B8"/>
    <w:pPr>
      <w:ind w:left="1920"/>
    </w:pPr>
  </w:style>
  <w:style w:type="character" w:styleId="Hyperlink">
    <w:name w:val="Hyperlink"/>
    <w:basedOn w:val="DefaultParagraphFont"/>
    <w:semiHidden/>
    <w:rsid w:val="00C660B8"/>
    <w:rPr>
      <w:color w:val="0000FF"/>
      <w:u w:val="single"/>
    </w:rPr>
  </w:style>
  <w:style w:type="paragraph" w:styleId="BodyTextIndent">
    <w:name w:val="Body Text Indent"/>
    <w:basedOn w:val="Normal"/>
    <w:link w:val="BodyTextIndentChar"/>
    <w:semiHidden/>
    <w:rsid w:val="00C660B8"/>
    <w:pPr>
      <w:spacing w:before="120" w:after="60"/>
      <w:ind w:left="709"/>
    </w:pPr>
  </w:style>
  <w:style w:type="character" w:customStyle="1" w:styleId="BodyTextIndentChar">
    <w:name w:val="Body Text Indent Char"/>
    <w:basedOn w:val="DefaultParagraphFont"/>
    <w:link w:val="BodyTextIndent"/>
    <w:semiHidden/>
    <w:rsid w:val="00C660B8"/>
    <w:rPr>
      <w:rFonts w:ascii="Times New Roman" w:eastAsia="Times New Roman" w:hAnsi="Times New Roman" w:cs="Times New Roman"/>
      <w:sz w:val="24"/>
      <w:szCs w:val="20"/>
    </w:rPr>
  </w:style>
  <w:style w:type="paragraph" w:customStyle="1" w:styleId="Minister">
    <w:name w:val="Minister"/>
    <w:basedOn w:val="Normal"/>
    <w:rsid w:val="00C660B8"/>
    <w:pPr>
      <w:spacing w:before="880" w:after="60"/>
      <w:jc w:val="right"/>
    </w:pPr>
    <w:rPr>
      <w:caps/>
      <w:szCs w:val="24"/>
    </w:rPr>
  </w:style>
  <w:style w:type="paragraph" w:customStyle="1" w:styleId="DateLine">
    <w:name w:val="DateLine"/>
    <w:basedOn w:val="Normal"/>
    <w:rsid w:val="00C660B8"/>
    <w:pPr>
      <w:tabs>
        <w:tab w:val="left" w:pos="4320"/>
      </w:tabs>
      <w:spacing w:before="80" w:after="60"/>
      <w:jc w:val="both"/>
    </w:pPr>
    <w:rPr>
      <w:szCs w:val="24"/>
    </w:rPr>
  </w:style>
  <w:style w:type="paragraph" w:customStyle="1" w:styleId="MinisterWord">
    <w:name w:val="MinisterWord"/>
    <w:basedOn w:val="Normal"/>
    <w:rsid w:val="00C660B8"/>
    <w:pPr>
      <w:tabs>
        <w:tab w:val="left" w:pos="2880"/>
      </w:tabs>
      <w:jc w:val="right"/>
    </w:pPr>
    <w:rPr>
      <w:szCs w:val="24"/>
    </w:rPr>
  </w:style>
  <w:style w:type="character" w:styleId="FollowedHyperlink">
    <w:name w:val="FollowedHyperlink"/>
    <w:basedOn w:val="DefaultParagraphFont"/>
    <w:semiHidden/>
    <w:rsid w:val="00C660B8"/>
    <w:rPr>
      <w:color w:val="800080"/>
      <w:u w:val="single"/>
    </w:rPr>
  </w:style>
  <w:style w:type="character" w:styleId="FootnoteReference">
    <w:name w:val="footnote reference"/>
    <w:basedOn w:val="DefaultParagraphFont"/>
    <w:semiHidden/>
    <w:rsid w:val="00C660B8"/>
    <w:rPr>
      <w:rFonts w:ascii="Times New Roman" w:hAnsi="Times New Roman" w:cs="Times New Roman"/>
      <w:sz w:val="24"/>
      <w:szCs w:val="24"/>
      <w:vertAlign w:val="superscript"/>
    </w:rPr>
  </w:style>
  <w:style w:type="paragraph" w:styleId="FootnoteText">
    <w:name w:val="footnote text"/>
    <w:basedOn w:val="Normal"/>
    <w:link w:val="FootnoteTextChar"/>
    <w:semiHidden/>
    <w:rsid w:val="00C660B8"/>
    <w:pPr>
      <w:spacing w:before="80" w:after="60"/>
      <w:jc w:val="both"/>
    </w:pPr>
    <w:rPr>
      <w:szCs w:val="24"/>
    </w:rPr>
  </w:style>
  <w:style w:type="character" w:customStyle="1" w:styleId="FootnoteTextChar">
    <w:name w:val="Footnote Text Char"/>
    <w:basedOn w:val="DefaultParagraphFont"/>
    <w:link w:val="FootnoteText"/>
    <w:semiHidden/>
    <w:rsid w:val="00C660B8"/>
    <w:rPr>
      <w:rFonts w:ascii="Times New Roman" w:eastAsia="Times New Roman" w:hAnsi="Times New Roman" w:cs="Times New Roman"/>
      <w:sz w:val="24"/>
      <w:szCs w:val="24"/>
    </w:rPr>
  </w:style>
  <w:style w:type="paragraph" w:customStyle="1" w:styleId="ShadedSchClause">
    <w:name w:val="Shaded Sch Clause"/>
    <w:basedOn w:val="Normal"/>
    <w:next w:val="Normal"/>
    <w:rsid w:val="00C660B8"/>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660B8"/>
  </w:style>
  <w:style w:type="paragraph" w:styleId="ListParagraph">
    <w:name w:val="List Paragraph"/>
    <w:basedOn w:val="Normal"/>
    <w:uiPriority w:val="34"/>
    <w:qFormat/>
    <w:rsid w:val="00C660B8"/>
    <w:pPr>
      <w:ind w:left="720"/>
      <w:contextualSpacing/>
    </w:pPr>
  </w:style>
  <w:style w:type="paragraph" w:styleId="BalloonText">
    <w:name w:val="Balloon Text"/>
    <w:basedOn w:val="Normal"/>
    <w:link w:val="BalloonTextChar"/>
    <w:uiPriority w:val="99"/>
    <w:semiHidden/>
    <w:unhideWhenUsed/>
    <w:rsid w:val="00C6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B8"/>
    <w:rPr>
      <w:rFonts w:ascii="Segoe UI" w:eastAsia="Times New Roman" w:hAnsi="Segoe UI" w:cs="Segoe UI"/>
      <w:sz w:val="18"/>
      <w:szCs w:val="18"/>
    </w:rPr>
  </w:style>
  <w:style w:type="paragraph" w:styleId="NormalWeb">
    <w:name w:val="Normal (Web)"/>
    <w:basedOn w:val="Normal"/>
    <w:uiPriority w:val="99"/>
    <w:semiHidden/>
    <w:unhideWhenUsed/>
    <w:rsid w:val="00C660B8"/>
    <w:pPr>
      <w:spacing w:before="100" w:beforeAutospacing="1" w:after="100" w:afterAutospacing="1"/>
    </w:pPr>
    <w:rPr>
      <w:szCs w:val="24"/>
      <w:lang w:eastAsia="en-AU"/>
    </w:rPr>
  </w:style>
  <w:style w:type="paragraph" w:styleId="NoSpacing">
    <w:name w:val="No Spacing"/>
    <w:uiPriority w:val="1"/>
    <w:qFormat/>
    <w:rsid w:val="004376CE"/>
    <w:pPr>
      <w:spacing w:after="0" w:line="240" w:lineRule="auto"/>
    </w:pPr>
    <w:rPr>
      <w:rFonts w:ascii="Times New Roman" w:eastAsia="Times New Roman" w:hAnsi="Times New Roman" w:cs="Times New Roman"/>
      <w:sz w:val="24"/>
      <w:szCs w:val="20"/>
    </w:rPr>
  </w:style>
  <w:style w:type="paragraph" w:customStyle="1" w:styleId="CS-Paragraphnumbering">
    <w:name w:val="CS - Paragraph numbering"/>
    <w:basedOn w:val="Normal"/>
    <w:rsid w:val="007F2152"/>
    <w:pPr>
      <w:numPr>
        <w:numId w:val="23"/>
      </w:numPr>
      <w:spacing w:after="120" w:line="276" w:lineRule="auto"/>
      <w:ind w:right="-45"/>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D20346"/>
    <w:rPr>
      <w:sz w:val="16"/>
      <w:szCs w:val="16"/>
    </w:rPr>
  </w:style>
  <w:style w:type="paragraph" w:styleId="CommentText">
    <w:name w:val="annotation text"/>
    <w:basedOn w:val="Normal"/>
    <w:link w:val="CommentTextChar"/>
    <w:uiPriority w:val="99"/>
    <w:unhideWhenUsed/>
    <w:rsid w:val="00D20346"/>
    <w:rPr>
      <w:sz w:val="20"/>
    </w:rPr>
  </w:style>
  <w:style w:type="character" w:customStyle="1" w:styleId="CommentTextChar">
    <w:name w:val="Comment Text Char"/>
    <w:basedOn w:val="DefaultParagraphFont"/>
    <w:link w:val="CommentText"/>
    <w:uiPriority w:val="99"/>
    <w:rsid w:val="00D203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346"/>
    <w:rPr>
      <w:b/>
      <w:bCs/>
    </w:rPr>
  </w:style>
  <w:style w:type="character" w:customStyle="1" w:styleId="CommentSubjectChar">
    <w:name w:val="Comment Subject Char"/>
    <w:basedOn w:val="CommentTextChar"/>
    <w:link w:val="CommentSubject"/>
    <w:uiPriority w:val="99"/>
    <w:semiHidden/>
    <w:rsid w:val="00D203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171">
      <w:bodyDiv w:val="1"/>
      <w:marLeft w:val="0"/>
      <w:marRight w:val="0"/>
      <w:marTop w:val="0"/>
      <w:marBottom w:val="0"/>
      <w:divBdr>
        <w:top w:val="none" w:sz="0" w:space="0" w:color="auto"/>
        <w:left w:val="none" w:sz="0" w:space="0" w:color="auto"/>
        <w:bottom w:val="none" w:sz="0" w:space="0" w:color="auto"/>
        <w:right w:val="none" w:sz="0" w:space="0" w:color="auto"/>
      </w:divBdr>
      <w:divsChild>
        <w:div w:id="557669197">
          <w:marLeft w:val="0"/>
          <w:marRight w:val="0"/>
          <w:marTop w:val="0"/>
          <w:marBottom w:val="0"/>
          <w:divBdr>
            <w:top w:val="none" w:sz="0" w:space="0" w:color="auto"/>
            <w:left w:val="none" w:sz="0" w:space="0" w:color="auto"/>
            <w:bottom w:val="none" w:sz="0" w:space="0" w:color="auto"/>
            <w:right w:val="none" w:sz="0" w:space="0" w:color="auto"/>
          </w:divBdr>
        </w:div>
        <w:div w:id="885600030">
          <w:marLeft w:val="0"/>
          <w:marRight w:val="0"/>
          <w:marTop w:val="0"/>
          <w:marBottom w:val="0"/>
          <w:divBdr>
            <w:top w:val="none" w:sz="0" w:space="0" w:color="auto"/>
            <w:left w:val="none" w:sz="0" w:space="0" w:color="auto"/>
            <w:bottom w:val="none" w:sz="0" w:space="0" w:color="auto"/>
            <w:right w:val="none" w:sz="0" w:space="0" w:color="auto"/>
          </w:divBdr>
        </w:div>
        <w:div w:id="570193892">
          <w:marLeft w:val="0"/>
          <w:marRight w:val="0"/>
          <w:marTop w:val="0"/>
          <w:marBottom w:val="0"/>
          <w:divBdr>
            <w:top w:val="none" w:sz="0" w:space="0" w:color="auto"/>
            <w:left w:val="none" w:sz="0" w:space="0" w:color="auto"/>
            <w:bottom w:val="none" w:sz="0" w:space="0" w:color="auto"/>
            <w:right w:val="none" w:sz="0" w:space="0" w:color="auto"/>
          </w:divBdr>
        </w:div>
      </w:divsChild>
    </w:div>
    <w:div w:id="241304947">
      <w:bodyDiv w:val="1"/>
      <w:marLeft w:val="0"/>
      <w:marRight w:val="0"/>
      <w:marTop w:val="0"/>
      <w:marBottom w:val="0"/>
      <w:divBdr>
        <w:top w:val="none" w:sz="0" w:space="0" w:color="auto"/>
        <w:left w:val="none" w:sz="0" w:space="0" w:color="auto"/>
        <w:bottom w:val="none" w:sz="0" w:space="0" w:color="auto"/>
        <w:right w:val="none" w:sz="0" w:space="0" w:color="auto"/>
      </w:divBdr>
    </w:div>
    <w:div w:id="4018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71AC-EACC-46B5-B05D-D58F3640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6761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2020-06-30T00:38:00Z</dcterms:created>
  <dcterms:modified xsi:type="dcterms:W3CDTF">2020-06-30T00:38:00Z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1208916</vt:lpwstr>
  </property>
  <property fmtid="{D5CDD505-2E9C-101B-9397-08002B2CF9AE}" pid="3" name="CHECKEDOUTFROMJMS">
    <vt:lpwstr/>
  </property>
  <property fmtid="{D5CDD505-2E9C-101B-9397-08002B2CF9AE}" pid="4" name="JMSREQUIREDCHECKIN">
    <vt:lpwstr/>
  </property>
</Properties>
</file>