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464B7" w14:textId="77777777" w:rsidR="00B81F3F" w:rsidRPr="00073EF0" w:rsidRDefault="00B81F3F">
      <w:pPr>
        <w:spacing w:before="120"/>
        <w:rPr>
          <w:rFonts w:ascii="Arial" w:hAnsi="Arial" w:cs="Arial"/>
        </w:rPr>
      </w:pPr>
      <w:bookmarkStart w:id="0" w:name="_Toc44738651"/>
      <w:bookmarkStart w:id="1" w:name="_GoBack"/>
      <w:bookmarkEnd w:id="1"/>
      <w:smartTag w:uri="urn:schemas-microsoft-com:office:smarttags" w:element="place">
        <w:smartTag w:uri="urn:schemas-microsoft-com:office:smarttags" w:element="State">
          <w:r w:rsidRPr="00073EF0">
            <w:rPr>
              <w:rFonts w:ascii="Arial" w:hAnsi="Arial" w:cs="Arial"/>
            </w:rPr>
            <w:t>Australian Capital Territory</w:t>
          </w:r>
        </w:smartTag>
      </w:smartTag>
    </w:p>
    <w:p w14:paraId="51D8BCDC" w14:textId="3452179D" w:rsidR="00B64F30" w:rsidRPr="00073EF0" w:rsidRDefault="00B64F30" w:rsidP="00B64F30">
      <w:pPr>
        <w:pStyle w:val="Billname"/>
        <w:spacing w:before="700"/>
      </w:pPr>
      <w:r w:rsidRPr="00073EF0">
        <w:t>Taxation Administration (</w:t>
      </w:r>
      <w:r w:rsidR="004B0BD6" w:rsidRPr="00073EF0">
        <w:t>Amounts Payable—</w:t>
      </w:r>
      <w:r w:rsidRPr="00073EF0">
        <w:t xml:space="preserve">Rates) Determination </w:t>
      </w:r>
      <w:r w:rsidR="00F30F38" w:rsidRPr="00073EF0">
        <w:t>2020</w:t>
      </w:r>
      <w:r w:rsidR="00DD6407" w:rsidRPr="00073EF0">
        <w:t xml:space="preserve"> (No 2)</w:t>
      </w:r>
    </w:p>
    <w:p w14:paraId="02D231D9" w14:textId="2154D88C" w:rsidR="00AA2A11" w:rsidRPr="00073EF0" w:rsidRDefault="00B64F30">
      <w:pPr>
        <w:spacing w:before="340"/>
        <w:outlineLvl w:val="0"/>
        <w:rPr>
          <w:rFonts w:ascii="Arial" w:hAnsi="Arial" w:cs="Arial"/>
          <w:b/>
          <w:bCs/>
          <w:vertAlign w:val="superscript"/>
        </w:rPr>
      </w:pPr>
      <w:r w:rsidRPr="00073EF0">
        <w:rPr>
          <w:rFonts w:ascii="Arial" w:hAnsi="Arial" w:cs="Arial"/>
          <w:b/>
          <w:bCs/>
        </w:rPr>
        <w:t>Disallowable instrument DI</w:t>
      </w:r>
      <w:r w:rsidR="00354AE9" w:rsidRPr="00073EF0">
        <w:rPr>
          <w:rFonts w:ascii="Arial" w:hAnsi="Arial" w:cs="Arial"/>
          <w:b/>
          <w:bCs/>
        </w:rPr>
        <w:t>20</w:t>
      </w:r>
      <w:r w:rsidR="00F30F38" w:rsidRPr="00073EF0">
        <w:rPr>
          <w:rFonts w:ascii="Arial" w:hAnsi="Arial" w:cs="Arial"/>
          <w:b/>
          <w:bCs/>
        </w:rPr>
        <w:t>20</w:t>
      </w:r>
      <w:r w:rsidR="00B97B78">
        <w:rPr>
          <w:rFonts w:ascii="Arial" w:hAnsi="Arial" w:cs="Arial"/>
          <w:b/>
          <w:bCs/>
        </w:rPr>
        <w:t>-210</w:t>
      </w:r>
    </w:p>
    <w:p w14:paraId="54CEF0DA" w14:textId="77777777" w:rsidR="00B81F3F" w:rsidRPr="00073EF0" w:rsidRDefault="00B81F3F">
      <w:pPr>
        <w:pStyle w:val="madeunder"/>
        <w:spacing w:before="240" w:after="120"/>
      </w:pPr>
      <w:r w:rsidRPr="00073EF0">
        <w:t xml:space="preserve">made under the  </w:t>
      </w:r>
    </w:p>
    <w:p w14:paraId="21FABCAE" w14:textId="77777777" w:rsidR="00914956" w:rsidRPr="00073EF0" w:rsidRDefault="00914956">
      <w:pPr>
        <w:pStyle w:val="CoverActName"/>
        <w:spacing w:before="320" w:after="0"/>
        <w:outlineLvl w:val="0"/>
        <w:rPr>
          <w:rFonts w:cs="Arial"/>
          <w:sz w:val="20"/>
        </w:rPr>
      </w:pPr>
      <w:r w:rsidRPr="00073EF0">
        <w:rPr>
          <w:rFonts w:cs="Arial"/>
          <w:i/>
          <w:sz w:val="20"/>
        </w:rPr>
        <w:t xml:space="preserve">Rates Act 2004, </w:t>
      </w:r>
      <w:r w:rsidRPr="00073EF0">
        <w:rPr>
          <w:rFonts w:cs="Arial"/>
          <w:sz w:val="20"/>
        </w:rPr>
        <w:t>s 46 (2) (f) (Determination for deferral of rates on application)</w:t>
      </w:r>
    </w:p>
    <w:p w14:paraId="2B2535C1" w14:textId="77777777" w:rsidR="00AA2A11" w:rsidRPr="00073EF0" w:rsidRDefault="00B64F30">
      <w:pPr>
        <w:pStyle w:val="CoverActName"/>
        <w:spacing w:before="320" w:after="0"/>
        <w:outlineLvl w:val="0"/>
      </w:pPr>
      <w:r w:rsidRPr="00073EF0">
        <w:rPr>
          <w:rFonts w:cs="Arial"/>
          <w:i/>
          <w:sz w:val="20"/>
        </w:rPr>
        <w:t>Taxation Administration Act 1999</w:t>
      </w:r>
      <w:r w:rsidRPr="00073EF0">
        <w:rPr>
          <w:rFonts w:cs="Arial"/>
          <w:sz w:val="20"/>
        </w:rPr>
        <w:t>, s</w:t>
      </w:r>
      <w:r w:rsidR="007B7DDB" w:rsidRPr="00073EF0">
        <w:rPr>
          <w:rFonts w:cs="Arial"/>
          <w:sz w:val="20"/>
        </w:rPr>
        <w:t xml:space="preserve"> </w:t>
      </w:r>
      <w:r w:rsidRPr="00073EF0">
        <w:rPr>
          <w:rFonts w:cs="Arial"/>
          <w:sz w:val="20"/>
        </w:rPr>
        <w:t>139 (Determination of amounts payable under tax laws)</w:t>
      </w:r>
    </w:p>
    <w:p w14:paraId="4D8BFF16" w14:textId="77777777" w:rsidR="00AA2A11" w:rsidRPr="00073EF0" w:rsidRDefault="00B81F3F">
      <w:pPr>
        <w:spacing w:before="360"/>
        <w:ind w:right="565"/>
        <w:outlineLvl w:val="0"/>
        <w:rPr>
          <w:rFonts w:ascii="Arial" w:hAnsi="Arial" w:cs="Arial"/>
          <w:b/>
          <w:bCs/>
          <w:sz w:val="28"/>
          <w:szCs w:val="28"/>
        </w:rPr>
      </w:pPr>
      <w:r w:rsidRPr="00073EF0">
        <w:rPr>
          <w:rFonts w:ascii="Arial" w:hAnsi="Arial" w:cs="Arial"/>
          <w:b/>
          <w:bCs/>
          <w:sz w:val="28"/>
          <w:szCs w:val="28"/>
        </w:rPr>
        <w:t>EXPLANATORY STATEMENT</w:t>
      </w:r>
    </w:p>
    <w:p w14:paraId="0EC5BDE5" w14:textId="77777777" w:rsidR="00B81F3F" w:rsidRPr="00073EF0" w:rsidRDefault="00B81F3F">
      <w:pPr>
        <w:pStyle w:val="N-line3"/>
        <w:pBdr>
          <w:bottom w:val="none" w:sz="0" w:space="0" w:color="auto"/>
        </w:pBdr>
      </w:pPr>
    </w:p>
    <w:p w14:paraId="5312B7EE" w14:textId="77777777" w:rsidR="00B81F3F" w:rsidRPr="00073EF0" w:rsidRDefault="00B81F3F">
      <w:pPr>
        <w:pStyle w:val="N-line3"/>
        <w:pBdr>
          <w:top w:val="single" w:sz="12" w:space="1" w:color="auto"/>
          <w:bottom w:val="none" w:sz="0" w:space="0" w:color="auto"/>
        </w:pBdr>
      </w:pPr>
    </w:p>
    <w:bookmarkEnd w:id="0"/>
    <w:p w14:paraId="156725DC" w14:textId="77777777" w:rsidR="00AA2A11" w:rsidRPr="00073EF0" w:rsidRDefault="00AA2A11">
      <w:pPr>
        <w:pStyle w:val="Amain"/>
        <w:tabs>
          <w:tab w:val="clear" w:pos="500"/>
          <w:tab w:val="clear" w:pos="700"/>
          <w:tab w:val="right" w:pos="-284"/>
          <w:tab w:val="left" w:pos="567"/>
        </w:tabs>
        <w:spacing w:before="0" w:after="0"/>
        <w:ind w:left="0" w:firstLine="0"/>
        <w:jc w:val="left"/>
        <w:outlineLvl w:val="9"/>
      </w:pPr>
    </w:p>
    <w:p w14:paraId="31241E7F" w14:textId="77777777" w:rsidR="00AA2A11" w:rsidRPr="00073EF0" w:rsidRDefault="008A0D1B">
      <w:pPr>
        <w:keepNext/>
        <w:rPr>
          <w:rFonts w:ascii="Arial" w:hAnsi="Arial" w:cs="Arial"/>
          <w:b/>
          <w:szCs w:val="22"/>
        </w:rPr>
      </w:pPr>
      <w:r w:rsidRPr="00073EF0">
        <w:rPr>
          <w:rFonts w:ascii="Arial" w:hAnsi="Arial" w:cs="Arial"/>
          <w:b/>
          <w:szCs w:val="22"/>
        </w:rPr>
        <w:t>Background</w:t>
      </w:r>
    </w:p>
    <w:p w14:paraId="51B2C31B" w14:textId="77777777" w:rsidR="00AA2A11" w:rsidRPr="00073EF0" w:rsidRDefault="00AA2A11">
      <w:pPr>
        <w:pStyle w:val="Amain"/>
        <w:tabs>
          <w:tab w:val="clear" w:pos="500"/>
          <w:tab w:val="clear" w:pos="700"/>
          <w:tab w:val="right" w:pos="-284"/>
          <w:tab w:val="left" w:pos="567"/>
        </w:tabs>
        <w:spacing w:before="0" w:after="0"/>
        <w:ind w:left="0" w:firstLine="0"/>
        <w:jc w:val="left"/>
        <w:outlineLvl w:val="9"/>
        <w:rPr>
          <w:sz w:val="18"/>
          <w:szCs w:val="18"/>
        </w:rPr>
      </w:pPr>
    </w:p>
    <w:p w14:paraId="51F3BBE6" w14:textId="77777777" w:rsidR="00273E85" w:rsidRPr="00073EF0" w:rsidRDefault="00273E85" w:rsidP="00273E85">
      <w:pPr>
        <w:pStyle w:val="Amain"/>
        <w:tabs>
          <w:tab w:val="clear" w:pos="500"/>
          <w:tab w:val="clear" w:pos="700"/>
          <w:tab w:val="right" w:pos="-284"/>
          <w:tab w:val="left" w:pos="567"/>
        </w:tabs>
        <w:spacing w:before="0" w:after="0"/>
        <w:ind w:left="0" w:firstLine="0"/>
        <w:jc w:val="left"/>
        <w:outlineLvl w:val="9"/>
      </w:pPr>
      <w:r w:rsidRPr="00073EF0">
        <w:t xml:space="preserve">Under section 139 of the </w:t>
      </w:r>
      <w:r w:rsidRPr="00073EF0">
        <w:rPr>
          <w:i/>
        </w:rPr>
        <w:t>Taxation Administration Act 1999</w:t>
      </w:r>
      <w:r w:rsidRPr="00073EF0">
        <w:t xml:space="preserve">, the Minister has the authority to determine in writing by disallowable instrument, amounts and rates applicable for the </w:t>
      </w:r>
      <w:r w:rsidRPr="00073EF0">
        <w:rPr>
          <w:i/>
        </w:rPr>
        <w:t xml:space="preserve">Rates Act 2004 </w:t>
      </w:r>
      <w:r w:rsidRPr="00073EF0">
        <w:t>(the Act).</w:t>
      </w:r>
    </w:p>
    <w:p w14:paraId="0E7C3F46" w14:textId="77777777" w:rsidR="00273E85" w:rsidRPr="00073EF0" w:rsidRDefault="00273E85" w:rsidP="00273E85">
      <w:pPr>
        <w:pStyle w:val="Amain"/>
        <w:tabs>
          <w:tab w:val="clear" w:pos="500"/>
          <w:tab w:val="clear" w:pos="700"/>
          <w:tab w:val="right" w:pos="-284"/>
          <w:tab w:val="left" w:pos="567"/>
        </w:tabs>
        <w:spacing w:before="0" w:after="0"/>
        <w:ind w:left="0" w:firstLine="0"/>
        <w:jc w:val="left"/>
        <w:outlineLvl w:val="9"/>
      </w:pPr>
    </w:p>
    <w:p w14:paraId="4F94164D" w14:textId="77777777" w:rsidR="00273E85" w:rsidRPr="00073EF0" w:rsidRDefault="00273E85" w:rsidP="00273E85">
      <w:pPr>
        <w:pStyle w:val="Amain"/>
        <w:tabs>
          <w:tab w:val="clear" w:pos="500"/>
          <w:tab w:val="clear" w:pos="700"/>
          <w:tab w:val="right" w:pos="-284"/>
          <w:tab w:val="left" w:pos="567"/>
        </w:tabs>
        <w:spacing w:before="0" w:after="0"/>
        <w:ind w:left="0" w:firstLine="0"/>
        <w:jc w:val="left"/>
        <w:outlineLvl w:val="9"/>
      </w:pPr>
      <w:r w:rsidRPr="00073EF0">
        <w:t>Under section 46 (2) (f) of the Act, the Minister may also determine by disallowable instrument the amounts and rates payable for the deferral of general rates for eligible non-pensioners.</w:t>
      </w:r>
    </w:p>
    <w:p w14:paraId="7F2878D0" w14:textId="77777777" w:rsidR="00273E85" w:rsidRPr="00073EF0" w:rsidRDefault="00273E85">
      <w:pPr>
        <w:pStyle w:val="Amain"/>
        <w:tabs>
          <w:tab w:val="clear" w:pos="500"/>
          <w:tab w:val="clear" w:pos="700"/>
          <w:tab w:val="right" w:pos="-284"/>
          <w:tab w:val="left" w:pos="567"/>
        </w:tabs>
        <w:spacing w:before="0" w:after="0"/>
        <w:ind w:left="0" w:firstLine="0"/>
        <w:jc w:val="left"/>
        <w:outlineLvl w:val="9"/>
      </w:pPr>
    </w:p>
    <w:p w14:paraId="4EAFB288" w14:textId="5FAE3833" w:rsidR="00273E85" w:rsidRPr="00073EF0" w:rsidRDefault="00BE39A0">
      <w:pPr>
        <w:pStyle w:val="Amain"/>
        <w:tabs>
          <w:tab w:val="clear" w:pos="500"/>
          <w:tab w:val="clear" w:pos="700"/>
          <w:tab w:val="right" w:pos="-284"/>
          <w:tab w:val="left" w:pos="567"/>
        </w:tabs>
        <w:spacing w:before="0" w:after="0"/>
        <w:ind w:left="0" w:firstLine="0"/>
        <w:jc w:val="left"/>
        <w:outlineLvl w:val="9"/>
      </w:pPr>
      <w:r w:rsidRPr="00073EF0">
        <w:t xml:space="preserve">The </w:t>
      </w:r>
      <w:r w:rsidR="00184C26" w:rsidRPr="00073EF0">
        <w:rPr>
          <w:i/>
          <w:iCs/>
        </w:rPr>
        <w:t>Taxation Administration (Amounts Payable – Rates) Determination 2020</w:t>
      </w:r>
      <w:r w:rsidR="00184C26" w:rsidRPr="00073EF0">
        <w:t xml:space="preserve"> </w:t>
      </w:r>
      <w:r w:rsidR="00DD6407" w:rsidRPr="00073EF0">
        <w:rPr>
          <w:i/>
          <w:iCs/>
        </w:rPr>
        <w:t>(No 2)</w:t>
      </w:r>
      <w:r w:rsidR="00DD6407" w:rsidRPr="00073EF0">
        <w:t xml:space="preserve"> </w:t>
      </w:r>
      <w:r w:rsidR="00184C26" w:rsidRPr="00073EF0">
        <w:t xml:space="preserve">(the Rates Determination) </w:t>
      </w:r>
      <w:r w:rsidR="00273E85" w:rsidRPr="00073EF0">
        <w:t>is a consolidated determination of various amounts in relation to the following taxes and levies</w:t>
      </w:r>
      <w:r w:rsidR="0004005B" w:rsidRPr="00073EF0">
        <w:t xml:space="preserve"> levied under the</w:t>
      </w:r>
      <w:r w:rsidR="0024789B" w:rsidRPr="00073EF0">
        <w:t xml:space="preserve"> Act</w:t>
      </w:r>
      <w:r w:rsidR="00273E85" w:rsidRPr="00073EF0">
        <w:t>:</w:t>
      </w:r>
    </w:p>
    <w:p w14:paraId="4560E5B2" w14:textId="77777777" w:rsidR="00273E85" w:rsidRPr="00073EF0" w:rsidRDefault="00273E85">
      <w:pPr>
        <w:pStyle w:val="Amain"/>
        <w:tabs>
          <w:tab w:val="clear" w:pos="500"/>
          <w:tab w:val="clear" w:pos="700"/>
          <w:tab w:val="right" w:pos="-284"/>
          <w:tab w:val="left" w:pos="567"/>
        </w:tabs>
        <w:spacing w:before="0" w:after="0"/>
        <w:ind w:left="0" w:firstLine="0"/>
        <w:jc w:val="left"/>
        <w:outlineLvl w:val="9"/>
      </w:pPr>
    </w:p>
    <w:p w14:paraId="3158B2C9" w14:textId="77777777" w:rsidR="00273E85" w:rsidRPr="00073EF0" w:rsidRDefault="00273E85" w:rsidP="0004005B">
      <w:pPr>
        <w:pStyle w:val="Amain"/>
        <w:numPr>
          <w:ilvl w:val="0"/>
          <w:numId w:val="24"/>
        </w:numPr>
        <w:tabs>
          <w:tab w:val="clear" w:pos="500"/>
          <w:tab w:val="clear" w:pos="700"/>
          <w:tab w:val="right" w:pos="-284"/>
          <w:tab w:val="left" w:pos="567"/>
        </w:tabs>
        <w:spacing w:before="0" w:after="0"/>
        <w:jc w:val="left"/>
        <w:outlineLvl w:val="9"/>
      </w:pPr>
      <w:r w:rsidRPr="00073EF0">
        <w:t>general rates, including deferral and rebate amounts;</w:t>
      </w:r>
    </w:p>
    <w:p w14:paraId="32CF89AF" w14:textId="77777777" w:rsidR="00273E85" w:rsidRPr="00073EF0" w:rsidRDefault="00273E85" w:rsidP="0004005B">
      <w:pPr>
        <w:pStyle w:val="Amain"/>
        <w:numPr>
          <w:ilvl w:val="0"/>
          <w:numId w:val="24"/>
        </w:numPr>
        <w:tabs>
          <w:tab w:val="clear" w:pos="500"/>
          <w:tab w:val="clear" w:pos="700"/>
          <w:tab w:val="right" w:pos="-284"/>
          <w:tab w:val="left" w:pos="567"/>
        </w:tabs>
        <w:spacing w:before="0" w:after="0"/>
        <w:jc w:val="left"/>
        <w:outlineLvl w:val="9"/>
      </w:pPr>
      <w:r w:rsidRPr="00073EF0">
        <w:t>Fire and Emergency Services Levy (FESL), including rebate amounts;</w:t>
      </w:r>
    </w:p>
    <w:p w14:paraId="5EE1CF0C" w14:textId="77777777" w:rsidR="00273E85" w:rsidRPr="00073EF0" w:rsidRDefault="00273E85" w:rsidP="0004005B">
      <w:pPr>
        <w:pStyle w:val="Amain"/>
        <w:numPr>
          <w:ilvl w:val="0"/>
          <w:numId w:val="24"/>
        </w:numPr>
        <w:tabs>
          <w:tab w:val="clear" w:pos="500"/>
          <w:tab w:val="clear" w:pos="700"/>
          <w:tab w:val="right" w:pos="-284"/>
          <w:tab w:val="left" w:pos="567"/>
        </w:tabs>
        <w:spacing w:before="0" w:after="0"/>
        <w:jc w:val="left"/>
        <w:outlineLvl w:val="9"/>
      </w:pPr>
      <w:r w:rsidRPr="00073EF0">
        <w:t>City Centre Marketing and Improvements Levy (CCMIL); and</w:t>
      </w:r>
    </w:p>
    <w:p w14:paraId="17D0DC59" w14:textId="10F39B71" w:rsidR="00273E85" w:rsidRPr="00073EF0" w:rsidRDefault="00273E85" w:rsidP="0004005B">
      <w:pPr>
        <w:pStyle w:val="Amain"/>
        <w:numPr>
          <w:ilvl w:val="0"/>
          <w:numId w:val="24"/>
        </w:numPr>
        <w:tabs>
          <w:tab w:val="clear" w:pos="500"/>
          <w:tab w:val="clear" w:pos="700"/>
          <w:tab w:val="right" w:pos="-284"/>
          <w:tab w:val="left" w:pos="567"/>
        </w:tabs>
        <w:spacing w:before="0" w:after="0"/>
        <w:jc w:val="left"/>
        <w:outlineLvl w:val="9"/>
      </w:pPr>
      <w:r w:rsidRPr="00073EF0">
        <w:t>Safer Families Levy.</w:t>
      </w:r>
    </w:p>
    <w:p w14:paraId="27D81A19" w14:textId="6961D1E1" w:rsidR="00C91DBA" w:rsidRPr="00073EF0" w:rsidRDefault="00C91DBA" w:rsidP="00C91DBA">
      <w:pPr>
        <w:pStyle w:val="Amain"/>
        <w:tabs>
          <w:tab w:val="clear" w:pos="500"/>
          <w:tab w:val="clear" w:pos="700"/>
          <w:tab w:val="right" w:pos="-284"/>
          <w:tab w:val="left" w:pos="567"/>
        </w:tabs>
        <w:spacing w:before="0" w:after="0"/>
        <w:jc w:val="left"/>
        <w:outlineLvl w:val="9"/>
      </w:pPr>
    </w:p>
    <w:p w14:paraId="01EB25FA" w14:textId="77777777" w:rsidR="00BE145E" w:rsidRPr="00073EF0" w:rsidRDefault="00BE145E" w:rsidP="00BE145E">
      <w:pPr>
        <w:keepNext/>
        <w:rPr>
          <w:rFonts w:ascii="Arial" w:hAnsi="Arial" w:cs="Arial"/>
          <w:b/>
          <w:szCs w:val="22"/>
        </w:rPr>
      </w:pPr>
      <w:r w:rsidRPr="00073EF0">
        <w:rPr>
          <w:rFonts w:ascii="Arial" w:hAnsi="Arial" w:cs="Arial"/>
          <w:b/>
          <w:szCs w:val="22"/>
        </w:rPr>
        <w:t>Commencement</w:t>
      </w:r>
    </w:p>
    <w:p w14:paraId="351C8C89" w14:textId="77777777" w:rsidR="00BE145E" w:rsidRPr="00073EF0" w:rsidRDefault="00BE145E" w:rsidP="00BE145E">
      <w:pPr>
        <w:pStyle w:val="Amain"/>
        <w:tabs>
          <w:tab w:val="clear" w:pos="500"/>
          <w:tab w:val="clear" w:pos="700"/>
          <w:tab w:val="right" w:pos="-284"/>
          <w:tab w:val="left" w:pos="567"/>
        </w:tabs>
        <w:spacing w:before="0" w:after="0"/>
        <w:ind w:left="0" w:firstLine="0"/>
        <w:jc w:val="left"/>
        <w:outlineLvl w:val="9"/>
        <w:rPr>
          <w:sz w:val="18"/>
          <w:szCs w:val="18"/>
        </w:rPr>
      </w:pPr>
    </w:p>
    <w:p w14:paraId="23483DC3" w14:textId="7C389A1A" w:rsidR="00BE145E" w:rsidRPr="00073EF0" w:rsidRDefault="00BE145E" w:rsidP="00BE145E">
      <w:pPr>
        <w:pStyle w:val="Amain"/>
        <w:tabs>
          <w:tab w:val="clear" w:pos="500"/>
          <w:tab w:val="clear" w:pos="700"/>
          <w:tab w:val="right" w:pos="-284"/>
          <w:tab w:val="left" w:pos="567"/>
        </w:tabs>
        <w:spacing w:before="0" w:after="0"/>
        <w:ind w:left="0" w:firstLine="0"/>
        <w:jc w:val="left"/>
        <w:outlineLvl w:val="9"/>
      </w:pPr>
      <w:r w:rsidRPr="00073EF0">
        <w:t>The Rates Determination</w:t>
      </w:r>
      <w:r w:rsidR="00DD6407" w:rsidRPr="00073EF0">
        <w:t xml:space="preserve"> </w:t>
      </w:r>
      <w:r w:rsidRPr="00073EF0">
        <w:t>commence</w:t>
      </w:r>
      <w:r w:rsidR="00864FBA">
        <w:t>s</w:t>
      </w:r>
      <w:r w:rsidRPr="00073EF0">
        <w:t xml:space="preserve"> on </w:t>
      </w:r>
      <w:r w:rsidR="00857FBE" w:rsidRPr="00073EF0">
        <w:t>the day after its notification</w:t>
      </w:r>
      <w:r w:rsidRPr="00073EF0">
        <w:t>.</w:t>
      </w:r>
    </w:p>
    <w:p w14:paraId="426C6470" w14:textId="77777777" w:rsidR="00BE145E" w:rsidRPr="00073EF0" w:rsidRDefault="00BE145E" w:rsidP="00BE145E">
      <w:pPr>
        <w:pStyle w:val="Amain"/>
        <w:tabs>
          <w:tab w:val="clear" w:pos="500"/>
          <w:tab w:val="clear" w:pos="700"/>
          <w:tab w:val="right" w:pos="-284"/>
          <w:tab w:val="left" w:pos="567"/>
        </w:tabs>
        <w:spacing w:before="0" w:after="0"/>
        <w:ind w:left="0" w:firstLine="0"/>
        <w:jc w:val="left"/>
        <w:outlineLvl w:val="9"/>
      </w:pPr>
    </w:p>
    <w:p w14:paraId="09A1914E" w14:textId="4A0CD38C" w:rsidR="00C50CB0" w:rsidRPr="00073EF0" w:rsidRDefault="00C50CB0" w:rsidP="00C50CB0">
      <w:pPr>
        <w:keepNext/>
        <w:rPr>
          <w:rFonts w:ascii="Arial" w:hAnsi="Arial" w:cs="Arial"/>
          <w:b/>
          <w:szCs w:val="22"/>
        </w:rPr>
      </w:pPr>
      <w:r w:rsidRPr="00073EF0">
        <w:rPr>
          <w:rFonts w:ascii="Arial" w:hAnsi="Arial" w:cs="Arial"/>
          <w:b/>
          <w:szCs w:val="22"/>
        </w:rPr>
        <w:t>Update</w:t>
      </w:r>
    </w:p>
    <w:p w14:paraId="07E5E370" w14:textId="77777777" w:rsidR="00C50CB0" w:rsidRPr="00073EF0" w:rsidRDefault="00C50CB0" w:rsidP="00C91DBA">
      <w:pPr>
        <w:pStyle w:val="Amain"/>
        <w:tabs>
          <w:tab w:val="clear" w:pos="500"/>
          <w:tab w:val="clear" w:pos="700"/>
          <w:tab w:val="right" w:pos="-284"/>
          <w:tab w:val="left" w:pos="567"/>
        </w:tabs>
        <w:spacing w:before="0" w:after="0"/>
        <w:jc w:val="left"/>
        <w:outlineLvl w:val="9"/>
        <w:rPr>
          <w:sz w:val="18"/>
          <w:szCs w:val="18"/>
        </w:rPr>
      </w:pPr>
    </w:p>
    <w:p w14:paraId="47843BBF" w14:textId="63E3D399" w:rsidR="007B79CA" w:rsidRPr="00073EF0" w:rsidRDefault="007B79CA" w:rsidP="007B79CA">
      <w:r w:rsidRPr="00073EF0">
        <w:t>In March and April 2020, the Government announced two economic stimulus packages to support business, industry and our community affected by the COVID-19 pandemic. As part of the stimulus packages, the Government will provide rates assistance to residential and commercial property owners to provide cashflow support.</w:t>
      </w:r>
    </w:p>
    <w:p w14:paraId="75727ED0" w14:textId="77777777" w:rsidR="007B79CA" w:rsidRPr="00073EF0" w:rsidRDefault="007B79CA">
      <w:pPr>
        <w:pStyle w:val="Amain"/>
        <w:tabs>
          <w:tab w:val="clear" w:pos="500"/>
          <w:tab w:val="clear" w:pos="700"/>
          <w:tab w:val="right" w:pos="-284"/>
          <w:tab w:val="left" w:pos="567"/>
        </w:tabs>
        <w:spacing w:before="0" w:after="0"/>
        <w:ind w:left="0" w:firstLine="0"/>
        <w:jc w:val="left"/>
        <w:outlineLvl w:val="9"/>
      </w:pPr>
    </w:p>
    <w:p w14:paraId="496F76B0" w14:textId="411F6AC3" w:rsidR="00DD6407" w:rsidRPr="00073EF0" w:rsidRDefault="00C1569B">
      <w:pPr>
        <w:pStyle w:val="Amain"/>
        <w:tabs>
          <w:tab w:val="clear" w:pos="500"/>
          <w:tab w:val="clear" w:pos="700"/>
          <w:tab w:val="right" w:pos="-284"/>
          <w:tab w:val="left" w:pos="567"/>
        </w:tabs>
        <w:spacing w:before="0" w:after="0"/>
        <w:ind w:left="0" w:firstLine="0"/>
        <w:jc w:val="left"/>
        <w:outlineLvl w:val="9"/>
      </w:pPr>
      <w:r w:rsidRPr="00073EF0">
        <w:t xml:space="preserve">The Rates </w:t>
      </w:r>
      <w:r w:rsidR="00BE39A0" w:rsidRPr="00073EF0">
        <w:t>Determination</w:t>
      </w:r>
      <w:r w:rsidRPr="00073EF0">
        <w:t xml:space="preserve"> </w:t>
      </w:r>
      <w:r w:rsidR="00C50CB0" w:rsidRPr="00073EF0">
        <w:t xml:space="preserve">replaces the </w:t>
      </w:r>
      <w:r w:rsidR="00C50CB0" w:rsidRPr="00073EF0">
        <w:rPr>
          <w:i/>
        </w:rPr>
        <w:t>Taxation Administration (Amounts Payable—Rates) Determination 20</w:t>
      </w:r>
      <w:r w:rsidR="00DD6407" w:rsidRPr="00073EF0">
        <w:rPr>
          <w:i/>
        </w:rPr>
        <w:t>20</w:t>
      </w:r>
      <w:r w:rsidR="00706DCD" w:rsidRPr="00073EF0">
        <w:rPr>
          <w:iCs/>
        </w:rPr>
        <w:t>,</w:t>
      </w:r>
      <w:r w:rsidR="00C50CB0" w:rsidRPr="00073EF0">
        <w:t xml:space="preserve"> DI20</w:t>
      </w:r>
      <w:r w:rsidR="00DD6407" w:rsidRPr="00073EF0">
        <w:t>20</w:t>
      </w:r>
      <w:r w:rsidR="00C50CB0" w:rsidRPr="00073EF0">
        <w:t>-</w:t>
      </w:r>
      <w:r w:rsidR="00DD6407" w:rsidRPr="00073EF0">
        <w:t>176</w:t>
      </w:r>
      <w:r w:rsidRPr="00073EF0">
        <w:t xml:space="preserve"> </w:t>
      </w:r>
      <w:r w:rsidR="009A5D85">
        <w:t xml:space="preserve">to </w:t>
      </w:r>
      <w:r w:rsidR="00DD6407" w:rsidRPr="00073EF0">
        <w:t>correct minimum charges prescribed for general rates thresholds.</w:t>
      </w:r>
      <w:r w:rsidR="00C50CB0" w:rsidRPr="00073EF0">
        <w:t xml:space="preserve"> </w:t>
      </w:r>
      <w:r w:rsidR="00DD6407" w:rsidRPr="00073EF0">
        <w:t xml:space="preserve">Marginal rating factors </w:t>
      </w:r>
      <w:r w:rsidR="00BC2BE7" w:rsidRPr="00073EF0">
        <w:t>are</w:t>
      </w:r>
      <w:r w:rsidR="00DD6407" w:rsidRPr="00073EF0">
        <w:t xml:space="preserve"> not affected.</w:t>
      </w:r>
    </w:p>
    <w:p w14:paraId="4A959B87" w14:textId="77777777" w:rsidR="00DD6407" w:rsidRPr="00073EF0" w:rsidRDefault="00DD6407">
      <w:pPr>
        <w:pStyle w:val="Amain"/>
        <w:tabs>
          <w:tab w:val="clear" w:pos="500"/>
          <w:tab w:val="clear" w:pos="700"/>
          <w:tab w:val="right" w:pos="-284"/>
          <w:tab w:val="left" w:pos="567"/>
        </w:tabs>
        <w:spacing w:before="0" w:after="0"/>
        <w:ind w:left="0" w:firstLine="0"/>
        <w:jc w:val="left"/>
        <w:outlineLvl w:val="9"/>
      </w:pPr>
    </w:p>
    <w:p w14:paraId="46C2E640" w14:textId="1D6CBBA8" w:rsidR="007B79CA" w:rsidRPr="00073EF0" w:rsidRDefault="00DD6407">
      <w:pPr>
        <w:pStyle w:val="Amain"/>
        <w:tabs>
          <w:tab w:val="clear" w:pos="500"/>
          <w:tab w:val="clear" w:pos="700"/>
          <w:tab w:val="right" w:pos="-284"/>
          <w:tab w:val="left" w:pos="567"/>
        </w:tabs>
        <w:spacing w:before="0" w:after="0"/>
        <w:ind w:left="0" w:firstLine="0"/>
        <w:jc w:val="left"/>
        <w:outlineLvl w:val="9"/>
      </w:pPr>
      <w:r w:rsidRPr="00073EF0">
        <w:t>The Rates Determination provides for</w:t>
      </w:r>
      <w:r w:rsidR="00BF5EF4" w:rsidRPr="00073EF0">
        <w:t xml:space="preserve"> a range of rates relief measures</w:t>
      </w:r>
      <w:r w:rsidR="007B79CA" w:rsidRPr="00073EF0">
        <w:t xml:space="preserve">, including: </w:t>
      </w:r>
    </w:p>
    <w:p w14:paraId="1870421F" w14:textId="25A568EB" w:rsidR="007B79CA" w:rsidRPr="00073EF0" w:rsidRDefault="007B79CA">
      <w:pPr>
        <w:pStyle w:val="Amain"/>
        <w:tabs>
          <w:tab w:val="clear" w:pos="500"/>
          <w:tab w:val="clear" w:pos="700"/>
          <w:tab w:val="right" w:pos="-284"/>
          <w:tab w:val="left" w:pos="567"/>
        </w:tabs>
        <w:spacing w:before="0" w:after="0"/>
        <w:ind w:left="0" w:firstLine="0"/>
        <w:jc w:val="left"/>
        <w:outlineLvl w:val="9"/>
      </w:pPr>
    </w:p>
    <w:p w14:paraId="3380CFC5" w14:textId="314605A6" w:rsidR="007B79CA" w:rsidRPr="00073EF0" w:rsidRDefault="00CE768D" w:rsidP="007B79CA">
      <w:pPr>
        <w:pStyle w:val="Amain"/>
        <w:numPr>
          <w:ilvl w:val="0"/>
          <w:numId w:val="24"/>
        </w:numPr>
        <w:tabs>
          <w:tab w:val="clear" w:pos="500"/>
          <w:tab w:val="clear" w:pos="700"/>
          <w:tab w:val="right" w:pos="-284"/>
          <w:tab w:val="left" w:pos="567"/>
        </w:tabs>
        <w:spacing w:before="0" w:after="0"/>
        <w:jc w:val="left"/>
        <w:outlineLvl w:val="9"/>
      </w:pPr>
      <w:r w:rsidRPr="00073EF0">
        <w:t xml:space="preserve">a </w:t>
      </w:r>
      <w:r w:rsidR="00977D4C" w:rsidRPr="00073EF0">
        <w:t>$150 rebate to all residential properties;</w:t>
      </w:r>
    </w:p>
    <w:p w14:paraId="055AE2BA" w14:textId="6F8CE1CF" w:rsidR="00977D4C" w:rsidRPr="00073EF0" w:rsidRDefault="00977D4C" w:rsidP="007B79CA">
      <w:pPr>
        <w:pStyle w:val="Amain"/>
        <w:numPr>
          <w:ilvl w:val="0"/>
          <w:numId w:val="24"/>
        </w:numPr>
        <w:tabs>
          <w:tab w:val="clear" w:pos="500"/>
          <w:tab w:val="clear" w:pos="700"/>
          <w:tab w:val="right" w:pos="-284"/>
          <w:tab w:val="left" w:pos="567"/>
        </w:tabs>
        <w:spacing w:before="0" w:after="0"/>
        <w:jc w:val="left"/>
        <w:outlineLvl w:val="9"/>
      </w:pPr>
      <w:r w:rsidRPr="00073EF0">
        <w:t xml:space="preserve">FESL freeze at </w:t>
      </w:r>
      <w:r w:rsidR="00CE768D" w:rsidRPr="00073EF0">
        <w:t xml:space="preserve">the </w:t>
      </w:r>
      <w:r w:rsidRPr="00073EF0">
        <w:t>2019-20 rate</w:t>
      </w:r>
      <w:r w:rsidR="007049B6" w:rsidRPr="00073EF0">
        <w:t>;</w:t>
      </w:r>
      <w:r w:rsidR="00CE768D" w:rsidRPr="00073EF0">
        <w:t xml:space="preserve"> and</w:t>
      </w:r>
    </w:p>
    <w:p w14:paraId="6F2E4F65" w14:textId="1465EEC4" w:rsidR="00977D4C" w:rsidRPr="00073EF0" w:rsidRDefault="00CE768D" w:rsidP="007B79CA">
      <w:pPr>
        <w:pStyle w:val="Amain"/>
        <w:numPr>
          <w:ilvl w:val="0"/>
          <w:numId w:val="24"/>
        </w:numPr>
        <w:tabs>
          <w:tab w:val="clear" w:pos="500"/>
          <w:tab w:val="clear" w:pos="700"/>
          <w:tab w:val="right" w:pos="-284"/>
          <w:tab w:val="left" w:pos="567"/>
        </w:tabs>
        <w:spacing w:before="0" w:after="0"/>
        <w:jc w:val="left"/>
        <w:outlineLvl w:val="9"/>
      </w:pPr>
      <w:r w:rsidRPr="00073EF0">
        <w:t>a r</w:t>
      </w:r>
      <w:r w:rsidR="00977D4C" w:rsidRPr="00073EF0">
        <w:t>eduction of CCMIL by 50 per cent</w:t>
      </w:r>
      <w:r w:rsidRPr="00073EF0">
        <w:t>.</w:t>
      </w:r>
    </w:p>
    <w:p w14:paraId="1D8868C1" w14:textId="152785B7" w:rsidR="007049B6" w:rsidRPr="00073EF0" w:rsidRDefault="007049B6" w:rsidP="007049B6">
      <w:pPr>
        <w:pStyle w:val="Amain"/>
        <w:tabs>
          <w:tab w:val="clear" w:pos="500"/>
          <w:tab w:val="clear" w:pos="700"/>
          <w:tab w:val="right" w:pos="-284"/>
          <w:tab w:val="left" w:pos="567"/>
        </w:tabs>
        <w:spacing w:before="0" w:after="0"/>
        <w:ind w:left="0" w:firstLine="0"/>
        <w:jc w:val="left"/>
        <w:outlineLvl w:val="9"/>
      </w:pPr>
    </w:p>
    <w:p w14:paraId="2841698A" w14:textId="125D0468" w:rsidR="007049B6" w:rsidRPr="00073EF0" w:rsidRDefault="00D12252" w:rsidP="00184C26">
      <w:pPr>
        <w:pStyle w:val="Amain"/>
        <w:tabs>
          <w:tab w:val="clear" w:pos="500"/>
          <w:tab w:val="clear" w:pos="700"/>
          <w:tab w:val="right" w:pos="-284"/>
          <w:tab w:val="left" w:pos="567"/>
        </w:tabs>
        <w:spacing w:before="0" w:after="0"/>
        <w:ind w:left="0" w:firstLine="0"/>
        <w:jc w:val="left"/>
        <w:outlineLvl w:val="9"/>
      </w:pPr>
      <w:r w:rsidRPr="00073EF0">
        <w:t>Fixed charges and p</w:t>
      </w:r>
      <w:r w:rsidR="007049B6" w:rsidRPr="00073EF0">
        <w:t>ercentage rates (marginal rating factors)</w:t>
      </w:r>
      <w:r w:rsidR="00CE768D" w:rsidRPr="00073EF0">
        <w:t xml:space="preserve"> are</w:t>
      </w:r>
      <w:r w:rsidR="007049B6" w:rsidRPr="00073EF0">
        <w:t xml:space="preserve"> updated </w:t>
      </w:r>
      <w:r w:rsidR="00CE768D" w:rsidRPr="00073EF0">
        <w:t xml:space="preserve">for </w:t>
      </w:r>
      <w:r w:rsidRPr="00073EF0">
        <w:t xml:space="preserve">general </w:t>
      </w:r>
      <w:r w:rsidR="00CE768D" w:rsidRPr="00073EF0">
        <w:t>rates</w:t>
      </w:r>
      <w:r w:rsidRPr="00073EF0">
        <w:t>. Different amounts are now specified for commercial rates based on the average unimproved value (AUV) of parcels of land.</w:t>
      </w:r>
      <w:r w:rsidR="00CE768D" w:rsidRPr="00073EF0">
        <w:t xml:space="preserve"> </w:t>
      </w:r>
    </w:p>
    <w:p w14:paraId="55B6C80D" w14:textId="77777777" w:rsidR="007B79CA" w:rsidRPr="00073EF0" w:rsidRDefault="007B79CA">
      <w:pPr>
        <w:pStyle w:val="Amain"/>
        <w:tabs>
          <w:tab w:val="clear" w:pos="500"/>
          <w:tab w:val="clear" w:pos="700"/>
          <w:tab w:val="right" w:pos="-284"/>
          <w:tab w:val="left" w:pos="567"/>
        </w:tabs>
        <w:spacing w:before="0" w:after="0"/>
        <w:ind w:left="0" w:firstLine="0"/>
        <w:jc w:val="left"/>
        <w:outlineLvl w:val="9"/>
      </w:pPr>
    </w:p>
    <w:p w14:paraId="377C7BD5" w14:textId="23003EF1" w:rsidR="00273E85" w:rsidRPr="00073EF0" w:rsidRDefault="00273E85">
      <w:pPr>
        <w:keepNext/>
        <w:rPr>
          <w:rFonts w:ascii="Arial" w:hAnsi="Arial" w:cs="Arial"/>
          <w:b/>
          <w:szCs w:val="22"/>
        </w:rPr>
      </w:pPr>
      <w:r w:rsidRPr="00073EF0">
        <w:rPr>
          <w:rFonts w:ascii="Arial" w:hAnsi="Arial" w:cs="Arial"/>
          <w:b/>
          <w:szCs w:val="22"/>
        </w:rPr>
        <w:t>Determination of general rates (</w:t>
      </w:r>
      <w:r w:rsidR="002178B7" w:rsidRPr="00073EF0">
        <w:rPr>
          <w:rFonts w:ascii="Arial" w:hAnsi="Arial" w:cs="Arial"/>
          <w:b/>
          <w:szCs w:val="22"/>
        </w:rPr>
        <w:t>P</w:t>
      </w:r>
      <w:r w:rsidRPr="00073EF0">
        <w:rPr>
          <w:rFonts w:ascii="Arial" w:hAnsi="Arial" w:cs="Arial"/>
          <w:b/>
          <w:szCs w:val="22"/>
        </w:rPr>
        <w:t>art 2)</w:t>
      </w:r>
    </w:p>
    <w:p w14:paraId="562B1A5C" w14:textId="77777777" w:rsidR="000D1903" w:rsidRPr="00073EF0" w:rsidRDefault="000D1903" w:rsidP="0004005B">
      <w:pPr>
        <w:rPr>
          <w:sz w:val="18"/>
          <w:szCs w:val="18"/>
        </w:rPr>
      </w:pPr>
    </w:p>
    <w:p w14:paraId="4E9F1902" w14:textId="77777777" w:rsidR="00F92FDE" w:rsidRPr="00073EF0" w:rsidRDefault="00F92FDE" w:rsidP="0004005B">
      <w:r w:rsidRPr="00073EF0">
        <w:t>General rates are levied on residential, commercial and rural properties to provide funding for a wide range of essential services to the Canberra community, including municipal services, schools, roads and hospitals.</w:t>
      </w:r>
    </w:p>
    <w:p w14:paraId="488F368C" w14:textId="77777777" w:rsidR="00F92FDE" w:rsidRPr="00073EF0" w:rsidRDefault="00F92FDE" w:rsidP="0004005B"/>
    <w:p w14:paraId="392C6403" w14:textId="5B7B6EC7" w:rsidR="00F92FDE" w:rsidRPr="00073EF0" w:rsidRDefault="00EC193B" w:rsidP="0004005B">
      <w:r w:rsidRPr="00073EF0">
        <w:t>P</w:t>
      </w:r>
      <w:r w:rsidR="00F92FDE" w:rsidRPr="00073EF0">
        <w:t xml:space="preserve">art </w:t>
      </w:r>
      <w:r w:rsidRPr="00073EF0">
        <w:t xml:space="preserve">2 of the Rates Determination </w:t>
      </w:r>
      <w:r w:rsidR="00F92FDE" w:rsidRPr="00073EF0">
        <w:t>d</w:t>
      </w:r>
      <w:r w:rsidR="009B3B9E" w:rsidRPr="00073EF0">
        <w:t xml:space="preserve">etermines the components of general rates—the </w:t>
      </w:r>
      <w:r w:rsidR="00F92FDE" w:rsidRPr="00073EF0">
        <w:t>fixed charge and percentage</w:t>
      </w:r>
      <w:r w:rsidR="009B3B9E" w:rsidRPr="00073EF0">
        <w:t> rates</w:t>
      </w:r>
      <w:r w:rsidR="00F92FDE" w:rsidRPr="00073EF0">
        <w:t xml:space="preserve"> </w:t>
      </w:r>
      <w:r w:rsidR="009B3B9E" w:rsidRPr="00073EF0">
        <w:t>(marginal rating factors)—that apply to a parcel of residential land, commercial land or rural land.</w:t>
      </w:r>
    </w:p>
    <w:p w14:paraId="7705A80B" w14:textId="77777777" w:rsidR="00F92FDE" w:rsidRPr="00073EF0" w:rsidRDefault="00F92FDE" w:rsidP="0004005B"/>
    <w:p w14:paraId="2F0CAFD9" w14:textId="77777777" w:rsidR="009B3B9E" w:rsidRPr="00073EF0" w:rsidRDefault="00F92FDE" w:rsidP="0004005B">
      <w:r w:rsidRPr="00073EF0">
        <w:t>This part clarifies that any amount that is part of an AUV must be rounded down to the nearest dollar before the marginal rating factors are applied.</w:t>
      </w:r>
    </w:p>
    <w:p w14:paraId="14C2E96F" w14:textId="77777777" w:rsidR="009B3B9E" w:rsidRPr="00073EF0" w:rsidRDefault="009B3B9E" w:rsidP="0004005B"/>
    <w:p w14:paraId="1481F363" w14:textId="77777777" w:rsidR="009B3B9E" w:rsidRPr="00073EF0" w:rsidRDefault="009B3B9E" w:rsidP="0004005B">
      <w:r w:rsidRPr="00073EF0">
        <w:t xml:space="preserve">The ‘base value’ referred to in this part is a reference to the base value to which marginal rating factors apply. </w:t>
      </w:r>
    </w:p>
    <w:p w14:paraId="5862C8F2" w14:textId="77777777" w:rsidR="009B3B9E" w:rsidRPr="00073EF0" w:rsidRDefault="009B3B9E" w:rsidP="0004005B"/>
    <w:p w14:paraId="60C3DDA7" w14:textId="2E9856D7" w:rsidR="009B3B9E" w:rsidRPr="00073EF0" w:rsidRDefault="009B3B9E" w:rsidP="0004005B">
      <w:pPr>
        <w:pStyle w:val="ListParagraph"/>
        <w:numPr>
          <w:ilvl w:val="0"/>
          <w:numId w:val="24"/>
        </w:numPr>
      </w:pPr>
      <w:r w:rsidRPr="00073EF0">
        <w:t>For non-unit properties, base value refers to the Average Unimproved Value (AUV) of the parcel of land</w:t>
      </w:r>
      <w:r w:rsidR="003A1195" w:rsidRPr="00073EF0">
        <w:t>—</w:t>
      </w:r>
      <w:r w:rsidR="0024789B" w:rsidRPr="00073EF0">
        <w:t>see section 14 (3) of the Act</w:t>
      </w:r>
      <w:r w:rsidRPr="00073EF0">
        <w:t xml:space="preserve">. </w:t>
      </w:r>
    </w:p>
    <w:p w14:paraId="551B4587" w14:textId="61E50BF2" w:rsidR="009B3B9E" w:rsidRPr="00073EF0" w:rsidRDefault="009B3B9E" w:rsidP="0004005B">
      <w:pPr>
        <w:pStyle w:val="ListParagraph"/>
        <w:numPr>
          <w:ilvl w:val="0"/>
          <w:numId w:val="24"/>
        </w:numPr>
      </w:pPr>
      <w:r w:rsidRPr="00073EF0">
        <w:t>For residential units, base value refers to AUVRU (the AUV of the entire parcel as it relates to the proportion of all residential units)</w:t>
      </w:r>
      <w:r w:rsidR="00187EB0" w:rsidRPr="00073EF0">
        <w:t>—</w:t>
      </w:r>
      <w:r w:rsidR="0024789B" w:rsidRPr="00073EF0">
        <w:t>see section 29 (5) of the Act</w:t>
      </w:r>
      <w:r w:rsidRPr="00073EF0">
        <w:t xml:space="preserve">. </w:t>
      </w:r>
    </w:p>
    <w:p w14:paraId="12474189" w14:textId="75C1B60D" w:rsidR="009B3B9E" w:rsidRPr="00073EF0" w:rsidRDefault="009B3B9E" w:rsidP="0004005B">
      <w:pPr>
        <w:pStyle w:val="ListParagraph"/>
        <w:numPr>
          <w:ilvl w:val="0"/>
          <w:numId w:val="24"/>
        </w:numPr>
      </w:pPr>
      <w:r w:rsidRPr="00073EF0">
        <w:t xml:space="preserve">For </w:t>
      </w:r>
      <w:r w:rsidR="00DE37AD" w:rsidRPr="00073EF0">
        <w:t>units other than residential units (</w:t>
      </w:r>
      <w:r w:rsidRPr="00073EF0">
        <w:t>commercial units</w:t>
      </w:r>
      <w:r w:rsidR="00DE37AD" w:rsidRPr="00073EF0">
        <w:t>)</w:t>
      </w:r>
      <w:r w:rsidRPr="00073EF0">
        <w:t>, base value refers to AUVU (the AUV of the entire parcel proportionate to the individual commercial unit)</w:t>
      </w:r>
      <w:r w:rsidR="00187EB0" w:rsidRPr="00073EF0">
        <w:t>—</w:t>
      </w:r>
      <w:r w:rsidR="0024789B" w:rsidRPr="00073EF0">
        <w:t>see section 29 (5) of the Act</w:t>
      </w:r>
      <w:r w:rsidRPr="00073EF0">
        <w:t>.</w:t>
      </w:r>
    </w:p>
    <w:p w14:paraId="52A9D10D" w14:textId="5CB3AC12" w:rsidR="009B3B9E" w:rsidRPr="00073EF0" w:rsidRDefault="009B3B9E" w:rsidP="0004005B"/>
    <w:p w14:paraId="0D118A34" w14:textId="43724DEB" w:rsidR="009F0210" w:rsidRPr="00073EF0" w:rsidRDefault="00905B74" w:rsidP="0004005B">
      <w:r w:rsidRPr="00073EF0">
        <w:t xml:space="preserve">Note, the definition of AUV has been amended from 1 July 2019 to extend the </w:t>
      </w:r>
      <w:r w:rsidR="00184C26" w:rsidRPr="00073EF0">
        <w:t xml:space="preserve">averaging </w:t>
      </w:r>
      <w:r w:rsidRPr="00073EF0">
        <w:t xml:space="preserve">period for determining AUV (as provided under the </w:t>
      </w:r>
      <w:r w:rsidRPr="00073EF0">
        <w:rPr>
          <w:i/>
          <w:iCs/>
        </w:rPr>
        <w:t>Rates Amendment Act 2020</w:t>
      </w:r>
      <w:r w:rsidRPr="00073EF0">
        <w:t xml:space="preserve">). A period of four years will be used for 2020-21, and five years for 2021-22 onward. </w:t>
      </w:r>
    </w:p>
    <w:p w14:paraId="0DBD2DCD" w14:textId="77777777" w:rsidR="00184C26" w:rsidRPr="00073EF0" w:rsidRDefault="00184C26" w:rsidP="0004005B"/>
    <w:p w14:paraId="57C5C6F9" w14:textId="70F6ABDB" w:rsidR="00F92FDE" w:rsidRPr="00073EF0" w:rsidRDefault="00187EB0" w:rsidP="0004005B">
      <w:r w:rsidRPr="00073EF0">
        <w:t xml:space="preserve">The </w:t>
      </w:r>
      <w:r w:rsidR="005D5FB4" w:rsidRPr="00073EF0">
        <w:t>20</w:t>
      </w:r>
      <w:r w:rsidR="00EC193B" w:rsidRPr="00073EF0">
        <w:t>20</w:t>
      </w:r>
      <w:r w:rsidR="005D5FB4" w:rsidRPr="00073EF0">
        <w:t>-2</w:t>
      </w:r>
      <w:r w:rsidR="00EC193B" w:rsidRPr="00073EF0">
        <w:t>1</w:t>
      </w:r>
      <w:r w:rsidR="009B3B9E" w:rsidRPr="00073EF0">
        <w:t xml:space="preserve"> r</w:t>
      </w:r>
      <w:r w:rsidR="00F92FDE" w:rsidRPr="00073EF0">
        <w:t xml:space="preserve">esidential </w:t>
      </w:r>
      <w:r w:rsidR="009B3B9E" w:rsidRPr="00073EF0">
        <w:t>general rates are made up of a fixed charge and marginal rating factors determined.</w:t>
      </w:r>
      <w:r w:rsidR="00BE145E" w:rsidRPr="00073EF0">
        <w:t xml:space="preserve"> For 2020-21, d</w:t>
      </w:r>
      <w:r w:rsidR="00FA4115" w:rsidRPr="00073EF0">
        <w:t xml:space="preserve">ifferent </w:t>
      </w:r>
      <w:r w:rsidR="00BE145E" w:rsidRPr="00073EF0">
        <w:t xml:space="preserve">fixed charges and </w:t>
      </w:r>
      <w:r w:rsidR="00FA4115" w:rsidRPr="00073EF0">
        <w:t xml:space="preserve">rating factors </w:t>
      </w:r>
      <w:r w:rsidR="0087102E" w:rsidRPr="00073EF0">
        <w:t>apply</w:t>
      </w:r>
      <w:r w:rsidR="00FA4115" w:rsidRPr="00073EF0">
        <w:t xml:space="preserve"> to </w:t>
      </w:r>
      <w:r w:rsidR="00477969" w:rsidRPr="00073EF0">
        <w:t xml:space="preserve">residential land (e.g. </w:t>
      </w:r>
      <w:r w:rsidR="00FE6F91" w:rsidRPr="00073EF0">
        <w:t xml:space="preserve">standalone </w:t>
      </w:r>
      <w:r w:rsidR="00FA4115" w:rsidRPr="00073EF0">
        <w:t>houses</w:t>
      </w:r>
      <w:r w:rsidR="00477969" w:rsidRPr="00073EF0">
        <w:t>)</w:t>
      </w:r>
      <w:r w:rsidR="00FA4115" w:rsidRPr="00073EF0">
        <w:t xml:space="preserve"> and units</w:t>
      </w:r>
      <w:r w:rsidR="00E17EF0" w:rsidRPr="00073EF0">
        <w:t>.</w:t>
      </w:r>
    </w:p>
    <w:p w14:paraId="77A81628" w14:textId="77777777" w:rsidR="007A66B6" w:rsidRPr="00073EF0" w:rsidRDefault="007A66B6">
      <w:pPr>
        <w:spacing w:after="200" w:line="276" w:lineRule="auto"/>
        <w:rPr>
          <w:u w:val="single"/>
        </w:rPr>
      </w:pPr>
      <w:r w:rsidRPr="00073EF0">
        <w:rPr>
          <w:u w:val="single"/>
        </w:rPr>
        <w:br w:type="page"/>
      </w:r>
    </w:p>
    <w:p w14:paraId="61DF3A29" w14:textId="2A2F67A6" w:rsidR="002023D0" w:rsidRPr="00073EF0" w:rsidRDefault="002023D0" w:rsidP="0004005B">
      <w:pPr>
        <w:rPr>
          <w:u w:val="single"/>
        </w:rPr>
      </w:pPr>
      <w:r w:rsidRPr="00073EF0">
        <w:rPr>
          <w:u w:val="single"/>
        </w:rPr>
        <w:lastRenderedPageBreak/>
        <w:t>Residential land</w:t>
      </w:r>
    </w:p>
    <w:p w14:paraId="74482B58" w14:textId="51EA0FCF" w:rsidR="00BE145E" w:rsidRPr="00073EF0" w:rsidRDefault="00BE145E" w:rsidP="0004005B">
      <w:r w:rsidRPr="00073EF0">
        <w:t>Fixed charges for residential land and units are subject to a rebate of $150 as part of the COVID-19 response. For residential land a fixed charge of $</w:t>
      </w:r>
      <w:r w:rsidR="00E97BCB" w:rsidRPr="00073EF0">
        <w:t>773</w:t>
      </w:r>
      <w:r w:rsidRPr="00073EF0">
        <w:t xml:space="preserve"> applies after the rebate (a fixed charge of $923 would otherwise have been applicable). For residential </w:t>
      </w:r>
      <w:r w:rsidR="00C01BAF" w:rsidRPr="00073EF0">
        <w:t>units</w:t>
      </w:r>
      <w:r w:rsidR="00184C26" w:rsidRPr="00073EF0">
        <w:t>,</w:t>
      </w:r>
      <w:r w:rsidRPr="00073EF0">
        <w:t xml:space="preserve"> a fixed charge of $808 applies after the rebate (a fixed charge of $958 would otherwise have been applicable). These are reduced also from fixed charges of $875 in 2019-20.</w:t>
      </w:r>
    </w:p>
    <w:p w14:paraId="7D6ADBF8" w14:textId="77777777" w:rsidR="00BE145E" w:rsidRPr="00073EF0" w:rsidRDefault="00BE145E" w:rsidP="0004005B"/>
    <w:p w14:paraId="57E80B2C" w14:textId="10016C51" w:rsidR="00BE145E" w:rsidRPr="00073EF0" w:rsidRDefault="00905B74" w:rsidP="0004005B">
      <w:r w:rsidRPr="00073EF0">
        <w:t xml:space="preserve">Marginal rating factors </w:t>
      </w:r>
      <w:r w:rsidR="002023D0" w:rsidRPr="00073EF0">
        <w:t xml:space="preserve">for 2020-21 </w:t>
      </w:r>
      <w:r w:rsidRPr="00073EF0">
        <w:t>are outlined as follows.</w:t>
      </w:r>
      <w:r w:rsidR="00BE145E" w:rsidRPr="00073EF0">
        <w:t xml:space="preserve">  </w:t>
      </w:r>
    </w:p>
    <w:p w14:paraId="596F23D5" w14:textId="77777777" w:rsidR="00F92FDE" w:rsidRPr="00073EF0" w:rsidRDefault="00F92FDE" w:rsidP="00F92FDE"/>
    <w:p w14:paraId="17BE995E" w14:textId="43394426" w:rsidR="005D5FB4" w:rsidRPr="00073EF0" w:rsidRDefault="00C53049" w:rsidP="00F92FDE">
      <w:pPr>
        <w:rPr>
          <w:b/>
        </w:rPr>
      </w:pPr>
      <w:r w:rsidRPr="00073EF0">
        <w:rPr>
          <w:b/>
        </w:rPr>
        <w:t xml:space="preserve">Table 1: </w:t>
      </w:r>
      <w:r w:rsidR="005D5FB4" w:rsidRPr="00073EF0">
        <w:rPr>
          <w:b/>
        </w:rPr>
        <w:t>Percentage rates</w:t>
      </w:r>
      <w:r w:rsidRPr="00073EF0">
        <w:rPr>
          <w:b/>
          <w:i/>
        </w:rPr>
        <w:t>—</w:t>
      </w:r>
      <w:r w:rsidR="005D5FB4" w:rsidRPr="00073EF0">
        <w:rPr>
          <w:b/>
        </w:rPr>
        <w:t xml:space="preserve">residential </w:t>
      </w:r>
      <w:r w:rsidR="00FE6F91" w:rsidRPr="00073EF0">
        <w:rPr>
          <w:b/>
        </w:rPr>
        <w:t xml:space="preserve">land </w:t>
      </w:r>
    </w:p>
    <w:tbl>
      <w:tblPr>
        <w:tblStyle w:val="TableGrid"/>
        <w:tblW w:w="0" w:type="auto"/>
        <w:tblLayout w:type="fixed"/>
        <w:tblLook w:val="04A0" w:firstRow="1" w:lastRow="0" w:firstColumn="1" w:lastColumn="0" w:noHBand="0" w:noVBand="1"/>
      </w:tblPr>
      <w:tblGrid>
        <w:gridCol w:w="2838"/>
        <w:gridCol w:w="1552"/>
        <w:gridCol w:w="1559"/>
      </w:tblGrid>
      <w:tr w:rsidR="00FF780F" w:rsidRPr="00073EF0" w14:paraId="1C398309" w14:textId="7CE23F0F" w:rsidTr="00184C26">
        <w:tc>
          <w:tcPr>
            <w:tcW w:w="2838" w:type="dxa"/>
          </w:tcPr>
          <w:p w14:paraId="060E6FB6" w14:textId="77777777" w:rsidR="00FF780F" w:rsidRPr="00073EF0" w:rsidRDefault="00FF780F">
            <w:pPr>
              <w:rPr>
                <w:b/>
              </w:rPr>
            </w:pPr>
            <w:r w:rsidRPr="00073EF0">
              <w:rPr>
                <w:b/>
              </w:rPr>
              <w:t>Base value</w:t>
            </w:r>
          </w:p>
        </w:tc>
        <w:tc>
          <w:tcPr>
            <w:tcW w:w="1552" w:type="dxa"/>
          </w:tcPr>
          <w:p w14:paraId="230F4792" w14:textId="77777777" w:rsidR="00FF780F" w:rsidRPr="00073EF0" w:rsidRDefault="00FF780F">
            <w:pPr>
              <w:rPr>
                <w:b/>
              </w:rPr>
            </w:pPr>
            <w:r w:rsidRPr="00073EF0">
              <w:rPr>
                <w:b/>
              </w:rPr>
              <w:t>2019-20</w:t>
            </w:r>
          </w:p>
        </w:tc>
        <w:tc>
          <w:tcPr>
            <w:tcW w:w="1559" w:type="dxa"/>
          </w:tcPr>
          <w:p w14:paraId="0E9A158B" w14:textId="3793F760" w:rsidR="00FF780F" w:rsidRPr="00073EF0" w:rsidRDefault="00FF780F">
            <w:pPr>
              <w:rPr>
                <w:b/>
              </w:rPr>
            </w:pPr>
            <w:r w:rsidRPr="00073EF0">
              <w:rPr>
                <w:b/>
              </w:rPr>
              <w:t>2020-21</w:t>
            </w:r>
          </w:p>
        </w:tc>
      </w:tr>
      <w:tr w:rsidR="00905B74" w:rsidRPr="00073EF0" w14:paraId="18E82A5F" w14:textId="483928F9" w:rsidTr="00184C26">
        <w:tc>
          <w:tcPr>
            <w:tcW w:w="2838" w:type="dxa"/>
          </w:tcPr>
          <w:p w14:paraId="65649F53" w14:textId="77777777" w:rsidR="00905B74" w:rsidRPr="00073EF0" w:rsidRDefault="00905B74" w:rsidP="00905B74">
            <w:r w:rsidRPr="00073EF0">
              <w:t>$150,000 or less</w:t>
            </w:r>
          </w:p>
        </w:tc>
        <w:tc>
          <w:tcPr>
            <w:tcW w:w="1552" w:type="dxa"/>
          </w:tcPr>
          <w:p w14:paraId="3B03B94A" w14:textId="77777777" w:rsidR="00905B74" w:rsidRPr="00073EF0" w:rsidRDefault="00905B74" w:rsidP="00905B74">
            <w:r w:rsidRPr="00073EF0">
              <w:t>0.3197%</w:t>
            </w:r>
          </w:p>
        </w:tc>
        <w:tc>
          <w:tcPr>
            <w:tcW w:w="1559" w:type="dxa"/>
          </w:tcPr>
          <w:p w14:paraId="53E5AA21" w14:textId="03634E51" w:rsidR="00905B74" w:rsidRPr="00073EF0" w:rsidRDefault="00905B74" w:rsidP="00905B74">
            <w:r w:rsidRPr="00073EF0">
              <w:t>0.3338%</w:t>
            </w:r>
          </w:p>
        </w:tc>
      </w:tr>
      <w:tr w:rsidR="00905B74" w:rsidRPr="00073EF0" w14:paraId="639CB29C" w14:textId="2CBC8D61" w:rsidTr="00184C26">
        <w:tc>
          <w:tcPr>
            <w:tcW w:w="2838" w:type="dxa"/>
          </w:tcPr>
          <w:p w14:paraId="1DAE33DD" w14:textId="77777777" w:rsidR="00905B74" w:rsidRPr="00073EF0" w:rsidRDefault="00905B74" w:rsidP="00905B74">
            <w:r w:rsidRPr="00073EF0">
              <w:t>$150,001 to $300,000</w:t>
            </w:r>
          </w:p>
        </w:tc>
        <w:tc>
          <w:tcPr>
            <w:tcW w:w="1552" w:type="dxa"/>
          </w:tcPr>
          <w:p w14:paraId="4024ECC9" w14:textId="77777777" w:rsidR="00905B74" w:rsidRPr="00073EF0" w:rsidRDefault="00905B74" w:rsidP="00905B74">
            <w:r w:rsidRPr="00073EF0">
              <w:t>0.4155%</w:t>
            </w:r>
          </w:p>
        </w:tc>
        <w:tc>
          <w:tcPr>
            <w:tcW w:w="1559" w:type="dxa"/>
          </w:tcPr>
          <w:p w14:paraId="58889076" w14:textId="12A58FCA" w:rsidR="00905B74" w:rsidRPr="00073EF0" w:rsidRDefault="00905B74" w:rsidP="00905B74">
            <w:r w:rsidRPr="00073EF0">
              <w:t>0.4296%</w:t>
            </w:r>
          </w:p>
        </w:tc>
      </w:tr>
      <w:tr w:rsidR="00905B74" w:rsidRPr="00073EF0" w14:paraId="62AF3D3C" w14:textId="0A1AF0FD" w:rsidTr="00184C26">
        <w:tc>
          <w:tcPr>
            <w:tcW w:w="2838" w:type="dxa"/>
          </w:tcPr>
          <w:p w14:paraId="0D7CF17A" w14:textId="77777777" w:rsidR="00905B74" w:rsidRPr="00073EF0" w:rsidRDefault="00905B74" w:rsidP="00905B74">
            <w:r w:rsidRPr="00073EF0">
              <w:t>$300,001 to $450,000</w:t>
            </w:r>
          </w:p>
        </w:tc>
        <w:tc>
          <w:tcPr>
            <w:tcW w:w="1552" w:type="dxa"/>
          </w:tcPr>
          <w:p w14:paraId="33EB3DD1" w14:textId="77777777" w:rsidR="00905B74" w:rsidRPr="00073EF0" w:rsidRDefault="00905B74" w:rsidP="00905B74">
            <w:r w:rsidRPr="00073EF0">
              <w:t>0.5197%</w:t>
            </w:r>
          </w:p>
        </w:tc>
        <w:tc>
          <w:tcPr>
            <w:tcW w:w="1559" w:type="dxa"/>
          </w:tcPr>
          <w:p w14:paraId="469BBF86" w14:textId="7489EB68" w:rsidR="00905B74" w:rsidRPr="00073EF0" w:rsidRDefault="00905B74" w:rsidP="00905B74">
            <w:r w:rsidRPr="00073EF0">
              <w:t>0.5338%</w:t>
            </w:r>
          </w:p>
        </w:tc>
      </w:tr>
      <w:tr w:rsidR="00905B74" w:rsidRPr="00073EF0" w14:paraId="75CE14B7" w14:textId="600F588F" w:rsidTr="00184C26">
        <w:trPr>
          <w:trHeight w:val="63"/>
        </w:trPr>
        <w:tc>
          <w:tcPr>
            <w:tcW w:w="2838" w:type="dxa"/>
          </w:tcPr>
          <w:p w14:paraId="77CD1D7B" w14:textId="77777777" w:rsidR="00905B74" w:rsidRPr="00073EF0" w:rsidRDefault="00905B74" w:rsidP="00905B74">
            <w:r w:rsidRPr="00073EF0">
              <w:t>$450,001 to $600,000</w:t>
            </w:r>
          </w:p>
        </w:tc>
        <w:tc>
          <w:tcPr>
            <w:tcW w:w="1552" w:type="dxa"/>
          </w:tcPr>
          <w:p w14:paraId="3FC4A3D6" w14:textId="77777777" w:rsidR="00905B74" w:rsidRPr="00073EF0" w:rsidRDefault="00905B74" w:rsidP="00905B74">
            <w:r w:rsidRPr="00073EF0">
              <w:t>0.5670%</w:t>
            </w:r>
          </w:p>
        </w:tc>
        <w:tc>
          <w:tcPr>
            <w:tcW w:w="1559" w:type="dxa"/>
          </w:tcPr>
          <w:p w14:paraId="47C560D5" w14:textId="6A18E95E" w:rsidR="00905B74" w:rsidRPr="00073EF0" w:rsidRDefault="00905B74" w:rsidP="00905B74">
            <w:r w:rsidRPr="00073EF0">
              <w:t>0.5811%</w:t>
            </w:r>
          </w:p>
        </w:tc>
      </w:tr>
      <w:tr w:rsidR="00905B74" w:rsidRPr="00073EF0" w14:paraId="76B623D6" w14:textId="7A20A105" w:rsidTr="00184C26">
        <w:tc>
          <w:tcPr>
            <w:tcW w:w="2838" w:type="dxa"/>
          </w:tcPr>
          <w:p w14:paraId="7DFDB7B9" w14:textId="6BE30CC0" w:rsidR="00905B74" w:rsidRPr="00073EF0" w:rsidRDefault="00905B74" w:rsidP="00905B74">
            <w:r w:rsidRPr="00073EF0">
              <w:t>$600,001 to $750,000</w:t>
            </w:r>
          </w:p>
        </w:tc>
        <w:tc>
          <w:tcPr>
            <w:tcW w:w="1552" w:type="dxa"/>
          </w:tcPr>
          <w:p w14:paraId="48E43AF2" w14:textId="77777777" w:rsidR="00905B74" w:rsidRPr="00073EF0" w:rsidRDefault="00905B74" w:rsidP="00905B74">
            <w:r w:rsidRPr="00073EF0">
              <w:t>0.5767%</w:t>
            </w:r>
          </w:p>
        </w:tc>
        <w:tc>
          <w:tcPr>
            <w:tcW w:w="1559" w:type="dxa"/>
          </w:tcPr>
          <w:p w14:paraId="50CE2E42" w14:textId="58BDAD43" w:rsidR="00905B74" w:rsidRPr="00073EF0" w:rsidRDefault="00905B74" w:rsidP="00905B74">
            <w:r w:rsidRPr="00073EF0">
              <w:t>0.5908%</w:t>
            </w:r>
          </w:p>
        </w:tc>
      </w:tr>
      <w:tr w:rsidR="00905B74" w:rsidRPr="00073EF0" w14:paraId="194898A3" w14:textId="10D1741E" w:rsidTr="00184C26">
        <w:tc>
          <w:tcPr>
            <w:tcW w:w="2838" w:type="dxa"/>
          </w:tcPr>
          <w:p w14:paraId="4489C559" w14:textId="77777777" w:rsidR="00905B74" w:rsidRPr="00073EF0" w:rsidRDefault="00905B74" w:rsidP="00905B74">
            <w:r w:rsidRPr="00073EF0">
              <w:t>$750,001 or more</w:t>
            </w:r>
          </w:p>
        </w:tc>
        <w:tc>
          <w:tcPr>
            <w:tcW w:w="1552" w:type="dxa"/>
          </w:tcPr>
          <w:p w14:paraId="58BB0200" w14:textId="77777777" w:rsidR="00905B74" w:rsidRPr="00073EF0" w:rsidRDefault="00905B74" w:rsidP="00905B74">
            <w:r w:rsidRPr="00073EF0">
              <w:t>0.5817%</w:t>
            </w:r>
          </w:p>
        </w:tc>
        <w:tc>
          <w:tcPr>
            <w:tcW w:w="1559" w:type="dxa"/>
          </w:tcPr>
          <w:p w14:paraId="4E606A14" w14:textId="7FACD5AD" w:rsidR="00905B74" w:rsidRPr="00073EF0" w:rsidRDefault="00905B74" w:rsidP="00905B74">
            <w:r w:rsidRPr="00073EF0">
              <w:t>0.5958%</w:t>
            </w:r>
          </w:p>
        </w:tc>
      </w:tr>
    </w:tbl>
    <w:p w14:paraId="11146881" w14:textId="77777777" w:rsidR="00E3276E" w:rsidRPr="00073EF0" w:rsidRDefault="00E3276E" w:rsidP="00E3276E"/>
    <w:p w14:paraId="56F9D4AF" w14:textId="71F96AA2" w:rsidR="00150C69" w:rsidRPr="00073EF0" w:rsidRDefault="00C53049" w:rsidP="00E3276E">
      <w:pPr>
        <w:rPr>
          <w:b/>
        </w:rPr>
      </w:pPr>
      <w:r w:rsidRPr="00073EF0">
        <w:rPr>
          <w:b/>
        </w:rPr>
        <w:t xml:space="preserve">Table 2: </w:t>
      </w:r>
      <w:r w:rsidR="00150C69" w:rsidRPr="00073EF0">
        <w:rPr>
          <w:b/>
        </w:rPr>
        <w:t>Percentage rates</w:t>
      </w:r>
      <w:r w:rsidRPr="00073EF0">
        <w:rPr>
          <w:b/>
          <w:i/>
        </w:rPr>
        <w:t>—</w:t>
      </w:r>
      <w:r w:rsidR="00150C69" w:rsidRPr="00073EF0">
        <w:rPr>
          <w:b/>
        </w:rPr>
        <w:t>residential units</w:t>
      </w:r>
    </w:p>
    <w:tbl>
      <w:tblPr>
        <w:tblStyle w:val="TableGrid"/>
        <w:tblW w:w="0" w:type="auto"/>
        <w:tblLayout w:type="fixed"/>
        <w:tblLook w:val="04A0" w:firstRow="1" w:lastRow="0" w:firstColumn="1" w:lastColumn="0" w:noHBand="0" w:noVBand="1"/>
      </w:tblPr>
      <w:tblGrid>
        <w:gridCol w:w="2802"/>
        <w:gridCol w:w="1588"/>
        <w:gridCol w:w="1588"/>
      </w:tblGrid>
      <w:tr w:rsidR="00EC193B" w:rsidRPr="00073EF0" w14:paraId="3ED1710F" w14:textId="2C4C5B62" w:rsidTr="00424678">
        <w:tc>
          <w:tcPr>
            <w:tcW w:w="2802" w:type="dxa"/>
            <w:shd w:val="clear" w:color="auto" w:fill="FFFFFF" w:themeFill="background1"/>
          </w:tcPr>
          <w:p w14:paraId="496123C7" w14:textId="77777777" w:rsidR="00EC193B" w:rsidRPr="00073EF0" w:rsidRDefault="00EC193B" w:rsidP="000B288E">
            <w:pPr>
              <w:rPr>
                <w:b/>
              </w:rPr>
            </w:pPr>
            <w:r w:rsidRPr="00073EF0">
              <w:rPr>
                <w:b/>
              </w:rPr>
              <w:t>Base value</w:t>
            </w:r>
          </w:p>
        </w:tc>
        <w:tc>
          <w:tcPr>
            <w:tcW w:w="1588" w:type="dxa"/>
            <w:shd w:val="clear" w:color="auto" w:fill="FFFFFF" w:themeFill="background1"/>
          </w:tcPr>
          <w:p w14:paraId="2EA659D8" w14:textId="77777777" w:rsidR="00EC193B" w:rsidRPr="00073EF0" w:rsidRDefault="00EC193B" w:rsidP="000B288E">
            <w:pPr>
              <w:rPr>
                <w:b/>
              </w:rPr>
            </w:pPr>
            <w:r w:rsidRPr="00073EF0">
              <w:rPr>
                <w:b/>
              </w:rPr>
              <w:t>2019-20</w:t>
            </w:r>
          </w:p>
        </w:tc>
        <w:tc>
          <w:tcPr>
            <w:tcW w:w="1588" w:type="dxa"/>
            <w:shd w:val="clear" w:color="auto" w:fill="FFFFFF" w:themeFill="background1"/>
          </w:tcPr>
          <w:p w14:paraId="085A8B1B" w14:textId="591BA3EF" w:rsidR="00EC193B" w:rsidRPr="00073EF0" w:rsidRDefault="00EC193B" w:rsidP="000B288E">
            <w:pPr>
              <w:rPr>
                <w:b/>
              </w:rPr>
            </w:pPr>
            <w:r w:rsidRPr="00073EF0">
              <w:rPr>
                <w:b/>
              </w:rPr>
              <w:t>2020-21</w:t>
            </w:r>
          </w:p>
        </w:tc>
      </w:tr>
      <w:tr w:rsidR="00905B74" w:rsidRPr="00073EF0" w14:paraId="176599B4" w14:textId="14974FBF" w:rsidTr="00424678">
        <w:tc>
          <w:tcPr>
            <w:tcW w:w="2802" w:type="dxa"/>
            <w:shd w:val="clear" w:color="auto" w:fill="FFFFFF" w:themeFill="background1"/>
          </w:tcPr>
          <w:p w14:paraId="03EB3222" w14:textId="77777777" w:rsidR="00905B74" w:rsidRPr="00073EF0" w:rsidRDefault="00905B74" w:rsidP="00905B74">
            <w:r w:rsidRPr="00073EF0">
              <w:t>$600,000 or less</w:t>
            </w:r>
          </w:p>
        </w:tc>
        <w:tc>
          <w:tcPr>
            <w:tcW w:w="1588" w:type="dxa"/>
            <w:shd w:val="clear" w:color="auto" w:fill="FFFFFF" w:themeFill="background1"/>
          </w:tcPr>
          <w:p w14:paraId="70EEE21E" w14:textId="77777777" w:rsidR="00905B74" w:rsidRPr="00073EF0" w:rsidRDefault="00905B74" w:rsidP="00905B74">
            <w:r w:rsidRPr="00073EF0">
              <w:t>0.4757%</w:t>
            </w:r>
          </w:p>
        </w:tc>
        <w:tc>
          <w:tcPr>
            <w:tcW w:w="1588" w:type="dxa"/>
            <w:shd w:val="clear" w:color="auto" w:fill="FFFFFF" w:themeFill="background1"/>
          </w:tcPr>
          <w:p w14:paraId="0BDB0A10" w14:textId="4C9DE2F7" w:rsidR="00905B74" w:rsidRPr="00073EF0" w:rsidRDefault="00905B74" w:rsidP="00905B74">
            <w:r w:rsidRPr="00073EF0">
              <w:t xml:space="preserve">0.5202% </w:t>
            </w:r>
          </w:p>
        </w:tc>
      </w:tr>
      <w:tr w:rsidR="00905B74" w:rsidRPr="00073EF0" w14:paraId="1BDC74A0" w14:textId="6D1DB9B6" w:rsidTr="00424678">
        <w:tc>
          <w:tcPr>
            <w:tcW w:w="2802" w:type="dxa"/>
            <w:shd w:val="clear" w:color="auto" w:fill="FFFFFF" w:themeFill="background1"/>
          </w:tcPr>
          <w:p w14:paraId="2FC64B29" w14:textId="77777777" w:rsidR="00905B74" w:rsidRPr="00073EF0" w:rsidRDefault="00905B74" w:rsidP="00905B74">
            <w:r w:rsidRPr="00073EF0">
              <w:t>$600,001 to $2,000,000</w:t>
            </w:r>
          </w:p>
        </w:tc>
        <w:tc>
          <w:tcPr>
            <w:tcW w:w="1588" w:type="dxa"/>
            <w:shd w:val="clear" w:color="auto" w:fill="FFFFFF" w:themeFill="background1"/>
          </w:tcPr>
          <w:p w14:paraId="653E2348" w14:textId="77777777" w:rsidR="00905B74" w:rsidRPr="00073EF0" w:rsidRDefault="00905B74" w:rsidP="00905B74">
            <w:r w:rsidRPr="00073EF0">
              <w:t>0.5885%</w:t>
            </w:r>
          </w:p>
        </w:tc>
        <w:tc>
          <w:tcPr>
            <w:tcW w:w="1588" w:type="dxa"/>
            <w:shd w:val="clear" w:color="auto" w:fill="FFFFFF" w:themeFill="background1"/>
          </w:tcPr>
          <w:p w14:paraId="286A7A46" w14:textId="018A442B" w:rsidR="00905B74" w:rsidRPr="00073EF0" w:rsidRDefault="00905B74" w:rsidP="00905B74">
            <w:r w:rsidRPr="00073EF0">
              <w:t>0.6330%</w:t>
            </w:r>
          </w:p>
        </w:tc>
      </w:tr>
      <w:tr w:rsidR="00905B74" w:rsidRPr="00073EF0" w14:paraId="64B26000" w14:textId="17E18C59" w:rsidTr="00424678">
        <w:tc>
          <w:tcPr>
            <w:tcW w:w="2802" w:type="dxa"/>
            <w:shd w:val="clear" w:color="auto" w:fill="FFFFFF" w:themeFill="background1"/>
          </w:tcPr>
          <w:p w14:paraId="7372CE14" w14:textId="77777777" w:rsidR="00905B74" w:rsidRPr="00073EF0" w:rsidRDefault="00905B74" w:rsidP="00905B74">
            <w:r w:rsidRPr="00073EF0">
              <w:t>$2,000,001 to $3,650,000</w:t>
            </w:r>
          </w:p>
        </w:tc>
        <w:tc>
          <w:tcPr>
            <w:tcW w:w="1588" w:type="dxa"/>
            <w:shd w:val="clear" w:color="auto" w:fill="FFFFFF" w:themeFill="background1"/>
          </w:tcPr>
          <w:p w14:paraId="1658B8B3" w14:textId="77777777" w:rsidR="00905B74" w:rsidRPr="00073EF0" w:rsidRDefault="00905B74" w:rsidP="00905B74">
            <w:r w:rsidRPr="00073EF0">
              <w:t>0.6927%</w:t>
            </w:r>
          </w:p>
        </w:tc>
        <w:tc>
          <w:tcPr>
            <w:tcW w:w="1588" w:type="dxa"/>
            <w:shd w:val="clear" w:color="auto" w:fill="FFFFFF" w:themeFill="background1"/>
          </w:tcPr>
          <w:p w14:paraId="42D1FFA8" w14:textId="3065E636" w:rsidR="00905B74" w:rsidRPr="00073EF0" w:rsidRDefault="00905B74" w:rsidP="00905B74">
            <w:r w:rsidRPr="00073EF0">
              <w:t>0.7372%</w:t>
            </w:r>
          </w:p>
        </w:tc>
      </w:tr>
      <w:tr w:rsidR="00905B74" w:rsidRPr="00073EF0" w14:paraId="59C7202C" w14:textId="0D49BB42" w:rsidTr="00424678">
        <w:trPr>
          <w:trHeight w:val="63"/>
        </w:trPr>
        <w:tc>
          <w:tcPr>
            <w:tcW w:w="2802" w:type="dxa"/>
            <w:shd w:val="clear" w:color="auto" w:fill="FFFFFF" w:themeFill="background1"/>
          </w:tcPr>
          <w:p w14:paraId="2A19C9F3" w14:textId="77777777" w:rsidR="00905B74" w:rsidRPr="00073EF0" w:rsidRDefault="00905B74" w:rsidP="00905B74">
            <w:r w:rsidRPr="00073EF0">
              <w:t>$3,650,001 to $4,850,000</w:t>
            </w:r>
          </w:p>
        </w:tc>
        <w:tc>
          <w:tcPr>
            <w:tcW w:w="1588" w:type="dxa"/>
            <w:shd w:val="clear" w:color="auto" w:fill="FFFFFF" w:themeFill="background1"/>
          </w:tcPr>
          <w:p w14:paraId="3A6542F9" w14:textId="77777777" w:rsidR="00905B74" w:rsidRPr="00073EF0" w:rsidRDefault="00905B74" w:rsidP="00905B74">
            <w:r w:rsidRPr="00073EF0">
              <w:t>0.7400%</w:t>
            </w:r>
          </w:p>
        </w:tc>
        <w:tc>
          <w:tcPr>
            <w:tcW w:w="1588" w:type="dxa"/>
            <w:shd w:val="clear" w:color="auto" w:fill="FFFFFF" w:themeFill="background1"/>
          </w:tcPr>
          <w:p w14:paraId="60A183AE" w14:textId="503D6F1F" w:rsidR="00905B74" w:rsidRPr="00073EF0" w:rsidRDefault="00905B74" w:rsidP="00905B74">
            <w:r w:rsidRPr="00073EF0">
              <w:t>0.7845%</w:t>
            </w:r>
          </w:p>
        </w:tc>
      </w:tr>
      <w:tr w:rsidR="00905B74" w:rsidRPr="00073EF0" w14:paraId="70AB15EE" w14:textId="2F458699" w:rsidTr="00424678">
        <w:tc>
          <w:tcPr>
            <w:tcW w:w="2802" w:type="dxa"/>
            <w:shd w:val="clear" w:color="auto" w:fill="FFFFFF" w:themeFill="background1"/>
          </w:tcPr>
          <w:p w14:paraId="472A3065" w14:textId="77777777" w:rsidR="00905B74" w:rsidRPr="00073EF0" w:rsidRDefault="00905B74" w:rsidP="00905B74">
            <w:r w:rsidRPr="00073EF0">
              <w:t>$4,850,001 or more</w:t>
            </w:r>
          </w:p>
        </w:tc>
        <w:tc>
          <w:tcPr>
            <w:tcW w:w="1588" w:type="dxa"/>
            <w:shd w:val="clear" w:color="auto" w:fill="FFFFFF" w:themeFill="background1"/>
          </w:tcPr>
          <w:p w14:paraId="388F688F" w14:textId="77777777" w:rsidR="00905B74" w:rsidRPr="00073EF0" w:rsidRDefault="00905B74" w:rsidP="00905B74">
            <w:r w:rsidRPr="00073EF0">
              <w:t>0.7810%</w:t>
            </w:r>
          </w:p>
        </w:tc>
        <w:tc>
          <w:tcPr>
            <w:tcW w:w="1588" w:type="dxa"/>
            <w:shd w:val="clear" w:color="auto" w:fill="FFFFFF" w:themeFill="background1"/>
          </w:tcPr>
          <w:p w14:paraId="19497400" w14:textId="5FDCE4DE" w:rsidR="00905B74" w:rsidRPr="00073EF0" w:rsidRDefault="00905B74" w:rsidP="00905B74">
            <w:r w:rsidRPr="00073EF0">
              <w:t>0.8255%</w:t>
            </w:r>
          </w:p>
        </w:tc>
      </w:tr>
    </w:tbl>
    <w:p w14:paraId="583E5AC3" w14:textId="77777777" w:rsidR="00C53049" w:rsidRPr="00073EF0" w:rsidRDefault="00C53049" w:rsidP="00E3276E"/>
    <w:p w14:paraId="0EA250BE" w14:textId="58A5E31E" w:rsidR="002023D0" w:rsidRPr="00073EF0" w:rsidRDefault="002023D0">
      <w:pPr>
        <w:rPr>
          <w:u w:val="single"/>
        </w:rPr>
      </w:pPr>
      <w:r w:rsidRPr="00073EF0">
        <w:rPr>
          <w:u w:val="single"/>
        </w:rPr>
        <w:t>Commercial land</w:t>
      </w:r>
    </w:p>
    <w:p w14:paraId="42EDE290" w14:textId="1FDAB23A" w:rsidR="00905B74" w:rsidRPr="00073EF0" w:rsidRDefault="00905B74" w:rsidP="00E3276E">
      <w:r w:rsidRPr="00073EF0">
        <w:t xml:space="preserve">For </w:t>
      </w:r>
      <w:r w:rsidR="00150C69" w:rsidRPr="00073EF0">
        <w:t>20</w:t>
      </w:r>
      <w:r w:rsidR="009E172E" w:rsidRPr="00073EF0">
        <w:t>20-21</w:t>
      </w:r>
      <w:r w:rsidRPr="00073EF0">
        <w:t xml:space="preserve">, </w:t>
      </w:r>
      <w:r w:rsidR="00E3276E" w:rsidRPr="00073EF0">
        <w:t xml:space="preserve">commercial general rates are </w:t>
      </w:r>
      <w:r w:rsidR="00BE145E" w:rsidRPr="00073EF0">
        <w:t xml:space="preserve">distinguished </w:t>
      </w:r>
      <w:r w:rsidRPr="00073EF0">
        <w:t xml:space="preserve">for the first time </w:t>
      </w:r>
      <w:r w:rsidR="00BE145E" w:rsidRPr="00073EF0">
        <w:t xml:space="preserve">between those properties that have a </w:t>
      </w:r>
      <w:r w:rsidR="007A66B6" w:rsidRPr="00073EF0">
        <w:t xml:space="preserve">base value </w:t>
      </w:r>
      <w:r w:rsidR="00BE145E" w:rsidRPr="00073EF0">
        <w:t xml:space="preserve">of $2 million or less, and those above $2 million. </w:t>
      </w:r>
      <w:r w:rsidRPr="00073EF0">
        <w:t>As with residential land,</w:t>
      </w:r>
      <w:r w:rsidR="00E3276E" w:rsidRPr="00073EF0">
        <w:t xml:space="preserve"> fixed charge</w:t>
      </w:r>
      <w:r w:rsidRPr="00073EF0">
        <w:t>s</w:t>
      </w:r>
      <w:r w:rsidR="00E3276E" w:rsidRPr="00073EF0">
        <w:t xml:space="preserve"> and marginal rating factors </w:t>
      </w:r>
      <w:r w:rsidRPr="00073EF0">
        <w:t>apply in the setting of general rates for commercial land</w:t>
      </w:r>
      <w:r w:rsidR="00E3276E" w:rsidRPr="00073EF0">
        <w:t xml:space="preserve">. </w:t>
      </w:r>
    </w:p>
    <w:p w14:paraId="5E2CEA77" w14:textId="7CD42C97" w:rsidR="00905B74" w:rsidRPr="00073EF0" w:rsidRDefault="00905B74" w:rsidP="00E3276E"/>
    <w:p w14:paraId="154187B5" w14:textId="728A0912" w:rsidR="00905B74" w:rsidRPr="00073EF0" w:rsidRDefault="00905B74" w:rsidP="00905B74">
      <w:r w:rsidRPr="00073EF0">
        <w:t xml:space="preserve">For commercial land with an </w:t>
      </w:r>
      <w:r w:rsidR="007A66B6" w:rsidRPr="00073EF0">
        <w:t xml:space="preserve">base value </w:t>
      </w:r>
      <w:r w:rsidRPr="00073EF0">
        <w:t>at or below $2 million</w:t>
      </w:r>
      <w:r w:rsidR="00184C26" w:rsidRPr="00073EF0">
        <w:t>,</w:t>
      </w:r>
      <w:r w:rsidRPr="00073EF0">
        <w:t xml:space="preserve"> a fixed charge of $2,622 applies </w:t>
      </w:r>
      <w:r w:rsidR="00184C26" w:rsidRPr="00073EF0">
        <w:t xml:space="preserve">(this is </w:t>
      </w:r>
      <w:r w:rsidRPr="00073EF0">
        <w:t>unchanged from 2019-20</w:t>
      </w:r>
      <w:r w:rsidR="00184C26" w:rsidRPr="00073EF0">
        <w:t>)</w:t>
      </w:r>
      <w:r w:rsidRPr="00073EF0">
        <w:t xml:space="preserve">. Commercial land with a </w:t>
      </w:r>
      <w:r w:rsidR="007A66B6" w:rsidRPr="00073EF0">
        <w:t xml:space="preserve">base value </w:t>
      </w:r>
      <w:r w:rsidRPr="00073EF0">
        <w:t>above $</w:t>
      </w:r>
      <w:r w:rsidR="00184C26" w:rsidRPr="00073EF0">
        <w:t>2 </w:t>
      </w:r>
      <w:r w:rsidRPr="00073EF0">
        <w:t xml:space="preserve">million will be subject to a fixed charge of $2,791. </w:t>
      </w:r>
    </w:p>
    <w:p w14:paraId="2BCC714E" w14:textId="77777777" w:rsidR="00905B74" w:rsidRPr="00073EF0" w:rsidRDefault="00905B74" w:rsidP="00905B74">
      <w:pPr>
        <w:rPr>
          <w:b/>
        </w:rPr>
      </w:pPr>
    </w:p>
    <w:p w14:paraId="6E753F73" w14:textId="1EA8D566" w:rsidR="00E3276E" w:rsidRPr="00073EF0" w:rsidRDefault="002023D0" w:rsidP="00E3276E">
      <w:r w:rsidRPr="00073EF0">
        <w:t>Marginal rating factors for 2020-21 are outlined as follows. T</w:t>
      </w:r>
      <w:r w:rsidR="00187EB0" w:rsidRPr="00073EF0">
        <w:t xml:space="preserve">he </w:t>
      </w:r>
      <w:r w:rsidR="00ED5C0A" w:rsidRPr="00073EF0">
        <w:t>20</w:t>
      </w:r>
      <w:r w:rsidR="009E172E" w:rsidRPr="00073EF0">
        <w:t>19-20</w:t>
      </w:r>
      <w:r w:rsidR="00ED5C0A" w:rsidRPr="00073EF0">
        <w:t xml:space="preserve"> </w:t>
      </w:r>
      <w:r w:rsidRPr="00073EF0">
        <w:t xml:space="preserve">rating factors </w:t>
      </w:r>
      <w:r w:rsidR="00E3276E" w:rsidRPr="00073EF0">
        <w:t>are listed for comparison.</w:t>
      </w:r>
    </w:p>
    <w:p w14:paraId="230FFF83" w14:textId="3A4707EB" w:rsidR="00E3276E" w:rsidRPr="00073EF0" w:rsidRDefault="00E3276E" w:rsidP="00E3276E"/>
    <w:p w14:paraId="5207953E" w14:textId="25834176" w:rsidR="00C53049" w:rsidRPr="00073EF0" w:rsidRDefault="00C53049" w:rsidP="00E3276E">
      <w:pPr>
        <w:rPr>
          <w:b/>
        </w:rPr>
      </w:pPr>
      <w:r w:rsidRPr="00073EF0">
        <w:rPr>
          <w:b/>
        </w:rPr>
        <w:t>Table 3: Percentage rates</w:t>
      </w:r>
      <w:r w:rsidRPr="00073EF0">
        <w:rPr>
          <w:b/>
          <w:i/>
        </w:rPr>
        <w:t>—</w:t>
      </w:r>
      <w:r w:rsidRPr="00073EF0">
        <w:rPr>
          <w:b/>
        </w:rPr>
        <w:t>commercial</w:t>
      </w:r>
      <w:r w:rsidR="002023D0" w:rsidRPr="00073EF0">
        <w:rPr>
          <w:b/>
        </w:rPr>
        <w:t xml:space="preserve"> land</w:t>
      </w:r>
    </w:p>
    <w:tbl>
      <w:tblPr>
        <w:tblStyle w:val="TableGrid"/>
        <w:tblW w:w="8926" w:type="dxa"/>
        <w:tblLayout w:type="fixed"/>
        <w:tblLook w:val="04A0" w:firstRow="1" w:lastRow="0" w:firstColumn="1" w:lastColumn="0" w:noHBand="0" w:noVBand="1"/>
      </w:tblPr>
      <w:tblGrid>
        <w:gridCol w:w="2830"/>
        <w:gridCol w:w="1560"/>
        <w:gridCol w:w="2268"/>
        <w:gridCol w:w="2268"/>
      </w:tblGrid>
      <w:tr w:rsidR="00905B74" w:rsidRPr="00073EF0" w14:paraId="453F8FD7" w14:textId="083D6DAD" w:rsidTr="00184C26">
        <w:tc>
          <w:tcPr>
            <w:tcW w:w="2830" w:type="dxa"/>
            <w:shd w:val="clear" w:color="auto" w:fill="FFFFFF" w:themeFill="background1"/>
          </w:tcPr>
          <w:p w14:paraId="37CA0B40" w14:textId="77777777" w:rsidR="00905B74" w:rsidRPr="00073EF0" w:rsidRDefault="00905B74" w:rsidP="009E172E">
            <w:pPr>
              <w:rPr>
                <w:b/>
              </w:rPr>
            </w:pPr>
            <w:r w:rsidRPr="00073EF0">
              <w:rPr>
                <w:b/>
              </w:rPr>
              <w:t>Base value</w:t>
            </w:r>
          </w:p>
        </w:tc>
        <w:tc>
          <w:tcPr>
            <w:tcW w:w="1560" w:type="dxa"/>
            <w:shd w:val="clear" w:color="auto" w:fill="FFFFFF" w:themeFill="background1"/>
          </w:tcPr>
          <w:p w14:paraId="5D1E54BD" w14:textId="2FD7F66B" w:rsidR="00905B74" w:rsidRPr="00073EF0" w:rsidRDefault="00905B74" w:rsidP="009E172E">
            <w:pPr>
              <w:rPr>
                <w:b/>
              </w:rPr>
            </w:pPr>
            <w:r w:rsidRPr="00073EF0">
              <w:rPr>
                <w:b/>
              </w:rPr>
              <w:t xml:space="preserve"> 2019-20</w:t>
            </w:r>
          </w:p>
        </w:tc>
        <w:tc>
          <w:tcPr>
            <w:tcW w:w="4536" w:type="dxa"/>
            <w:gridSpan w:val="2"/>
            <w:shd w:val="clear" w:color="auto" w:fill="FFFFFF" w:themeFill="background1"/>
          </w:tcPr>
          <w:p w14:paraId="37A54BAF" w14:textId="783AB113" w:rsidR="00905B74" w:rsidRPr="00073EF0" w:rsidRDefault="00905B74" w:rsidP="00184C26">
            <w:pPr>
              <w:jc w:val="center"/>
              <w:rPr>
                <w:b/>
              </w:rPr>
            </w:pPr>
            <w:r w:rsidRPr="00073EF0">
              <w:rPr>
                <w:b/>
              </w:rPr>
              <w:t>2020-21</w:t>
            </w:r>
          </w:p>
        </w:tc>
      </w:tr>
      <w:tr w:rsidR="00905B74" w:rsidRPr="00073EF0" w14:paraId="112FE7CF" w14:textId="5B553723" w:rsidTr="00184C26">
        <w:tc>
          <w:tcPr>
            <w:tcW w:w="2830" w:type="dxa"/>
            <w:shd w:val="clear" w:color="auto" w:fill="FFFFFF" w:themeFill="background1"/>
          </w:tcPr>
          <w:p w14:paraId="4E5E18B0" w14:textId="77777777" w:rsidR="00905B74" w:rsidRPr="00073EF0" w:rsidRDefault="00905B74" w:rsidP="009E172E"/>
        </w:tc>
        <w:tc>
          <w:tcPr>
            <w:tcW w:w="1560" w:type="dxa"/>
            <w:shd w:val="clear" w:color="auto" w:fill="FFFFFF" w:themeFill="background1"/>
          </w:tcPr>
          <w:p w14:paraId="0AE609FB" w14:textId="77777777" w:rsidR="00905B74" w:rsidRPr="00073EF0" w:rsidRDefault="00905B74" w:rsidP="009E172E"/>
        </w:tc>
        <w:tc>
          <w:tcPr>
            <w:tcW w:w="2268" w:type="dxa"/>
            <w:shd w:val="clear" w:color="auto" w:fill="FFFFFF" w:themeFill="background1"/>
          </w:tcPr>
          <w:p w14:paraId="3619A732" w14:textId="1CEAB7D2" w:rsidR="00905B74" w:rsidRPr="00073EF0" w:rsidRDefault="007A66B6" w:rsidP="009E172E">
            <w:pPr>
              <w:rPr>
                <w:b/>
                <w:bCs/>
              </w:rPr>
            </w:pPr>
            <w:r w:rsidRPr="00073EF0">
              <w:rPr>
                <w:b/>
                <w:bCs/>
              </w:rPr>
              <w:t xml:space="preserve">base value </w:t>
            </w:r>
            <w:r w:rsidR="00905B74" w:rsidRPr="00073EF0">
              <w:rPr>
                <w:b/>
                <w:bCs/>
              </w:rPr>
              <w:t>less than or equal to $2</w:t>
            </w:r>
            <w:r w:rsidR="00533C42" w:rsidRPr="00073EF0">
              <w:rPr>
                <w:b/>
                <w:bCs/>
              </w:rPr>
              <w:t> </w:t>
            </w:r>
            <w:r w:rsidR="00905B74" w:rsidRPr="00073EF0">
              <w:rPr>
                <w:b/>
                <w:bCs/>
              </w:rPr>
              <w:t>million</w:t>
            </w:r>
          </w:p>
        </w:tc>
        <w:tc>
          <w:tcPr>
            <w:tcW w:w="2268" w:type="dxa"/>
            <w:shd w:val="clear" w:color="auto" w:fill="FFFFFF" w:themeFill="background1"/>
          </w:tcPr>
          <w:p w14:paraId="6F312D40" w14:textId="52B0C15F" w:rsidR="00905B74" w:rsidRPr="00073EF0" w:rsidRDefault="007A66B6" w:rsidP="009E172E">
            <w:pPr>
              <w:rPr>
                <w:b/>
                <w:bCs/>
              </w:rPr>
            </w:pPr>
            <w:r w:rsidRPr="00073EF0">
              <w:rPr>
                <w:b/>
                <w:bCs/>
              </w:rPr>
              <w:t xml:space="preserve">base value </w:t>
            </w:r>
            <w:r w:rsidR="00905B74" w:rsidRPr="00073EF0">
              <w:rPr>
                <w:b/>
                <w:bCs/>
              </w:rPr>
              <w:t>more than $2 million</w:t>
            </w:r>
          </w:p>
        </w:tc>
      </w:tr>
      <w:tr w:rsidR="002023D0" w:rsidRPr="00073EF0" w14:paraId="123BB21E" w14:textId="4CA1F3E6" w:rsidTr="00184C26">
        <w:tc>
          <w:tcPr>
            <w:tcW w:w="2830" w:type="dxa"/>
            <w:shd w:val="clear" w:color="auto" w:fill="FFFFFF" w:themeFill="background1"/>
          </w:tcPr>
          <w:p w14:paraId="327E0A0A" w14:textId="77777777" w:rsidR="002023D0" w:rsidRPr="00073EF0" w:rsidRDefault="002023D0" w:rsidP="002023D0">
            <w:r w:rsidRPr="00073EF0">
              <w:t>$150,000 or less</w:t>
            </w:r>
          </w:p>
        </w:tc>
        <w:tc>
          <w:tcPr>
            <w:tcW w:w="1560" w:type="dxa"/>
            <w:shd w:val="clear" w:color="auto" w:fill="FFFFFF" w:themeFill="background1"/>
          </w:tcPr>
          <w:p w14:paraId="285400CB" w14:textId="6D3E3631" w:rsidR="002023D0" w:rsidRPr="00073EF0" w:rsidRDefault="002023D0" w:rsidP="002023D0">
            <w:r w:rsidRPr="00073EF0">
              <w:t>3.2341%</w:t>
            </w:r>
          </w:p>
        </w:tc>
        <w:tc>
          <w:tcPr>
            <w:tcW w:w="2268" w:type="dxa"/>
            <w:shd w:val="clear" w:color="auto" w:fill="FFFFFF" w:themeFill="background1"/>
          </w:tcPr>
          <w:p w14:paraId="246B850D" w14:textId="0541BE23" w:rsidR="002023D0" w:rsidRPr="00073EF0" w:rsidRDefault="002023D0" w:rsidP="002023D0">
            <w:r w:rsidRPr="00073EF0">
              <w:t>3.1376%</w:t>
            </w:r>
          </w:p>
        </w:tc>
        <w:tc>
          <w:tcPr>
            <w:tcW w:w="2268" w:type="dxa"/>
            <w:shd w:val="clear" w:color="auto" w:fill="FFFFFF" w:themeFill="background1"/>
          </w:tcPr>
          <w:p w14:paraId="7C169DEF" w14:textId="7DB2AB39" w:rsidR="002023D0" w:rsidRPr="00073EF0" w:rsidRDefault="002023D0" w:rsidP="002023D0">
            <w:r w:rsidRPr="00073EF0">
              <w:t>3.4533%</w:t>
            </w:r>
          </w:p>
        </w:tc>
      </w:tr>
      <w:tr w:rsidR="002023D0" w:rsidRPr="00073EF0" w14:paraId="0CF73208" w14:textId="0AB5E2CC" w:rsidTr="00184C26">
        <w:tc>
          <w:tcPr>
            <w:tcW w:w="2830" w:type="dxa"/>
            <w:shd w:val="clear" w:color="auto" w:fill="FFFFFF" w:themeFill="background1"/>
          </w:tcPr>
          <w:p w14:paraId="172CEB5D" w14:textId="77777777" w:rsidR="002023D0" w:rsidRPr="00073EF0" w:rsidRDefault="002023D0" w:rsidP="002023D0">
            <w:r w:rsidRPr="00073EF0">
              <w:t>$150,001 to $275,000</w:t>
            </w:r>
          </w:p>
        </w:tc>
        <w:tc>
          <w:tcPr>
            <w:tcW w:w="1560" w:type="dxa"/>
            <w:shd w:val="clear" w:color="auto" w:fill="FFFFFF" w:themeFill="background1"/>
          </w:tcPr>
          <w:p w14:paraId="314E06AF" w14:textId="06B1F748" w:rsidR="002023D0" w:rsidRPr="00073EF0" w:rsidRDefault="002023D0" w:rsidP="002023D0">
            <w:r w:rsidRPr="00073EF0">
              <w:t>3.7702%</w:t>
            </w:r>
          </w:p>
        </w:tc>
        <w:tc>
          <w:tcPr>
            <w:tcW w:w="2268" w:type="dxa"/>
            <w:shd w:val="clear" w:color="auto" w:fill="FFFFFF" w:themeFill="background1"/>
          </w:tcPr>
          <w:p w14:paraId="51146C49" w14:textId="5CC4BDBF" w:rsidR="002023D0" w:rsidRPr="00073EF0" w:rsidRDefault="002023D0" w:rsidP="002023D0">
            <w:r w:rsidRPr="00073EF0">
              <w:t>3.6737%</w:t>
            </w:r>
          </w:p>
        </w:tc>
        <w:tc>
          <w:tcPr>
            <w:tcW w:w="2268" w:type="dxa"/>
            <w:shd w:val="clear" w:color="auto" w:fill="FFFFFF" w:themeFill="background1"/>
          </w:tcPr>
          <w:p w14:paraId="7ECA6115" w14:textId="4A5FA3EA" w:rsidR="002023D0" w:rsidRPr="00073EF0" w:rsidRDefault="002023D0" w:rsidP="002023D0">
            <w:r w:rsidRPr="00073EF0">
              <w:t>3.9894%</w:t>
            </w:r>
          </w:p>
        </w:tc>
      </w:tr>
      <w:tr w:rsidR="002023D0" w:rsidRPr="00073EF0" w14:paraId="4CDF10E7" w14:textId="34FB4C94" w:rsidTr="00184C26">
        <w:tc>
          <w:tcPr>
            <w:tcW w:w="2830" w:type="dxa"/>
            <w:shd w:val="clear" w:color="auto" w:fill="FFFFFF" w:themeFill="background1"/>
          </w:tcPr>
          <w:p w14:paraId="02471AE0" w14:textId="77777777" w:rsidR="002023D0" w:rsidRPr="00073EF0" w:rsidRDefault="002023D0" w:rsidP="002023D0">
            <w:r w:rsidRPr="00073EF0">
              <w:t>$275,001 to $600,000</w:t>
            </w:r>
          </w:p>
        </w:tc>
        <w:tc>
          <w:tcPr>
            <w:tcW w:w="1560" w:type="dxa"/>
            <w:shd w:val="clear" w:color="auto" w:fill="FFFFFF" w:themeFill="background1"/>
          </w:tcPr>
          <w:p w14:paraId="7CDEBF2A" w14:textId="746833D5" w:rsidR="002023D0" w:rsidRPr="00073EF0" w:rsidRDefault="002023D0" w:rsidP="002023D0">
            <w:r w:rsidRPr="00073EF0">
              <w:t>5.2615%</w:t>
            </w:r>
          </w:p>
        </w:tc>
        <w:tc>
          <w:tcPr>
            <w:tcW w:w="2268" w:type="dxa"/>
            <w:shd w:val="clear" w:color="auto" w:fill="FFFFFF" w:themeFill="background1"/>
          </w:tcPr>
          <w:p w14:paraId="4AF5CF4D" w14:textId="02B03A35" w:rsidR="002023D0" w:rsidRPr="00073EF0" w:rsidRDefault="002023D0" w:rsidP="002023D0">
            <w:r w:rsidRPr="00073EF0">
              <w:t>5.1650%</w:t>
            </w:r>
          </w:p>
        </w:tc>
        <w:tc>
          <w:tcPr>
            <w:tcW w:w="2268" w:type="dxa"/>
            <w:shd w:val="clear" w:color="auto" w:fill="FFFFFF" w:themeFill="background1"/>
          </w:tcPr>
          <w:p w14:paraId="27B59D9D" w14:textId="52202BBD" w:rsidR="002023D0" w:rsidRPr="00073EF0" w:rsidRDefault="002023D0" w:rsidP="002023D0">
            <w:r w:rsidRPr="00073EF0">
              <w:t>5.4807%</w:t>
            </w:r>
          </w:p>
        </w:tc>
      </w:tr>
      <w:tr w:rsidR="002023D0" w:rsidRPr="00073EF0" w14:paraId="5A479AF6" w14:textId="7D6C4D53" w:rsidTr="00184C26">
        <w:tc>
          <w:tcPr>
            <w:tcW w:w="2830" w:type="dxa"/>
            <w:shd w:val="clear" w:color="auto" w:fill="FFFFFF" w:themeFill="background1"/>
          </w:tcPr>
          <w:p w14:paraId="24985CAA" w14:textId="77777777" w:rsidR="002023D0" w:rsidRPr="00073EF0" w:rsidRDefault="002023D0" w:rsidP="002023D0">
            <w:r w:rsidRPr="00073EF0">
              <w:t>$600,001 or more</w:t>
            </w:r>
          </w:p>
        </w:tc>
        <w:tc>
          <w:tcPr>
            <w:tcW w:w="1560" w:type="dxa"/>
            <w:shd w:val="clear" w:color="auto" w:fill="FFFFFF" w:themeFill="background1"/>
          </w:tcPr>
          <w:p w14:paraId="0427AB12" w14:textId="5C9978CD" w:rsidR="002023D0" w:rsidRPr="00073EF0" w:rsidRDefault="002023D0" w:rsidP="002023D0">
            <w:r w:rsidRPr="00073EF0">
              <w:t>5.3216%</w:t>
            </w:r>
          </w:p>
        </w:tc>
        <w:tc>
          <w:tcPr>
            <w:tcW w:w="2268" w:type="dxa"/>
            <w:shd w:val="clear" w:color="auto" w:fill="FFFFFF" w:themeFill="background1"/>
          </w:tcPr>
          <w:p w14:paraId="586131AA" w14:textId="3DB5B35C" w:rsidR="002023D0" w:rsidRPr="00073EF0" w:rsidRDefault="002023D0" w:rsidP="002023D0">
            <w:r w:rsidRPr="00073EF0">
              <w:t>5.2251%</w:t>
            </w:r>
          </w:p>
        </w:tc>
        <w:tc>
          <w:tcPr>
            <w:tcW w:w="2268" w:type="dxa"/>
            <w:shd w:val="clear" w:color="auto" w:fill="FFFFFF" w:themeFill="background1"/>
          </w:tcPr>
          <w:p w14:paraId="3EDF5952" w14:textId="373AC26F" w:rsidR="002023D0" w:rsidRPr="00073EF0" w:rsidRDefault="002023D0" w:rsidP="002023D0">
            <w:r w:rsidRPr="00073EF0">
              <w:t>5.5408%</w:t>
            </w:r>
          </w:p>
        </w:tc>
      </w:tr>
    </w:tbl>
    <w:p w14:paraId="0810AA09" w14:textId="77777777" w:rsidR="009B3B9E" w:rsidRPr="00073EF0" w:rsidRDefault="009B3B9E" w:rsidP="00F92FDE"/>
    <w:p w14:paraId="13D944CF" w14:textId="77777777" w:rsidR="00184C26" w:rsidRPr="00073EF0" w:rsidRDefault="00184C26" w:rsidP="00F92FDE">
      <w:pPr>
        <w:rPr>
          <w:u w:val="single"/>
        </w:rPr>
      </w:pPr>
    </w:p>
    <w:p w14:paraId="755080D4" w14:textId="372EA769" w:rsidR="002023D0" w:rsidRPr="00073EF0" w:rsidRDefault="002023D0" w:rsidP="00F92FDE">
      <w:pPr>
        <w:rPr>
          <w:u w:val="single"/>
        </w:rPr>
      </w:pPr>
      <w:r w:rsidRPr="00073EF0">
        <w:rPr>
          <w:u w:val="single"/>
        </w:rPr>
        <w:t>Rural land</w:t>
      </w:r>
    </w:p>
    <w:p w14:paraId="0257D1F9" w14:textId="6CD31730" w:rsidR="00F92FDE" w:rsidRPr="00073EF0" w:rsidRDefault="00187EB0" w:rsidP="00F92FDE">
      <w:r w:rsidRPr="00073EF0">
        <w:t xml:space="preserve">The </w:t>
      </w:r>
      <w:r w:rsidR="00ED5C0A" w:rsidRPr="00073EF0">
        <w:t>20</w:t>
      </w:r>
      <w:r w:rsidR="00FF780F" w:rsidRPr="00073EF0">
        <w:t>20-21</w:t>
      </w:r>
      <w:r w:rsidR="00E3276E" w:rsidRPr="00073EF0">
        <w:t xml:space="preserve"> rural general rates are made up of a fixed charge of $</w:t>
      </w:r>
      <w:r w:rsidR="002023D0" w:rsidRPr="00073EF0">
        <w:t xml:space="preserve">170 </w:t>
      </w:r>
      <w:r w:rsidR="00E3276E" w:rsidRPr="00073EF0">
        <w:t>(increased from $</w:t>
      </w:r>
      <w:r w:rsidR="002023D0" w:rsidRPr="00073EF0">
        <w:t xml:space="preserve">167 </w:t>
      </w:r>
      <w:r w:rsidR="00E3276E" w:rsidRPr="00073EF0">
        <w:t xml:space="preserve">in </w:t>
      </w:r>
      <w:r w:rsidR="002023D0" w:rsidRPr="00073EF0">
        <w:t>2019</w:t>
      </w:r>
      <w:r w:rsidR="00E3276E" w:rsidRPr="00073EF0">
        <w:t>-</w:t>
      </w:r>
      <w:r w:rsidR="002023D0" w:rsidRPr="00073EF0">
        <w:t>20</w:t>
      </w:r>
      <w:r w:rsidR="00E3276E" w:rsidRPr="00073EF0">
        <w:t>) and a flat percentage rate of 0.</w:t>
      </w:r>
      <w:r w:rsidR="002023D0" w:rsidRPr="00073EF0">
        <w:t>1517</w:t>
      </w:r>
      <w:r w:rsidR="00E3276E" w:rsidRPr="00073EF0">
        <w:t>% of the base value (</w:t>
      </w:r>
      <w:r w:rsidR="002023D0" w:rsidRPr="00073EF0">
        <w:t xml:space="preserve">reduced </w:t>
      </w:r>
      <w:r w:rsidR="00E3276E" w:rsidRPr="00073EF0">
        <w:t>from 0.</w:t>
      </w:r>
      <w:r w:rsidR="002023D0" w:rsidRPr="00073EF0">
        <w:t>1544</w:t>
      </w:r>
      <w:r w:rsidR="00E3276E" w:rsidRPr="00073EF0">
        <w:t xml:space="preserve">% in </w:t>
      </w:r>
      <w:r w:rsidR="00FE6F91" w:rsidRPr="00073EF0">
        <w:t>201</w:t>
      </w:r>
      <w:r w:rsidR="002023D0" w:rsidRPr="00073EF0">
        <w:t>9</w:t>
      </w:r>
      <w:r w:rsidR="00FE6F91" w:rsidRPr="00073EF0">
        <w:t>-</w:t>
      </w:r>
      <w:r w:rsidR="002023D0" w:rsidRPr="00073EF0">
        <w:t>20</w:t>
      </w:r>
      <w:r w:rsidR="00E3276E" w:rsidRPr="00073EF0">
        <w:t>).</w:t>
      </w:r>
    </w:p>
    <w:p w14:paraId="7E1EE17E" w14:textId="77777777" w:rsidR="00273E85" w:rsidRPr="00073EF0" w:rsidRDefault="00273E85">
      <w:pPr>
        <w:keepNext/>
        <w:rPr>
          <w:rFonts w:ascii="Arial" w:hAnsi="Arial" w:cs="Arial"/>
          <w:b/>
          <w:szCs w:val="22"/>
        </w:rPr>
      </w:pPr>
    </w:p>
    <w:p w14:paraId="01BDAD25" w14:textId="792D72F0" w:rsidR="00273E85" w:rsidRPr="00073EF0" w:rsidRDefault="00273E85" w:rsidP="00273E85">
      <w:pPr>
        <w:keepNext/>
        <w:rPr>
          <w:rFonts w:ascii="Arial" w:hAnsi="Arial" w:cs="Arial"/>
          <w:b/>
          <w:szCs w:val="22"/>
        </w:rPr>
      </w:pPr>
      <w:r w:rsidRPr="00073EF0">
        <w:rPr>
          <w:rFonts w:ascii="Arial" w:hAnsi="Arial" w:cs="Arial"/>
          <w:b/>
          <w:szCs w:val="22"/>
        </w:rPr>
        <w:t>Determination of deferral and rebate amounts for rates (</w:t>
      </w:r>
      <w:r w:rsidR="002178B7" w:rsidRPr="00073EF0">
        <w:rPr>
          <w:rFonts w:ascii="Arial" w:hAnsi="Arial" w:cs="Arial"/>
          <w:b/>
          <w:szCs w:val="22"/>
        </w:rPr>
        <w:t>P</w:t>
      </w:r>
      <w:r w:rsidRPr="00073EF0">
        <w:rPr>
          <w:rFonts w:ascii="Arial" w:hAnsi="Arial" w:cs="Arial"/>
          <w:b/>
          <w:szCs w:val="22"/>
        </w:rPr>
        <w:t>art 3)</w:t>
      </w:r>
    </w:p>
    <w:p w14:paraId="64A80D20" w14:textId="77777777" w:rsidR="00273E85" w:rsidRPr="00073EF0" w:rsidRDefault="00273E85" w:rsidP="00273E85">
      <w:pPr>
        <w:keepNext/>
        <w:rPr>
          <w:rFonts w:ascii="Arial" w:hAnsi="Arial" w:cs="Arial"/>
          <w:b/>
          <w:sz w:val="18"/>
          <w:szCs w:val="18"/>
        </w:rPr>
      </w:pPr>
    </w:p>
    <w:p w14:paraId="035BA64B" w14:textId="77777777" w:rsidR="003D7F8C" w:rsidRPr="00073EF0" w:rsidRDefault="00F3355B" w:rsidP="00F3355B">
      <w:r w:rsidRPr="00073EF0">
        <w:t>Under part 7 of the Act (Deferral and rebates), pensioners and other eligible households are able to defer payment of general rates. This rates deferral scheme supports ageing in place by providing a choice to</w:t>
      </w:r>
      <w:r w:rsidR="00342F55" w:rsidRPr="00073EF0">
        <w:t xml:space="preserve"> </w:t>
      </w:r>
      <w:r w:rsidRPr="00073EF0">
        <w:t>households with high value properties, but relatively modest incomes, to defer their rates as a charge against the property.</w:t>
      </w:r>
      <w:r w:rsidR="003D7F8C" w:rsidRPr="00073EF0">
        <w:t xml:space="preserve"> </w:t>
      </w:r>
    </w:p>
    <w:p w14:paraId="6E0739D9" w14:textId="77777777" w:rsidR="003D7F8C" w:rsidRPr="00073EF0" w:rsidRDefault="003D7F8C" w:rsidP="00F3355B"/>
    <w:p w14:paraId="26433949" w14:textId="77777777" w:rsidR="003D7F8C" w:rsidRPr="00073EF0" w:rsidRDefault="003D7F8C" w:rsidP="00F3355B">
      <w:r w:rsidRPr="00073EF0">
        <w:t>Owners of a parcel of land who are not pensioners are only eligible to have rates deferred if the following conditions are met:</w:t>
      </w:r>
    </w:p>
    <w:p w14:paraId="7BF97E4E" w14:textId="77777777" w:rsidR="003D7F8C" w:rsidRPr="00073EF0" w:rsidRDefault="003D7F8C" w:rsidP="00F3355B">
      <w:pPr>
        <w:rPr>
          <w:sz w:val="18"/>
          <w:szCs w:val="18"/>
        </w:rPr>
      </w:pPr>
    </w:p>
    <w:p w14:paraId="4834358F" w14:textId="4D2F4670" w:rsidR="003D7F8C" w:rsidRPr="00073EF0" w:rsidRDefault="003D7F8C">
      <w:pPr>
        <w:pStyle w:val="ListParagraph"/>
        <w:numPr>
          <w:ilvl w:val="0"/>
          <w:numId w:val="24"/>
        </w:numPr>
      </w:pPr>
      <w:r w:rsidRPr="00073EF0">
        <w:t>they are 65 years or older; and</w:t>
      </w:r>
    </w:p>
    <w:p w14:paraId="15F785A5" w14:textId="1A29542F" w:rsidR="003D7F8C" w:rsidRPr="00073EF0" w:rsidRDefault="003D7F8C" w:rsidP="0004005B">
      <w:pPr>
        <w:pStyle w:val="ListParagraph"/>
        <w:numPr>
          <w:ilvl w:val="0"/>
          <w:numId w:val="24"/>
        </w:numPr>
      </w:pPr>
      <w:r w:rsidRPr="00073EF0">
        <w:t>their equity in the parcel is not less than a percen</w:t>
      </w:r>
      <w:r w:rsidR="00342F55" w:rsidRPr="00073EF0">
        <w:t>tage determined by the Minister</w:t>
      </w:r>
      <w:r w:rsidRPr="00073EF0">
        <w:t>.</w:t>
      </w:r>
    </w:p>
    <w:p w14:paraId="53CEC47C" w14:textId="77777777" w:rsidR="003D7F8C" w:rsidRPr="00073EF0" w:rsidRDefault="003D7F8C" w:rsidP="0004005B">
      <w:pPr>
        <w:pStyle w:val="ListParagraph"/>
      </w:pPr>
    </w:p>
    <w:p w14:paraId="0728EAB3" w14:textId="72189376" w:rsidR="00C91DBA" w:rsidRPr="00073EF0" w:rsidRDefault="00C91DBA" w:rsidP="0017035A">
      <w:r w:rsidRPr="00073EF0">
        <w:t>U</w:t>
      </w:r>
      <w:r w:rsidR="003D7F8C" w:rsidRPr="00073EF0">
        <w:t xml:space="preserve">nder section 46 (2) (f) of the Act, </w:t>
      </w:r>
      <w:r w:rsidRPr="00073EF0">
        <w:t xml:space="preserve">the determined percentage is 75 per cent (the owner’s minimum equity). </w:t>
      </w:r>
    </w:p>
    <w:p w14:paraId="3E54B611" w14:textId="7B1C00B7" w:rsidR="003D7F8C" w:rsidRPr="00073EF0" w:rsidRDefault="003D7F8C" w:rsidP="00F3355B"/>
    <w:p w14:paraId="1F1E87F5" w14:textId="77777777" w:rsidR="00596974" w:rsidRPr="00073EF0" w:rsidRDefault="00F3355B" w:rsidP="00F3355B">
      <w:r w:rsidRPr="00073EF0">
        <w:t xml:space="preserve">Part 7 of the Act also allows eligible pensioners to apply for a rebate of general rates on their principal place of residence. </w:t>
      </w:r>
      <w:r w:rsidR="00596974" w:rsidRPr="00073EF0">
        <w:t>The amount of the rebate is capped at an amount determined by the Minister.</w:t>
      </w:r>
    </w:p>
    <w:p w14:paraId="7152836A" w14:textId="77777777" w:rsidR="00596974" w:rsidRPr="00073EF0" w:rsidRDefault="00596974" w:rsidP="00F3355B"/>
    <w:p w14:paraId="0588694E" w14:textId="79E0851F" w:rsidR="00F3355B" w:rsidRPr="00073EF0" w:rsidRDefault="003F6845" w:rsidP="00F3355B">
      <w:r w:rsidRPr="00073EF0">
        <w:t xml:space="preserve">Part 3 </w:t>
      </w:r>
      <w:r w:rsidR="00596974" w:rsidRPr="00073EF0">
        <w:t xml:space="preserve">of the </w:t>
      </w:r>
      <w:r w:rsidRPr="00073EF0">
        <w:t xml:space="preserve">Rates Determination </w:t>
      </w:r>
      <w:r w:rsidR="00596974" w:rsidRPr="00073EF0">
        <w:t xml:space="preserve">determines the rebate cap to be $700 for the purposes of section 64 (6) of the Act. The rebate cap is unchanged from the previous </w:t>
      </w:r>
      <w:r w:rsidR="006C0CA4" w:rsidRPr="00073EF0">
        <w:t>determination</w:t>
      </w:r>
      <w:r w:rsidR="00596974" w:rsidRPr="00073EF0">
        <w:t>.</w:t>
      </w:r>
    </w:p>
    <w:p w14:paraId="5D3C891C" w14:textId="77777777" w:rsidR="00596974" w:rsidRPr="00073EF0" w:rsidRDefault="00596974" w:rsidP="00273E85">
      <w:pPr>
        <w:keepNext/>
        <w:rPr>
          <w:rFonts w:ascii="Arial" w:hAnsi="Arial" w:cs="Arial"/>
          <w:b/>
          <w:szCs w:val="22"/>
        </w:rPr>
      </w:pPr>
    </w:p>
    <w:p w14:paraId="7664E4B7" w14:textId="355FF710" w:rsidR="00273E85" w:rsidRPr="00073EF0" w:rsidRDefault="00273E85">
      <w:pPr>
        <w:keepNext/>
        <w:rPr>
          <w:rFonts w:ascii="Arial" w:hAnsi="Arial" w:cs="Arial"/>
          <w:b/>
          <w:szCs w:val="22"/>
        </w:rPr>
      </w:pPr>
      <w:r w:rsidRPr="00073EF0">
        <w:rPr>
          <w:rFonts w:ascii="Arial" w:hAnsi="Arial" w:cs="Arial"/>
          <w:b/>
          <w:szCs w:val="22"/>
        </w:rPr>
        <w:t>Determination of F</w:t>
      </w:r>
      <w:r w:rsidR="00352AC9" w:rsidRPr="00073EF0">
        <w:rPr>
          <w:rFonts w:ascii="Arial" w:hAnsi="Arial" w:cs="Arial"/>
          <w:b/>
          <w:szCs w:val="22"/>
        </w:rPr>
        <w:t xml:space="preserve">ire and </w:t>
      </w:r>
      <w:r w:rsidRPr="00073EF0">
        <w:rPr>
          <w:rFonts w:ascii="Arial" w:hAnsi="Arial" w:cs="Arial"/>
          <w:b/>
          <w:szCs w:val="22"/>
        </w:rPr>
        <w:t>E</w:t>
      </w:r>
      <w:r w:rsidR="00352AC9" w:rsidRPr="00073EF0">
        <w:rPr>
          <w:rFonts w:ascii="Arial" w:hAnsi="Arial" w:cs="Arial"/>
          <w:b/>
          <w:szCs w:val="22"/>
        </w:rPr>
        <w:t xml:space="preserve">mergency </w:t>
      </w:r>
      <w:r w:rsidRPr="00073EF0">
        <w:rPr>
          <w:rFonts w:ascii="Arial" w:hAnsi="Arial" w:cs="Arial"/>
          <w:b/>
          <w:szCs w:val="22"/>
        </w:rPr>
        <w:t>S</w:t>
      </w:r>
      <w:r w:rsidR="00352AC9" w:rsidRPr="00073EF0">
        <w:rPr>
          <w:rFonts w:ascii="Arial" w:hAnsi="Arial" w:cs="Arial"/>
          <w:b/>
          <w:szCs w:val="22"/>
        </w:rPr>
        <w:t xml:space="preserve">ervices </w:t>
      </w:r>
      <w:r w:rsidRPr="00073EF0">
        <w:rPr>
          <w:rFonts w:ascii="Arial" w:hAnsi="Arial" w:cs="Arial"/>
          <w:b/>
          <w:szCs w:val="22"/>
        </w:rPr>
        <w:t>L</w:t>
      </w:r>
      <w:r w:rsidR="00352AC9" w:rsidRPr="00073EF0">
        <w:rPr>
          <w:rFonts w:ascii="Arial" w:hAnsi="Arial" w:cs="Arial"/>
          <w:b/>
          <w:szCs w:val="22"/>
        </w:rPr>
        <w:t>evy</w:t>
      </w:r>
      <w:r w:rsidRPr="00073EF0">
        <w:rPr>
          <w:rFonts w:ascii="Arial" w:hAnsi="Arial" w:cs="Arial"/>
          <w:b/>
          <w:szCs w:val="22"/>
        </w:rPr>
        <w:t xml:space="preserve"> (</w:t>
      </w:r>
      <w:r w:rsidR="00082A57" w:rsidRPr="00073EF0">
        <w:rPr>
          <w:rFonts w:ascii="Arial" w:hAnsi="Arial" w:cs="Arial"/>
          <w:b/>
          <w:szCs w:val="22"/>
        </w:rPr>
        <w:t>P</w:t>
      </w:r>
      <w:r w:rsidRPr="00073EF0">
        <w:rPr>
          <w:rFonts w:ascii="Arial" w:hAnsi="Arial" w:cs="Arial"/>
          <w:b/>
          <w:szCs w:val="22"/>
        </w:rPr>
        <w:t>art 4)</w:t>
      </w:r>
    </w:p>
    <w:p w14:paraId="17A72FC0" w14:textId="77777777" w:rsidR="00596974" w:rsidRPr="00073EF0" w:rsidRDefault="00596974">
      <w:pPr>
        <w:keepNext/>
        <w:rPr>
          <w:sz w:val="18"/>
          <w:szCs w:val="18"/>
        </w:rPr>
      </w:pPr>
    </w:p>
    <w:p w14:paraId="001ED316" w14:textId="77777777" w:rsidR="00596974" w:rsidRPr="00073EF0" w:rsidRDefault="00596974" w:rsidP="0004005B">
      <w:r w:rsidRPr="00073EF0">
        <w:t>The FESL is charged on all rateable properties in the Territory, with the revenue helping to offset the cost of providing fire and emergency services in the ACT. The levy amount is determined by whether the parcel of land is residential, rural or commercial.</w:t>
      </w:r>
    </w:p>
    <w:p w14:paraId="3994B561" w14:textId="77777777" w:rsidR="00596974" w:rsidRPr="00073EF0" w:rsidRDefault="00596974" w:rsidP="0004005B"/>
    <w:p w14:paraId="18FF2189" w14:textId="5EE89E61" w:rsidR="00696FC0" w:rsidRPr="00073EF0" w:rsidRDefault="00696FC0" w:rsidP="0004005B">
      <w:r w:rsidRPr="00073EF0">
        <w:t>For residential and rural properties</w:t>
      </w:r>
      <w:r w:rsidR="00D12252" w:rsidRPr="00073EF0">
        <w:t>,</w:t>
      </w:r>
      <w:r w:rsidRPr="00073EF0">
        <w:t xml:space="preserve"> the FESL is a fixed charge. </w:t>
      </w:r>
      <w:r w:rsidR="004E7161" w:rsidRPr="00073EF0">
        <w:t xml:space="preserve">This part determines the </w:t>
      </w:r>
      <w:r w:rsidR="008E7A72" w:rsidRPr="00073EF0">
        <w:t>2020-21</w:t>
      </w:r>
      <w:r w:rsidR="00ED5C0A" w:rsidRPr="00073EF0">
        <w:t xml:space="preserve"> </w:t>
      </w:r>
      <w:r w:rsidRPr="00073EF0">
        <w:t xml:space="preserve">FESL for residential and </w:t>
      </w:r>
      <w:r w:rsidR="004E7161" w:rsidRPr="00073EF0">
        <w:t xml:space="preserve">rural </w:t>
      </w:r>
      <w:r w:rsidRPr="00073EF0">
        <w:t>properties at $</w:t>
      </w:r>
      <w:r w:rsidR="00ED5C0A" w:rsidRPr="00073EF0">
        <w:t xml:space="preserve">344 </w:t>
      </w:r>
      <w:r w:rsidR="004E7161" w:rsidRPr="00073EF0">
        <w:t>(</w:t>
      </w:r>
      <w:r w:rsidR="000E3AA0" w:rsidRPr="00073EF0">
        <w:t xml:space="preserve">which is frozen at </w:t>
      </w:r>
      <w:r w:rsidR="008E7A72" w:rsidRPr="00073EF0">
        <w:t>the same level as 2019-20</w:t>
      </w:r>
      <w:r w:rsidR="000A506A" w:rsidRPr="00073EF0">
        <w:t xml:space="preserve"> as part of the COVID-19 survival packages</w:t>
      </w:r>
      <w:r w:rsidR="004E7161" w:rsidRPr="00073EF0">
        <w:t>).</w:t>
      </w:r>
    </w:p>
    <w:p w14:paraId="0EB637B9" w14:textId="77777777" w:rsidR="004E7161" w:rsidRPr="00073EF0" w:rsidRDefault="004E7161" w:rsidP="0004005B"/>
    <w:p w14:paraId="410E41A8" w14:textId="77777777" w:rsidR="00794183" w:rsidRPr="00073EF0" w:rsidRDefault="004E7161" w:rsidP="00794183">
      <w:r w:rsidRPr="00073EF0">
        <w:t>For commercial properties the FESL is a marginal factor applying to the AUV of the land</w:t>
      </w:r>
      <w:r w:rsidR="00794183" w:rsidRPr="00073EF0">
        <w:t xml:space="preserve"> or unit</w:t>
      </w:r>
      <w:r w:rsidRPr="00073EF0">
        <w:t xml:space="preserve">. </w:t>
      </w:r>
      <w:r w:rsidR="00794183" w:rsidRPr="00073EF0">
        <w:t>FESL for commercial units is calculated in a similar way to general rates for commercial units in accordance with schedule 1, section 2.1 (1) (f) of the Act.</w:t>
      </w:r>
    </w:p>
    <w:p w14:paraId="5DE9FCF5" w14:textId="5AF9AB36" w:rsidR="00794183" w:rsidRPr="00073EF0" w:rsidRDefault="00794183" w:rsidP="00794183"/>
    <w:p w14:paraId="5B3969EA" w14:textId="7ADEED8F" w:rsidR="00794183" w:rsidRPr="00073EF0" w:rsidRDefault="004E7161" w:rsidP="00794183">
      <w:r w:rsidRPr="00073EF0">
        <w:t xml:space="preserve">This part determines the </w:t>
      </w:r>
      <w:r w:rsidR="000E3AA0" w:rsidRPr="00073EF0">
        <w:t xml:space="preserve">2020-21 </w:t>
      </w:r>
      <w:r w:rsidRPr="00073EF0">
        <w:t xml:space="preserve">FESL for commercial properties. </w:t>
      </w:r>
      <w:r w:rsidR="002023D0" w:rsidRPr="00073EF0">
        <w:t xml:space="preserve">There is no change from the </w:t>
      </w:r>
      <w:r w:rsidR="000E3AA0" w:rsidRPr="00073EF0">
        <w:t>2019-20</w:t>
      </w:r>
      <w:r w:rsidRPr="00073EF0">
        <w:t xml:space="preserve"> charges. </w:t>
      </w:r>
    </w:p>
    <w:p w14:paraId="71966D40" w14:textId="77777777" w:rsidR="00794183" w:rsidRPr="00073EF0" w:rsidRDefault="00794183" w:rsidP="00794183"/>
    <w:p w14:paraId="490A9E62" w14:textId="79B52D6C" w:rsidR="00794183" w:rsidRPr="00073EF0" w:rsidRDefault="00794183">
      <w:pPr>
        <w:spacing w:after="200" w:line="276" w:lineRule="auto"/>
        <w:rPr>
          <w:b/>
        </w:rPr>
      </w:pPr>
    </w:p>
    <w:p w14:paraId="4837B311" w14:textId="79804601" w:rsidR="00184C26" w:rsidRPr="00073EF0" w:rsidRDefault="00184C26" w:rsidP="0004005B">
      <w:pPr>
        <w:rPr>
          <w:b/>
        </w:rPr>
      </w:pPr>
      <w:r w:rsidRPr="00073EF0">
        <w:rPr>
          <w:b/>
        </w:rPr>
        <w:t>Table 4: Percentage rates</w:t>
      </w:r>
      <w:r w:rsidRPr="00073EF0">
        <w:rPr>
          <w:b/>
          <w:i/>
        </w:rPr>
        <w:t>—</w:t>
      </w:r>
      <w:r w:rsidRPr="00073EF0">
        <w:rPr>
          <w:b/>
        </w:rPr>
        <w:t>commercial land</w:t>
      </w:r>
    </w:p>
    <w:tbl>
      <w:tblPr>
        <w:tblStyle w:val="TableGrid"/>
        <w:tblW w:w="0" w:type="auto"/>
        <w:tblLook w:val="04A0" w:firstRow="1" w:lastRow="0" w:firstColumn="1" w:lastColumn="0" w:noHBand="0" w:noVBand="1"/>
      </w:tblPr>
      <w:tblGrid>
        <w:gridCol w:w="2830"/>
        <w:gridCol w:w="1701"/>
        <w:gridCol w:w="1832"/>
      </w:tblGrid>
      <w:tr w:rsidR="00771EF2" w:rsidRPr="00073EF0" w14:paraId="3F1415B9" w14:textId="00BAAEA0" w:rsidTr="00184C26">
        <w:tc>
          <w:tcPr>
            <w:tcW w:w="2830" w:type="dxa"/>
            <w:shd w:val="clear" w:color="auto" w:fill="FFFFFF" w:themeFill="background1"/>
          </w:tcPr>
          <w:p w14:paraId="34845B90" w14:textId="77777777" w:rsidR="00771EF2" w:rsidRPr="00073EF0" w:rsidRDefault="00771EF2" w:rsidP="00771EF2">
            <w:pPr>
              <w:rPr>
                <w:b/>
              </w:rPr>
            </w:pPr>
            <w:r w:rsidRPr="00073EF0">
              <w:rPr>
                <w:b/>
              </w:rPr>
              <w:t>AUV</w:t>
            </w:r>
          </w:p>
        </w:tc>
        <w:tc>
          <w:tcPr>
            <w:tcW w:w="1701" w:type="dxa"/>
            <w:shd w:val="clear" w:color="auto" w:fill="FFFFFF" w:themeFill="background1"/>
          </w:tcPr>
          <w:p w14:paraId="7177C35E" w14:textId="7C915845" w:rsidR="00771EF2" w:rsidRPr="00073EF0" w:rsidRDefault="00771EF2" w:rsidP="00771EF2">
            <w:pPr>
              <w:rPr>
                <w:b/>
              </w:rPr>
            </w:pPr>
            <w:r w:rsidRPr="00073EF0">
              <w:rPr>
                <w:b/>
              </w:rPr>
              <w:t>2019-20</w:t>
            </w:r>
          </w:p>
        </w:tc>
        <w:tc>
          <w:tcPr>
            <w:tcW w:w="1832" w:type="dxa"/>
            <w:shd w:val="clear" w:color="auto" w:fill="FFFFFF" w:themeFill="background1"/>
          </w:tcPr>
          <w:p w14:paraId="14C9ED1F" w14:textId="022A3265" w:rsidR="00771EF2" w:rsidRPr="00073EF0" w:rsidRDefault="00771EF2" w:rsidP="00771EF2">
            <w:pPr>
              <w:rPr>
                <w:b/>
              </w:rPr>
            </w:pPr>
            <w:r w:rsidRPr="00073EF0">
              <w:rPr>
                <w:b/>
              </w:rPr>
              <w:t>2020-21</w:t>
            </w:r>
          </w:p>
        </w:tc>
      </w:tr>
      <w:tr w:rsidR="002023D0" w:rsidRPr="00073EF0" w14:paraId="4EE41FFA" w14:textId="219A6C32" w:rsidTr="00184C26">
        <w:tc>
          <w:tcPr>
            <w:tcW w:w="2830" w:type="dxa"/>
            <w:shd w:val="clear" w:color="auto" w:fill="FFFFFF" w:themeFill="background1"/>
          </w:tcPr>
          <w:p w14:paraId="00922FDB" w14:textId="77777777" w:rsidR="002023D0" w:rsidRPr="00073EF0" w:rsidRDefault="002023D0" w:rsidP="002023D0">
            <w:r w:rsidRPr="00073EF0">
              <w:t>$300,000 or less</w:t>
            </w:r>
          </w:p>
        </w:tc>
        <w:tc>
          <w:tcPr>
            <w:tcW w:w="1701" w:type="dxa"/>
            <w:shd w:val="clear" w:color="auto" w:fill="FFFFFF" w:themeFill="background1"/>
          </w:tcPr>
          <w:p w14:paraId="78204845" w14:textId="671B44B3" w:rsidR="002023D0" w:rsidRPr="00073EF0" w:rsidRDefault="002023D0" w:rsidP="002023D0">
            <w:r w:rsidRPr="00073EF0">
              <w:t>0.6815%</w:t>
            </w:r>
          </w:p>
        </w:tc>
        <w:tc>
          <w:tcPr>
            <w:tcW w:w="1832" w:type="dxa"/>
            <w:shd w:val="clear" w:color="auto" w:fill="FFFFFF" w:themeFill="background1"/>
          </w:tcPr>
          <w:p w14:paraId="3C358667" w14:textId="06EC96D3" w:rsidR="002023D0" w:rsidRPr="00073EF0" w:rsidRDefault="002023D0" w:rsidP="002023D0">
            <w:r w:rsidRPr="00073EF0">
              <w:t>0.6815%</w:t>
            </w:r>
          </w:p>
        </w:tc>
      </w:tr>
      <w:tr w:rsidR="002023D0" w:rsidRPr="00073EF0" w14:paraId="585A12B7" w14:textId="6C720381" w:rsidTr="00184C26">
        <w:tc>
          <w:tcPr>
            <w:tcW w:w="2830" w:type="dxa"/>
            <w:shd w:val="clear" w:color="auto" w:fill="FFFFFF" w:themeFill="background1"/>
          </w:tcPr>
          <w:p w14:paraId="20ABA8FB" w14:textId="77777777" w:rsidR="002023D0" w:rsidRPr="00073EF0" w:rsidRDefault="002023D0" w:rsidP="002023D0">
            <w:r w:rsidRPr="00073EF0">
              <w:t>$300,001 to $2,000,000</w:t>
            </w:r>
          </w:p>
        </w:tc>
        <w:tc>
          <w:tcPr>
            <w:tcW w:w="1701" w:type="dxa"/>
            <w:shd w:val="clear" w:color="auto" w:fill="FFFFFF" w:themeFill="background1"/>
          </w:tcPr>
          <w:p w14:paraId="467DFD17" w14:textId="362FDDB8" w:rsidR="002023D0" w:rsidRPr="00073EF0" w:rsidRDefault="002023D0" w:rsidP="002023D0">
            <w:r w:rsidRPr="00073EF0">
              <w:t>0.8029%</w:t>
            </w:r>
          </w:p>
        </w:tc>
        <w:tc>
          <w:tcPr>
            <w:tcW w:w="1832" w:type="dxa"/>
            <w:shd w:val="clear" w:color="auto" w:fill="FFFFFF" w:themeFill="background1"/>
          </w:tcPr>
          <w:p w14:paraId="6CFD6B8A" w14:textId="49559218" w:rsidR="002023D0" w:rsidRPr="00073EF0" w:rsidRDefault="002023D0" w:rsidP="002023D0">
            <w:r w:rsidRPr="00073EF0">
              <w:t>0.8029%</w:t>
            </w:r>
          </w:p>
        </w:tc>
      </w:tr>
      <w:tr w:rsidR="002023D0" w:rsidRPr="00073EF0" w14:paraId="5416952F" w14:textId="51137AC1" w:rsidTr="00184C26">
        <w:tc>
          <w:tcPr>
            <w:tcW w:w="2830" w:type="dxa"/>
            <w:shd w:val="clear" w:color="auto" w:fill="FFFFFF" w:themeFill="background1"/>
          </w:tcPr>
          <w:p w14:paraId="128CEAEC" w14:textId="77777777" w:rsidR="002023D0" w:rsidRPr="00073EF0" w:rsidRDefault="002023D0" w:rsidP="002023D0">
            <w:r w:rsidRPr="00073EF0">
              <w:t>$2,000,001 or more</w:t>
            </w:r>
          </w:p>
        </w:tc>
        <w:tc>
          <w:tcPr>
            <w:tcW w:w="1701" w:type="dxa"/>
            <w:shd w:val="clear" w:color="auto" w:fill="FFFFFF" w:themeFill="background1"/>
          </w:tcPr>
          <w:p w14:paraId="78E8C8C2" w14:textId="41B9E2B0" w:rsidR="002023D0" w:rsidRPr="00073EF0" w:rsidRDefault="002023D0" w:rsidP="002023D0">
            <w:r w:rsidRPr="00073EF0">
              <w:t>0.8342%</w:t>
            </w:r>
          </w:p>
        </w:tc>
        <w:tc>
          <w:tcPr>
            <w:tcW w:w="1832" w:type="dxa"/>
            <w:shd w:val="clear" w:color="auto" w:fill="FFFFFF" w:themeFill="background1"/>
          </w:tcPr>
          <w:p w14:paraId="73590E0F" w14:textId="72D26E65" w:rsidR="002023D0" w:rsidRPr="00073EF0" w:rsidRDefault="002023D0" w:rsidP="002023D0">
            <w:r w:rsidRPr="00073EF0">
              <w:t>0.8342%</w:t>
            </w:r>
          </w:p>
        </w:tc>
      </w:tr>
    </w:tbl>
    <w:p w14:paraId="016607A4" w14:textId="77777777" w:rsidR="00596974" w:rsidRPr="00073EF0" w:rsidRDefault="00596974" w:rsidP="0004005B"/>
    <w:p w14:paraId="298BBF8F" w14:textId="53AFDD56" w:rsidR="00CE768D" w:rsidRPr="00073EF0" w:rsidRDefault="00CE768D" w:rsidP="0004005B">
      <w:r w:rsidRPr="00073EF0">
        <w:t xml:space="preserve">Note, a cap on FESL for commercial properties is separately applied via an exemption under section 41 of the </w:t>
      </w:r>
      <w:r w:rsidRPr="00073EF0">
        <w:rPr>
          <w:i/>
          <w:iCs/>
        </w:rPr>
        <w:t>Rates Act 2004</w:t>
      </w:r>
      <w:r w:rsidRPr="00073EF0">
        <w:t>. This cap ensures that FESL imposed for 2020</w:t>
      </w:r>
      <w:r w:rsidRPr="00073EF0">
        <w:noBreakHyphen/>
        <w:t>21 will not be greater than the amount for the 2019-20 financial year, where FESL was imposed.</w:t>
      </w:r>
    </w:p>
    <w:p w14:paraId="25367717" w14:textId="77777777" w:rsidR="004E7161" w:rsidRPr="00073EF0" w:rsidRDefault="004E7161" w:rsidP="00273E85">
      <w:pPr>
        <w:keepNext/>
        <w:rPr>
          <w:rFonts w:ascii="Arial" w:hAnsi="Arial" w:cs="Arial"/>
          <w:b/>
          <w:szCs w:val="22"/>
        </w:rPr>
      </w:pPr>
    </w:p>
    <w:p w14:paraId="3583694D" w14:textId="7AAFB5FE" w:rsidR="00273E85" w:rsidRPr="00073EF0" w:rsidRDefault="00273E85" w:rsidP="00273E85">
      <w:pPr>
        <w:keepNext/>
        <w:rPr>
          <w:rFonts w:ascii="Arial" w:hAnsi="Arial" w:cs="Arial"/>
          <w:b/>
          <w:szCs w:val="22"/>
        </w:rPr>
      </w:pPr>
      <w:r w:rsidRPr="00073EF0">
        <w:rPr>
          <w:rFonts w:ascii="Arial" w:hAnsi="Arial" w:cs="Arial"/>
          <w:b/>
          <w:szCs w:val="22"/>
        </w:rPr>
        <w:t>Determination of CCMIL (</w:t>
      </w:r>
      <w:r w:rsidR="00116540" w:rsidRPr="00073EF0">
        <w:rPr>
          <w:rFonts w:ascii="Arial" w:hAnsi="Arial" w:cs="Arial"/>
          <w:b/>
          <w:szCs w:val="22"/>
        </w:rPr>
        <w:t>P</w:t>
      </w:r>
      <w:r w:rsidRPr="00073EF0">
        <w:rPr>
          <w:rFonts w:ascii="Arial" w:hAnsi="Arial" w:cs="Arial"/>
          <w:b/>
          <w:szCs w:val="22"/>
        </w:rPr>
        <w:t>art 5)</w:t>
      </w:r>
    </w:p>
    <w:p w14:paraId="0D6B6E71" w14:textId="77777777" w:rsidR="008D7171" w:rsidRPr="00073EF0" w:rsidRDefault="008D7171" w:rsidP="00273E85">
      <w:pPr>
        <w:keepNext/>
        <w:rPr>
          <w:rFonts w:ascii="Arial" w:hAnsi="Arial" w:cs="Arial"/>
          <w:b/>
          <w:szCs w:val="22"/>
        </w:rPr>
      </w:pPr>
    </w:p>
    <w:p w14:paraId="16AB205E" w14:textId="77777777" w:rsidR="008D7171" w:rsidRPr="00073EF0" w:rsidRDefault="008D7171" w:rsidP="0004005B">
      <w:r w:rsidRPr="00073EF0">
        <w:t>The CC</w:t>
      </w:r>
      <w:r w:rsidR="00393B68" w:rsidRPr="00073EF0">
        <w:t>MIL is</w:t>
      </w:r>
      <w:r w:rsidRPr="00073EF0">
        <w:t xml:space="preserve"> an annual charge on commercial properties within prescribed collection areas. </w:t>
      </w:r>
      <w:r w:rsidR="000D1903" w:rsidRPr="00073EF0">
        <w:t>Collection</w:t>
      </w:r>
      <w:r w:rsidRPr="00073EF0">
        <w:t xml:space="preserve"> areas are determined by disallowable instrument under schedule 1, section 1.2 (2) of the Act.</w:t>
      </w:r>
    </w:p>
    <w:p w14:paraId="3E056E7F" w14:textId="77777777" w:rsidR="008D7171" w:rsidRPr="00073EF0" w:rsidRDefault="008D7171" w:rsidP="0004005B"/>
    <w:p w14:paraId="716CC863" w14:textId="674E0EA8" w:rsidR="008D7171" w:rsidRPr="00073EF0" w:rsidRDefault="000E3AA0" w:rsidP="0004005B">
      <w:r w:rsidRPr="00073EF0">
        <w:t>P</w:t>
      </w:r>
      <w:r w:rsidR="008D7171" w:rsidRPr="00073EF0">
        <w:t xml:space="preserve">art </w:t>
      </w:r>
      <w:r w:rsidRPr="00073EF0">
        <w:t xml:space="preserve">5 </w:t>
      </w:r>
      <w:r w:rsidR="000D1903" w:rsidRPr="00073EF0">
        <w:t>determines the following percentage rates for the CCMIL:</w:t>
      </w:r>
    </w:p>
    <w:p w14:paraId="75507E64" w14:textId="77777777" w:rsidR="000D1903" w:rsidRPr="00073EF0" w:rsidRDefault="000D1903" w:rsidP="0004005B"/>
    <w:p w14:paraId="2C0DA90E" w14:textId="3895288F" w:rsidR="000D1903" w:rsidRPr="00073EF0" w:rsidRDefault="000D1903" w:rsidP="0004005B">
      <w:pPr>
        <w:pStyle w:val="ListParagraph"/>
        <w:numPr>
          <w:ilvl w:val="0"/>
          <w:numId w:val="24"/>
        </w:numPr>
      </w:pPr>
      <w:r w:rsidRPr="00073EF0">
        <w:t>Area A, or the Retail Core—0.</w:t>
      </w:r>
      <w:r w:rsidR="002023D0" w:rsidRPr="00073EF0">
        <w:t>1496</w:t>
      </w:r>
      <w:r w:rsidRPr="00073EF0">
        <w:t xml:space="preserve"> per cent of the AUV;</w:t>
      </w:r>
    </w:p>
    <w:p w14:paraId="231B5920" w14:textId="4D41D482" w:rsidR="000D1903" w:rsidRPr="00073EF0" w:rsidRDefault="000D1903" w:rsidP="0004005B">
      <w:pPr>
        <w:pStyle w:val="ListParagraph"/>
        <w:numPr>
          <w:ilvl w:val="0"/>
          <w:numId w:val="24"/>
        </w:numPr>
      </w:pPr>
      <w:r w:rsidRPr="00073EF0">
        <w:t>Area B, or the Non-Retail Core—0.</w:t>
      </w:r>
      <w:r w:rsidR="002023D0" w:rsidRPr="00073EF0">
        <w:t>1080</w:t>
      </w:r>
      <w:r w:rsidRPr="00073EF0">
        <w:t xml:space="preserve"> per cent of the AUV.</w:t>
      </w:r>
    </w:p>
    <w:p w14:paraId="6B36EEB3" w14:textId="77777777" w:rsidR="000D1903" w:rsidRPr="00073EF0" w:rsidRDefault="000D1903" w:rsidP="0004005B"/>
    <w:p w14:paraId="35702D35" w14:textId="37511D22" w:rsidR="000D1903" w:rsidRPr="00073EF0" w:rsidRDefault="000D1903" w:rsidP="0004005B">
      <w:r w:rsidRPr="00073EF0">
        <w:t xml:space="preserve">These amounts </w:t>
      </w:r>
      <w:r w:rsidR="000E3AA0" w:rsidRPr="00073EF0">
        <w:t>have been reduced by 50 per cent for 2020-21</w:t>
      </w:r>
      <w:r w:rsidR="00667553" w:rsidRPr="00073EF0">
        <w:t xml:space="preserve"> (compared to 2019-20)</w:t>
      </w:r>
      <w:r w:rsidR="008A7188" w:rsidRPr="00073EF0">
        <w:t xml:space="preserve"> as part of the </w:t>
      </w:r>
      <w:r w:rsidR="005B5C62" w:rsidRPr="00073EF0">
        <w:t xml:space="preserve">Government’s </w:t>
      </w:r>
      <w:r w:rsidR="008A7188" w:rsidRPr="00073EF0">
        <w:t>COVID</w:t>
      </w:r>
      <w:r w:rsidR="00667553" w:rsidRPr="00073EF0">
        <w:noBreakHyphen/>
      </w:r>
      <w:r w:rsidR="008A7188" w:rsidRPr="00073EF0">
        <w:t xml:space="preserve">19 </w:t>
      </w:r>
      <w:r w:rsidR="005B5C62" w:rsidRPr="00073EF0">
        <w:t xml:space="preserve">response </w:t>
      </w:r>
      <w:r w:rsidR="008A7188" w:rsidRPr="00073EF0">
        <w:t>to help alleviate financial pressure on commercial property owners within the levy collection area</w:t>
      </w:r>
      <w:r w:rsidR="000E3AA0" w:rsidRPr="00073EF0">
        <w:t>.</w:t>
      </w:r>
    </w:p>
    <w:p w14:paraId="2B831E8D" w14:textId="77777777" w:rsidR="00273E85" w:rsidRPr="00073EF0" w:rsidRDefault="00273E85" w:rsidP="00273E85">
      <w:pPr>
        <w:keepNext/>
        <w:rPr>
          <w:rFonts w:ascii="Arial" w:hAnsi="Arial" w:cs="Arial"/>
          <w:b/>
          <w:szCs w:val="22"/>
        </w:rPr>
      </w:pPr>
    </w:p>
    <w:p w14:paraId="6037C7F6" w14:textId="3DD76FBA" w:rsidR="00273E85" w:rsidRPr="00073EF0" w:rsidRDefault="00273E85">
      <w:pPr>
        <w:keepNext/>
        <w:rPr>
          <w:rFonts w:ascii="Arial" w:hAnsi="Arial" w:cs="Arial"/>
          <w:b/>
          <w:szCs w:val="22"/>
        </w:rPr>
      </w:pPr>
      <w:r w:rsidRPr="00073EF0">
        <w:rPr>
          <w:rFonts w:ascii="Arial" w:hAnsi="Arial" w:cs="Arial"/>
          <w:b/>
          <w:szCs w:val="22"/>
        </w:rPr>
        <w:t>Determination of Safer Families Levy (</w:t>
      </w:r>
      <w:r w:rsidR="00116540" w:rsidRPr="00073EF0">
        <w:rPr>
          <w:rFonts w:ascii="Arial" w:hAnsi="Arial" w:cs="Arial"/>
          <w:b/>
          <w:szCs w:val="22"/>
        </w:rPr>
        <w:t>P</w:t>
      </w:r>
      <w:r w:rsidRPr="00073EF0">
        <w:rPr>
          <w:rFonts w:ascii="Arial" w:hAnsi="Arial" w:cs="Arial"/>
          <w:b/>
          <w:szCs w:val="22"/>
        </w:rPr>
        <w:t>art 6)</w:t>
      </w:r>
    </w:p>
    <w:p w14:paraId="56FEFFCF" w14:textId="77777777" w:rsidR="00273E85" w:rsidRPr="00073EF0" w:rsidRDefault="00273E85">
      <w:pPr>
        <w:keepNext/>
        <w:rPr>
          <w:rFonts w:ascii="Arial" w:hAnsi="Arial" w:cs="Arial"/>
          <w:b/>
          <w:szCs w:val="22"/>
        </w:rPr>
      </w:pPr>
    </w:p>
    <w:p w14:paraId="2706A826" w14:textId="77777777" w:rsidR="00603875" w:rsidRPr="00073EF0" w:rsidRDefault="00C221F3" w:rsidP="00C221F3">
      <w:pPr>
        <w:keepNext/>
      </w:pPr>
      <w:r w:rsidRPr="00073EF0">
        <w:t xml:space="preserve">The Safer Families Levy was </w:t>
      </w:r>
      <w:r w:rsidR="00393B68" w:rsidRPr="00073EF0">
        <w:t>introduced as part of the 2016-</w:t>
      </w:r>
      <w:r w:rsidRPr="00073EF0">
        <w:t>17 Budget. The levy is an important part of a funding package for family violence prevention measures across the ACT, driving the next phase of reform in government and community</w:t>
      </w:r>
      <w:r w:rsidRPr="00073EF0">
        <w:noBreakHyphen/>
        <w:t>backed responses to family violence. The levy is imposed on residential and rural properties.</w:t>
      </w:r>
    </w:p>
    <w:p w14:paraId="456D8329" w14:textId="77777777" w:rsidR="00C221F3" w:rsidRPr="00073EF0" w:rsidRDefault="00C221F3" w:rsidP="00C221F3">
      <w:pPr>
        <w:keepNext/>
      </w:pPr>
    </w:p>
    <w:p w14:paraId="154D8F11" w14:textId="0CE60C43" w:rsidR="00C221F3" w:rsidRPr="00073EF0" w:rsidRDefault="00C221F3" w:rsidP="00C221F3">
      <w:pPr>
        <w:keepNext/>
      </w:pPr>
      <w:r w:rsidRPr="00073EF0">
        <w:t xml:space="preserve">This part determines the levy to be $30 for the purposes of schedule 1, section 1.3 (2) of the Act. This amount is unchanged from the previous </w:t>
      </w:r>
      <w:r w:rsidR="006C0CA4" w:rsidRPr="00073EF0">
        <w:t>determination</w:t>
      </w:r>
      <w:r w:rsidRPr="00073EF0">
        <w:t>.</w:t>
      </w:r>
    </w:p>
    <w:p w14:paraId="5B764A7A" w14:textId="77777777" w:rsidR="00603875" w:rsidRPr="00073EF0" w:rsidRDefault="00603875">
      <w:pPr>
        <w:keepNext/>
        <w:rPr>
          <w:rFonts w:ascii="Arial" w:hAnsi="Arial" w:cs="Arial"/>
          <w:b/>
          <w:szCs w:val="22"/>
        </w:rPr>
      </w:pPr>
    </w:p>
    <w:p w14:paraId="64141936" w14:textId="70712A13" w:rsidR="00273E85" w:rsidRPr="00073EF0" w:rsidRDefault="00273E85">
      <w:pPr>
        <w:keepNext/>
        <w:rPr>
          <w:rFonts w:ascii="Arial" w:hAnsi="Arial" w:cs="Arial"/>
          <w:b/>
          <w:szCs w:val="22"/>
        </w:rPr>
      </w:pPr>
      <w:r w:rsidRPr="00073EF0">
        <w:rPr>
          <w:rFonts w:ascii="Arial" w:hAnsi="Arial" w:cs="Arial"/>
          <w:b/>
          <w:szCs w:val="22"/>
        </w:rPr>
        <w:t>Determination of FESL rebate (</w:t>
      </w:r>
      <w:r w:rsidR="00116540" w:rsidRPr="00073EF0">
        <w:rPr>
          <w:rFonts w:ascii="Arial" w:hAnsi="Arial" w:cs="Arial"/>
          <w:b/>
          <w:szCs w:val="22"/>
        </w:rPr>
        <w:t>P</w:t>
      </w:r>
      <w:r w:rsidRPr="00073EF0">
        <w:rPr>
          <w:rFonts w:ascii="Arial" w:hAnsi="Arial" w:cs="Arial"/>
          <w:b/>
          <w:szCs w:val="22"/>
        </w:rPr>
        <w:t>art 7)</w:t>
      </w:r>
    </w:p>
    <w:p w14:paraId="72182639" w14:textId="77777777" w:rsidR="00273E85" w:rsidRPr="00073EF0" w:rsidRDefault="00273E85">
      <w:pPr>
        <w:keepNext/>
        <w:rPr>
          <w:rFonts w:ascii="Arial" w:hAnsi="Arial" w:cs="Arial"/>
          <w:b/>
          <w:szCs w:val="22"/>
        </w:rPr>
      </w:pPr>
    </w:p>
    <w:p w14:paraId="1A8A599A" w14:textId="77777777" w:rsidR="009C7541" w:rsidRPr="00073EF0" w:rsidRDefault="009C7541" w:rsidP="009C7541">
      <w:r w:rsidRPr="00073EF0">
        <w:t>Schedule 1, section 3.2 of the Act allows eligible pensioners to apply for a rebate of the FESL on their principal place of residence. The amount of the rebate is capped at an amount determined by the Minister.</w:t>
      </w:r>
    </w:p>
    <w:p w14:paraId="489C2F74" w14:textId="77777777" w:rsidR="009C7541" w:rsidRPr="00073EF0" w:rsidRDefault="009C7541" w:rsidP="00C221F3">
      <w:pPr>
        <w:keepNext/>
      </w:pPr>
    </w:p>
    <w:p w14:paraId="2AD54C0F" w14:textId="53337EDB" w:rsidR="009C7541" w:rsidRPr="00073EF0" w:rsidRDefault="00BA3EC9" w:rsidP="009C7541">
      <w:pPr>
        <w:keepNext/>
      </w:pPr>
      <w:r w:rsidRPr="00073EF0">
        <w:t>The Rate</w:t>
      </w:r>
      <w:r w:rsidR="006C0CA4" w:rsidRPr="00073EF0">
        <w:t>s</w:t>
      </w:r>
      <w:r w:rsidRPr="00073EF0">
        <w:t xml:space="preserve"> Determination</w:t>
      </w:r>
      <w:r w:rsidR="009C7541" w:rsidRPr="00073EF0">
        <w:t xml:space="preserve"> determines the rebate to be $98 for the purposes of schedule</w:t>
      </w:r>
      <w:r w:rsidR="00533C42" w:rsidRPr="00073EF0">
        <w:t> </w:t>
      </w:r>
      <w:r w:rsidR="009C7541" w:rsidRPr="00073EF0">
        <w:t xml:space="preserve">1, section 3.2 (5) of the Act. This amount is unchanged from the previous </w:t>
      </w:r>
      <w:r w:rsidRPr="00073EF0">
        <w:t>determination</w:t>
      </w:r>
      <w:r w:rsidR="009C7541" w:rsidRPr="00073EF0">
        <w:t>.</w:t>
      </w:r>
    </w:p>
    <w:p w14:paraId="53D3A9E6" w14:textId="77777777" w:rsidR="00C221F3" w:rsidRPr="00073EF0" w:rsidRDefault="00C221F3">
      <w:pPr>
        <w:keepNext/>
        <w:rPr>
          <w:rFonts w:ascii="Arial" w:hAnsi="Arial" w:cs="Arial"/>
          <w:b/>
          <w:szCs w:val="22"/>
        </w:rPr>
      </w:pPr>
    </w:p>
    <w:p w14:paraId="2CE9DE86" w14:textId="77777777" w:rsidR="00794183" w:rsidRPr="00073EF0" w:rsidRDefault="00794183">
      <w:pPr>
        <w:pStyle w:val="Amain"/>
        <w:tabs>
          <w:tab w:val="clear" w:pos="500"/>
          <w:tab w:val="clear" w:pos="700"/>
          <w:tab w:val="right" w:pos="-284"/>
          <w:tab w:val="left" w:pos="567"/>
        </w:tabs>
        <w:spacing w:before="0" w:after="0"/>
        <w:ind w:left="0" w:firstLine="0"/>
        <w:jc w:val="left"/>
        <w:outlineLvl w:val="9"/>
        <w:rPr>
          <w:rFonts w:ascii="Arial" w:hAnsi="Arial" w:cs="Arial"/>
          <w:b/>
          <w:szCs w:val="22"/>
        </w:rPr>
      </w:pPr>
    </w:p>
    <w:p w14:paraId="656F80D3" w14:textId="77777777" w:rsidR="00794183" w:rsidRPr="00073EF0" w:rsidRDefault="00794183">
      <w:pPr>
        <w:pStyle w:val="Amain"/>
        <w:tabs>
          <w:tab w:val="clear" w:pos="500"/>
          <w:tab w:val="clear" w:pos="700"/>
          <w:tab w:val="right" w:pos="-284"/>
          <w:tab w:val="left" w:pos="567"/>
        </w:tabs>
        <w:spacing w:before="0" w:after="0"/>
        <w:ind w:left="0" w:firstLine="0"/>
        <w:jc w:val="left"/>
        <w:outlineLvl w:val="9"/>
        <w:rPr>
          <w:rFonts w:ascii="Arial" w:hAnsi="Arial" w:cs="Arial"/>
          <w:b/>
          <w:szCs w:val="22"/>
        </w:rPr>
      </w:pPr>
    </w:p>
    <w:p w14:paraId="03920D8A" w14:textId="72991180" w:rsidR="00AA2A11" w:rsidRPr="00073EF0" w:rsidRDefault="008A0D1B">
      <w:pPr>
        <w:pStyle w:val="Amain"/>
        <w:tabs>
          <w:tab w:val="clear" w:pos="500"/>
          <w:tab w:val="clear" w:pos="700"/>
          <w:tab w:val="right" w:pos="-284"/>
          <w:tab w:val="left" w:pos="567"/>
        </w:tabs>
        <w:spacing w:before="0" w:after="0"/>
        <w:ind w:left="0" w:firstLine="0"/>
        <w:jc w:val="left"/>
        <w:outlineLvl w:val="9"/>
        <w:rPr>
          <w:rFonts w:ascii="Arial" w:hAnsi="Arial" w:cs="Arial"/>
          <w:b/>
          <w:szCs w:val="22"/>
        </w:rPr>
      </w:pPr>
      <w:r w:rsidRPr="00073EF0">
        <w:rPr>
          <w:rFonts w:ascii="Arial" w:hAnsi="Arial" w:cs="Arial"/>
          <w:b/>
          <w:szCs w:val="22"/>
        </w:rPr>
        <w:lastRenderedPageBreak/>
        <w:t>Revocation</w:t>
      </w:r>
      <w:r w:rsidR="00744E8A" w:rsidRPr="00073EF0">
        <w:rPr>
          <w:rFonts w:ascii="Arial" w:hAnsi="Arial" w:cs="Arial"/>
          <w:b/>
          <w:szCs w:val="22"/>
        </w:rPr>
        <w:t xml:space="preserve"> </w:t>
      </w:r>
    </w:p>
    <w:p w14:paraId="151E09AD" w14:textId="77777777" w:rsidR="00AA2A11" w:rsidRPr="00073EF0" w:rsidRDefault="00AA2A11">
      <w:pPr>
        <w:pStyle w:val="Amain"/>
        <w:tabs>
          <w:tab w:val="clear" w:pos="500"/>
          <w:tab w:val="clear" w:pos="700"/>
          <w:tab w:val="right" w:pos="-284"/>
          <w:tab w:val="left" w:pos="567"/>
        </w:tabs>
        <w:spacing w:before="0" w:after="0"/>
        <w:ind w:left="0" w:firstLine="0"/>
        <w:jc w:val="left"/>
        <w:outlineLvl w:val="9"/>
        <w:rPr>
          <w:rFonts w:ascii="Arial" w:hAnsi="Arial" w:cs="Arial"/>
          <w:b/>
          <w:szCs w:val="22"/>
        </w:rPr>
      </w:pPr>
    </w:p>
    <w:p w14:paraId="60B30FD4" w14:textId="29B1D554" w:rsidR="00744E8A" w:rsidRPr="00073EF0" w:rsidRDefault="008A0D1B" w:rsidP="00857FBE">
      <w:pPr>
        <w:ind w:right="-57"/>
      </w:pPr>
      <w:r w:rsidRPr="00073EF0">
        <w:t>This instrument revokes</w:t>
      </w:r>
      <w:r w:rsidR="00DD6407" w:rsidRPr="00073EF0">
        <w:t xml:space="preserve"> </w:t>
      </w:r>
      <w:r w:rsidR="005D5FB4" w:rsidRPr="00073EF0">
        <w:t xml:space="preserve">the </w:t>
      </w:r>
      <w:r w:rsidR="005D5FB4" w:rsidRPr="00073EF0">
        <w:rPr>
          <w:i/>
        </w:rPr>
        <w:t>Taxation Administration (Amounts Payable</w:t>
      </w:r>
      <w:r w:rsidR="00ED5C0A" w:rsidRPr="00073EF0">
        <w:t>—</w:t>
      </w:r>
      <w:r w:rsidR="005D5FB4" w:rsidRPr="00073EF0">
        <w:rPr>
          <w:i/>
        </w:rPr>
        <w:t xml:space="preserve">Rates) Determination </w:t>
      </w:r>
      <w:r w:rsidR="00C91DBA" w:rsidRPr="00073EF0">
        <w:rPr>
          <w:i/>
        </w:rPr>
        <w:t>20</w:t>
      </w:r>
      <w:r w:rsidR="00DD6407" w:rsidRPr="00073EF0">
        <w:rPr>
          <w:i/>
        </w:rPr>
        <w:t>20</w:t>
      </w:r>
      <w:r w:rsidR="005B5C62" w:rsidRPr="00073EF0">
        <w:rPr>
          <w:iCs/>
        </w:rPr>
        <w:t>,</w:t>
      </w:r>
      <w:r w:rsidR="005D5FB4" w:rsidRPr="00073EF0">
        <w:t xml:space="preserve"> </w:t>
      </w:r>
      <w:r w:rsidR="00E86B16" w:rsidRPr="00073EF0">
        <w:t>DI20</w:t>
      </w:r>
      <w:r w:rsidR="00DD6407" w:rsidRPr="00073EF0">
        <w:t>20</w:t>
      </w:r>
      <w:r w:rsidR="005D5FB4" w:rsidRPr="00073EF0">
        <w:t>-</w:t>
      </w:r>
      <w:r w:rsidR="00DD6407" w:rsidRPr="00073EF0">
        <w:t>176</w:t>
      </w:r>
      <w:r w:rsidR="005D5FB4" w:rsidRPr="00073EF0">
        <w:t>.</w:t>
      </w:r>
      <w:r w:rsidR="00744E8A" w:rsidRPr="00073EF0">
        <w:t xml:space="preserve"> </w:t>
      </w:r>
    </w:p>
    <w:p w14:paraId="4E89B56F" w14:textId="3A2D0163" w:rsidR="00596974" w:rsidRPr="00073EF0" w:rsidRDefault="00596974" w:rsidP="00D54A46">
      <w:pPr>
        <w:pStyle w:val="Amain"/>
        <w:tabs>
          <w:tab w:val="clear" w:pos="500"/>
          <w:tab w:val="clear" w:pos="700"/>
          <w:tab w:val="right" w:pos="-284"/>
          <w:tab w:val="left" w:pos="567"/>
        </w:tabs>
        <w:spacing w:before="0" w:after="0"/>
        <w:ind w:left="0" w:firstLine="0"/>
        <w:jc w:val="left"/>
        <w:outlineLvl w:val="9"/>
      </w:pPr>
    </w:p>
    <w:p w14:paraId="14023633" w14:textId="77777777" w:rsidR="00FC6206" w:rsidRPr="00073EF0" w:rsidRDefault="00FC6206" w:rsidP="0004005B">
      <w:pPr>
        <w:pStyle w:val="ListParagraph"/>
      </w:pPr>
    </w:p>
    <w:p w14:paraId="17801D06" w14:textId="77777777" w:rsidR="00E3276E" w:rsidRPr="00073EF0" w:rsidRDefault="00E3276E">
      <w:pPr>
        <w:pStyle w:val="Amain"/>
        <w:tabs>
          <w:tab w:val="clear" w:pos="500"/>
          <w:tab w:val="clear" w:pos="700"/>
          <w:tab w:val="right" w:pos="-284"/>
          <w:tab w:val="left" w:pos="567"/>
        </w:tabs>
        <w:spacing w:before="0" w:after="0"/>
        <w:ind w:left="0" w:firstLine="0"/>
        <w:jc w:val="left"/>
        <w:outlineLvl w:val="9"/>
      </w:pPr>
    </w:p>
    <w:p w14:paraId="28E61A91" w14:textId="77777777" w:rsidR="00450A5E" w:rsidRPr="00073EF0" w:rsidRDefault="00450A5E" w:rsidP="00B81F3F">
      <w:pPr>
        <w:rPr>
          <w:szCs w:val="24"/>
          <w:lang w:eastAsia="en-AU"/>
        </w:rPr>
      </w:pPr>
    </w:p>
    <w:p w14:paraId="1E95E6AC" w14:textId="77777777" w:rsidR="00596974" w:rsidRPr="00073EF0" w:rsidRDefault="00596974" w:rsidP="00B81F3F">
      <w:pPr>
        <w:rPr>
          <w:szCs w:val="24"/>
        </w:rPr>
      </w:pPr>
    </w:p>
    <w:p w14:paraId="77BF1E96" w14:textId="77777777" w:rsidR="000C7C15" w:rsidRPr="00073EF0" w:rsidRDefault="000C7C15" w:rsidP="00B81F3F">
      <w:pPr>
        <w:rPr>
          <w:szCs w:val="24"/>
        </w:rPr>
      </w:pPr>
      <w:r w:rsidRPr="00073EF0">
        <w:rPr>
          <w:szCs w:val="24"/>
        </w:rPr>
        <w:t>Authorised by</w:t>
      </w:r>
      <w:r w:rsidR="00D519DD" w:rsidRPr="00073EF0">
        <w:rPr>
          <w:szCs w:val="24"/>
        </w:rPr>
        <w:t xml:space="preserve"> the </w:t>
      </w:r>
      <w:r w:rsidRPr="00073EF0">
        <w:rPr>
          <w:szCs w:val="24"/>
        </w:rPr>
        <w:t>Treasurer</w:t>
      </w:r>
    </w:p>
    <w:p w14:paraId="7A0552FB" w14:textId="1DB89CA7" w:rsidR="00013CFD" w:rsidRDefault="00035D93" w:rsidP="00B81F3F">
      <w:pPr>
        <w:rPr>
          <w:szCs w:val="24"/>
        </w:rPr>
      </w:pPr>
      <w:r w:rsidRPr="00073EF0">
        <w:rPr>
          <w:bCs/>
        </w:rPr>
        <w:t>Andrew Barr</w:t>
      </w:r>
      <w:r w:rsidR="00D519DD" w:rsidRPr="00073EF0">
        <w:rPr>
          <w:bCs/>
        </w:rPr>
        <w:t xml:space="preserve"> </w:t>
      </w:r>
      <w:r w:rsidR="00013CFD" w:rsidRPr="00073EF0">
        <w:rPr>
          <w:szCs w:val="24"/>
        </w:rPr>
        <w:t>MLA</w:t>
      </w:r>
    </w:p>
    <w:p w14:paraId="4E5E7DBF" w14:textId="1A0AE261" w:rsidR="006C0CA4" w:rsidRDefault="006C0CA4" w:rsidP="00B81F3F">
      <w:pPr>
        <w:rPr>
          <w:szCs w:val="24"/>
        </w:rPr>
      </w:pPr>
    </w:p>
    <w:p w14:paraId="394D5601" w14:textId="01463572" w:rsidR="009E51F7" w:rsidRPr="005D6340" w:rsidRDefault="009E51F7" w:rsidP="00B81F3F">
      <w:pPr>
        <w:rPr>
          <w:szCs w:val="24"/>
        </w:rPr>
      </w:pPr>
    </w:p>
    <w:sectPr w:rsidR="009E51F7" w:rsidRPr="005D6340" w:rsidSect="00535A1A">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18" w:left="1800" w:header="720" w:footer="720" w:gutter="0"/>
      <w:pgNumType w:start="1"/>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914D0" w14:textId="77777777" w:rsidR="002C133C" w:rsidRDefault="002C133C">
      <w:r>
        <w:separator/>
      </w:r>
    </w:p>
  </w:endnote>
  <w:endnote w:type="continuationSeparator" w:id="0">
    <w:p w14:paraId="586451FD" w14:textId="77777777" w:rsidR="002C133C" w:rsidRDefault="002C1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9D2A1" w14:textId="77777777" w:rsidR="0004732D" w:rsidRDefault="000473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F4FF5" w14:textId="6C624883" w:rsidR="00B70395" w:rsidRPr="0004732D" w:rsidRDefault="0004732D" w:rsidP="0004732D">
    <w:pPr>
      <w:pStyle w:val="Footer"/>
      <w:jc w:val="center"/>
      <w:rPr>
        <w:rFonts w:cs="Arial"/>
        <w:sz w:val="14"/>
      </w:rPr>
    </w:pPr>
    <w:r w:rsidRPr="0004732D">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3EB9B" w14:textId="77777777" w:rsidR="0004732D" w:rsidRDefault="000473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E2F7A" w14:textId="77777777" w:rsidR="002C133C" w:rsidRDefault="002C133C">
      <w:r>
        <w:separator/>
      </w:r>
    </w:p>
  </w:footnote>
  <w:footnote w:type="continuationSeparator" w:id="0">
    <w:p w14:paraId="5EEE359C" w14:textId="77777777" w:rsidR="002C133C" w:rsidRDefault="002C1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76A5A" w14:textId="77777777" w:rsidR="0004732D" w:rsidRDefault="000473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A4481" w14:textId="77777777" w:rsidR="0004732D" w:rsidRDefault="000473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D743D" w14:textId="77777777" w:rsidR="0004732D" w:rsidRDefault="000473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pStyle w:val="AH5Sec"/>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2A76DE"/>
    <w:multiLevelType w:val="hybridMultilevel"/>
    <w:tmpl w:val="C6E01BFC"/>
    <w:lvl w:ilvl="0" w:tplc="88886CC4">
      <w:start w:val="1"/>
      <w:numFmt w:val="bullet"/>
      <w:lvlText w:val=""/>
      <w:lvlJc w:val="left"/>
      <w:pPr>
        <w:tabs>
          <w:tab w:val="num" w:pos="1080"/>
        </w:tabs>
        <w:ind w:left="1080" w:hanging="360"/>
      </w:pPr>
      <w:rPr>
        <w:rFonts w:ascii="Symbol" w:hAnsi="Symbol" w:hint="default"/>
        <w:color w:val="auto"/>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CE41E73"/>
    <w:multiLevelType w:val="hybridMultilevel"/>
    <w:tmpl w:val="BF0E0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094E2F"/>
    <w:multiLevelType w:val="hybridMultilevel"/>
    <w:tmpl w:val="D3B2DD50"/>
    <w:lvl w:ilvl="0" w:tplc="D6EA70B2">
      <w:start w:val="1"/>
      <w:numFmt w:val="decimal"/>
      <w:lvlText w:val="%1."/>
      <w:lvlJc w:val="left"/>
      <w:pPr>
        <w:ind w:left="720" w:hanging="360"/>
      </w:pPr>
      <w:rPr>
        <w:rFonts w:ascii="Times New Roman" w:hAnsi="Times New Roman" w:cs="Times New Roman" w:hint="default"/>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2F78489A"/>
    <w:multiLevelType w:val="hybridMultilevel"/>
    <w:tmpl w:val="4E14B656"/>
    <w:lvl w:ilvl="0" w:tplc="0C090001">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9"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cs="Times New Roman" w:hint="default"/>
      </w:rPr>
    </w:lvl>
    <w:lvl w:ilvl="1" w:tplc="04090019">
      <w:start w:val="1"/>
      <w:numFmt w:val="lowerLetter"/>
      <w:lvlText w:val="%2."/>
      <w:lvlJc w:val="left"/>
      <w:pPr>
        <w:tabs>
          <w:tab w:val="num" w:pos="1114"/>
        </w:tabs>
        <w:ind w:left="1114" w:hanging="360"/>
      </w:pPr>
      <w:rPr>
        <w:rFonts w:cs="Times New Roman"/>
      </w:rPr>
    </w:lvl>
    <w:lvl w:ilvl="2" w:tplc="0409001B">
      <w:start w:val="1"/>
      <w:numFmt w:val="lowerRoman"/>
      <w:lvlText w:val="%3."/>
      <w:lvlJc w:val="right"/>
      <w:pPr>
        <w:tabs>
          <w:tab w:val="num" w:pos="1834"/>
        </w:tabs>
        <w:ind w:left="1834" w:hanging="180"/>
      </w:pPr>
      <w:rPr>
        <w:rFonts w:cs="Times New Roman"/>
      </w:rPr>
    </w:lvl>
    <w:lvl w:ilvl="3" w:tplc="0409000F">
      <w:start w:val="1"/>
      <w:numFmt w:val="decimal"/>
      <w:lvlText w:val="%4."/>
      <w:lvlJc w:val="left"/>
      <w:pPr>
        <w:tabs>
          <w:tab w:val="num" w:pos="2554"/>
        </w:tabs>
        <w:ind w:left="2554" w:hanging="360"/>
      </w:pPr>
      <w:rPr>
        <w:rFonts w:cs="Times New Roman"/>
      </w:rPr>
    </w:lvl>
    <w:lvl w:ilvl="4" w:tplc="04090019">
      <w:start w:val="1"/>
      <w:numFmt w:val="lowerLetter"/>
      <w:lvlText w:val="%5."/>
      <w:lvlJc w:val="left"/>
      <w:pPr>
        <w:tabs>
          <w:tab w:val="num" w:pos="3274"/>
        </w:tabs>
        <w:ind w:left="3274" w:hanging="360"/>
      </w:pPr>
      <w:rPr>
        <w:rFonts w:cs="Times New Roman"/>
      </w:rPr>
    </w:lvl>
    <w:lvl w:ilvl="5" w:tplc="0409001B">
      <w:start w:val="1"/>
      <w:numFmt w:val="lowerRoman"/>
      <w:lvlText w:val="%6."/>
      <w:lvlJc w:val="right"/>
      <w:pPr>
        <w:tabs>
          <w:tab w:val="num" w:pos="3994"/>
        </w:tabs>
        <w:ind w:left="3994" w:hanging="180"/>
      </w:pPr>
      <w:rPr>
        <w:rFonts w:cs="Times New Roman"/>
      </w:rPr>
    </w:lvl>
    <w:lvl w:ilvl="6" w:tplc="0409000F">
      <w:start w:val="1"/>
      <w:numFmt w:val="decimal"/>
      <w:lvlText w:val="%7."/>
      <w:lvlJc w:val="left"/>
      <w:pPr>
        <w:tabs>
          <w:tab w:val="num" w:pos="4714"/>
        </w:tabs>
        <w:ind w:left="4714" w:hanging="360"/>
      </w:pPr>
      <w:rPr>
        <w:rFonts w:cs="Times New Roman"/>
      </w:rPr>
    </w:lvl>
    <w:lvl w:ilvl="7" w:tplc="04090019">
      <w:start w:val="1"/>
      <w:numFmt w:val="lowerLetter"/>
      <w:lvlText w:val="%8."/>
      <w:lvlJc w:val="left"/>
      <w:pPr>
        <w:tabs>
          <w:tab w:val="num" w:pos="5434"/>
        </w:tabs>
        <w:ind w:left="5434" w:hanging="360"/>
      </w:pPr>
      <w:rPr>
        <w:rFonts w:cs="Times New Roman"/>
      </w:rPr>
    </w:lvl>
    <w:lvl w:ilvl="8" w:tplc="0409001B">
      <w:start w:val="1"/>
      <w:numFmt w:val="lowerRoman"/>
      <w:lvlText w:val="%9."/>
      <w:lvlJc w:val="right"/>
      <w:pPr>
        <w:tabs>
          <w:tab w:val="num" w:pos="6154"/>
        </w:tabs>
        <w:ind w:left="6154" w:hanging="180"/>
      </w:pPr>
      <w:rPr>
        <w:rFonts w:cs="Times New Roman"/>
      </w:rPr>
    </w:lvl>
  </w:abstractNum>
  <w:abstractNum w:abstractNumId="10" w15:restartNumberingAfterBreak="0">
    <w:nsid w:val="36CE3FBD"/>
    <w:multiLevelType w:val="hybridMultilevel"/>
    <w:tmpl w:val="17CC49FC"/>
    <w:lvl w:ilvl="0" w:tplc="0C090001">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2" w15:restartNumberingAfterBreak="0">
    <w:nsid w:val="39AD5D2F"/>
    <w:multiLevelType w:val="hybridMultilevel"/>
    <w:tmpl w:val="B192C59C"/>
    <w:lvl w:ilvl="0" w:tplc="D41A83DA">
      <w:start w:val="74"/>
      <w:numFmt w:val="bullet"/>
      <w:lvlText w:val=""/>
      <w:lvlJc w:val="left"/>
      <w:pPr>
        <w:ind w:left="924" w:hanging="360"/>
      </w:pPr>
      <w:rPr>
        <w:rFonts w:ascii="Symbol" w:eastAsia="Times New Roman" w:hAnsi="Symbol" w:hint="default"/>
      </w:rPr>
    </w:lvl>
    <w:lvl w:ilvl="1" w:tplc="0C090003" w:tentative="1">
      <w:start w:val="1"/>
      <w:numFmt w:val="bullet"/>
      <w:lvlText w:val="o"/>
      <w:lvlJc w:val="left"/>
      <w:pPr>
        <w:ind w:left="1644" w:hanging="360"/>
      </w:pPr>
      <w:rPr>
        <w:rFonts w:ascii="Courier New" w:hAnsi="Courier New" w:hint="default"/>
      </w:rPr>
    </w:lvl>
    <w:lvl w:ilvl="2" w:tplc="0C090005" w:tentative="1">
      <w:start w:val="1"/>
      <w:numFmt w:val="bullet"/>
      <w:lvlText w:val=""/>
      <w:lvlJc w:val="left"/>
      <w:pPr>
        <w:ind w:left="2364" w:hanging="360"/>
      </w:pPr>
      <w:rPr>
        <w:rFonts w:ascii="Wingdings" w:hAnsi="Wingdings" w:hint="default"/>
      </w:rPr>
    </w:lvl>
    <w:lvl w:ilvl="3" w:tplc="0C090001" w:tentative="1">
      <w:start w:val="1"/>
      <w:numFmt w:val="bullet"/>
      <w:lvlText w:val=""/>
      <w:lvlJc w:val="left"/>
      <w:pPr>
        <w:ind w:left="3084" w:hanging="360"/>
      </w:pPr>
      <w:rPr>
        <w:rFonts w:ascii="Symbol" w:hAnsi="Symbol" w:hint="default"/>
      </w:rPr>
    </w:lvl>
    <w:lvl w:ilvl="4" w:tplc="0C090003" w:tentative="1">
      <w:start w:val="1"/>
      <w:numFmt w:val="bullet"/>
      <w:lvlText w:val="o"/>
      <w:lvlJc w:val="left"/>
      <w:pPr>
        <w:ind w:left="3804" w:hanging="360"/>
      </w:pPr>
      <w:rPr>
        <w:rFonts w:ascii="Courier New" w:hAnsi="Courier New" w:hint="default"/>
      </w:rPr>
    </w:lvl>
    <w:lvl w:ilvl="5" w:tplc="0C090005" w:tentative="1">
      <w:start w:val="1"/>
      <w:numFmt w:val="bullet"/>
      <w:lvlText w:val=""/>
      <w:lvlJc w:val="left"/>
      <w:pPr>
        <w:ind w:left="4524" w:hanging="360"/>
      </w:pPr>
      <w:rPr>
        <w:rFonts w:ascii="Wingdings" w:hAnsi="Wingdings" w:hint="default"/>
      </w:rPr>
    </w:lvl>
    <w:lvl w:ilvl="6" w:tplc="0C090001" w:tentative="1">
      <w:start w:val="1"/>
      <w:numFmt w:val="bullet"/>
      <w:lvlText w:val=""/>
      <w:lvlJc w:val="left"/>
      <w:pPr>
        <w:ind w:left="5244" w:hanging="360"/>
      </w:pPr>
      <w:rPr>
        <w:rFonts w:ascii="Symbol" w:hAnsi="Symbol" w:hint="default"/>
      </w:rPr>
    </w:lvl>
    <w:lvl w:ilvl="7" w:tplc="0C090003" w:tentative="1">
      <w:start w:val="1"/>
      <w:numFmt w:val="bullet"/>
      <w:lvlText w:val="o"/>
      <w:lvlJc w:val="left"/>
      <w:pPr>
        <w:ind w:left="5964" w:hanging="360"/>
      </w:pPr>
      <w:rPr>
        <w:rFonts w:ascii="Courier New" w:hAnsi="Courier New" w:hint="default"/>
      </w:rPr>
    </w:lvl>
    <w:lvl w:ilvl="8" w:tplc="0C090005" w:tentative="1">
      <w:start w:val="1"/>
      <w:numFmt w:val="bullet"/>
      <w:lvlText w:val=""/>
      <w:lvlJc w:val="left"/>
      <w:pPr>
        <w:ind w:left="6684" w:hanging="360"/>
      </w:pPr>
      <w:rPr>
        <w:rFonts w:ascii="Wingdings" w:hAnsi="Wingdings" w:hint="default"/>
      </w:rPr>
    </w:lvl>
  </w:abstractNum>
  <w:abstractNum w:abstractNumId="13" w15:restartNumberingAfterBreak="0">
    <w:nsid w:val="3A0F1718"/>
    <w:multiLevelType w:val="hybridMultilevel"/>
    <w:tmpl w:val="68761822"/>
    <w:lvl w:ilvl="0" w:tplc="0C090001">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BE0603"/>
    <w:multiLevelType w:val="hybridMultilevel"/>
    <w:tmpl w:val="7D8497EC"/>
    <w:lvl w:ilvl="0" w:tplc="8E780E64">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43EE50F8"/>
    <w:multiLevelType w:val="hybridMultilevel"/>
    <w:tmpl w:val="FA204A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CB5ED9"/>
    <w:multiLevelType w:val="hybridMultilevel"/>
    <w:tmpl w:val="7602BD64"/>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46881062"/>
    <w:multiLevelType w:val="hybridMultilevel"/>
    <w:tmpl w:val="063CAAE8"/>
    <w:lvl w:ilvl="0" w:tplc="1FFC6874">
      <w:start w:val="1"/>
      <w:numFmt w:val="decimal"/>
      <w:lvlText w:val="%1."/>
      <w:lvlJc w:val="left"/>
      <w:pPr>
        <w:ind w:left="1146" w:hanging="360"/>
      </w:pPr>
      <w:rPr>
        <w:rFonts w:ascii="Times New Roman" w:hAnsi="Times New Roman" w:cs="Times New Roman" w:hint="default"/>
        <w:b w:val="0"/>
      </w:rPr>
    </w:lvl>
    <w:lvl w:ilvl="1" w:tplc="0C090019" w:tentative="1">
      <w:start w:val="1"/>
      <w:numFmt w:val="lowerLetter"/>
      <w:lvlText w:val="%2."/>
      <w:lvlJc w:val="left"/>
      <w:pPr>
        <w:ind w:left="1866" w:hanging="360"/>
      </w:pPr>
      <w:rPr>
        <w:rFonts w:cs="Times New Roman"/>
      </w:rPr>
    </w:lvl>
    <w:lvl w:ilvl="2" w:tplc="0C09001B" w:tentative="1">
      <w:start w:val="1"/>
      <w:numFmt w:val="lowerRoman"/>
      <w:lvlText w:val="%3."/>
      <w:lvlJc w:val="right"/>
      <w:pPr>
        <w:ind w:left="2586" w:hanging="180"/>
      </w:pPr>
      <w:rPr>
        <w:rFonts w:cs="Times New Roman"/>
      </w:rPr>
    </w:lvl>
    <w:lvl w:ilvl="3" w:tplc="0C09000F" w:tentative="1">
      <w:start w:val="1"/>
      <w:numFmt w:val="decimal"/>
      <w:lvlText w:val="%4."/>
      <w:lvlJc w:val="left"/>
      <w:pPr>
        <w:ind w:left="3306" w:hanging="360"/>
      </w:pPr>
      <w:rPr>
        <w:rFonts w:cs="Times New Roman"/>
      </w:rPr>
    </w:lvl>
    <w:lvl w:ilvl="4" w:tplc="0C090019" w:tentative="1">
      <w:start w:val="1"/>
      <w:numFmt w:val="lowerLetter"/>
      <w:lvlText w:val="%5."/>
      <w:lvlJc w:val="left"/>
      <w:pPr>
        <w:ind w:left="4026" w:hanging="360"/>
      </w:pPr>
      <w:rPr>
        <w:rFonts w:cs="Times New Roman"/>
      </w:rPr>
    </w:lvl>
    <w:lvl w:ilvl="5" w:tplc="0C09001B" w:tentative="1">
      <w:start w:val="1"/>
      <w:numFmt w:val="lowerRoman"/>
      <w:lvlText w:val="%6."/>
      <w:lvlJc w:val="right"/>
      <w:pPr>
        <w:ind w:left="4746" w:hanging="180"/>
      </w:pPr>
      <w:rPr>
        <w:rFonts w:cs="Times New Roman"/>
      </w:rPr>
    </w:lvl>
    <w:lvl w:ilvl="6" w:tplc="0C09000F" w:tentative="1">
      <w:start w:val="1"/>
      <w:numFmt w:val="decimal"/>
      <w:lvlText w:val="%7."/>
      <w:lvlJc w:val="left"/>
      <w:pPr>
        <w:ind w:left="5466" w:hanging="360"/>
      </w:pPr>
      <w:rPr>
        <w:rFonts w:cs="Times New Roman"/>
      </w:rPr>
    </w:lvl>
    <w:lvl w:ilvl="7" w:tplc="0C090019" w:tentative="1">
      <w:start w:val="1"/>
      <w:numFmt w:val="lowerLetter"/>
      <w:lvlText w:val="%8."/>
      <w:lvlJc w:val="left"/>
      <w:pPr>
        <w:ind w:left="6186" w:hanging="360"/>
      </w:pPr>
      <w:rPr>
        <w:rFonts w:cs="Times New Roman"/>
      </w:rPr>
    </w:lvl>
    <w:lvl w:ilvl="8" w:tplc="0C09001B" w:tentative="1">
      <w:start w:val="1"/>
      <w:numFmt w:val="lowerRoman"/>
      <w:lvlText w:val="%9."/>
      <w:lvlJc w:val="right"/>
      <w:pPr>
        <w:ind w:left="6906" w:hanging="180"/>
      </w:pPr>
      <w:rPr>
        <w:rFonts w:cs="Times New Roman"/>
      </w:rPr>
    </w:lvl>
  </w:abstractNum>
  <w:abstractNum w:abstractNumId="18" w15:restartNumberingAfterBreak="0">
    <w:nsid w:val="54335F16"/>
    <w:multiLevelType w:val="hybridMultilevel"/>
    <w:tmpl w:val="3CEEF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B61647"/>
    <w:multiLevelType w:val="hybridMultilevel"/>
    <w:tmpl w:val="ADDECE8E"/>
    <w:lvl w:ilvl="0" w:tplc="88886CC4">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991C92"/>
    <w:multiLevelType w:val="hybridMultilevel"/>
    <w:tmpl w:val="63566E2C"/>
    <w:lvl w:ilvl="0" w:tplc="88886CC4">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37041F"/>
    <w:multiLevelType w:val="multilevel"/>
    <w:tmpl w:val="75885F7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pStyle w:val="Apara"/>
      <w:lvlText w:val="%7."/>
      <w:lvlJc w:val="left"/>
      <w:pPr>
        <w:tabs>
          <w:tab w:val="num" w:pos="5040"/>
        </w:tabs>
        <w:ind w:left="5040" w:hanging="720"/>
      </w:pPr>
      <w:rPr>
        <w:rFonts w:cs="Times New Roman"/>
      </w:rPr>
    </w:lvl>
    <w:lvl w:ilvl="7">
      <w:start w:val="1"/>
      <w:numFmt w:val="decimal"/>
      <w:pStyle w:val="Asubpara"/>
      <w:lvlText w:val="%8."/>
      <w:lvlJc w:val="left"/>
      <w:pPr>
        <w:tabs>
          <w:tab w:val="num" w:pos="5760"/>
        </w:tabs>
        <w:ind w:left="5760" w:hanging="720"/>
      </w:pPr>
      <w:rPr>
        <w:rFonts w:cs="Times New Roman"/>
      </w:rPr>
    </w:lvl>
    <w:lvl w:ilvl="8">
      <w:start w:val="1"/>
      <w:numFmt w:val="decimal"/>
      <w:pStyle w:val="Asubsubpara"/>
      <w:lvlText w:val="%9."/>
      <w:lvlJc w:val="left"/>
      <w:pPr>
        <w:tabs>
          <w:tab w:val="num" w:pos="6480"/>
        </w:tabs>
        <w:ind w:left="6480" w:hanging="720"/>
      </w:pPr>
      <w:rPr>
        <w:rFonts w:cs="Times New Roman"/>
      </w:rPr>
    </w:lvl>
  </w:abstractNum>
  <w:abstractNum w:abstractNumId="22" w15:restartNumberingAfterBreak="0">
    <w:nsid w:val="63A33B7E"/>
    <w:multiLevelType w:val="hybridMultilevel"/>
    <w:tmpl w:val="1C9A8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A875F2"/>
    <w:multiLevelType w:val="hybridMultilevel"/>
    <w:tmpl w:val="1D220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8B52E1A"/>
    <w:multiLevelType w:val="hybridMultilevel"/>
    <w:tmpl w:val="21DAFA70"/>
    <w:lvl w:ilvl="0" w:tplc="38F2F730">
      <w:start w:val="1"/>
      <w:numFmt w:val="decimal"/>
      <w:lvlText w:val="%1."/>
      <w:lvlJc w:val="left"/>
      <w:pPr>
        <w:ind w:left="720" w:hanging="360"/>
      </w:pPr>
      <w:rPr>
        <w:rFonts w:ascii="Times New Roman" w:hAnsi="Times New Roman" w:cs="Times New Roman"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15:restartNumberingAfterBreak="0">
    <w:nsid w:val="6C9F6C35"/>
    <w:multiLevelType w:val="hybridMultilevel"/>
    <w:tmpl w:val="061C9C96"/>
    <w:lvl w:ilvl="0" w:tplc="88886CC4">
      <w:start w:val="1"/>
      <w:numFmt w:val="bullet"/>
      <w:lvlText w:val=""/>
      <w:lvlJc w:val="left"/>
      <w:pPr>
        <w:tabs>
          <w:tab w:val="num" w:pos="1440"/>
        </w:tabs>
        <w:ind w:left="1440" w:hanging="360"/>
      </w:pPr>
      <w:rPr>
        <w:rFonts w:ascii="Symbol" w:hAnsi="Symbol" w:hint="default"/>
        <w:color w:val="auto"/>
      </w:rPr>
    </w:lvl>
    <w:lvl w:ilvl="1" w:tplc="0C090003">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7" w15:restartNumberingAfterBreak="0">
    <w:nsid w:val="76E62DC1"/>
    <w:multiLevelType w:val="hybridMultilevel"/>
    <w:tmpl w:val="85D26C30"/>
    <w:lvl w:ilvl="0" w:tplc="7C4E5468">
      <w:start w:val="1"/>
      <w:numFmt w:val="decimal"/>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15:restartNumberingAfterBreak="0">
    <w:nsid w:val="7CBB592D"/>
    <w:multiLevelType w:val="hybridMultilevel"/>
    <w:tmpl w:val="41C48CE2"/>
    <w:lvl w:ilvl="0" w:tplc="0C090001">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1"/>
  </w:num>
  <w:num w:numId="5">
    <w:abstractNumId w:val="26"/>
  </w:num>
  <w:num w:numId="6">
    <w:abstractNumId w:val="1"/>
  </w:num>
  <w:num w:numId="7">
    <w:abstractNumId w:val="8"/>
  </w:num>
  <w:num w:numId="8">
    <w:abstractNumId w:val="9"/>
  </w:num>
  <w:num w:numId="9">
    <w:abstractNumId w:val="4"/>
  </w:num>
  <w:num w:numId="10">
    <w:abstractNumId w:val="25"/>
  </w:num>
  <w:num w:numId="11">
    <w:abstractNumId w:val="19"/>
  </w:num>
  <w:num w:numId="12">
    <w:abstractNumId w:val="20"/>
  </w:num>
  <w:num w:numId="13">
    <w:abstractNumId w:val="24"/>
  </w:num>
  <w:num w:numId="14">
    <w:abstractNumId w:val="27"/>
  </w:num>
  <w:num w:numId="15">
    <w:abstractNumId w:val="15"/>
  </w:num>
  <w:num w:numId="16">
    <w:abstractNumId w:val="16"/>
  </w:num>
  <w:num w:numId="17">
    <w:abstractNumId w:val="21"/>
  </w:num>
  <w:num w:numId="18">
    <w:abstractNumId w:val="17"/>
  </w:num>
  <w:num w:numId="19">
    <w:abstractNumId w:val="6"/>
  </w:num>
  <w:num w:numId="20">
    <w:abstractNumId w:val="12"/>
  </w:num>
  <w:num w:numId="21">
    <w:abstractNumId w:val="10"/>
  </w:num>
  <w:num w:numId="22">
    <w:abstractNumId w:val="28"/>
  </w:num>
  <w:num w:numId="23">
    <w:abstractNumId w:val="7"/>
  </w:num>
  <w:num w:numId="24">
    <w:abstractNumId w:val="13"/>
  </w:num>
  <w:num w:numId="25">
    <w:abstractNumId w:val="23"/>
  </w:num>
  <w:num w:numId="26">
    <w:abstractNumId w:val="5"/>
  </w:num>
  <w:num w:numId="27">
    <w:abstractNumId w:val="14"/>
  </w:num>
  <w:num w:numId="28">
    <w:abstractNumId w:val="18"/>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F3F"/>
    <w:rsid w:val="00006060"/>
    <w:rsid w:val="00013CFD"/>
    <w:rsid w:val="000220D5"/>
    <w:rsid w:val="000229DE"/>
    <w:rsid w:val="00031003"/>
    <w:rsid w:val="00035D93"/>
    <w:rsid w:val="0004005B"/>
    <w:rsid w:val="0004233A"/>
    <w:rsid w:val="0004432C"/>
    <w:rsid w:val="00046E3F"/>
    <w:rsid w:val="0004732D"/>
    <w:rsid w:val="0005046E"/>
    <w:rsid w:val="00050A9D"/>
    <w:rsid w:val="00050BBA"/>
    <w:rsid w:val="0005112E"/>
    <w:rsid w:val="0006285B"/>
    <w:rsid w:val="000632B0"/>
    <w:rsid w:val="000634A6"/>
    <w:rsid w:val="000678E6"/>
    <w:rsid w:val="00073EF0"/>
    <w:rsid w:val="00082A57"/>
    <w:rsid w:val="00083D69"/>
    <w:rsid w:val="00091C0B"/>
    <w:rsid w:val="000A506A"/>
    <w:rsid w:val="000B1808"/>
    <w:rsid w:val="000B288E"/>
    <w:rsid w:val="000B6F52"/>
    <w:rsid w:val="000C7C15"/>
    <w:rsid w:val="000D1903"/>
    <w:rsid w:val="000D3908"/>
    <w:rsid w:val="000E3AA0"/>
    <w:rsid w:val="000E77C9"/>
    <w:rsid w:val="00100011"/>
    <w:rsid w:val="00100AE3"/>
    <w:rsid w:val="00103DF4"/>
    <w:rsid w:val="00116540"/>
    <w:rsid w:val="00131F71"/>
    <w:rsid w:val="00135A00"/>
    <w:rsid w:val="00150C69"/>
    <w:rsid w:val="00152F69"/>
    <w:rsid w:val="00163D9A"/>
    <w:rsid w:val="00167C62"/>
    <w:rsid w:val="0017035A"/>
    <w:rsid w:val="00184C26"/>
    <w:rsid w:val="001878CD"/>
    <w:rsid w:val="00187EB0"/>
    <w:rsid w:val="00191394"/>
    <w:rsid w:val="001A034E"/>
    <w:rsid w:val="001A18EC"/>
    <w:rsid w:val="001B0C9D"/>
    <w:rsid w:val="001B38ED"/>
    <w:rsid w:val="001C7540"/>
    <w:rsid w:val="002023D0"/>
    <w:rsid w:val="002041C2"/>
    <w:rsid w:val="002047CA"/>
    <w:rsid w:val="002178B7"/>
    <w:rsid w:val="002232F9"/>
    <w:rsid w:val="0022399B"/>
    <w:rsid w:val="0022481B"/>
    <w:rsid w:val="00235C89"/>
    <w:rsid w:val="00236E15"/>
    <w:rsid w:val="00245090"/>
    <w:rsid w:val="0024789B"/>
    <w:rsid w:val="00253708"/>
    <w:rsid w:val="0025463E"/>
    <w:rsid w:val="00255B87"/>
    <w:rsid w:val="002566B3"/>
    <w:rsid w:val="00265AB8"/>
    <w:rsid w:val="00272F95"/>
    <w:rsid w:val="00273E85"/>
    <w:rsid w:val="00294B3C"/>
    <w:rsid w:val="002A7330"/>
    <w:rsid w:val="002A75DB"/>
    <w:rsid w:val="002C133C"/>
    <w:rsid w:val="002C2418"/>
    <w:rsid w:val="002D2F7A"/>
    <w:rsid w:val="002E098A"/>
    <w:rsid w:val="002F2A58"/>
    <w:rsid w:val="0030492D"/>
    <w:rsid w:val="0030610C"/>
    <w:rsid w:val="00322BA9"/>
    <w:rsid w:val="00331A34"/>
    <w:rsid w:val="003339F3"/>
    <w:rsid w:val="0033775C"/>
    <w:rsid w:val="00340536"/>
    <w:rsid w:val="00342F55"/>
    <w:rsid w:val="003455F9"/>
    <w:rsid w:val="003505D7"/>
    <w:rsid w:val="00352AC9"/>
    <w:rsid w:val="00354AE9"/>
    <w:rsid w:val="00356CFB"/>
    <w:rsid w:val="003571DD"/>
    <w:rsid w:val="00361B55"/>
    <w:rsid w:val="00361C05"/>
    <w:rsid w:val="00364CAD"/>
    <w:rsid w:val="00366F7D"/>
    <w:rsid w:val="00393841"/>
    <w:rsid w:val="00393B68"/>
    <w:rsid w:val="003A1195"/>
    <w:rsid w:val="003A1C7A"/>
    <w:rsid w:val="003A6176"/>
    <w:rsid w:val="003A7BCC"/>
    <w:rsid w:val="003B1915"/>
    <w:rsid w:val="003C6FE5"/>
    <w:rsid w:val="003D7F8C"/>
    <w:rsid w:val="003E0F45"/>
    <w:rsid w:val="003E3612"/>
    <w:rsid w:val="003E4226"/>
    <w:rsid w:val="003E4326"/>
    <w:rsid w:val="003F62AD"/>
    <w:rsid w:val="003F6845"/>
    <w:rsid w:val="00406052"/>
    <w:rsid w:val="00414D51"/>
    <w:rsid w:val="00423455"/>
    <w:rsid w:val="00426FEC"/>
    <w:rsid w:val="00450A5E"/>
    <w:rsid w:val="00462D0A"/>
    <w:rsid w:val="00464044"/>
    <w:rsid w:val="00464830"/>
    <w:rsid w:val="00465EBA"/>
    <w:rsid w:val="00472094"/>
    <w:rsid w:val="004734AB"/>
    <w:rsid w:val="00476EB9"/>
    <w:rsid w:val="00477969"/>
    <w:rsid w:val="00484D1C"/>
    <w:rsid w:val="00492CC7"/>
    <w:rsid w:val="004A527F"/>
    <w:rsid w:val="004A5BAE"/>
    <w:rsid w:val="004B0BD6"/>
    <w:rsid w:val="004B1566"/>
    <w:rsid w:val="004C20C4"/>
    <w:rsid w:val="004C7A12"/>
    <w:rsid w:val="004E5C0B"/>
    <w:rsid w:val="004E7161"/>
    <w:rsid w:val="00500725"/>
    <w:rsid w:val="00502000"/>
    <w:rsid w:val="005140ED"/>
    <w:rsid w:val="005215ED"/>
    <w:rsid w:val="00522420"/>
    <w:rsid w:val="00533C42"/>
    <w:rsid w:val="00535A1A"/>
    <w:rsid w:val="00536306"/>
    <w:rsid w:val="00537B79"/>
    <w:rsid w:val="00546ECC"/>
    <w:rsid w:val="00547A79"/>
    <w:rsid w:val="00560C42"/>
    <w:rsid w:val="00567149"/>
    <w:rsid w:val="00571C03"/>
    <w:rsid w:val="005741DC"/>
    <w:rsid w:val="00575651"/>
    <w:rsid w:val="00575889"/>
    <w:rsid w:val="00592B10"/>
    <w:rsid w:val="0059422C"/>
    <w:rsid w:val="00596974"/>
    <w:rsid w:val="005A65B3"/>
    <w:rsid w:val="005B5C62"/>
    <w:rsid w:val="005D5FB4"/>
    <w:rsid w:val="005D6340"/>
    <w:rsid w:val="005E1C33"/>
    <w:rsid w:val="005E3D0A"/>
    <w:rsid w:val="005E6D38"/>
    <w:rsid w:val="005F0EA3"/>
    <w:rsid w:val="005F4A54"/>
    <w:rsid w:val="005F5AA5"/>
    <w:rsid w:val="005F6490"/>
    <w:rsid w:val="00601A40"/>
    <w:rsid w:val="006022BF"/>
    <w:rsid w:val="00603875"/>
    <w:rsid w:val="006045DA"/>
    <w:rsid w:val="00613C60"/>
    <w:rsid w:val="006257C8"/>
    <w:rsid w:val="00625C96"/>
    <w:rsid w:val="00627DD8"/>
    <w:rsid w:val="00636F08"/>
    <w:rsid w:val="00664CC3"/>
    <w:rsid w:val="00667553"/>
    <w:rsid w:val="00670641"/>
    <w:rsid w:val="00674498"/>
    <w:rsid w:val="00692441"/>
    <w:rsid w:val="0069384D"/>
    <w:rsid w:val="00695042"/>
    <w:rsid w:val="00696FC0"/>
    <w:rsid w:val="006A0970"/>
    <w:rsid w:val="006B645B"/>
    <w:rsid w:val="006B76C5"/>
    <w:rsid w:val="006C0CA4"/>
    <w:rsid w:val="006C52F2"/>
    <w:rsid w:val="006C6693"/>
    <w:rsid w:val="006E064D"/>
    <w:rsid w:val="006F1495"/>
    <w:rsid w:val="006F5680"/>
    <w:rsid w:val="0070413C"/>
    <w:rsid w:val="007049B6"/>
    <w:rsid w:val="00706DCD"/>
    <w:rsid w:val="00713602"/>
    <w:rsid w:val="0072458A"/>
    <w:rsid w:val="00724F13"/>
    <w:rsid w:val="0073493F"/>
    <w:rsid w:val="00734A60"/>
    <w:rsid w:val="00735F79"/>
    <w:rsid w:val="00737CA0"/>
    <w:rsid w:val="0074134E"/>
    <w:rsid w:val="00742057"/>
    <w:rsid w:val="00744E8A"/>
    <w:rsid w:val="00750EBD"/>
    <w:rsid w:val="007517C8"/>
    <w:rsid w:val="00754435"/>
    <w:rsid w:val="007548D8"/>
    <w:rsid w:val="00756040"/>
    <w:rsid w:val="00771EF2"/>
    <w:rsid w:val="00775C46"/>
    <w:rsid w:val="00777067"/>
    <w:rsid w:val="00777A53"/>
    <w:rsid w:val="00784F33"/>
    <w:rsid w:val="007850DB"/>
    <w:rsid w:val="00794183"/>
    <w:rsid w:val="007A4AA5"/>
    <w:rsid w:val="007A66B6"/>
    <w:rsid w:val="007B168A"/>
    <w:rsid w:val="007B41C7"/>
    <w:rsid w:val="007B79CA"/>
    <w:rsid w:val="007B7DDB"/>
    <w:rsid w:val="007D1AE0"/>
    <w:rsid w:val="007D4D8E"/>
    <w:rsid w:val="007D6BD3"/>
    <w:rsid w:val="007F11C4"/>
    <w:rsid w:val="0080120D"/>
    <w:rsid w:val="00805183"/>
    <w:rsid w:val="0081030A"/>
    <w:rsid w:val="00812BFF"/>
    <w:rsid w:val="00816C2A"/>
    <w:rsid w:val="00817467"/>
    <w:rsid w:val="00817A4B"/>
    <w:rsid w:val="00832D65"/>
    <w:rsid w:val="00851A39"/>
    <w:rsid w:val="00857FBE"/>
    <w:rsid w:val="00864FBA"/>
    <w:rsid w:val="00867907"/>
    <w:rsid w:val="0087102E"/>
    <w:rsid w:val="00874AEC"/>
    <w:rsid w:val="008757EA"/>
    <w:rsid w:val="0087749B"/>
    <w:rsid w:val="00881482"/>
    <w:rsid w:val="00885304"/>
    <w:rsid w:val="008A0D1B"/>
    <w:rsid w:val="008A67E6"/>
    <w:rsid w:val="008A7188"/>
    <w:rsid w:val="008A71B5"/>
    <w:rsid w:val="008B7565"/>
    <w:rsid w:val="008D0774"/>
    <w:rsid w:val="008D1137"/>
    <w:rsid w:val="008D7171"/>
    <w:rsid w:val="008E1A64"/>
    <w:rsid w:val="008E3C9F"/>
    <w:rsid w:val="008E7A72"/>
    <w:rsid w:val="008E7EF7"/>
    <w:rsid w:val="008F259E"/>
    <w:rsid w:val="008F5DDA"/>
    <w:rsid w:val="00901CDE"/>
    <w:rsid w:val="00905B74"/>
    <w:rsid w:val="00914956"/>
    <w:rsid w:val="00915379"/>
    <w:rsid w:val="00920141"/>
    <w:rsid w:val="00925B34"/>
    <w:rsid w:val="0093042C"/>
    <w:rsid w:val="00933B3F"/>
    <w:rsid w:val="0094072D"/>
    <w:rsid w:val="00945881"/>
    <w:rsid w:val="00956468"/>
    <w:rsid w:val="00957931"/>
    <w:rsid w:val="00964274"/>
    <w:rsid w:val="00970A55"/>
    <w:rsid w:val="00977D4C"/>
    <w:rsid w:val="00981551"/>
    <w:rsid w:val="00981C42"/>
    <w:rsid w:val="00985061"/>
    <w:rsid w:val="009940FA"/>
    <w:rsid w:val="00996FEE"/>
    <w:rsid w:val="009977F8"/>
    <w:rsid w:val="009A1B73"/>
    <w:rsid w:val="009A5D85"/>
    <w:rsid w:val="009B202C"/>
    <w:rsid w:val="009B3B9E"/>
    <w:rsid w:val="009C7541"/>
    <w:rsid w:val="009D1A27"/>
    <w:rsid w:val="009D76AB"/>
    <w:rsid w:val="009E172E"/>
    <w:rsid w:val="009E51F7"/>
    <w:rsid w:val="009E58C9"/>
    <w:rsid w:val="009F0210"/>
    <w:rsid w:val="009F438A"/>
    <w:rsid w:val="009F438B"/>
    <w:rsid w:val="009F575B"/>
    <w:rsid w:val="00A05A97"/>
    <w:rsid w:val="00A1162D"/>
    <w:rsid w:val="00A23F48"/>
    <w:rsid w:val="00A2413E"/>
    <w:rsid w:val="00A359B1"/>
    <w:rsid w:val="00A37082"/>
    <w:rsid w:val="00A42EBB"/>
    <w:rsid w:val="00A44C8A"/>
    <w:rsid w:val="00A53C95"/>
    <w:rsid w:val="00A5748D"/>
    <w:rsid w:val="00A61DA0"/>
    <w:rsid w:val="00A63C46"/>
    <w:rsid w:val="00A6410E"/>
    <w:rsid w:val="00A66127"/>
    <w:rsid w:val="00A735E1"/>
    <w:rsid w:val="00A80E4A"/>
    <w:rsid w:val="00A840FA"/>
    <w:rsid w:val="00A848DF"/>
    <w:rsid w:val="00A84DC7"/>
    <w:rsid w:val="00A90FCB"/>
    <w:rsid w:val="00A9502D"/>
    <w:rsid w:val="00AA2A11"/>
    <w:rsid w:val="00AA56D0"/>
    <w:rsid w:val="00AB7C56"/>
    <w:rsid w:val="00AD7D39"/>
    <w:rsid w:val="00AE1B04"/>
    <w:rsid w:val="00AE262D"/>
    <w:rsid w:val="00B02690"/>
    <w:rsid w:val="00B05EB3"/>
    <w:rsid w:val="00B1139E"/>
    <w:rsid w:val="00B15A5A"/>
    <w:rsid w:val="00B16F47"/>
    <w:rsid w:val="00B2605A"/>
    <w:rsid w:val="00B3684E"/>
    <w:rsid w:val="00B43854"/>
    <w:rsid w:val="00B53A33"/>
    <w:rsid w:val="00B55E7F"/>
    <w:rsid w:val="00B6014C"/>
    <w:rsid w:val="00B62A91"/>
    <w:rsid w:val="00B63D56"/>
    <w:rsid w:val="00B649CC"/>
    <w:rsid w:val="00B64F30"/>
    <w:rsid w:val="00B70395"/>
    <w:rsid w:val="00B72304"/>
    <w:rsid w:val="00B81F3F"/>
    <w:rsid w:val="00B826E4"/>
    <w:rsid w:val="00B86F78"/>
    <w:rsid w:val="00B97B78"/>
    <w:rsid w:val="00BA3EC9"/>
    <w:rsid w:val="00BB121F"/>
    <w:rsid w:val="00BB6DED"/>
    <w:rsid w:val="00BC2BE7"/>
    <w:rsid w:val="00BC40A9"/>
    <w:rsid w:val="00BC46DE"/>
    <w:rsid w:val="00BC52A2"/>
    <w:rsid w:val="00BC6FF8"/>
    <w:rsid w:val="00BD6391"/>
    <w:rsid w:val="00BD6C6F"/>
    <w:rsid w:val="00BE145E"/>
    <w:rsid w:val="00BE15CB"/>
    <w:rsid w:val="00BE39A0"/>
    <w:rsid w:val="00BE5833"/>
    <w:rsid w:val="00BE6C05"/>
    <w:rsid w:val="00BE6FBD"/>
    <w:rsid w:val="00BF5EF4"/>
    <w:rsid w:val="00C01BAF"/>
    <w:rsid w:val="00C033EB"/>
    <w:rsid w:val="00C055D4"/>
    <w:rsid w:val="00C06001"/>
    <w:rsid w:val="00C1569B"/>
    <w:rsid w:val="00C221F3"/>
    <w:rsid w:val="00C25368"/>
    <w:rsid w:val="00C27C2E"/>
    <w:rsid w:val="00C315C6"/>
    <w:rsid w:val="00C33495"/>
    <w:rsid w:val="00C34F03"/>
    <w:rsid w:val="00C36BF4"/>
    <w:rsid w:val="00C45B99"/>
    <w:rsid w:val="00C50CB0"/>
    <w:rsid w:val="00C51BB6"/>
    <w:rsid w:val="00C53049"/>
    <w:rsid w:val="00C57859"/>
    <w:rsid w:val="00C62091"/>
    <w:rsid w:val="00C714A1"/>
    <w:rsid w:val="00C75124"/>
    <w:rsid w:val="00C84593"/>
    <w:rsid w:val="00C874B9"/>
    <w:rsid w:val="00C91DBA"/>
    <w:rsid w:val="00CA128F"/>
    <w:rsid w:val="00CA343A"/>
    <w:rsid w:val="00CA67DA"/>
    <w:rsid w:val="00CA68BB"/>
    <w:rsid w:val="00CC4D39"/>
    <w:rsid w:val="00CC6472"/>
    <w:rsid w:val="00CD06B8"/>
    <w:rsid w:val="00CD7F73"/>
    <w:rsid w:val="00CE3157"/>
    <w:rsid w:val="00CE33EA"/>
    <w:rsid w:val="00CE4EB0"/>
    <w:rsid w:val="00CE768D"/>
    <w:rsid w:val="00CF02F4"/>
    <w:rsid w:val="00CF1B6F"/>
    <w:rsid w:val="00CF2B00"/>
    <w:rsid w:val="00D024BC"/>
    <w:rsid w:val="00D06AE7"/>
    <w:rsid w:val="00D12252"/>
    <w:rsid w:val="00D1706B"/>
    <w:rsid w:val="00D23E83"/>
    <w:rsid w:val="00D24F38"/>
    <w:rsid w:val="00D26D5D"/>
    <w:rsid w:val="00D27370"/>
    <w:rsid w:val="00D41FC2"/>
    <w:rsid w:val="00D519DD"/>
    <w:rsid w:val="00D54A46"/>
    <w:rsid w:val="00D60EF8"/>
    <w:rsid w:val="00D72C2B"/>
    <w:rsid w:val="00D81F07"/>
    <w:rsid w:val="00D837B4"/>
    <w:rsid w:val="00D91B5B"/>
    <w:rsid w:val="00D92425"/>
    <w:rsid w:val="00D94992"/>
    <w:rsid w:val="00D9524D"/>
    <w:rsid w:val="00DC2112"/>
    <w:rsid w:val="00DD6407"/>
    <w:rsid w:val="00DE37AD"/>
    <w:rsid w:val="00E10A07"/>
    <w:rsid w:val="00E17EF0"/>
    <w:rsid w:val="00E211BB"/>
    <w:rsid w:val="00E276A0"/>
    <w:rsid w:val="00E306E3"/>
    <w:rsid w:val="00E3276E"/>
    <w:rsid w:val="00E52A01"/>
    <w:rsid w:val="00E6113C"/>
    <w:rsid w:val="00E63337"/>
    <w:rsid w:val="00E86B16"/>
    <w:rsid w:val="00E948E3"/>
    <w:rsid w:val="00E97BCB"/>
    <w:rsid w:val="00EA6E9A"/>
    <w:rsid w:val="00EB4327"/>
    <w:rsid w:val="00EC193B"/>
    <w:rsid w:val="00EC5938"/>
    <w:rsid w:val="00EC6874"/>
    <w:rsid w:val="00EC75AE"/>
    <w:rsid w:val="00ED07AC"/>
    <w:rsid w:val="00ED5C0A"/>
    <w:rsid w:val="00EE05FF"/>
    <w:rsid w:val="00EE69AB"/>
    <w:rsid w:val="00F11CC6"/>
    <w:rsid w:val="00F120EE"/>
    <w:rsid w:val="00F13962"/>
    <w:rsid w:val="00F14115"/>
    <w:rsid w:val="00F21308"/>
    <w:rsid w:val="00F22482"/>
    <w:rsid w:val="00F23684"/>
    <w:rsid w:val="00F2478B"/>
    <w:rsid w:val="00F30F38"/>
    <w:rsid w:val="00F3355B"/>
    <w:rsid w:val="00F4422D"/>
    <w:rsid w:val="00F51CC2"/>
    <w:rsid w:val="00F6337A"/>
    <w:rsid w:val="00F75CED"/>
    <w:rsid w:val="00F800AA"/>
    <w:rsid w:val="00F842B3"/>
    <w:rsid w:val="00F92FDE"/>
    <w:rsid w:val="00F966AF"/>
    <w:rsid w:val="00FA4115"/>
    <w:rsid w:val="00FA5CF6"/>
    <w:rsid w:val="00FB1D6D"/>
    <w:rsid w:val="00FB4214"/>
    <w:rsid w:val="00FB4D41"/>
    <w:rsid w:val="00FC12A4"/>
    <w:rsid w:val="00FC6206"/>
    <w:rsid w:val="00FD1268"/>
    <w:rsid w:val="00FD35F7"/>
    <w:rsid w:val="00FD3C2A"/>
    <w:rsid w:val="00FD6388"/>
    <w:rsid w:val="00FE204A"/>
    <w:rsid w:val="00FE6DDF"/>
    <w:rsid w:val="00FE6F91"/>
    <w:rsid w:val="00FF424C"/>
    <w:rsid w:val="00FF6153"/>
    <w:rsid w:val="00FF780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9E6D83B"/>
  <w14:defaultImageDpi w14:val="0"/>
  <w15:docId w15:val="{CAC56E27-8CD5-4692-B7D7-E4A0590CB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226"/>
    <w:pPr>
      <w:spacing w:after="0" w:line="240" w:lineRule="auto"/>
    </w:pPr>
    <w:rPr>
      <w:sz w:val="24"/>
      <w:szCs w:val="20"/>
      <w:lang w:eastAsia="en-US"/>
    </w:rPr>
  </w:style>
  <w:style w:type="paragraph" w:styleId="Heading1">
    <w:name w:val="heading 1"/>
    <w:basedOn w:val="Normal"/>
    <w:next w:val="Normal"/>
    <w:link w:val="Heading1Char"/>
    <w:uiPriority w:val="99"/>
    <w:qFormat/>
    <w:rsid w:val="003E4226"/>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9"/>
    <w:qFormat/>
    <w:rsid w:val="003E4226"/>
    <w:pPr>
      <w:keepNext/>
      <w:widowControl w:val="0"/>
      <w:jc w:val="center"/>
      <w:outlineLvl w:val="1"/>
    </w:pPr>
    <w:rPr>
      <w:rFonts w:ascii="Arial" w:hAnsi="Arial" w:cs="Arial"/>
      <w:i/>
      <w:iCs/>
      <w:sz w:val="16"/>
      <w:szCs w:val="16"/>
    </w:rPr>
  </w:style>
  <w:style w:type="paragraph" w:styleId="Heading3">
    <w:name w:val="heading 3"/>
    <w:basedOn w:val="Normal"/>
    <w:next w:val="Normal"/>
    <w:link w:val="Heading3Char"/>
    <w:uiPriority w:val="99"/>
    <w:qFormat/>
    <w:rsid w:val="003E4226"/>
    <w:pPr>
      <w:keepNext/>
      <w:pBdr>
        <w:right w:val="single" w:sz="4" w:space="4" w:color="auto"/>
      </w:pBdr>
      <w:outlineLvl w:val="2"/>
    </w:pPr>
    <w:rPr>
      <w:i/>
      <w:iCs/>
      <w:sz w:val="22"/>
      <w:szCs w:val="22"/>
    </w:rPr>
  </w:style>
  <w:style w:type="paragraph" w:styleId="Heading4">
    <w:name w:val="heading 4"/>
    <w:basedOn w:val="Normal"/>
    <w:next w:val="Normal"/>
    <w:link w:val="Heading4Char"/>
    <w:uiPriority w:val="99"/>
    <w:qFormat/>
    <w:rsid w:val="003E4226"/>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E4226"/>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3E4226"/>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sid w:val="003E4226"/>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sid w:val="003E4226"/>
    <w:rPr>
      <w:rFonts w:asciiTheme="minorHAnsi" w:eastAsiaTheme="minorEastAsia" w:hAnsiTheme="minorHAnsi" w:cs="Times New Roman"/>
      <w:b/>
      <w:bCs/>
      <w:sz w:val="28"/>
      <w:szCs w:val="28"/>
      <w:lang w:val="x-none" w:eastAsia="en-US"/>
    </w:rPr>
  </w:style>
  <w:style w:type="paragraph" w:styleId="Title">
    <w:name w:val="Title"/>
    <w:basedOn w:val="Normal"/>
    <w:link w:val="TitleChar"/>
    <w:uiPriority w:val="99"/>
    <w:qFormat/>
    <w:rsid w:val="003E4226"/>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uiPriority w:val="10"/>
    <w:locked/>
    <w:rsid w:val="003E4226"/>
    <w:rPr>
      <w:rFonts w:asciiTheme="majorHAnsi" w:eastAsiaTheme="majorEastAsia" w:hAnsiTheme="majorHAnsi" w:cs="Times New Roman"/>
      <w:b/>
      <w:bCs/>
      <w:kern w:val="28"/>
      <w:sz w:val="32"/>
      <w:szCs w:val="32"/>
      <w:lang w:val="x-none" w:eastAsia="en-US"/>
    </w:rPr>
  </w:style>
  <w:style w:type="paragraph" w:styleId="Footer">
    <w:name w:val="footer"/>
    <w:basedOn w:val="Normal"/>
    <w:link w:val="FooterChar"/>
    <w:uiPriority w:val="99"/>
    <w:rsid w:val="003E4226"/>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semiHidden/>
    <w:locked/>
    <w:rsid w:val="003E4226"/>
    <w:rPr>
      <w:rFonts w:cs="Times New Roman"/>
      <w:sz w:val="20"/>
      <w:szCs w:val="20"/>
      <w:lang w:val="x-none" w:eastAsia="en-US"/>
    </w:rPr>
  </w:style>
  <w:style w:type="paragraph" w:customStyle="1" w:styleId="Billname">
    <w:name w:val="Billname"/>
    <w:basedOn w:val="Normal"/>
    <w:rsid w:val="003E4226"/>
    <w:pPr>
      <w:tabs>
        <w:tab w:val="left" w:pos="2400"/>
        <w:tab w:val="left" w:pos="2880"/>
      </w:tabs>
      <w:spacing w:before="1220" w:after="100"/>
    </w:pPr>
    <w:rPr>
      <w:rFonts w:ascii="Arial" w:hAnsi="Arial"/>
      <w:b/>
      <w:sz w:val="40"/>
    </w:rPr>
  </w:style>
  <w:style w:type="paragraph" w:customStyle="1" w:styleId="Amain">
    <w:name w:val="A main"/>
    <w:basedOn w:val="Normal"/>
    <w:uiPriority w:val="99"/>
    <w:rsid w:val="003E4226"/>
    <w:pPr>
      <w:tabs>
        <w:tab w:val="right" w:pos="500"/>
        <w:tab w:val="left" w:pos="700"/>
      </w:tabs>
      <w:spacing w:before="80" w:after="60"/>
      <w:ind w:left="700" w:hanging="700"/>
      <w:jc w:val="both"/>
      <w:outlineLvl w:val="5"/>
    </w:pPr>
  </w:style>
  <w:style w:type="paragraph" w:customStyle="1" w:styleId="N-line3">
    <w:name w:val="N-line3"/>
    <w:basedOn w:val="Normal"/>
    <w:next w:val="Normal"/>
    <w:uiPriority w:val="99"/>
    <w:rsid w:val="003E4226"/>
    <w:pPr>
      <w:pBdr>
        <w:bottom w:val="single" w:sz="12" w:space="1" w:color="auto"/>
      </w:pBdr>
      <w:jc w:val="both"/>
    </w:pPr>
  </w:style>
  <w:style w:type="paragraph" w:customStyle="1" w:styleId="madeunder">
    <w:name w:val="made under"/>
    <w:basedOn w:val="Normal"/>
    <w:uiPriority w:val="99"/>
    <w:rsid w:val="003E4226"/>
    <w:pPr>
      <w:spacing w:before="180" w:after="60"/>
      <w:jc w:val="both"/>
    </w:pPr>
  </w:style>
  <w:style w:type="paragraph" w:customStyle="1" w:styleId="CoverActName">
    <w:name w:val="CoverActName"/>
    <w:basedOn w:val="Normal"/>
    <w:rsid w:val="003E4226"/>
    <w:pPr>
      <w:tabs>
        <w:tab w:val="left" w:pos="2600"/>
      </w:tabs>
      <w:spacing w:before="200" w:after="60"/>
      <w:jc w:val="both"/>
    </w:pPr>
    <w:rPr>
      <w:rFonts w:ascii="Arial" w:hAnsi="Arial"/>
      <w:b/>
    </w:rPr>
  </w:style>
  <w:style w:type="paragraph" w:customStyle="1" w:styleId="06Copyright">
    <w:name w:val="06Copyright"/>
    <w:basedOn w:val="Normal"/>
    <w:uiPriority w:val="99"/>
    <w:rsid w:val="003E4226"/>
    <w:pPr>
      <w:tabs>
        <w:tab w:val="left" w:pos="2880"/>
      </w:tabs>
    </w:pPr>
  </w:style>
  <w:style w:type="paragraph" w:customStyle="1" w:styleId="Apara">
    <w:name w:val="A para"/>
    <w:basedOn w:val="Normal"/>
    <w:uiPriority w:val="99"/>
    <w:rsid w:val="003E4226"/>
    <w:pPr>
      <w:numPr>
        <w:ilvl w:val="6"/>
        <w:numId w:val="17"/>
      </w:numPr>
      <w:spacing w:before="80" w:after="60"/>
      <w:jc w:val="both"/>
      <w:outlineLvl w:val="6"/>
    </w:pPr>
  </w:style>
  <w:style w:type="paragraph" w:customStyle="1" w:styleId="Asubpara">
    <w:name w:val="A subpara"/>
    <w:basedOn w:val="Normal"/>
    <w:uiPriority w:val="99"/>
    <w:rsid w:val="003E4226"/>
    <w:pPr>
      <w:numPr>
        <w:ilvl w:val="7"/>
        <w:numId w:val="17"/>
      </w:numPr>
      <w:spacing w:before="80" w:after="60"/>
      <w:jc w:val="both"/>
      <w:outlineLvl w:val="7"/>
    </w:pPr>
  </w:style>
  <w:style w:type="paragraph" w:customStyle="1" w:styleId="Asubsubpara">
    <w:name w:val="A subsubpara"/>
    <w:basedOn w:val="Normal"/>
    <w:uiPriority w:val="99"/>
    <w:rsid w:val="003E4226"/>
    <w:pPr>
      <w:numPr>
        <w:ilvl w:val="8"/>
        <w:numId w:val="17"/>
      </w:numPr>
      <w:spacing w:before="80" w:after="60"/>
      <w:jc w:val="both"/>
      <w:outlineLvl w:val="8"/>
    </w:pPr>
  </w:style>
  <w:style w:type="paragraph" w:customStyle="1" w:styleId="AH5Sec">
    <w:name w:val="A H5 Sec"/>
    <w:basedOn w:val="Normal"/>
    <w:next w:val="Amain"/>
    <w:uiPriority w:val="99"/>
    <w:rsid w:val="003E4226"/>
    <w:pPr>
      <w:keepNext/>
      <w:numPr>
        <w:ilvl w:val="4"/>
        <w:numId w:val="1"/>
      </w:numPr>
      <w:spacing w:before="180" w:after="60"/>
      <w:outlineLvl w:val="4"/>
    </w:pPr>
    <w:rPr>
      <w:rFonts w:ascii="Arial" w:hAnsi="Arial"/>
      <w:b/>
    </w:rPr>
  </w:style>
  <w:style w:type="paragraph" w:styleId="Header">
    <w:name w:val="header"/>
    <w:basedOn w:val="Normal"/>
    <w:link w:val="HeaderChar"/>
    <w:uiPriority w:val="99"/>
    <w:rsid w:val="003E4226"/>
    <w:pPr>
      <w:tabs>
        <w:tab w:val="left" w:pos="2880"/>
        <w:tab w:val="center" w:pos="4153"/>
        <w:tab w:val="right" w:pos="8306"/>
      </w:tabs>
    </w:pPr>
  </w:style>
  <w:style w:type="character" w:customStyle="1" w:styleId="HeaderChar">
    <w:name w:val="Header Char"/>
    <w:basedOn w:val="DefaultParagraphFont"/>
    <w:link w:val="Header"/>
    <w:uiPriority w:val="99"/>
    <w:semiHidden/>
    <w:locked/>
    <w:rsid w:val="003E4226"/>
    <w:rPr>
      <w:rFonts w:cs="Times New Roman"/>
      <w:sz w:val="20"/>
      <w:szCs w:val="20"/>
      <w:lang w:val="x-none" w:eastAsia="en-US"/>
    </w:rPr>
  </w:style>
  <w:style w:type="paragraph" w:customStyle="1" w:styleId="ref">
    <w:name w:val="ref"/>
    <w:basedOn w:val="Normal"/>
    <w:next w:val="Normal"/>
    <w:uiPriority w:val="99"/>
    <w:rsid w:val="003E4226"/>
    <w:pPr>
      <w:spacing w:after="60"/>
      <w:jc w:val="both"/>
    </w:pPr>
    <w:rPr>
      <w:sz w:val="18"/>
    </w:rPr>
  </w:style>
  <w:style w:type="character" w:customStyle="1" w:styleId="CharDivText">
    <w:name w:val="CharDivText"/>
    <w:basedOn w:val="DefaultParagraphFont"/>
    <w:uiPriority w:val="99"/>
    <w:rsid w:val="003E4226"/>
    <w:rPr>
      <w:rFonts w:cs="Times New Roman"/>
    </w:rPr>
  </w:style>
  <w:style w:type="paragraph" w:customStyle="1" w:styleId="CoverInForce">
    <w:name w:val="CoverInForce"/>
    <w:basedOn w:val="Normal"/>
    <w:uiPriority w:val="99"/>
    <w:rsid w:val="003E4226"/>
    <w:pPr>
      <w:tabs>
        <w:tab w:val="left" w:pos="2600"/>
      </w:tabs>
      <w:spacing w:before="200" w:after="60"/>
      <w:jc w:val="both"/>
    </w:pPr>
    <w:rPr>
      <w:rFonts w:ascii="Arial" w:hAnsi="Arial"/>
    </w:rPr>
  </w:style>
  <w:style w:type="paragraph" w:customStyle="1" w:styleId="AFHdg">
    <w:name w:val="AFHdg"/>
    <w:basedOn w:val="Normal"/>
    <w:uiPriority w:val="99"/>
    <w:rsid w:val="003E4226"/>
    <w:pPr>
      <w:tabs>
        <w:tab w:val="left" w:pos="2600"/>
      </w:tabs>
      <w:spacing w:before="80" w:after="60"/>
      <w:jc w:val="both"/>
    </w:pPr>
    <w:rPr>
      <w:rFonts w:ascii="Arial" w:hAnsi="Arial"/>
      <w:b/>
      <w:sz w:val="32"/>
    </w:rPr>
  </w:style>
  <w:style w:type="paragraph" w:customStyle="1" w:styleId="ApprFormHd">
    <w:name w:val="ApprFormHd"/>
    <w:basedOn w:val="Normal"/>
    <w:uiPriority w:val="99"/>
    <w:rsid w:val="003E4226"/>
    <w:pPr>
      <w:keepNext/>
      <w:tabs>
        <w:tab w:val="left" w:pos="2600"/>
      </w:tabs>
      <w:spacing w:before="320" w:after="60"/>
      <w:outlineLvl w:val="0"/>
    </w:pPr>
    <w:rPr>
      <w:rFonts w:ascii="Arial" w:hAnsi="Arial"/>
      <w:b/>
      <w:sz w:val="34"/>
    </w:rPr>
  </w:style>
  <w:style w:type="character" w:styleId="PageNumber">
    <w:name w:val="page number"/>
    <w:basedOn w:val="DefaultParagraphFont"/>
    <w:uiPriority w:val="99"/>
    <w:rsid w:val="003E4226"/>
    <w:rPr>
      <w:rFonts w:cs="Times New Roman"/>
    </w:rPr>
  </w:style>
  <w:style w:type="paragraph" w:customStyle="1" w:styleId="Aparabullet">
    <w:name w:val="A para bullet"/>
    <w:basedOn w:val="Normal"/>
    <w:uiPriority w:val="99"/>
    <w:rsid w:val="003E4226"/>
    <w:pPr>
      <w:numPr>
        <w:numId w:val="4"/>
      </w:numPr>
    </w:pPr>
  </w:style>
  <w:style w:type="paragraph" w:styleId="TOC1">
    <w:name w:val="toc 1"/>
    <w:basedOn w:val="Normal"/>
    <w:next w:val="Normal"/>
    <w:autoRedefine/>
    <w:uiPriority w:val="99"/>
    <w:semiHidden/>
    <w:rsid w:val="003E4226"/>
  </w:style>
  <w:style w:type="paragraph" w:styleId="TOC2">
    <w:name w:val="toc 2"/>
    <w:basedOn w:val="Normal"/>
    <w:next w:val="Normal"/>
    <w:autoRedefine/>
    <w:uiPriority w:val="99"/>
    <w:semiHidden/>
    <w:rsid w:val="003E4226"/>
    <w:pPr>
      <w:ind w:left="240"/>
    </w:pPr>
  </w:style>
  <w:style w:type="paragraph" w:styleId="TOC3">
    <w:name w:val="toc 3"/>
    <w:basedOn w:val="Normal"/>
    <w:next w:val="Normal"/>
    <w:autoRedefine/>
    <w:uiPriority w:val="99"/>
    <w:semiHidden/>
    <w:rsid w:val="003E4226"/>
    <w:pPr>
      <w:ind w:left="480"/>
    </w:pPr>
  </w:style>
  <w:style w:type="paragraph" w:styleId="TOC4">
    <w:name w:val="toc 4"/>
    <w:basedOn w:val="Normal"/>
    <w:next w:val="Normal"/>
    <w:autoRedefine/>
    <w:uiPriority w:val="99"/>
    <w:semiHidden/>
    <w:rsid w:val="003E4226"/>
    <w:pPr>
      <w:ind w:left="720"/>
    </w:pPr>
  </w:style>
  <w:style w:type="paragraph" w:styleId="TOC5">
    <w:name w:val="toc 5"/>
    <w:basedOn w:val="Normal"/>
    <w:next w:val="Normal"/>
    <w:autoRedefine/>
    <w:uiPriority w:val="99"/>
    <w:semiHidden/>
    <w:rsid w:val="003E4226"/>
    <w:pPr>
      <w:ind w:left="960"/>
    </w:pPr>
  </w:style>
  <w:style w:type="paragraph" w:styleId="TOC6">
    <w:name w:val="toc 6"/>
    <w:basedOn w:val="Normal"/>
    <w:next w:val="Normal"/>
    <w:autoRedefine/>
    <w:uiPriority w:val="99"/>
    <w:semiHidden/>
    <w:rsid w:val="003E4226"/>
    <w:pPr>
      <w:ind w:left="1200"/>
    </w:pPr>
  </w:style>
  <w:style w:type="paragraph" w:styleId="TOC7">
    <w:name w:val="toc 7"/>
    <w:basedOn w:val="Normal"/>
    <w:next w:val="Normal"/>
    <w:autoRedefine/>
    <w:uiPriority w:val="99"/>
    <w:semiHidden/>
    <w:rsid w:val="003E4226"/>
    <w:pPr>
      <w:ind w:left="1440"/>
    </w:pPr>
  </w:style>
  <w:style w:type="paragraph" w:styleId="TOC8">
    <w:name w:val="toc 8"/>
    <w:basedOn w:val="Normal"/>
    <w:next w:val="Normal"/>
    <w:autoRedefine/>
    <w:uiPriority w:val="99"/>
    <w:semiHidden/>
    <w:rsid w:val="003E4226"/>
    <w:pPr>
      <w:ind w:left="1680"/>
    </w:pPr>
  </w:style>
  <w:style w:type="paragraph" w:styleId="TOC9">
    <w:name w:val="toc 9"/>
    <w:basedOn w:val="Normal"/>
    <w:next w:val="Normal"/>
    <w:autoRedefine/>
    <w:uiPriority w:val="99"/>
    <w:semiHidden/>
    <w:rsid w:val="003E4226"/>
    <w:pPr>
      <w:ind w:left="1920"/>
    </w:pPr>
  </w:style>
  <w:style w:type="character" w:styleId="Hyperlink">
    <w:name w:val="Hyperlink"/>
    <w:basedOn w:val="DefaultParagraphFont"/>
    <w:uiPriority w:val="99"/>
    <w:rsid w:val="003E4226"/>
    <w:rPr>
      <w:rFonts w:cs="Times New Roman"/>
      <w:color w:val="0000FF"/>
      <w:u w:val="single"/>
    </w:rPr>
  </w:style>
  <w:style w:type="paragraph" w:styleId="BodyTextIndent">
    <w:name w:val="Body Text Indent"/>
    <w:basedOn w:val="Normal"/>
    <w:link w:val="BodyTextIndentChar"/>
    <w:uiPriority w:val="99"/>
    <w:rsid w:val="003E4226"/>
    <w:pPr>
      <w:spacing w:before="120" w:after="60"/>
      <w:ind w:left="709"/>
    </w:pPr>
  </w:style>
  <w:style w:type="character" w:customStyle="1" w:styleId="BodyTextIndentChar">
    <w:name w:val="Body Text Indent Char"/>
    <w:basedOn w:val="DefaultParagraphFont"/>
    <w:link w:val="BodyTextIndent"/>
    <w:uiPriority w:val="99"/>
    <w:semiHidden/>
    <w:locked/>
    <w:rsid w:val="003E4226"/>
    <w:rPr>
      <w:rFonts w:cs="Times New Roman"/>
      <w:sz w:val="20"/>
      <w:szCs w:val="20"/>
      <w:lang w:val="x-none" w:eastAsia="en-US"/>
    </w:rPr>
  </w:style>
  <w:style w:type="paragraph" w:customStyle="1" w:styleId="Minister">
    <w:name w:val="Minister"/>
    <w:basedOn w:val="Normal"/>
    <w:uiPriority w:val="99"/>
    <w:rsid w:val="003E4226"/>
    <w:pPr>
      <w:spacing w:before="880" w:after="60"/>
      <w:jc w:val="right"/>
    </w:pPr>
    <w:rPr>
      <w:caps/>
      <w:szCs w:val="24"/>
    </w:rPr>
  </w:style>
  <w:style w:type="paragraph" w:customStyle="1" w:styleId="DateLine">
    <w:name w:val="DateLine"/>
    <w:basedOn w:val="Normal"/>
    <w:uiPriority w:val="99"/>
    <w:rsid w:val="003E4226"/>
    <w:pPr>
      <w:tabs>
        <w:tab w:val="left" w:pos="4320"/>
      </w:tabs>
      <w:spacing w:before="80" w:after="60"/>
      <w:jc w:val="both"/>
    </w:pPr>
    <w:rPr>
      <w:szCs w:val="24"/>
    </w:rPr>
  </w:style>
  <w:style w:type="paragraph" w:customStyle="1" w:styleId="MinisterWord">
    <w:name w:val="MinisterWord"/>
    <w:basedOn w:val="Normal"/>
    <w:uiPriority w:val="99"/>
    <w:rsid w:val="003E4226"/>
    <w:pPr>
      <w:tabs>
        <w:tab w:val="left" w:pos="2880"/>
      </w:tabs>
      <w:jc w:val="right"/>
    </w:pPr>
    <w:rPr>
      <w:szCs w:val="24"/>
    </w:rPr>
  </w:style>
  <w:style w:type="character" w:styleId="FollowedHyperlink">
    <w:name w:val="FollowedHyperlink"/>
    <w:basedOn w:val="DefaultParagraphFont"/>
    <w:uiPriority w:val="99"/>
    <w:rsid w:val="003E4226"/>
    <w:rPr>
      <w:rFonts w:cs="Times New Roman"/>
      <w:color w:val="800080"/>
      <w:u w:val="single"/>
    </w:rPr>
  </w:style>
  <w:style w:type="character" w:styleId="FootnoteReference">
    <w:name w:val="footnote reference"/>
    <w:basedOn w:val="DefaultParagraphFont"/>
    <w:uiPriority w:val="99"/>
    <w:semiHidden/>
    <w:rsid w:val="003E4226"/>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rsid w:val="003E4226"/>
    <w:pPr>
      <w:spacing w:before="80" w:after="60"/>
      <w:jc w:val="both"/>
    </w:pPr>
    <w:rPr>
      <w:szCs w:val="24"/>
    </w:rPr>
  </w:style>
  <w:style w:type="character" w:customStyle="1" w:styleId="FootnoteTextChar">
    <w:name w:val="Footnote Text Char"/>
    <w:basedOn w:val="DefaultParagraphFont"/>
    <w:link w:val="FootnoteText"/>
    <w:uiPriority w:val="99"/>
    <w:semiHidden/>
    <w:locked/>
    <w:rsid w:val="003E4226"/>
    <w:rPr>
      <w:rFonts w:cs="Times New Roman"/>
      <w:sz w:val="20"/>
      <w:szCs w:val="20"/>
      <w:lang w:val="x-none" w:eastAsia="en-US"/>
    </w:rPr>
  </w:style>
  <w:style w:type="paragraph" w:customStyle="1" w:styleId="ShadedSchClause">
    <w:name w:val="Shaded Sch Clause"/>
    <w:basedOn w:val="Normal"/>
    <w:next w:val="Normal"/>
    <w:uiPriority w:val="99"/>
    <w:rsid w:val="003E4226"/>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uiPriority w:val="99"/>
    <w:rsid w:val="003E4226"/>
    <w:rPr>
      <w:rFonts w:cs="Times New Roman"/>
    </w:rPr>
  </w:style>
  <w:style w:type="paragraph" w:styleId="BalloonText">
    <w:name w:val="Balloon Text"/>
    <w:basedOn w:val="Normal"/>
    <w:link w:val="BalloonTextChar"/>
    <w:uiPriority w:val="99"/>
    <w:semiHidden/>
    <w:unhideWhenUsed/>
    <w:rsid w:val="00E6113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113C"/>
    <w:rPr>
      <w:rFonts w:ascii="Tahoma" w:hAnsi="Tahoma" w:cs="Tahoma"/>
      <w:sz w:val="16"/>
      <w:szCs w:val="16"/>
      <w:lang w:val="x-none" w:eastAsia="en-US"/>
    </w:rPr>
  </w:style>
  <w:style w:type="paragraph" w:styleId="ListParagraph">
    <w:name w:val="List Paragraph"/>
    <w:basedOn w:val="Normal"/>
    <w:uiPriority w:val="34"/>
    <w:qFormat/>
    <w:rsid w:val="00E10A07"/>
    <w:pPr>
      <w:ind w:left="720"/>
    </w:pPr>
  </w:style>
  <w:style w:type="table" w:styleId="TableGrid">
    <w:name w:val="Table Grid"/>
    <w:basedOn w:val="TableNormal"/>
    <w:uiPriority w:val="59"/>
    <w:rsid w:val="005D6340"/>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5748D"/>
    <w:pPr>
      <w:spacing w:after="0" w:line="240" w:lineRule="auto"/>
    </w:pPr>
    <w:rPr>
      <w:sz w:val="24"/>
      <w:szCs w:val="20"/>
      <w:lang w:eastAsia="en-US"/>
    </w:rPr>
  </w:style>
  <w:style w:type="character" w:styleId="CommentReference">
    <w:name w:val="annotation reference"/>
    <w:basedOn w:val="DefaultParagraphFont"/>
    <w:uiPriority w:val="99"/>
    <w:semiHidden/>
    <w:unhideWhenUsed/>
    <w:rsid w:val="00AE1B04"/>
    <w:rPr>
      <w:rFonts w:cs="Times New Roman"/>
      <w:sz w:val="16"/>
      <w:szCs w:val="16"/>
    </w:rPr>
  </w:style>
  <w:style w:type="paragraph" w:styleId="CommentText">
    <w:name w:val="annotation text"/>
    <w:basedOn w:val="Normal"/>
    <w:link w:val="CommentTextChar"/>
    <w:uiPriority w:val="99"/>
    <w:semiHidden/>
    <w:unhideWhenUsed/>
    <w:rsid w:val="00AE1B04"/>
    <w:rPr>
      <w:sz w:val="20"/>
    </w:rPr>
  </w:style>
  <w:style w:type="character" w:customStyle="1" w:styleId="CommentTextChar">
    <w:name w:val="Comment Text Char"/>
    <w:basedOn w:val="DefaultParagraphFont"/>
    <w:link w:val="CommentText"/>
    <w:uiPriority w:val="99"/>
    <w:semiHidden/>
    <w:locked/>
    <w:rsid w:val="00AE1B04"/>
    <w:rPr>
      <w:rFonts w:cs="Times New Roman"/>
      <w:sz w:val="20"/>
      <w:szCs w:val="20"/>
      <w:lang w:val="x-none" w:eastAsia="en-US"/>
    </w:rPr>
  </w:style>
  <w:style w:type="paragraph" w:styleId="CommentSubject">
    <w:name w:val="annotation subject"/>
    <w:basedOn w:val="CommentText"/>
    <w:next w:val="CommentText"/>
    <w:link w:val="CommentSubjectChar"/>
    <w:uiPriority w:val="99"/>
    <w:semiHidden/>
    <w:unhideWhenUsed/>
    <w:rsid w:val="00AE1B04"/>
    <w:rPr>
      <w:b/>
      <w:bCs/>
    </w:rPr>
  </w:style>
  <w:style w:type="character" w:customStyle="1" w:styleId="CommentSubjectChar">
    <w:name w:val="Comment Subject Char"/>
    <w:basedOn w:val="CommentTextChar"/>
    <w:link w:val="CommentSubject"/>
    <w:uiPriority w:val="99"/>
    <w:semiHidden/>
    <w:locked/>
    <w:rsid w:val="00AE1B04"/>
    <w:rPr>
      <w:rFonts w:cs="Times New Roman"/>
      <w:b/>
      <w:bCs/>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920CA-9755-4E35-888A-B24F98BFF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1668</Words>
  <Characters>8778</Characters>
  <Application>Microsoft Office Word</Application>
  <DocSecurity>0</DocSecurity>
  <Lines>303</Lines>
  <Paragraphs>150</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4</cp:revision>
  <cp:lastPrinted>2017-06-16T05:05:00Z</cp:lastPrinted>
  <dcterms:created xsi:type="dcterms:W3CDTF">2020-07-02T23:04:00Z</dcterms:created>
  <dcterms:modified xsi:type="dcterms:W3CDTF">2020-07-02T23:04:00Z</dcterms:modified>
</cp:coreProperties>
</file>