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E492" w14:textId="77777777" w:rsidR="0065340F" w:rsidRDefault="0065340F" w:rsidP="0065340F">
      <w:pPr>
        <w:spacing w:before="120"/>
        <w:rPr>
          <w:rFonts w:ascii="Arial" w:hAnsi="Arial" w:cs="Arial"/>
        </w:rPr>
      </w:pPr>
      <w:bookmarkStart w:id="0" w:name="_Toc44738651"/>
      <w:bookmarkStart w:id="1" w:name="_GoBack"/>
      <w:bookmarkEnd w:id="1"/>
      <w:r>
        <w:rPr>
          <w:rFonts w:ascii="Arial" w:hAnsi="Arial" w:cs="Arial"/>
        </w:rPr>
        <w:t>Australian Capital Territory</w:t>
      </w:r>
    </w:p>
    <w:p w14:paraId="16AA9553" w14:textId="7929B381" w:rsidR="0065340F" w:rsidRDefault="0065340F" w:rsidP="0065340F">
      <w:pPr>
        <w:pStyle w:val="Billname"/>
        <w:spacing w:before="700"/>
      </w:pPr>
      <w:bookmarkStart w:id="2" w:name="OLE_LINK1"/>
      <w:r>
        <w:t>Energy Efficiency (Cost of Living) Improvement (Eligible Activities) Determination 2020</w:t>
      </w:r>
      <w:r w:rsidR="00E42A17">
        <w:t xml:space="preserve"> (No 2)</w:t>
      </w:r>
    </w:p>
    <w:p w14:paraId="292F544A" w14:textId="656CB848" w:rsidR="0065340F" w:rsidRDefault="0065340F" w:rsidP="0065340F">
      <w:pPr>
        <w:spacing w:before="340"/>
        <w:rPr>
          <w:rFonts w:ascii="Arial" w:hAnsi="Arial" w:cs="Arial"/>
          <w:b/>
          <w:bCs/>
        </w:rPr>
      </w:pPr>
      <w:r>
        <w:rPr>
          <w:rFonts w:ascii="Arial" w:hAnsi="Arial" w:cs="Arial"/>
          <w:b/>
          <w:bCs/>
        </w:rPr>
        <w:t xml:space="preserve">Disallowable instrument </w:t>
      </w:r>
      <w:r w:rsidRPr="005863C2">
        <w:rPr>
          <w:rFonts w:ascii="Arial" w:hAnsi="Arial" w:cs="Arial"/>
          <w:b/>
          <w:bCs/>
        </w:rPr>
        <w:t>DI2020–</w:t>
      </w:r>
      <w:r w:rsidR="008C187F">
        <w:rPr>
          <w:rFonts w:ascii="Arial" w:hAnsi="Arial" w:cs="Arial"/>
          <w:b/>
          <w:bCs/>
        </w:rPr>
        <w:t>218</w:t>
      </w:r>
    </w:p>
    <w:p w14:paraId="192EB7CD" w14:textId="77777777" w:rsidR="00EB2920" w:rsidRDefault="00EB2920" w:rsidP="00EB2920">
      <w:pPr>
        <w:pStyle w:val="madeunder"/>
        <w:spacing w:before="300" w:after="0"/>
      </w:pPr>
      <w:r>
        <w:t xml:space="preserve">made under the  </w:t>
      </w:r>
    </w:p>
    <w:p w14:paraId="7237BF6E" w14:textId="77777777" w:rsidR="0065340F" w:rsidRDefault="0065340F" w:rsidP="0065340F">
      <w:pPr>
        <w:pStyle w:val="CoverActName"/>
        <w:spacing w:before="320" w:after="0"/>
        <w:rPr>
          <w:rFonts w:cs="Arial"/>
          <w:sz w:val="20"/>
        </w:rPr>
      </w:pPr>
      <w:r w:rsidRPr="003F15F3">
        <w:rPr>
          <w:rFonts w:cs="Arial"/>
          <w:sz w:val="20"/>
        </w:rPr>
        <w:t>Energy Efficiency (Cost of Living) Improvement Act 2012,</w:t>
      </w:r>
      <w:r>
        <w:rPr>
          <w:rFonts w:cs="Arial"/>
          <w:sz w:val="20"/>
        </w:rPr>
        <w:t xml:space="preserve"> </w:t>
      </w:r>
      <w:r w:rsidRPr="003F15F3">
        <w:rPr>
          <w:rFonts w:cs="Arial"/>
          <w:sz w:val="20"/>
        </w:rPr>
        <w:t>s10 (Eligible activities)</w:t>
      </w:r>
    </w:p>
    <w:bookmarkEnd w:id="2"/>
    <w:p w14:paraId="5FB7D51F" w14:textId="77777777" w:rsidR="0065340F" w:rsidRDefault="0065340F" w:rsidP="0065340F">
      <w:pPr>
        <w:spacing w:before="360"/>
        <w:ind w:right="565"/>
        <w:rPr>
          <w:rFonts w:ascii="Arial" w:hAnsi="Arial" w:cs="Arial"/>
          <w:b/>
          <w:bCs/>
          <w:sz w:val="28"/>
          <w:szCs w:val="28"/>
        </w:rPr>
      </w:pPr>
      <w:r>
        <w:rPr>
          <w:rFonts w:ascii="Arial" w:hAnsi="Arial" w:cs="Arial"/>
          <w:b/>
          <w:bCs/>
          <w:sz w:val="28"/>
          <w:szCs w:val="28"/>
        </w:rPr>
        <w:t>EXPLANATORY STATEMENT</w:t>
      </w:r>
    </w:p>
    <w:p w14:paraId="2A77F156" w14:textId="77777777" w:rsidR="0065340F" w:rsidRDefault="0065340F" w:rsidP="0065340F">
      <w:pPr>
        <w:pStyle w:val="N-line3"/>
        <w:pBdr>
          <w:bottom w:val="none" w:sz="0" w:space="0" w:color="auto"/>
        </w:pBdr>
      </w:pPr>
    </w:p>
    <w:p w14:paraId="5672395F" w14:textId="77777777" w:rsidR="0065340F" w:rsidRDefault="0065340F" w:rsidP="0065340F">
      <w:pPr>
        <w:pStyle w:val="N-line3"/>
        <w:pBdr>
          <w:top w:val="single" w:sz="12" w:space="1" w:color="auto"/>
          <w:bottom w:val="none" w:sz="0" w:space="0" w:color="auto"/>
        </w:pBdr>
      </w:pPr>
    </w:p>
    <w:bookmarkEnd w:id="0"/>
    <w:p w14:paraId="770FD623" w14:textId="09AAE45C" w:rsidR="0065340F" w:rsidRPr="00EB2920" w:rsidRDefault="0065340F" w:rsidP="0065340F">
      <w:pPr>
        <w:pStyle w:val="Default"/>
        <w:spacing w:before="120" w:after="120"/>
        <w:rPr>
          <w:rFonts w:ascii="Times New Roman" w:hAnsi="Times New Roman" w:cs="Times New Roman"/>
        </w:rPr>
      </w:pPr>
      <w:r w:rsidRPr="00EB2920">
        <w:rPr>
          <w:rFonts w:ascii="Times New Roman" w:hAnsi="Times New Roman" w:cs="Times New Roman"/>
          <w:b/>
          <w:bCs/>
        </w:rPr>
        <w:t>Introduction</w:t>
      </w:r>
    </w:p>
    <w:p w14:paraId="3596FABF" w14:textId="4B8CDDD6" w:rsidR="0065340F" w:rsidRPr="00EB2920" w:rsidRDefault="0065340F" w:rsidP="0065340F">
      <w:pPr>
        <w:pStyle w:val="Default"/>
        <w:spacing w:before="120" w:after="120"/>
        <w:rPr>
          <w:rFonts w:ascii="Times New Roman" w:hAnsi="Times New Roman" w:cs="Times New Roman"/>
        </w:rPr>
      </w:pPr>
      <w:r w:rsidRPr="00EB2920">
        <w:rPr>
          <w:rFonts w:ascii="Times New Roman" w:hAnsi="Times New Roman" w:cs="Times New Roman"/>
        </w:rPr>
        <w:t xml:space="preserve">This explanatory statement relates to the Energy Efficiency (Cost of Living) Improvement (Eligible Activities) Determination </w:t>
      </w:r>
      <w:r w:rsidR="00076111" w:rsidRPr="00EB2920">
        <w:rPr>
          <w:rFonts w:ascii="Times New Roman" w:hAnsi="Times New Roman" w:cs="Times New Roman"/>
        </w:rPr>
        <w:t xml:space="preserve">2020 </w:t>
      </w:r>
      <w:r w:rsidR="00E42A17" w:rsidRPr="00EB2920">
        <w:rPr>
          <w:rFonts w:ascii="Times New Roman" w:hAnsi="Times New Roman" w:cs="Times New Roman"/>
        </w:rPr>
        <w:t>(</w:t>
      </w:r>
      <w:r w:rsidR="00E42A17" w:rsidRPr="004A2B29">
        <w:rPr>
          <w:rFonts w:ascii="Times New Roman" w:hAnsi="Times New Roman" w:cs="Times New Roman"/>
        </w:rPr>
        <w:t>No</w:t>
      </w:r>
      <w:r w:rsidR="00B90253">
        <w:rPr>
          <w:rFonts w:ascii="Times New Roman" w:hAnsi="Times New Roman" w:cs="Times New Roman"/>
        </w:rPr>
        <w:t xml:space="preserve"> </w:t>
      </w:r>
      <w:r w:rsidR="00E42A17" w:rsidRPr="004A2B29">
        <w:rPr>
          <w:rFonts w:ascii="Times New Roman" w:hAnsi="Times New Roman" w:cs="Times New Roman"/>
        </w:rPr>
        <w:t>2</w:t>
      </w:r>
      <w:r w:rsidR="00E42A17" w:rsidRPr="00EB2920">
        <w:rPr>
          <w:rFonts w:ascii="Times New Roman" w:hAnsi="Times New Roman" w:cs="Times New Roman"/>
        </w:rPr>
        <w:t xml:space="preserve">) </w:t>
      </w:r>
      <w:r w:rsidRPr="00EB2920">
        <w:rPr>
          <w:rFonts w:ascii="Times New Roman" w:hAnsi="Times New Roman" w:cs="Times New Roman"/>
        </w:rPr>
        <w:t xml:space="preserve">(the Determination). It has been prepared in order to assist the reader of the Determination. It does not form part of the Determination and has not been endorsed by the Assembly. </w:t>
      </w:r>
    </w:p>
    <w:p w14:paraId="7C1E38F1" w14:textId="179BB455" w:rsidR="0065340F" w:rsidRPr="00EB2920" w:rsidRDefault="0065340F" w:rsidP="0065340F">
      <w:pPr>
        <w:rPr>
          <w:color w:val="000000"/>
          <w:szCs w:val="24"/>
          <w:lang w:eastAsia="en-AU"/>
        </w:rPr>
      </w:pPr>
      <w:r w:rsidRPr="00EB2920">
        <w:rPr>
          <w:color w:val="000000"/>
          <w:szCs w:val="24"/>
          <w:lang w:eastAsia="en-AU"/>
        </w:rPr>
        <w:t xml:space="preserve">This explanatory statement clarifies the intent of the Determination and must be read in conjunction with the Determination. It is not, and is not intended to be, a comprehensive description of the Determination. What is written about a provision is not to be taken as an authoritative guide to the meaning of a provision, this being a task for the courts. </w:t>
      </w:r>
    </w:p>
    <w:p w14:paraId="2E7B614D" w14:textId="77777777" w:rsidR="0065340F" w:rsidRPr="00EB2920" w:rsidRDefault="0065340F" w:rsidP="0065340F">
      <w:pPr>
        <w:rPr>
          <w:color w:val="000000"/>
          <w:szCs w:val="24"/>
          <w:lang w:eastAsia="en-AU"/>
        </w:rPr>
      </w:pPr>
    </w:p>
    <w:p w14:paraId="4E50823E" w14:textId="62D10F15" w:rsidR="0065340F" w:rsidRPr="00EB2920" w:rsidRDefault="00907E8E" w:rsidP="0065340F">
      <w:pPr>
        <w:rPr>
          <w:b/>
          <w:bCs/>
          <w:szCs w:val="24"/>
        </w:rPr>
      </w:pPr>
      <w:r w:rsidRPr="00EB2920">
        <w:rPr>
          <w:b/>
          <w:bCs/>
          <w:szCs w:val="24"/>
        </w:rPr>
        <w:t>Overview</w:t>
      </w:r>
    </w:p>
    <w:p w14:paraId="65330CEF" w14:textId="77777777" w:rsidR="0065340F" w:rsidRPr="00EB2920" w:rsidRDefault="0065340F" w:rsidP="0065340F">
      <w:pPr>
        <w:autoSpaceDE w:val="0"/>
        <w:autoSpaceDN w:val="0"/>
        <w:adjustRightInd w:val="0"/>
        <w:rPr>
          <w:color w:val="000000"/>
          <w:szCs w:val="24"/>
          <w:lang w:eastAsia="en-AU"/>
        </w:rPr>
      </w:pPr>
    </w:p>
    <w:p w14:paraId="72841575" w14:textId="2950BB9F" w:rsidR="0065340F" w:rsidRPr="00EB2920" w:rsidRDefault="0065340F" w:rsidP="0065340F">
      <w:pPr>
        <w:rPr>
          <w:color w:val="000000"/>
          <w:szCs w:val="24"/>
          <w:lang w:eastAsia="en-AU"/>
        </w:rPr>
      </w:pPr>
      <w:r w:rsidRPr="00EB2920">
        <w:rPr>
          <w:color w:val="000000"/>
          <w:szCs w:val="24"/>
          <w:lang w:eastAsia="en-AU"/>
        </w:rPr>
        <w:t xml:space="preserve">The </w:t>
      </w:r>
      <w:r w:rsidR="00D928B2" w:rsidRPr="00EB2920">
        <w:rPr>
          <w:i/>
          <w:iCs/>
          <w:szCs w:val="24"/>
        </w:rPr>
        <w:t>Energy Efficiency (Cost of Living) Improvement Act 2012</w:t>
      </w:r>
      <w:r w:rsidR="00D928B2" w:rsidRPr="00EB2920">
        <w:rPr>
          <w:szCs w:val="24"/>
        </w:rPr>
        <w:t xml:space="preserve"> (the Act)</w:t>
      </w:r>
      <w:r w:rsidRPr="00EB2920">
        <w:rPr>
          <w:color w:val="000000"/>
          <w:szCs w:val="24"/>
          <w:lang w:eastAsia="en-AU"/>
        </w:rPr>
        <w:t xml:space="preserve"> requires electricity retailers to achieve energy savings in households and small-to-medium enterprises. It is a key mechanism for delivering on the ACT’s emission reduction targets by helping households and businesses reduce emissions and energy costs. </w:t>
      </w:r>
    </w:p>
    <w:p w14:paraId="36606034" w14:textId="77777777" w:rsidR="002D53AA" w:rsidRPr="00EB2920" w:rsidRDefault="002D53AA" w:rsidP="0065340F">
      <w:pPr>
        <w:rPr>
          <w:color w:val="000000"/>
          <w:szCs w:val="24"/>
          <w:lang w:eastAsia="en-AU"/>
        </w:rPr>
      </w:pPr>
    </w:p>
    <w:p w14:paraId="309D01A8" w14:textId="6BE75A0E" w:rsidR="0065340F" w:rsidRPr="00EB2920" w:rsidRDefault="002D53AA" w:rsidP="0065340F">
      <w:pPr>
        <w:rPr>
          <w:szCs w:val="24"/>
        </w:rPr>
      </w:pPr>
      <w:r w:rsidRPr="00EB2920">
        <w:rPr>
          <w:szCs w:val="24"/>
        </w:rPr>
        <w:t xml:space="preserve">The purpose of the Determination is to </w:t>
      </w:r>
      <w:r w:rsidR="00183B1B">
        <w:rPr>
          <w:szCs w:val="24"/>
        </w:rPr>
        <w:t>determine</w:t>
      </w:r>
      <w:r w:rsidRPr="00EB2920">
        <w:rPr>
          <w:szCs w:val="24"/>
        </w:rPr>
        <w:t xml:space="preserve"> eligible activities </w:t>
      </w:r>
      <w:r w:rsidR="001A0F0B" w:rsidRPr="00EB2920">
        <w:rPr>
          <w:szCs w:val="24"/>
        </w:rPr>
        <w:t>that are intended to reduce the consumption of energy</w:t>
      </w:r>
      <w:r w:rsidRPr="00EB2920">
        <w:rPr>
          <w:szCs w:val="24"/>
        </w:rPr>
        <w:t xml:space="preserve">, </w:t>
      </w:r>
      <w:r w:rsidR="001A0F0B" w:rsidRPr="00EB2920">
        <w:rPr>
          <w:szCs w:val="24"/>
        </w:rPr>
        <w:t>provided for by</w:t>
      </w:r>
      <w:r w:rsidRPr="00EB2920">
        <w:rPr>
          <w:szCs w:val="24"/>
        </w:rPr>
        <w:t xml:space="preserve"> the Act. The Determination supports the operation of the Energy Efficiency Improvement Scheme (EEIS). </w:t>
      </w:r>
    </w:p>
    <w:p w14:paraId="1F97D519" w14:textId="77777777" w:rsidR="002D53AA" w:rsidRPr="00EB2920" w:rsidRDefault="002D53AA" w:rsidP="0065340F">
      <w:pPr>
        <w:rPr>
          <w:szCs w:val="24"/>
        </w:rPr>
      </w:pPr>
    </w:p>
    <w:p w14:paraId="40B17F28" w14:textId="328CBC5E" w:rsidR="00E42A17" w:rsidRDefault="0065340F" w:rsidP="00E42A17">
      <w:r w:rsidRPr="00EB2920">
        <w:rPr>
          <w:szCs w:val="24"/>
        </w:rPr>
        <w:t xml:space="preserve">The Determination is a disallowable instrument </w:t>
      </w:r>
      <w:r w:rsidR="00E42A17">
        <w:rPr>
          <w:szCs w:val="24"/>
        </w:rPr>
        <w:t>made</w:t>
      </w:r>
      <w:r w:rsidRPr="00EB2920">
        <w:rPr>
          <w:szCs w:val="24"/>
        </w:rPr>
        <w:t xml:space="preserve"> under the </w:t>
      </w:r>
      <w:r w:rsidRPr="00EB2920">
        <w:rPr>
          <w:i/>
          <w:iCs/>
          <w:szCs w:val="24"/>
          <w:bdr w:val="none" w:sz="0" w:space="0" w:color="auto" w:frame="1"/>
          <w:shd w:val="clear" w:color="auto" w:fill="FFFFFF"/>
        </w:rPr>
        <w:t>Energy Efficiency (Cost of Living) Improvement Act 2012</w:t>
      </w:r>
      <w:r w:rsidR="000E753E" w:rsidRPr="00EB2920">
        <w:rPr>
          <w:szCs w:val="24"/>
        </w:rPr>
        <w:t>, s</w:t>
      </w:r>
      <w:r w:rsidR="00E42A17">
        <w:rPr>
          <w:szCs w:val="24"/>
        </w:rPr>
        <w:t>ection</w:t>
      </w:r>
      <w:r w:rsidR="00987D32">
        <w:rPr>
          <w:szCs w:val="24"/>
        </w:rPr>
        <w:t xml:space="preserve"> </w:t>
      </w:r>
      <w:r w:rsidR="000E753E" w:rsidRPr="00EB2920">
        <w:rPr>
          <w:szCs w:val="24"/>
        </w:rPr>
        <w:t>10</w:t>
      </w:r>
      <w:r w:rsidRPr="00EB2920">
        <w:rPr>
          <w:szCs w:val="24"/>
        </w:rPr>
        <w:t xml:space="preserve">. </w:t>
      </w:r>
      <w:r w:rsidR="00E42A17">
        <w:t xml:space="preserve">Section 81(1)(b) of the </w:t>
      </w:r>
      <w:r w:rsidR="00E42A17" w:rsidRPr="00381F38">
        <w:rPr>
          <w:i/>
          <w:iCs/>
        </w:rPr>
        <w:t>Legislation Act 2001</w:t>
      </w:r>
      <w:r w:rsidR="00E42A17">
        <w:t xml:space="preserve"> applies to the Determination. The power to make the determination is s</w:t>
      </w:r>
      <w:r w:rsidR="00183B1B">
        <w:t>ection</w:t>
      </w:r>
      <w:r w:rsidR="00987D32">
        <w:t xml:space="preserve"> </w:t>
      </w:r>
      <w:r w:rsidR="00E42A17">
        <w:t xml:space="preserve">10 of the Energy Efficiency (Cost of Living) Improvement Act as amended by the </w:t>
      </w:r>
      <w:r w:rsidR="00E42A17" w:rsidRPr="005863C2">
        <w:rPr>
          <w:i/>
          <w:iCs/>
        </w:rPr>
        <w:t>Energy Efficiency (Cost of Living) Improvement Amendment Act 2019</w:t>
      </w:r>
      <w:r w:rsidR="00E42A17">
        <w:t xml:space="preserve"> (the Amendment Act). Section 10 of the Amendment Act amends section 10 of the Energy Efficiency (Cost of Living) Improvement Act to reflect that the Determination is made using an energy metric. Section 10 of the Amendment Act has been notified but not yet commenced.</w:t>
      </w:r>
    </w:p>
    <w:p w14:paraId="23CC92EB" w14:textId="7467FE11" w:rsidR="000E753E" w:rsidRDefault="000E753E" w:rsidP="0065340F">
      <w:pPr>
        <w:rPr>
          <w:szCs w:val="24"/>
        </w:rPr>
      </w:pPr>
    </w:p>
    <w:p w14:paraId="197F4D6C" w14:textId="77777777" w:rsidR="00287B51" w:rsidRDefault="00287B51" w:rsidP="0065340F">
      <w:pPr>
        <w:rPr>
          <w:szCs w:val="24"/>
        </w:rPr>
      </w:pPr>
    </w:p>
    <w:p w14:paraId="0B51868D" w14:textId="79A988A7" w:rsidR="00331A38" w:rsidRDefault="00E42A17" w:rsidP="00331A38">
      <w:pPr>
        <w:rPr>
          <w:szCs w:val="24"/>
          <w:lang w:eastAsia="en-AU"/>
        </w:rPr>
      </w:pPr>
      <w:r>
        <w:lastRenderedPageBreak/>
        <w:t>T</w:t>
      </w:r>
      <w:r w:rsidR="00331A38">
        <w:t>he Amendment Act was notified on 3 October 2019. The Amendment Act:</w:t>
      </w:r>
    </w:p>
    <w:p w14:paraId="51A38745" w14:textId="7717DF62" w:rsidR="00331A38" w:rsidRDefault="00331A38" w:rsidP="00331A38">
      <w:pPr>
        <w:pStyle w:val="ListParagraph"/>
        <w:numPr>
          <w:ilvl w:val="0"/>
          <w:numId w:val="6"/>
        </w:numPr>
        <w:autoSpaceDN w:val="0"/>
        <w:rPr>
          <w:szCs w:val="24"/>
          <w:lang w:eastAsia="en-AU"/>
        </w:rPr>
      </w:pPr>
      <w:r>
        <w:t xml:space="preserve">Extends EEIS until the end of 2030, </w:t>
      </w:r>
    </w:p>
    <w:p w14:paraId="098936D0" w14:textId="78104FEE" w:rsidR="00331A38" w:rsidRDefault="00331A38" w:rsidP="00331A38">
      <w:pPr>
        <w:pStyle w:val="ListParagraph"/>
        <w:numPr>
          <w:ilvl w:val="0"/>
          <w:numId w:val="6"/>
        </w:numPr>
        <w:autoSpaceDN w:val="0"/>
        <w:rPr>
          <w:sz w:val="20"/>
        </w:rPr>
      </w:pPr>
      <w:r>
        <w:t>Adopt</w:t>
      </w:r>
      <w:r w:rsidR="006C26E2">
        <w:t>s</w:t>
      </w:r>
      <w:r>
        <w:t xml:space="preserve"> an energy metric in place of the current greenhouse gas emissions metric, </w:t>
      </w:r>
    </w:p>
    <w:p w14:paraId="70088DBF" w14:textId="24D742FE" w:rsidR="00331A38" w:rsidRDefault="00331A38" w:rsidP="00331A38">
      <w:pPr>
        <w:pStyle w:val="ListParagraph"/>
        <w:numPr>
          <w:ilvl w:val="0"/>
          <w:numId w:val="6"/>
        </w:numPr>
        <w:autoSpaceDN w:val="0"/>
      </w:pPr>
      <w:r>
        <w:t>Enable</w:t>
      </w:r>
      <w:r w:rsidR="006C26E2">
        <w:t>s</w:t>
      </w:r>
      <w:r>
        <w:t xml:space="preserve"> classes of priority households to be determined by disallowable instrument, </w:t>
      </w:r>
    </w:p>
    <w:p w14:paraId="1332BD78" w14:textId="7131C28B" w:rsidR="00331A38" w:rsidRDefault="00331A38" w:rsidP="00331A38">
      <w:pPr>
        <w:pStyle w:val="ListParagraph"/>
        <w:numPr>
          <w:ilvl w:val="0"/>
          <w:numId w:val="6"/>
        </w:numPr>
        <w:autoSpaceDN w:val="0"/>
      </w:pPr>
      <w:r>
        <w:t>Remove</w:t>
      </w:r>
      <w:r w:rsidR="006C26E2">
        <w:t>s</w:t>
      </w:r>
      <w:r>
        <w:t xml:space="preserve"> the term ‘stationary’ from the objectives of the Act, to allow EEIS to consider transport activities in the future, and </w:t>
      </w:r>
    </w:p>
    <w:p w14:paraId="1C9B596C" w14:textId="1D013826" w:rsidR="00331A38" w:rsidRDefault="00331A38" w:rsidP="00331A38">
      <w:pPr>
        <w:pStyle w:val="ListParagraph"/>
        <w:numPr>
          <w:ilvl w:val="0"/>
          <w:numId w:val="6"/>
        </w:numPr>
        <w:autoSpaceDN w:val="0"/>
      </w:pPr>
      <w:r>
        <w:t>Streamline</w:t>
      </w:r>
      <w:r w:rsidR="006C26E2">
        <w:t>s</w:t>
      </w:r>
      <w:r>
        <w:t xml:space="preserve"> EEIS administration and improve data sharing.</w:t>
      </w:r>
    </w:p>
    <w:p w14:paraId="0EC239E3" w14:textId="77777777" w:rsidR="00331A38" w:rsidRDefault="00331A38" w:rsidP="00331A38"/>
    <w:p w14:paraId="4C336F0A" w14:textId="00E55B2F" w:rsidR="00331A38" w:rsidRDefault="00331A38" w:rsidP="00331A38">
      <w:r>
        <w:t xml:space="preserve">Swapping the current greenhouse gas emissions metric to an energy metric is </w:t>
      </w:r>
      <w:r w:rsidR="006C26E2">
        <w:t>necessary</w:t>
      </w:r>
      <w:r>
        <w:t xml:space="preserve"> because ACT’s 100% renewable electricity target would otherwise effectively exclude any electricity saving activities from being delivered by EEIS. </w:t>
      </w:r>
      <w:r w:rsidR="006C26E2">
        <w:t xml:space="preserve">The Amendment Act is partially commenced. The remaining uncommenced provisions of the Amendment Act </w:t>
      </w:r>
      <w:r>
        <w:t>will commence on 1 January 2021</w:t>
      </w:r>
      <w:r w:rsidR="00E42A17">
        <w:t>, including section 10</w:t>
      </w:r>
      <w:r>
        <w:t>.</w:t>
      </w:r>
      <w:r w:rsidR="00E42A17">
        <w:t xml:space="preserve"> The Determination will commence on 1 January 2021 when the remaining provisions of the Amendment Act commence, in accordance with section 81(7) of the Legislation Act.</w:t>
      </w:r>
    </w:p>
    <w:p w14:paraId="68BA4A72" w14:textId="77777777" w:rsidR="006C26E2" w:rsidRDefault="006C26E2" w:rsidP="00331A38"/>
    <w:p w14:paraId="43C9EA3F" w14:textId="10780C0B" w:rsidR="00287B51" w:rsidRDefault="00287B51" w:rsidP="0065340F">
      <w:pPr>
        <w:rPr>
          <w:szCs w:val="24"/>
        </w:rPr>
      </w:pPr>
      <w:r>
        <w:rPr>
          <w:szCs w:val="24"/>
        </w:rPr>
        <w:t xml:space="preserve">This </w:t>
      </w:r>
      <w:r w:rsidR="00183B1B">
        <w:rPr>
          <w:szCs w:val="24"/>
        </w:rPr>
        <w:t>D</w:t>
      </w:r>
      <w:r>
        <w:rPr>
          <w:szCs w:val="24"/>
        </w:rPr>
        <w:t xml:space="preserve">etermination </w:t>
      </w:r>
      <w:r w:rsidR="00EB4D19">
        <w:rPr>
          <w:szCs w:val="24"/>
        </w:rPr>
        <w:t>differs from earlier versions in that the metric used for quantifying credits a</w:t>
      </w:r>
      <w:r w:rsidR="009F05A3">
        <w:rPr>
          <w:szCs w:val="24"/>
        </w:rPr>
        <w:t>warded to each activity</w:t>
      </w:r>
      <w:r w:rsidR="00EB4D19">
        <w:rPr>
          <w:szCs w:val="24"/>
        </w:rPr>
        <w:t xml:space="preserve"> in the schedule to the determination has been revised. Previously</w:t>
      </w:r>
      <w:r w:rsidR="009F05A3">
        <w:rPr>
          <w:szCs w:val="24"/>
        </w:rPr>
        <w:t>,</w:t>
      </w:r>
      <w:r w:rsidR="00EB4D19">
        <w:rPr>
          <w:szCs w:val="24"/>
        </w:rPr>
        <w:t xml:space="preserve"> credits took the form of </w:t>
      </w:r>
      <w:r w:rsidR="009F05A3">
        <w:rPr>
          <w:szCs w:val="24"/>
        </w:rPr>
        <w:t>“Abatement Factors” using the metric of tonnes of carbon dioxide equivalent (tCO</w:t>
      </w:r>
      <w:r w:rsidR="009F05A3" w:rsidRPr="00997EAF">
        <w:rPr>
          <w:szCs w:val="24"/>
          <w:vertAlign w:val="subscript"/>
        </w:rPr>
        <w:t>2-e</w:t>
      </w:r>
      <w:r w:rsidR="009F05A3">
        <w:rPr>
          <w:szCs w:val="24"/>
        </w:rPr>
        <w:t xml:space="preserve">). Under this determination, the abatement factors have been converted into “Energy Savings Factors” using the metric of Megawatt-hours (MWh). These changes can be found in subsection 5 </w:t>
      </w:r>
      <w:r w:rsidR="00FF2BFC">
        <w:rPr>
          <w:szCs w:val="24"/>
        </w:rPr>
        <w:t>of each of the scheduled activities</w:t>
      </w:r>
      <w:r w:rsidR="00EB4D19">
        <w:rPr>
          <w:szCs w:val="24"/>
        </w:rPr>
        <w:t xml:space="preserve"> as described in the schedules </w:t>
      </w:r>
      <w:r w:rsidR="00EB4D19" w:rsidRPr="00EB4D19">
        <w:rPr>
          <w:szCs w:val="24"/>
        </w:rPr>
        <w:t>transition from its current carbon emissions metric to an energy saving metric meaning that the EEIS targets would be expressed in terms of megawatt hours (MWh) of electricity saved (with gas savings converted to MWh)</w:t>
      </w:r>
      <w:r w:rsidR="00311687">
        <w:rPr>
          <w:szCs w:val="24"/>
        </w:rPr>
        <w:t>.</w:t>
      </w:r>
    </w:p>
    <w:p w14:paraId="76E2763A" w14:textId="68DE84B5" w:rsidR="00383101" w:rsidRDefault="00383101" w:rsidP="0065340F">
      <w:pPr>
        <w:rPr>
          <w:szCs w:val="24"/>
        </w:rPr>
      </w:pPr>
    </w:p>
    <w:p w14:paraId="02D125FF" w14:textId="77EC5D2F" w:rsidR="00383101" w:rsidRPr="004A2B29" w:rsidRDefault="00183B1B" w:rsidP="00383101">
      <w:pPr>
        <w:spacing w:after="160" w:line="259" w:lineRule="auto"/>
        <w:rPr>
          <w:bCs/>
        </w:rPr>
      </w:pPr>
      <w:r>
        <w:rPr>
          <w:bCs/>
        </w:rPr>
        <w:t xml:space="preserve">Differences between Schedule 1 of the Determination and the </w:t>
      </w:r>
      <w:r w:rsidR="00383101" w:rsidRPr="00997EAF">
        <w:rPr>
          <w:bCs/>
        </w:rPr>
        <w:t>Schedule</w:t>
      </w:r>
      <w:r w:rsidR="00383101">
        <w:rPr>
          <w:bCs/>
        </w:rPr>
        <w:t xml:space="preserve"> </w:t>
      </w:r>
      <w:r>
        <w:rPr>
          <w:bCs/>
        </w:rPr>
        <w:t>of</w:t>
      </w:r>
      <w:r w:rsidR="003403A0">
        <w:rPr>
          <w:bCs/>
        </w:rPr>
        <w:t xml:space="preserve"> the previous </w:t>
      </w:r>
      <w:r w:rsidR="00B90253">
        <w:rPr>
          <w:bCs/>
        </w:rPr>
        <w:t>D</w:t>
      </w:r>
      <w:r w:rsidR="003403A0">
        <w:rPr>
          <w:bCs/>
        </w:rPr>
        <w:t xml:space="preserve">etermination </w:t>
      </w:r>
      <w:r w:rsidR="00383101">
        <w:rPr>
          <w:bCs/>
        </w:rPr>
        <w:t>are detailed below.</w:t>
      </w:r>
    </w:p>
    <w:p w14:paraId="2CAB5F29" w14:textId="77777777" w:rsidR="00383101" w:rsidRDefault="00383101" w:rsidP="00383101"/>
    <w:tbl>
      <w:tblPr>
        <w:tblStyle w:val="TableGrid"/>
        <w:tblW w:w="0" w:type="auto"/>
        <w:tblLook w:val="04A0" w:firstRow="1" w:lastRow="0" w:firstColumn="1" w:lastColumn="0" w:noHBand="0" w:noVBand="1"/>
      </w:tblPr>
      <w:tblGrid>
        <w:gridCol w:w="1980"/>
        <w:gridCol w:w="7036"/>
      </w:tblGrid>
      <w:tr w:rsidR="00383101" w:rsidRPr="00FF2BFC" w14:paraId="3F270E6A" w14:textId="77777777" w:rsidTr="00151B69">
        <w:trPr>
          <w:tblHeader/>
        </w:trPr>
        <w:tc>
          <w:tcPr>
            <w:tcW w:w="1980" w:type="dxa"/>
            <w:shd w:val="clear" w:color="auto" w:fill="000000" w:themeFill="text1"/>
          </w:tcPr>
          <w:p w14:paraId="456E723A" w14:textId="77777777" w:rsidR="00383101" w:rsidRPr="00151B69" w:rsidRDefault="00383101" w:rsidP="00151B69">
            <w:pPr>
              <w:rPr>
                <w:color w:val="FFFFFF" w:themeColor="background1"/>
              </w:rPr>
            </w:pPr>
            <w:r w:rsidRPr="00151B69">
              <w:rPr>
                <w:color w:val="FFFFFF" w:themeColor="background1"/>
              </w:rPr>
              <w:t>Schedule Clause</w:t>
            </w:r>
            <w:r>
              <w:rPr>
                <w:color w:val="FFFFFF" w:themeColor="background1"/>
              </w:rPr>
              <w:t>s</w:t>
            </w:r>
          </w:p>
        </w:tc>
        <w:tc>
          <w:tcPr>
            <w:tcW w:w="7036" w:type="dxa"/>
            <w:shd w:val="clear" w:color="auto" w:fill="000000" w:themeFill="text1"/>
          </w:tcPr>
          <w:p w14:paraId="3920ECBE" w14:textId="77777777" w:rsidR="00383101" w:rsidRPr="00151B69" w:rsidRDefault="00383101" w:rsidP="00151B69">
            <w:pPr>
              <w:rPr>
                <w:color w:val="FFFFFF" w:themeColor="background1"/>
              </w:rPr>
            </w:pPr>
            <w:r w:rsidRPr="00151B69">
              <w:rPr>
                <w:color w:val="FFFFFF" w:themeColor="background1"/>
              </w:rPr>
              <w:t xml:space="preserve">Changes </w:t>
            </w:r>
          </w:p>
        </w:tc>
      </w:tr>
      <w:tr w:rsidR="00383101" w14:paraId="62EA86FC" w14:textId="77777777" w:rsidTr="00151B69">
        <w:tc>
          <w:tcPr>
            <w:tcW w:w="1980" w:type="dxa"/>
          </w:tcPr>
          <w:p w14:paraId="5860C6BB" w14:textId="77777777" w:rsidR="00383101" w:rsidRDefault="00383101" w:rsidP="00151B69">
            <w:r>
              <w:t>1.1.5, 1.2.5, 1.3.5, 1.4.5, 1.5.5, 1.6.5, 1.7.5, 1.8.5, 1.9.5</w:t>
            </w:r>
          </w:p>
          <w:p w14:paraId="13B4E60D" w14:textId="77777777" w:rsidR="00383101" w:rsidRDefault="00383101" w:rsidP="00151B69"/>
          <w:p w14:paraId="1DEA4CB4" w14:textId="77777777" w:rsidR="00383101" w:rsidRDefault="00383101" w:rsidP="00151B69">
            <w:r>
              <w:t>2.1.5, 2.2.5, 2.3.5, 2.4.5, 2.5.5,2.6.5</w:t>
            </w:r>
          </w:p>
          <w:p w14:paraId="408D4FE9" w14:textId="77777777" w:rsidR="00383101" w:rsidRDefault="00383101" w:rsidP="00151B69"/>
          <w:p w14:paraId="083F722B" w14:textId="77777777" w:rsidR="00383101" w:rsidRDefault="00383101" w:rsidP="00151B69">
            <w:r>
              <w:t>3.1.5, 3.2.5, 3.3.5</w:t>
            </w:r>
          </w:p>
          <w:p w14:paraId="050B8AE8" w14:textId="77777777" w:rsidR="00383101" w:rsidRDefault="00383101" w:rsidP="00151B69"/>
          <w:p w14:paraId="26DC8AFF" w14:textId="77777777" w:rsidR="00383101" w:rsidRDefault="00383101" w:rsidP="00151B69">
            <w:r>
              <w:t>4.1.5, 4.2.5</w:t>
            </w:r>
          </w:p>
          <w:p w14:paraId="75CD329F" w14:textId="77777777" w:rsidR="00383101" w:rsidRDefault="00383101" w:rsidP="00151B69"/>
          <w:p w14:paraId="5C1C03BB" w14:textId="77777777" w:rsidR="00383101" w:rsidRDefault="00383101" w:rsidP="00151B69">
            <w:r>
              <w:t>5.1.4, 5.2.5, 5.3.5, 5.4.5, 5.5.5, 5.7.5</w:t>
            </w:r>
          </w:p>
        </w:tc>
        <w:tc>
          <w:tcPr>
            <w:tcW w:w="7036" w:type="dxa"/>
          </w:tcPr>
          <w:p w14:paraId="39C81472" w14:textId="77777777" w:rsidR="00383101" w:rsidRDefault="00383101" w:rsidP="00151B69">
            <w:r>
              <w:t>Clause heading changes</w:t>
            </w:r>
          </w:p>
          <w:p w14:paraId="4BC52863" w14:textId="77777777" w:rsidR="00383101" w:rsidRDefault="00383101" w:rsidP="00151B69">
            <w:pPr>
              <w:pStyle w:val="ListParagraph"/>
              <w:numPr>
                <w:ilvl w:val="0"/>
                <w:numId w:val="4"/>
              </w:numPr>
            </w:pPr>
            <w:r>
              <w:t>“Abatement Factor” replaced with “Energy Savings Factor”</w:t>
            </w:r>
          </w:p>
          <w:p w14:paraId="65AB4909" w14:textId="77777777" w:rsidR="00383101" w:rsidRDefault="00383101" w:rsidP="00151B69"/>
          <w:p w14:paraId="771DCDC3" w14:textId="77777777" w:rsidR="00383101" w:rsidRDefault="00383101" w:rsidP="00151B69">
            <w:r>
              <w:t>Body text changes:</w:t>
            </w:r>
          </w:p>
          <w:p w14:paraId="4D6B9678" w14:textId="77777777" w:rsidR="00383101" w:rsidRDefault="00383101" w:rsidP="00151B69">
            <w:pPr>
              <w:pStyle w:val="ListParagraph"/>
              <w:numPr>
                <w:ilvl w:val="0"/>
                <w:numId w:val="4"/>
              </w:numPr>
            </w:pPr>
            <w:r>
              <w:t>All references to “Abatement Factors” replaced with references to “Energy Savings Factors”</w:t>
            </w:r>
          </w:p>
          <w:p w14:paraId="33785156" w14:textId="77777777" w:rsidR="00383101" w:rsidRDefault="00383101" w:rsidP="00151B69">
            <w:pPr>
              <w:pStyle w:val="ListParagraph"/>
              <w:numPr>
                <w:ilvl w:val="0"/>
                <w:numId w:val="4"/>
              </w:numPr>
            </w:pPr>
            <w:r>
              <w:t>All references to “</w:t>
            </w:r>
            <w:r w:rsidRPr="00970AD2">
              <w:t>tonnes of carbon dioxide-equivalen</w:t>
            </w:r>
            <w:r>
              <w:t>t” replaced with references to Megawatt-hours</w:t>
            </w:r>
          </w:p>
          <w:p w14:paraId="29D51E9E" w14:textId="77777777" w:rsidR="00383101" w:rsidRDefault="00383101" w:rsidP="00151B69">
            <w:pPr>
              <w:pStyle w:val="ListParagraph"/>
              <w:numPr>
                <w:ilvl w:val="0"/>
                <w:numId w:val="4"/>
              </w:numPr>
            </w:pPr>
            <w:r>
              <w:t>All references to the units of measurement “(tCO2</w:t>
            </w:r>
            <w:r w:rsidRPr="00151B69">
              <w:rPr>
                <w:vertAlign w:val="subscript"/>
              </w:rPr>
              <w:t>-2e</w:t>
            </w:r>
            <w:r>
              <w:t>)” replaced with references to “(MWh)”</w:t>
            </w:r>
          </w:p>
          <w:p w14:paraId="70046D16" w14:textId="77777777" w:rsidR="00383101" w:rsidRDefault="00383101" w:rsidP="00151B69">
            <w:pPr>
              <w:pStyle w:val="ListParagraph"/>
              <w:numPr>
                <w:ilvl w:val="0"/>
                <w:numId w:val="4"/>
              </w:numPr>
            </w:pPr>
            <w:r>
              <w:t>All references to “AAV” (activity abatement value) replaced with references to “ESF” (energy savings factor)</w:t>
            </w:r>
          </w:p>
          <w:p w14:paraId="74D9CF16" w14:textId="77777777" w:rsidR="00383101" w:rsidRDefault="00383101" w:rsidP="00151B69">
            <w:pPr>
              <w:pStyle w:val="ListParagraph"/>
              <w:numPr>
                <w:ilvl w:val="0"/>
                <w:numId w:val="4"/>
              </w:numPr>
            </w:pPr>
            <w:r>
              <w:t>Factors or formula coefficients shown in either text or tables have been replaced with equivalent factors applicable to energy savings (MWh) rather than abatement (tCO2</w:t>
            </w:r>
            <w:r w:rsidRPr="00F31CF8">
              <w:rPr>
                <w:vertAlign w:val="subscript"/>
              </w:rPr>
              <w:t>-2e</w:t>
            </w:r>
            <w:r>
              <w:t>).</w:t>
            </w:r>
          </w:p>
        </w:tc>
      </w:tr>
      <w:tr w:rsidR="00383101" w14:paraId="6B9DC68E" w14:textId="77777777" w:rsidTr="00151B69">
        <w:tc>
          <w:tcPr>
            <w:tcW w:w="1980" w:type="dxa"/>
          </w:tcPr>
          <w:p w14:paraId="5A496576" w14:textId="77777777" w:rsidR="00383101" w:rsidRDefault="00383101" w:rsidP="00151B69">
            <w:r>
              <w:t>2.1.2(b)</w:t>
            </w:r>
          </w:p>
        </w:tc>
        <w:tc>
          <w:tcPr>
            <w:tcW w:w="7036" w:type="dxa"/>
          </w:tcPr>
          <w:p w14:paraId="4CC639A1" w14:textId="77777777" w:rsidR="00383101" w:rsidRDefault="00383101" w:rsidP="00151B69">
            <w:r>
              <w:t>The word “abatement” has been replaced with the word “energy savings”</w:t>
            </w:r>
          </w:p>
        </w:tc>
      </w:tr>
      <w:tr w:rsidR="00383101" w14:paraId="7605FAC4" w14:textId="77777777" w:rsidTr="00151B69">
        <w:tc>
          <w:tcPr>
            <w:tcW w:w="1980" w:type="dxa"/>
          </w:tcPr>
          <w:p w14:paraId="1ED71319" w14:textId="77777777" w:rsidR="00383101" w:rsidRDefault="00383101" w:rsidP="00151B69">
            <w:r>
              <w:t>2.1.5 (tables 7-10 inclusive)</w:t>
            </w:r>
          </w:p>
        </w:tc>
        <w:tc>
          <w:tcPr>
            <w:tcW w:w="7036" w:type="dxa"/>
          </w:tcPr>
          <w:p w14:paraId="3C0473EF" w14:textId="77777777" w:rsidR="00383101" w:rsidRDefault="00383101" w:rsidP="00151B69">
            <w:r>
              <w:t>The term “Fixed Emissions Savings (AAV</w:t>
            </w:r>
            <w:r w:rsidRPr="00151B69">
              <w:rPr>
                <w:vertAlign w:val="subscript"/>
              </w:rPr>
              <w:t>Fixed</w:t>
            </w:r>
            <w:r>
              <w:t xml:space="preserve">) tCO2-e” has been replaced with the term “Fixed Energy Savings (ESF </w:t>
            </w:r>
            <w:r w:rsidRPr="00151B69">
              <w:rPr>
                <w:vertAlign w:val="subscript"/>
              </w:rPr>
              <w:t>fixed</w:t>
            </w:r>
            <w:r>
              <w:t>) MWh”</w:t>
            </w:r>
          </w:p>
          <w:p w14:paraId="11E0671A" w14:textId="77777777" w:rsidR="00383101" w:rsidRDefault="00383101" w:rsidP="00151B69">
            <w:r>
              <w:lastRenderedPageBreak/>
              <w:t>And</w:t>
            </w:r>
          </w:p>
          <w:p w14:paraId="68E00AAA" w14:textId="77777777" w:rsidR="00383101" w:rsidRDefault="00383101" w:rsidP="00151B69">
            <w:r>
              <w:t>The term “Variable Emissions Savings (AAV</w:t>
            </w:r>
            <w:r>
              <w:rPr>
                <w:vertAlign w:val="subscript"/>
              </w:rPr>
              <w:t>var</w:t>
            </w:r>
            <w:r>
              <w:t xml:space="preserve">) tCO2-e” has been replaced with the term “Variable Energy Savings (ESF </w:t>
            </w:r>
            <w:r>
              <w:rPr>
                <w:vertAlign w:val="subscript"/>
              </w:rPr>
              <w:t>var</w:t>
            </w:r>
            <w:r>
              <w:t>) MWh”</w:t>
            </w:r>
          </w:p>
        </w:tc>
      </w:tr>
      <w:tr w:rsidR="00383101" w14:paraId="48DA0D73" w14:textId="77777777" w:rsidTr="00151B69">
        <w:tc>
          <w:tcPr>
            <w:tcW w:w="1980" w:type="dxa"/>
          </w:tcPr>
          <w:p w14:paraId="5E721754" w14:textId="77777777" w:rsidR="00383101" w:rsidRDefault="00383101" w:rsidP="00151B69">
            <w:r>
              <w:lastRenderedPageBreak/>
              <w:t>2.3.2(b)</w:t>
            </w:r>
          </w:p>
        </w:tc>
        <w:tc>
          <w:tcPr>
            <w:tcW w:w="7036" w:type="dxa"/>
          </w:tcPr>
          <w:p w14:paraId="59F5E188" w14:textId="77777777" w:rsidR="00383101" w:rsidRDefault="00383101" w:rsidP="00151B69">
            <w:r>
              <w:t>The word “abatement” has been replaced with the word “energy savings”</w:t>
            </w:r>
          </w:p>
        </w:tc>
      </w:tr>
      <w:tr w:rsidR="00383101" w14:paraId="245301DB" w14:textId="77777777" w:rsidTr="00151B69">
        <w:tc>
          <w:tcPr>
            <w:tcW w:w="1980" w:type="dxa"/>
          </w:tcPr>
          <w:p w14:paraId="7042D5F5" w14:textId="77777777" w:rsidR="00383101" w:rsidRDefault="00383101" w:rsidP="00151B69">
            <w:r>
              <w:t>2.3.5 (tables 12-15 inclusive)</w:t>
            </w:r>
          </w:p>
        </w:tc>
        <w:tc>
          <w:tcPr>
            <w:tcW w:w="7036" w:type="dxa"/>
          </w:tcPr>
          <w:p w14:paraId="4F170865" w14:textId="77777777" w:rsidR="00383101" w:rsidRDefault="00383101" w:rsidP="00151B69">
            <w:r>
              <w:t>The term “Fixed Emissions Savings (AAV</w:t>
            </w:r>
            <w:r w:rsidRPr="00F31CF8">
              <w:rPr>
                <w:vertAlign w:val="subscript"/>
              </w:rPr>
              <w:t>Fixed</w:t>
            </w:r>
            <w:r>
              <w:t xml:space="preserve">) tCO2-e” has been replaced with the term “Fixed Energy Savings (ESF </w:t>
            </w:r>
            <w:r w:rsidRPr="00F31CF8">
              <w:rPr>
                <w:vertAlign w:val="subscript"/>
              </w:rPr>
              <w:t>fixed</w:t>
            </w:r>
            <w:r>
              <w:t>) MWh”</w:t>
            </w:r>
          </w:p>
          <w:p w14:paraId="41A9F637" w14:textId="77777777" w:rsidR="00383101" w:rsidRDefault="00383101" w:rsidP="00151B69">
            <w:r>
              <w:t>And</w:t>
            </w:r>
          </w:p>
          <w:p w14:paraId="3057688F" w14:textId="77777777" w:rsidR="00383101" w:rsidRDefault="00383101" w:rsidP="00151B69">
            <w:r>
              <w:t>The term “Variable Emissions Savings (AAV</w:t>
            </w:r>
            <w:r>
              <w:rPr>
                <w:vertAlign w:val="subscript"/>
              </w:rPr>
              <w:t>var</w:t>
            </w:r>
            <w:r>
              <w:t xml:space="preserve">) tCO2-e” has been replaced with the term “Variable Energy Savings (ESF </w:t>
            </w:r>
            <w:r>
              <w:rPr>
                <w:vertAlign w:val="subscript"/>
              </w:rPr>
              <w:t>var</w:t>
            </w:r>
            <w:r>
              <w:t>) MWh”</w:t>
            </w:r>
          </w:p>
        </w:tc>
      </w:tr>
      <w:tr w:rsidR="00383101" w14:paraId="062E14D6" w14:textId="77777777" w:rsidTr="00151B69">
        <w:tc>
          <w:tcPr>
            <w:tcW w:w="1980" w:type="dxa"/>
          </w:tcPr>
          <w:p w14:paraId="1F7AE21D" w14:textId="77777777" w:rsidR="00383101" w:rsidRDefault="00383101" w:rsidP="00151B69">
            <w:r>
              <w:t>2.5.2(b)</w:t>
            </w:r>
          </w:p>
        </w:tc>
        <w:tc>
          <w:tcPr>
            <w:tcW w:w="7036" w:type="dxa"/>
          </w:tcPr>
          <w:p w14:paraId="484124D0" w14:textId="77777777" w:rsidR="00383101" w:rsidRDefault="00383101" w:rsidP="00151B69">
            <w:r>
              <w:t>The word “abatement” has been replaced with the word “energy savings”</w:t>
            </w:r>
          </w:p>
        </w:tc>
      </w:tr>
      <w:tr w:rsidR="00383101" w14:paraId="1B552C38" w14:textId="77777777" w:rsidTr="00151B69">
        <w:tc>
          <w:tcPr>
            <w:tcW w:w="1980" w:type="dxa"/>
          </w:tcPr>
          <w:p w14:paraId="30E1FDFB" w14:textId="77777777" w:rsidR="00383101" w:rsidRDefault="00383101" w:rsidP="00151B69">
            <w:r>
              <w:t>2.5.5 (tables 18-20 inclusive)</w:t>
            </w:r>
          </w:p>
        </w:tc>
        <w:tc>
          <w:tcPr>
            <w:tcW w:w="7036" w:type="dxa"/>
          </w:tcPr>
          <w:p w14:paraId="68D94E6A" w14:textId="77777777" w:rsidR="00383101" w:rsidRDefault="00383101" w:rsidP="00151B69">
            <w:r>
              <w:t>The term “Fixed Emissions Savings (AAV</w:t>
            </w:r>
            <w:r w:rsidRPr="00F31CF8">
              <w:rPr>
                <w:vertAlign w:val="subscript"/>
              </w:rPr>
              <w:t>Fixed</w:t>
            </w:r>
            <w:r>
              <w:t xml:space="preserve">) tCO2-e” has been replaced with the term “Fixed Energy Savings (ESF </w:t>
            </w:r>
            <w:r w:rsidRPr="00F31CF8">
              <w:rPr>
                <w:vertAlign w:val="subscript"/>
              </w:rPr>
              <w:t>fixed</w:t>
            </w:r>
            <w:r>
              <w:t>) MWh”</w:t>
            </w:r>
          </w:p>
          <w:p w14:paraId="73A2163E" w14:textId="77777777" w:rsidR="00383101" w:rsidRDefault="00383101" w:rsidP="00151B69">
            <w:r>
              <w:t>And</w:t>
            </w:r>
          </w:p>
          <w:p w14:paraId="2C3C2B48" w14:textId="77777777" w:rsidR="00383101" w:rsidRDefault="00383101" w:rsidP="00151B69">
            <w:r>
              <w:t>The term “Variable Emissions Savings (AAV</w:t>
            </w:r>
            <w:r>
              <w:rPr>
                <w:vertAlign w:val="subscript"/>
              </w:rPr>
              <w:t>var</w:t>
            </w:r>
            <w:r>
              <w:t xml:space="preserve">) tCO2-e” has been replaced with the term “Variable Energy Savings (ESF </w:t>
            </w:r>
            <w:r>
              <w:rPr>
                <w:vertAlign w:val="subscript"/>
              </w:rPr>
              <w:t>var</w:t>
            </w:r>
            <w:r>
              <w:t>) MWh”</w:t>
            </w:r>
          </w:p>
        </w:tc>
      </w:tr>
      <w:tr w:rsidR="00383101" w14:paraId="3CBC84F1" w14:textId="77777777" w:rsidTr="00151B69">
        <w:tc>
          <w:tcPr>
            <w:tcW w:w="1980" w:type="dxa"/>
          </w:tcPr>
          <w:p w14:paraId="2D8E29A0" w14:textId="77777777" w:rsidR="00383101" w:rsidRDefault="00383101" w:rsidP="00151B69">
            <w:r>
              <w:t>2.6.2(b)</w:t>
            </w:r>
          </w:p>
        </w:tc>
        <w:tc>
          <w:tcPr>
            <w:tcW w:w="7036" w:type="dxa"/>
          </w:tcPr>
          <w:p w14:paraId="41DFAB54" w14:textId="77777777" w:rsidR="00383101" w:rsidRDefault="00383101" w:rsidP="00151B69">
            <w:r>
              <w:t>The word “abatement” has been replaced with the word “energy savings”</w:t>
            </w:r>
          </w:p>
        </w:tc>
      </w:tr>
      <w:tr w:rsidR="00383101" w14:paraId="78B9A2A9" w14:textId="77777777" w:rsidTr="00151B69">
        <w:tc>
          <w:tcPr>
            <w:tcW w:w="1980" w:type="dxa"/>
          </w:tcPr>
          <w:p w14:paraId="2744D9B5" w14:textId="77777777" w:rsidR="00383101" w:rsidRDefault="00383101" w:rsidP="00151B69">
            <w:r>
              <w:t>2.6.5 (tables 22-24 inclusive)</w:t>
            </w:r>
          </w:p>
        </w:tc>
        <w:tc>
          <w:tcPr>
            <w:tcW w:w="7036" w:type="dxa"/>
          </w:tcPr>
          <w:p w14:paraId="1760CB86" w14:textId="77777777" w:rsidR="00383101" w:rsidRDefault="00383101" w:rsidP="00151B69">
            <w:r>
              <w:t>The term “Fixed Emissions Savings (AAV</w:t>
            </w:r>
            <w:r w:rsidRPr="00F31CF8">
              <w:rPr>
                <w:vertAlign w:val="subscript"/>
              </w:rPr>
              <w:t>Fixed</w:t>
            </w:r>
            <w:r>
              <w:t xml:space="preserve">) tCO2-e” has been replaced with the term “Fixed Energy Savings (ESF </w:t>
            </w:r>
            <w:r w:rsidRPr="00F31CF8">
              <w:rPr>
                <w:vertAlign w:val="subscript"/>
              </w:rPr>
              <w:t>fixed</w:t>
            </w:r>
            <w:r>
              <w:t>) MWh”</w:t>
            </w:r>
          </w:p>
          <w:p w14:paraId="776C9431" w14:textId="77777777" w:rsidR="00383101" w:rsidRDefault="00383101" w:rsidP="00151B69">
            <w:r>
              <w:t>And</w:t>
            </w:r>
          </w:p>
          <w:p w14:paraId="1B7E04B4" w14:textId="77777777" w:rsidR="00383101" w:rsidRDefault="00383101" w:rsidP="00151B69">
            <w:r>
              <w:t>The term “Variable Emissions Savings (AAV</w:t>
            </w:r>
            <w:r>
              <w:rPr>
                <w:vertAlign w:val="subscript"/>
              </w:rPr>
              <w:t>var</w:t>
            </w:r>
            <w:r>
              <w:t xml:space="preserve">) tCO2-e” has been replaced with the term “Variable Energy Savings (ESF </w:t>
            </w:r>
            <w:r>
              <w:rPr>
                <w:vertAlign w:val="subscript"/>
              </w:rPr>
              <w:t>var</w:t>
            </w:r>
            <w:r>
              <w:t>) MWh”</w:t>
            </w:r>
          </w:p>
          <w:p w14:paraId="4C872C41" w14:textId="77777777" w:rsidR="00383101" w:rsidRDefault="00383101" w:rsidP="00151B69"/>
        </w:tc>
      </w:tr>
      <w:tr w:rsidR="00383101" w14:paraId="217E7439" w14:textId="77777777" w:rsidTr="00151B69">
        <w:tc>
          <w:tcPr>
            <w:tcW w:w="1980" w:type="dxa"/>
          </w:tcPr>
          <w:p w14:paraId="04A22090" w14:textId="77777777" w:rsidR="00383101" w:rsidRDefault="00383101" w:rsidP="00151B69">
            <w:r>
              <w:t>5.1.1 and 5.1.5</w:t>
            </w:r>
          </w:p>
        </w:tc>
        <w:tc>
          <w:tcPr>
            <w:tcW w:w="7036" w:type="dxa"/>
          </w:tcPr>
          <w:p w14:paraId="5AC7EED5" w14:textId="77777777" w:rsidR="00383101" w:rsidRPr="00151B69" w:rsidRDefault="00383101" w:rsidP="00151B69">
            <w:r w:rsidRPr="00151B69">
              <w:t>The term “1-door refrigerator or freezer” has been replaced with the term “single door refrigerator or single door freezer”</w:t>
            </w:r>
          </w:p>
          <w:p w14:paraId="432235E6" w14:textId="77777777" w:rsidR="00383101" w:rsidRPr="00151B69" w:rsidRDefault="00383101" w:rsidP="00151B69">
            <w:r w:rsidRPr="00151B69">
              <w:t>And</w:t>
            </w:r>
          </w:p>
          <w:p w14:paraId="127A8E33" w14:textId="49ED11FF" w:rsidR="00383101" w:rsidRPr="00151B69" w:rsidRDefault="00383101" w:rsidP="00151B69">
            <w:r w:rsidRPr="00151B69">
              <w:t>The term “2-door refrigerator or freezer” has been replaced with the term “two or more door refrigerator or two or more door freezer”</w:t>
            </w:r>
          </w:p>
          <w:p w14:paraId="02AE059C" w14:textId="77777777" w:rsidR="00383101" w:rsidRPr="00151B69" w:rsidRDefault="00383101" w:rsidP="00151B69">
            <w:r w:rsidRPr="00151B69">
              <w:t>And</w:t>
            </w:r>
          </w:p>
          <w:p w14:paraId="6919E54C" w14:textId="77777777" w:rsidR="00383101" w:rsidRPr="00151B69" w:rsidRDefault="00383101" w:rsidP="00151B69">
            <w:pPr>
              <w:rPr>
                <w:color w:val="FF0000"/>
              </w:rPr>
            </w:pPr>
            <w:r w:rsidRPr="00151B69">
              <w:t>In section 5.1.5 these new terms have been defined</w:t>
            </w:r>
          </w:p>
        </w:tc>
      </w:tr>
    </w:tbl>
    <w:p w14:paraId="3B95F47D" w14:textId="19E8ABD9" w:rsidR="00383101" w:rsidRDefault="00383101" w:rsidP="0065340F">
      <w:pPr>
        <w:rPr>
          <w:szCs w:val="24"/>
        </w:rPr>
      </w:pPr>
    </w:p>
    <w:p w14:paraId="0E15519E" w14:textId="3E3E04DC" w:rsidR="008A5A76" w:rsidRDefault="008A5A76" w:rsidP="0065340F">
      <w:pPr>
        <w:rPr>
          <w:szCs w:val="24"/>
        </w:rPr>
      </w:pPr>
      <w:r>
        <w:rPr>
          <w:szCs w:val="24"/>
        </w:rPr>
        <w:t xml:space="preserve">The Determination does not engage the </w:t>
      </w:r>
      <w:r w:rsidRPr="005863C2">
        <w:rPr>
          <w:i/>
          <w:iCs/>
          <w:szCs w:val="24"/>
        </w:rPr>
        <w:t>Human Rights Act 2004</w:t>
      </w:r>
      <w:r>
        <w:rPr>
          <w:szCs w:val="24"/>
        </w:rPr>
        <w:t xml:space="preserve">. There are no human rights implications arising from the Determination. A Regulatory Impact Statement has been prepared for the determination. </w:t>
      </w:r>
    </w:p>
    <w:p w14:paraId="6C4D490E" w14:textId="6BF895D2" w:rsidR="00183B1B" w:rsidRDefault="00183B1B" w:rsidP="0065340F">
      <w:pPr>
        <w:rPr>
          <w:szCs w:val="24"/>
        </w:rPr>
      </w:pPr>
    </w:p>
    <w:p w14:paraId="3A987D52" w14:textId="46DB7321" w:rsidR="00183B1B" w:rsidRPr="005863C2" w:rsidRDefault="00183B1B" w:rsidP="0065340F">
      <w:pPr>
        <w:rPr>
          <w:b/>
          <w:bCs/>
          <w:szCs w:val="24"/>
        </w:rPr>
      </w:pPr>
      <w:r w:rsidRPr="005863C2">
        <w:rPr>
          <w:b/>
          <w:bCs/>
          <w:szCs w:val="24"/>
        </w:rPr>
        <w:t>Clause Notes</w:t>
      </w:r>
    </w:p>
    <w:p w14:paraId="530D67EC" w14:textId="4458AE56" w:rsidR="000E753E" w:rsidRPr="00EB2920" w:rsidRDefault="000E753E" w:rsidP="0065340F">
      <w:pPr>
        <w:rPr>
          <w:szCs w:val="24"/>
        </w:rPr>
      </w:pPr>
    </w:p>
    <w:p w14:paraId="1924FEC6" w14:textId="2A6EE27C" w:rsidR="000E753E" w:rsidRPr="00EB2920" w:rsidRDefault="000E753E" w:rsidP="0065340F">
      <w:pPr>
        <w:rPr>
          <w:szCs w:val="24"/>
        </w:rPr>
      </w:pPr>
      <w:r w:rsidRPr="00EB2920">
        <w:rPr>
          <w:b/>
          <w:bCs/>
          <w:szCs w:val="24"/>
        </w:rPr>
        <w:t>Clause 1</w:t>
      </w:r>
      <w:r w:rsidRPr="00EB2920">
        <w:rPr>
          <w:szCs w:val="24"/>
        </w:rPr>
        <w:t xml:space="preserve"> names the ins</w:t>
      </w:r>
      <w:r w:rsidR="00623E9E" w:rsidRPr="00EB2920">
        <w:rPr>
          <w:szCs w:val="24"/>
        </w:rPr>
        <w:t>trument.</w:t>
      </w:r>
    </w:p>
    <w:p w14:paraId="7AF36F7B" w14:textId="6808C9FA" w:rsidR="00623E9E" w:rsidRPr="00EB2920" w:rsidRDefault="00623E9E" w:rsidP="0065340F">
      <w:pPr>
        <w:rPr>
          <w:szCs w:val="24"/>
        </w:rPr>
      </w:pPr>
    </w:p>
    <w:p w14:paraId="3439653F" w14:textId="211D813F" w:rsidR="00623E9E" w:rsidRPr="00EB2920" w:rsidRDefault="00623E9E" w:rsidP="0065340F">
      <w:pPr>
        <w:rPr>
          <w:szCs w:val="24"/>
        </w:rPr>
      </w:pPr>
      <w:r w:rsidRPr="00EB2920">
        <w:rPr>
          <w:b/>
          <w:bCs/>
          <w:szCs w:val="24"/>
        </w:rPr>
        <w:t>Clause 2</w:t>
      </w:r>
      <w:r w:rsidRPr="00EB2920">
        <w:rPr>
          <w:szCs w:val="24"/>
        </w:rPr>
        <w:t xml:space="preserve"> indicates the time of commencement.</w:t>
      </w:r>
      <w:r w:rsidR="002C6302">
        <w:rPr>
          <w:szCs w:val="24"/>
        </w:rPr>
        <w:t xml:space="preserve"> The Determination will commence on 1 January 2021 when </w:t>
      </w:r>
      <w:r w:rsidR="00331A38">
        <w:rPr>
          <w:szCs w:val="24"/>
        </w:rPr>
        <w:t>s</w:t>
      </w:r>
      <w:r w:rsidR="002C6302">
        <w:rPr>
          <w:szCs w:val="24"/>
        </w:rPr>
        <w:t>ections 10 and 11 of the</w:t>
      </w:r>
      <w:r w:rsidR="00331A38">
        <w:rPr>
          <w:iCs/>
          <w:color w:val="000000"/>
          <w:szCs w:val="24"/>
        </w:rPr>
        <w:t xml:space="preserve"> </w:t>
      </w:r>
      <w:r w:rsidR="002C6302">
        <w:rPr>
          <w:szCs w:val="24"/>
        </w:rPr>
        <w:t>Amendment Act</w:t>
      </w:r>
      <w:r w:rsidR="00331A38">
        <w:rPr>
          <w:szCs w:val="24"/>
        </w:rPr>
        <w:t xml:space="preserve"> commence. DI2020-32 </w:t>
      </w:r>
      <w:r w:rsidR="006C26E2">
        <w:rPr>
          <w:szCs w:val="24"/>
        </w:rPr>
        <w:t>stipulates the abatement factors to be applied for EEIS activities</w:t>
      </w:r>
      <w:r w:rsidR="00331A38">
        <w:rPr>
          <w:szCs w:val="24"/>
        </w:rPr>
        <w:t xml:space="preserve"> until 1 January 2021. </w:t>
      </w:r>
      <w:r w:rsidR="002C6302">
        <w:rPr>
          <w:szCs w:val="24"/>
        </w:rPr>
        <w:t xml:space="preserve"> </w:t>
      </w:r>
    </w:p>
    <w:p w14:paraId="2DAAED1D" w14:textId="77777777" w:rsidR="000E753E" w:rsidRPr="00EB2920" w:rsidRDefault="000E753E" w:rsidP="0065340F">
      <w:pPr>
        <w:rPr>
          <w:szCs w:val="24"/>
        </w:rPr>
      </w:pPr>
    </w:p>
    <w:p w14:paraId="3B4FEBB2" w14:textId="3F1B9F03" w:rsidR="0065340F" w:rsidRPr="00EB2920" w:rsidRDefault="000E753E" w:rsidP="0065340F">
      <w:pPr>
        <w:rPr>
          <w:szCs w:val="24"/>
        </w:rPr>
      </w:pPr>
      <w:r w:rsidRPr="00EB2920">
        <w:rPr>
          <w:b/>
          <w:bCs/>
          <w:szCs w:val="24"/>
        </w:rPr>
        <w:t>Clause 3</w:t>
      </w:r>
      <w:r w:rsidRPr="00EB2920">
        <w:rPr>
          <w:szCs w:val="24"/>
        </w:rPr>
        <w:t xml:space="preserve"> </w:t>
      </w:r>
      <w:r w:rsidR="0065340F" w:rsidRPr="00EB2920">
        <w:rPr>
          <w:szCs w:val="24"/>
        </w:rPr>
        <w:t>establishes the eligible activities that can be undertaken by electricity retailers and approved abatement providers to meet the Energy Savings Target.</w:t>
      </w:r>
    </w:p>
    <w:p w14:paraId="3F61BA3C" w14:textId="77777777" w:rsidR="0065340F" w:rsidRPr="00EB2920" w:rsidRDefault="0065340F" w:rsidP="0065340F">
      <w:pPr>
        <w:rPr>
          <w:szCs w:val="24"/>
        </w:rPr>
      </w:pPr>
    </w:p>
    <w:p w14:paraId="1D0608CF" w14:textId="77777777" w:rsidR="00CF4CA2" w:rsidRDefault="00CF4CA2">
      <w:pPr>
        <w:spacing w:after="160" w:line="259" w:lineRule="auto"/>
        <w:rPr>
          <w:szCs w:val="24"/>
        </w:rPr>
      </w:pPr>
      <w:r>
        <w:rPr>
          <w:szCs w:val="24"/>
        </w:rPr>
        <w:br w:type="page"/>
      </w:r>
    </w:p>
    <w:p w14:paraId="125548C0" w14:textId="38512BB1" w:rsidR="0065340F" w:rsidRPr="00EB2920" w:rsidRDefault="0065340F" w:rsidP="0065340F">
      <w:pPr>
        <w:rPr>
          <w:szCs w:val="24"/>
        </w:rPr>
      </w:pPr>
      <w:r w:rsidRPr="00EB2920">
        <w:rPr>
          <w:szCs w:val="24"/>
        </w:rPr>
        <w:lastRenderedPageBreak/>
        <w:t>In summary, the schedule of the Determination:</w:t>
      </w:r>
    </w:p>
    <w:p w14:paraId="6CD4A27F" w14:textId="77777777" w:rsidR="0065340F" w:rsidRPr="00EB2920" w:rsidRDefault="0065340F" w:rsidP="0065340F">
      <w:pPr>
        <w:rPr>
          <w:szCs w:val="24"/>
        </w:rPr>
      </w:pPr>
    </w:p>
    <w:p w14:paraId="346ADD8B" w14:textId="2EEE2AD6" w:rsidR="0065340F" w:rsidRPr="00EB2920" w:rsidRDefault="0065340F" w:rsidP="00C37375">
      <w:pPr>
        <w:pStyle w:val="ListParagraph"/>
        <w:numPr>
          <w:ilvl w:val="0"/>
          <w:numId w:val="1"/>
        </w:numPr>
        <w:spacing w:before="80"/>
        <w:ind w:left="714" w:hanging="357"/>
        <w:rPr>
          <w:szCs w:val="24"/>
        </w:rPr>
      </w:pPr>
      <w:r w:rsidRPr="00EB2920">
        <w:rPr>
          <w:szCs w:val="24"/>
        </w:rPr>
        <w:t>defines the eligible activities; and for each activity:</w:t>
      </w:r>
    </w:p>
    <w:p w14:paraId="02C1FDA2" w14:textId="77777777" w:rsidR="0065340F" w:rsidRPr="00EB2920" w:rsidRDefault="0065340F" w:rsidP="00C37375">
      <w:pPr>
        <w:pStyle w:val="ListParagraph"/>
        <w:numPr>
          <w:ilvl w:val="0"/>
          <w:numId w:val="1"/>
        </w:numPr>
        <w:spacing w:before="80"/>
        <w:ind w:left="714" w:hanging="357"/>
        <w:rPr>
          <w:szCs w:val="24"/>
        </w:rPr>
      </w:pPr>
      <w:r w:rsidRPr="00EB2920">
        <w:rPr>
          <w:szCs w:val="24"/>
        </w:rPr>
        <w:t>sets minimum performance specifications;</w:t>
      </w:r>
    </w:p>
    <w:p w14:paraId="672BE50C" w14:textId="77777777" w:rsidR="0065340F" w:rsidRPr="00EB2920" w:rsidRDefault="0065340F" w:rsidP="00C37375">
      <w:pPr>
        <w:pStyle w:val="ListParagraph"/>
        <w:numPr>
          <w:ilvl w:val="0"/>
          <w:numId w:val="1"/>
        </w:numPr>
        <w:spacing w:before="80"/>
        <w:ind w:left="714" w:hanging="357"/>
        <w:rPr>
          <w:szCs w:val="24"/>
        </w:rPr>
      </w:pPr>
      <w:r w:rsidRPr="00EB2920">
        <w:rPr>
          <w:szCs w:val="24"/>
        </w:rPr>
        <w:t xml:space="preserve">outlines installed product requirements; </w:t>
      </w:r>
    </w:p>
    <w:p w14:paraId="19FEFC38" w14:textId="77777777" w:rsidR="0065340F" w:rsidRPr="00EB2920" w:rsidRDefault="0065340F" w:rsidP="00C37375">
      <w:pPr>
        <w:pStyle w:val="ListParagraph"/>
        <w:numPr>
          <w:ilvl w:val="0"/>
          <w:numId w:val="1"/>
        </w:numPr>
        <w:spacing w:before="80"/>
        <w:ind w:left="714" w:hanging="357"/>
        <w:rPr>
          <w:szCs w:val="24"/>
        </w:rPr>
      </w:pPr>
      <w:r w:rsidRPr="00EB2920">
        <w:rPr>
          <w:szCs w:val="24"/>
        </w:rPr>
        <w:t xml:space="preserve">specifies when activities are complete; and </w:t>
      </w:r>
    </w:p>
    <w:p w14:paraId="661EA850" w14:textId="71F33994" w:rsidR="0065340F" w:rsidRPr="00EB2920" w:rsidRDefault="0065340F" w:rsidP="00C37375">
      <w:pPr>
        <w:pStyle w:val="ListParagraph"/>
        <w:numPr>
          <w:ilvl w:val="0"/>
          <w:numId w:val="1"/>
        </w:numPr>
        <w:spacing w:before="80"/>
        <w:ind w:left="714" w:hanging="357"/>
        <w:rPr>
          <w:szCs w:val="24"/>
        </w:rPr>
      </w:pPr>
      <w:r w:rsidRPr="00EB2920">
        <w:rPr>
          <w:szCs w:val="24"/>
        </w:rPr>
        <w:t xml:space="preserve">sets out how the </w:t>
      </w:r>
      <w:r w:rsidR="00287B51">
        <w:rPr>
          <w:szCs w:val="24"/>
        </w:rPr>
        <w:t>energy savings</w:t>
      </w:r>
      <w:r w:rsidRPr="00EB2920">
        <w:rPr>
          <w:szCs w:val="24"/>
        </w:rPr>
        <w:t xml:space="preserve"> factor is calculated for each activity. </w:t>
      </w:r>
    </w:p>
    <w:p w14:paraId="752370D0" w14:textId="07903B0C" w:rsidR="0046610F" w:rsidRPr="00EB2920" w:rsidRDefault="0046610F" w:rsidP="0046610F">
      <w:pPr>
        <w:rPr>
          <w:szCs w:val="24"/>
        </w:rPr>
      </w:pPr>
    </w:p>
    <w:p w14:paraId="4335E28C" w14:textId="4BAE940D" w:rsidR="0046610F" w:rsidRPr="00EB2920" w:rsidRDefault="0046610F" w:rsidP="0046610F">
      <w:pPr>
        <w:rPr>
          <w:szCs w:val="24"/>
        </w:rPr>
      </w:pPr>
      <w:r w:rsidRPr="00EB2920">
        <w:rPr>
          <w:szCs w:val="24"/>
        </w:rPr>
        <w:t>The eligible activities described in the Determination are</w:t>
      </w:r>
      <w:r w:rsidR="00D928B2" w:rsidRPr="00EB2920">
        <w:rPr>
          <w:szCs w:val="24"/>
        </w:rPr>
        <w:t xml:space="preserve"> categorised as</w:t>
      </w:r>
      <w:r w:rsidRPr="00EB2920">
        <w:rPr>
          <w:szCs w:val="24"/>
        </w:rPr>
        <w:t>:</w:t>
      </w:r>
    </w:p>
    <w:p w14:paraId="721EEB46" w14:textId="77777777" w:rsidR="0046610F" w:rsidRPr="00EB2920" w:rsidRDefault="0046610F" w:rsidP="0046610F">
      <w:pPr>
        <w:rPr>
          <w:szCs w:val="24"/>
        </w:rPr>
      </w:pPr>
    </w:p>
    <w:p w14:paraId="5F3D2629" w14:textId="6B68444E" w:rsidR="00685A63" w:rsidRPr="00EB2920" w:rsidRDefault="00685A63" w:rsidP="00C37375">
      <w:pPr>
        <w:pStyle w:val="ListParagraph"/>
        <w:numPr>
          <w:ilvl w:val="0"/>
          <w:numId w:val="3"/>
        </w:numPr>
        <w:spacing w:before="80"/>
        <w:ind w:left="714" w:hanging="357"/>
        <w:rPr>
          <w:iCs/>
          <w:color w:val="000000"/>
          <w:szCs w:val="24"/>
        </w:rPr>
      </w:pPr>
      <w:r w:rsidRPr="00EB2920">
        <w:rPr>
          <w:noProof/>
          <w:szCs w:val="24"/>
        </w:rPr>
        <w:t>Residential building envelope activities</w:t>
      </w:r>
      <w:r w:rsidRPr="00EB2920">
        <w:rPr>
          <w:iCs/>
          <w:color w:val="000000"/>
          <w:szCs w:val="24"/>
        </w:rPr>
        <w:t xml:space="preserve"> </w:t>
      </w:r>
    </w:p>
    <w:p w14:paraId="1A116105" w14:textId="29CB48C4" w:rsidR="00685A63" w:rsidRPr="00EB2920" w:rsidRDefault="00685A63" w:rsidP="00C37375">
      <w:pPr>
        <w:pStyle w:val="ListParagraph"/>
        <w:numPr>
          <w:ilvl w:val="0"/>
          <w:numId w:val="3"/>
        </w:numPr>
        <w:spacing w:before="80"/>
        <w:ind w:left="714" w:hanging="357"/>
        <w:rPr>
          <w:iCs/>
          <w:color w:val="000000"/>
          <w:szCs w:val="24"/>
        </w:rPr>
      </w:pPr>
      <w:r w:rsidRPr="00EB2920">
        <w:rPr>
          <w:noProof/>
          <w:szCs w:val="24"/>
        </w:rPr>
        <w:t>Space heating and cooling activities</w:t>
      </w:r>
    </w:p>
    <w:p w14:paraId="0D4F065F" w14:textId="7418B289" w:rsidR="00685A63" w:rsidRPr="00EB2920" w:rsidRDefault="00685A63" w:rsidP="00C37375">
      <w:pPr>
        <w:pStyle w:val="ListParagraph"/>
        <w:numPr>
          <w:ilvl w:val="0"/>
          <w:numId w:val="3"/>
        </w:numPr>
        <w:spacing w:before="80"/>
        <w:ind w:left="714" w:hanging="357"/>
        <w:rPr>
          <w:iCs/>
          <w:color w:val="000000"/>
          <w:szCs w:val="24"/>
        </w:rPr>
      </w:pPr>
      <w:r w:rsidRPr="00EB2920">
        <w:rPr>
          <w:noProof/>
          <w:szCs w:val="24"/>
        </w:rPr>
        <w:t>Hot water service activities</w:t>
      </w:r>
    </w:p>
    <w:p w14:paraId="38AA1C2D" w14:textId="1DB3E1BC" w:rsidR="00685A63" w:rsidRPr="00EB2920" w:rsidRDefault="00685A63" w:rsidP="00C37375">
      <w:pPr>
        <w:pStyle w:val="ListParagraph"/>
        <w:numPr>
          <w:ilvl w:val="0"/>
          <w:numId w:val="3"/>
        </w:numPr>
        <w:spacing w:before="80"/>
        <w:ind w:left="714" w:hanging="357"/>
        <w:rPr>
          <w:iCs/>
          <w:color w:val="000000"/>
          <w:szCs w:val="24"/>
        </w:rPr>
      </w:pPr>
      <w:r w:rsidRPr="00EB2920">
        <w:rPr>
          <w:noProof/>
          <w:szCs w:val="24"/>
        </w:rPr>
        <w:t>Lighting activities</w:t>
      </w:r>
    </w:p>
    <w:p w14:paraId="22796E89" w14:textId="1AF4C885" w:rsidR="006C26E2" w:rsidRPr="00EB2920" w:rsidRDefault="00685A63" w:rsidP="00C37375">
      <w:pPr>
        <w:pStyle w:val="ListParagraph"/>
        <w:numPr>
          <w:ilvl w:val="0"/>
          <w:numId w:val="3"/>
        </w:numPr>
        <w:spacing w:before="80"/>
        <w:ind w:left="714" w:hanging="357"/>
        <w:rPr>
          <w:noProof/>
          <w:szCs w:val="24"/>
        </w:rPr>
      </w:pPr>
      <w:r w:rsidRPr="00EB2920">
        <w:rPr>
          <w:noProof/>
          <w:szCs w:val="24"/>
        </w:rPr>
        <w:t>Appliance activities</w:t>
      </w:r>
    </w:p>
    <w:p w14:paraId="015DCF46" w14:textId="03729D9A" w:rsidR="00685A63" w:rsidRPr="00997EAF" w:rsidRDefault="00685A63" w:rsidP="00997EAF">
      <w:pPr>
        <w:pStyle w:val="ListParagraph"/>
        <w:spacing w:before="80"/>
        <w:ind w:left="714"/>
        <w:rPr>
          <w:iCs/>
          <w:color w:val="000000"/>
          <w:szCs w:val="24"/>
        </w:rPr>
      </w:pPr>
    </w:p>
    <w:p w14:paraId="0C4AF6AC" w14:textId="3E518EC6" w:rsidR="00EF15E2" w:rsidRPr="00EB2920" w:rsidRDefault="00EF15E2" w:rsidP="00EF15E2">
      <w:pPr>
        <w:spacing w:before="80" w:after="60"/>
        <w:rPr>
          <w:iCs/>
          <w:color w:val="000000"/>
          <w:szCs w:val="24"/>
        </w:rPr>
      </w:pPr>
      <w:r w:rsidRPr="00EB2920">
        <w:rPr>
          <w:b/>
          <w:bCs/>
          <w:iCs/>
          <w:color w:val="000000"/>
          <w:szCs w:val="24"/>
        </w:rPr>
        <w:t>Clause 4</w:t>
      </w:r>
      <w:r w:rsidRPr="00EB2920">
        <w:rPr>
          <w:iCs/>
          <w:color w:val="000000"/>
          <w:szCs w:val="24"/>
        </w:rPr>
        <w:t xml:space="preserve"> disapplies </w:t>
      </w:r>
      <w:r w:rsidRPr="00EB2920">
        <w:rPr>
          <w:i/>
          <w:iCs/>
          <w:color w:val="000000"/>
          <w:szCs w:val="24"/>
          <w:lang w:eastAsia="en-AU"/>
        </w:rPr>
        <w:t xml:space="preserve">The Legislation Act 2001, </w:t>
      </w:r>
      <w:r w:rsidRPr="005863C2">
        <w:rPr>
          <w:color w:val="000000"/>
          <w:szCs w:val="24"/>
          <w:lang w:eastAsia="en-AU"/>
        </w:rPr>
        <w:t>sections 47 (5) and 47 (6).</w:t>
      </w:r>
      <w:r w:rsidRPr="00183B1B">
        <w:rPr>
          <w:color w:val="000000"/>
          <w:szCs w:val="24"/>
          <w:lang w:eastAsia="en-AU"/>
        </w:rPr>
        <w:t xml:space="preserve"> </w:t>
      </w:r>
      <w:r>
        <w:rPr>
          <w:iCs/>
          <w:color w:val="000000"/>
          <w:szCs w:val="24"/>
        </w:rPr>
        <w:t>These sections are disapplied because they stipulate that any external text which is to be applied as law in the ACT needs to be republished as a notifiable instrument. It is not possible to republish text contained in Australian Standards documents as they are protected by copyright. It is not practical to republish information in the National Construction Code as it contains over 400 pages of information across 4 volumes.</w:t>
      </w:r>
      <w:r w:rsidR="003403A0">
        <w:rPr>
          <w:iCs/>
          <w:color w:val="000000"/>
          <w:szCs w:val="24"/>
        </w:rPr>
        <w:t xml:space="preserve"> </w:t>
      </w:r>
    </w:p>
    <w:p w14:paraId="32E5D8A3" w14:textId="77777777" w:rsidR="00EF15E2" w:rsidRPr="00EB2920" w:rsidRDefault="00EF15E2" w:rsidP="00EF15E2">
      <w:pPr>
        <w:spacing w:before="80" w:after="60"/>
        <w:rPr>
          <w:iCs/>
          <w:color w:val="000000"/>
          <w:szCs w:val="24"/>
        </w:rPr>
      </w:pPr>
    </w:p>
    <w:p w14:paraId="36B4A8E0" w14:textId="2C92BF23" w:rsidR="00EF15E2" w:rsidRPr="00EB2920" w:rsidRDefault="00EF15E2" w:rsidP="00EF15E2">
      <w:pPr>
        <w:spacing w:before="80" w:after="60"/>
        <w:rPr>
          <w:iCs/>
          <w:color w:val="000000"/>
          <w:szCs w:val="24"/>
        </w:rPr>
      </w:pPr>
      <w:r w:rsidRPr="00EB2920">
        <w:rPr>
          <w:b/>
          <w:bCs/>
          <w:iCs/>
          <w:color w:val="000000"/>
          <w:szCs w:val="24"/>
        </w:rPr>
        <w:t>Clause 5</w:t>
      </w:r>
      <w:r w:rsidRPr="00EB2920">
        <w:rPr>
          <w:iCs/>
          <w:color w:val="000000"/>
          <w:szCs w:val="24"/>
        </w:rPr>
        <w:t xml:space="preserve"> indicates that the referenced documents are the Australian Standards and the National Construction Code</w:t>
      </w:r>
      <w:r>
        <w:rPr>
          <w:iCs/>
          <w:color w:val="000000"/>
          <w:szCs w:val="24"/>
        </w:rPr>
        <w:t xml:space="preserve">, and the clause also informs readers where copies of these documents may be obtained. </w:t>
      </w:r>
      <w:r w:rsidR="005863C2">
        <w:rPr>
          <w:iCs/>
          <w:color w:val="000000"/>
          <w:szCs w:val="24"/>
        </w:rPr>
        <w:t xml:space="preserve">The reference documents are also available </w:t>
      </w:r>
      <w:r w:rsidR="006A3C1B">
        <w:rPr>
          <w:iCs/>
          <w:color w:val="000000"/>
          <w:szCs w:val="24"/>
        </w:rPr>
        <w:t xml:space="preserve">for inspection </w:t>
      </w:r>
      <w:r w:rsidR="005863C2">
        <w:rPr>
          <w:iCs/>
          <w:color w:val="000000"/>
          <w:szCs w:val="24"/>
        </w:rPr>
        <w:t>at the Access Canberra Shopfront</w:t>
      </w:r>
      <w:r w:rsidR="006A3C1B">
        <w:rPr>
          <w:iCs/>
          <w:color w:val="000000"/>
          <w:szCs w:val="24"/>
        </w:rPr>
        <w:t xml:space="preserve"> in Dickson</w:t>
      </w:r>
      <w:r w:rsidR="005863C2">
        <w:rPr>
          <w:iCs/>
          <w:color w:val="000000"/>
          <w:szCs w:val="24"/>
        </w:rPr>
        <w:t>.</w:t>
      </w:r>
      <w:r w:rsidR="006A3C1B">
        <w:rPr>
          <w:iCs/>
          <w:color w:val="000000"/>
          <w:szCs w:val="24"/>
        </w:rPr>
        <w:t xml:space="preserve"> The current address of the Access Canberra Shopfront is 16 Challis St, Dickson. However, the Shopfront is scheduled to move to 480 Northbourne Avenue, Dickson later in 2020.</w:t>
      </w:r>
    </w:p>
    <w:p w14:paraId="26ECBAD3" w14:textId="62C7FDC0" w:rsidR="000E753E" w:rsidRPr="00EB2920" w:rsidRDefault="000E753E" w:rsidP="0065340F">
      <w:pPr>
        <w:spacing w:before="80" w:after="60"/>
        <w:rPr>
          <w:szCs w:val="24"/>
        </w:rPr>
      </w:pPr>
    </w:p>
    <w:p w14:paraId="2D5EAB6F" w14:textId="26D82FEA" w:rsidR="000E753E" w:rsidRDefault="000E753E" w:rsidP="0065340F">
      <w:pPr>
        <w:spacing w:before="80" w:after="60"/>
        <w:rPr>
          <w:szCs w:val="24"/>
        </w:rPr>
      </w:pPr>
      <w:r w:rsidRPr="00EB2920">
        <w:rPr>
          <w:b/>
          <w:bCs/>
          <w:szCs w:val="24"/>
        </w:rPr>
        <w:t>Clause 6</w:t>
      </w:r>
      <w:r w:rsidRPr="00EB2920">
        <w:rPr>
          <w:szCs w:val="24"/>
        </w:rPr>
        <w:t xml:space="preserve"> defines the Dictionary</w:t>
      </w:r>
      <w:r w:rsidR="004D59A4">
        <w:rPr>
          <w:szCs w:val="24"/>
        </w:rPr>
        <w:t xml:space="preserve"> for the Determination</w:t>
      </w:r>
      <w:r w:rsidRPr="00EB2920">
        <w:rPr>
          <w:szCs w:val="24"/>
        </w:rPr>
        <w:t xml:space="preserve"> </w:t>
      </w:r>
      <w:r w:rsidR="004D59A4">
        <w:rPr>
          <w:szCs w:val="24"/>
        </w:rPr>
        <w:t xml:space="preserve">as section 6 of </w:t>
      </w:r>
      <w:r w:rsidRPr="00EB2920">
        <w:rPr>
          <w:szCs w:val="24"/>
        </w:rPr>
        <w:t xml:space="preserve">schedule </w:t>
      </w:r>
      <w:r w:rsidR="004D59A4">
        <w:rPr>
          <w:szCs w:val="24"/>
        </w:rPr>
        <w:t xml:space="preserve">1 </w:t>
      </w:r>
      <w:r w:rsidRPr="00EB2920">
        <w:rPr>
          <w:szCs w:val="24"/>
        </w:rPr>
        <w:t>of the Determination.</w:t>
      </w:r>
    </w:p>
    <w:p w14:paraId="1D67D54E" w14:textId="336EC915" w:rsidR="004D59A4" w:rsidRDefault="004D59A4" w:rsidP="0065340F">
      <w:pPr>
        <w:spacing w:before="80" w:after="60"/>
        <w:rPr>
          <w:szCs w:val="24"/>
        </w:rPr>
      </w:pPr>
    </w:p>
    <w:p w14:paraId="3C2509DD" w14:textId="4E763E1C" w:rsidR="004D59A4" w:rsidRPr="00EB2920" w:rsidRDefault="004D59A4" w:rsidP="0065340F">
      <w:pPr>
        <w:spacing w:before="80" w:after="60"/>
        <w:rPr>
          <w:szCs w:val="24"/>
        </w:rPr>
      </w:pPr>
      <w:r w:rsidRPr="00CF4CA2">
        <w:rPr>
          <w:b/>
          <w:bCs/>
          <w:szCs w:val="24"/>
        </w:rPr>
        <w:t>Clause 7</w:t>
      </w:r>
      <w:r>
        <w:rPr>
          <w:szCs w:val="24"/>
        </w:rPr>
        <w:t xml:space="preserve"> revokes the previous Determination. </w:t>
      </w:r>
    </w:p>
    <w:p w14:paraId="65A1791C" w14:textId="7EB01AB5" w:rsidR="000E753E" w:rsidRPr="00EB2920" w:rsidRDefault="000E753E" w:rsidP="0065340F">
      <w:pPr>
        <w:spacing w:before="80" w:after="60"/>
        <w:rPr>
          <w:szCs w:val="24"/>
        </w:rPr>
      </w:pPr>
    </w:p>
    <w:p w14:paraId="3E78FB27" w14:textId="23CA6EB7" w:rsidR="00331A38" w:rsidRDefault="00331A38" w:rsidP="0065340F">
      <w:pPr>
        <w:spacing w:before="80" w:after="60"/>
        <w:rPr>
          <w:szCs w:val="24"/>
        </w:rPr>
      </w:pPr>
    </w:p>
    <w:p w14:paraId="280632CE" w14:textId="77777777" w:rsidR="003403A0" w:rsidRPr="00EB2920" w:rsidRDefault="003403A0" w:rsidP="0065340F">
      <w:pPr>
        <w:spacing w:before="80" w:after="60"/>
        <w:rPr>
          <w:szCs w:val="24"/>
        </w:rPr>
      </w:pPr>
    </w:p>
    <w:p w14:paraId="1145ED60" w14:textId="77777777" w:rsidR="00FF2BFC" w:rsidRPr="0065340F" w:rsidRDefault="00FF2BFC" w:rsidP="0065340F"/>
    <w:sectPr w:rsidR="00FF2BFC" w:rsidRPr="006534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0EFA" w14:textId="77777777" w:rsidR="008605F3" w:rsidRDefault="008605F3" w:rsidP="00C16501">
      <w:r>
        <w:separator/>
      </w:r>
    </w:p>
  </w:endnote>
  <w:endnote w:type="continuationSeparator" w:id="0">
    <w:p w14:paraId="2B2ED2AE" w14:textId="77777777" w:rsidR="008605F3" w:rsidRDefault="008605F3" w:rsidP="00C1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BF10" w14:textId="77777777" w:rsidR="00C16501" w:rsidRDefault="00C1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679E" w14:textId="203D91E7" w:rsidR="00C16501" w:rsidRPr="0098715F" w:rsidRDefault="0098715F" w:rsidP="0098715F">
    <w:pPr>
      <w:pStyle w:val="Footer"/>
      <w:jc w:val="center"/>
      <w:rPr>
        <w:rFonts w:ascii="Arial" w:hAnsi="Arial" w:cs="Arial"/>
        <w:sz w:val="14"/>
      </w:rPr>
    </w:pPr>
    <w:r w:rsidRPr="0098715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EA0C" w14:textId="77777777" w:rsidR="00C16501" w:rsidRDefault="00C1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27C66" w14:textId="77777777" w:rsidR="008605F3" w:rsidRDefault="008605F3" w:rsidP="00C16501">
      <w:r>
        <w:separator/>
      </w:r>
    </w:p>
  </w:footnote>
  <w:footnote w:type="continuationSeparator" w:id="0">
    <w:p w14:paraId="2D8DC544" w14:textId="77777777" w:rsidR="008605F3" w:rsidRDefault="008605F3" w:rsidP="00C1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F64D" w14:textId="77777777" w:rsidR="00C16501" w:rsidRDefault="00C1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F4FD" w14:textId="46F80A35" w:rsidR="00C16501" w:rsidRDefault="00C16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CD65" w14:textId="77777777" w:rsidR="00C16501" w:rsidRDefault="00C16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E2635"/>
    <w:multiLevelType w:val="hybridMultilevel"/>
    <w:tmpl w:val="DB248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D85353"/>
    <w:multiLevelType w:val="hybridMultilevel"/>
    <w:tmpl w:val="B9E65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6E4D16"/>
    <w:multiLevelType w:val="hybridMultilevel"/>
    <w:tmpl w:val="EF067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1D674BD"/>
    <w:multiLevelType w:val="hybridMultilevel"/>
    <w:tmpl w:val="A0AA04E2"/>
    <w:lvl w:ilvl="0" w:tplc="C214182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05441AA"/>
    <w:multiLevelType w:val="hybridMultilevel"/>
    <w:tmpl w:val="E02A59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910371"/>
    <w:multiLevelType w:val="hybridMultilevel"/>
    <w:tmpl w:val="5E3A5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AB"/>
    <w:rsid w:val="00011976"/>
    <w:rsid w:val="0004294D"/>
    <w:rsid w:val="00076111"/>
    <w:rsid w:val="000B19E2"/>
    <w:rsid w:val="000E753E"/>
    <w:rsid w:val="001435F5"/>
    <w:rsid w:val="00181C85"/>
    <w:rsid w:val="00183080"/>
    <w:rsid w:val="00183B1B"/>
    <w:rsid w:val="001A0F0B"/>
    <w:rsid w:val="00246F20"/>
    <w:rsid w:val="00251781"/>
    <w:rsid w:val="002655CA"/>
    <w:rsid w:val="00265F08"/>
    <w:rsid w:val="00287B51"/>
    <w:rsid w:val="002C1BF7"/>
    <w:rsid w:val="002C6302"/>
    <w:rsid w:val="002D34AF"/>
    <w:rsid w:val="002D53AA"/>
    <w:rsid w:val="002D605A"/>
    <w:rsid w:val="00311687"/>
    <w:rsid w:val="00321C1B"/>
    <w:rsid w:val="00331A38"/>
    <w:rsid w:val="003403A0"/>
    <w:rsid w:val="00363A59"/>
    <w:rsid w:val="00383101"/>
    <w:rsid w:val="003F58ED"/>
    <w:rsid w:val="0041062C"/>
    <w:rsid w:val="0042046C"/>
    <w:rsid w:val="00432796"/>
    <w:rsid w:val="004478FE"/>
    <w:rsid w:val="0046610F"/>
    <w:rsid w:val="004A2B29"/>
    <w:rsid w:val="004B08FB"/>
    <w:rsid w:val="004D59A4"/>
    <w:rsid w:val="004E22AB"/>
    <w:rsid w:val="00520722"/>
    <w:rsid w:val="00531093"/>
    <w:rsid w:val="005330C1"/>
    <w:rsid w:val="005600E9"/>
    <w:rsid w:val="005863C2"/>
    <w:rsid w:val="005F7DE4"/>
    <w:rsid w:val="00615038"/>
    <w:rsid w:val="00623E9E"/>
    <w:rsid w:val="00650563"/>
    <w:rsid w:val="0065340F"/>
    <w:rsid w:val="00685A63"/>
    <w:rsid w:val="006A3C1B"/>
    <w:rsid w:val="006B3683"/>
    <w:rsid w:val="006C26E2"/>
    <w:rsid w:val="007108EB"/>
    <w:rsid w:val="007E1F30"/>
    <w:rsid w:val="00821634"/>
    <w:rsid w:val="0083260F"/>
    <w:rsid w:val="008346D1"/>
    <w:rsid w:val="008605F3"/>
    <w:rsid w:val="0088381E"/>
    <w:rsid w:val="008A5A76"/>
    <w:rsid w:val="008B48EC"/>
    <w:rsid w:val="008C187F"/>
    <w:rsid w:val="008C56C2"/>
    <w:rsid w:val="00906580"/>
    <w:rsid w:val="00907E8E"/>
    <w:rsid w:val="009106F6"/>
    <w:rsid w:val="009774CF"/>
    <w:rsid w:val="0098715F"/>
    <w:rsid w:val="00987D32"/>
    <w:rsid w:val="00997D8C"/>
    <w:rsid w:val="00997EAF"/>
    <w:rsid w:val="009F05A3"/>
    <w:rsid w:val="009F1170"/>
    <w:rsid w:val="00A1327A"/>
    <w:rsid w:val="00A17211"/>
    <w:rsid w:val="00A64A5F"/>
    <w:rsid w:val="00A755B9"/>
    <w:rsid w:val="00B23055"/>
    <w:rsid w:val="00B23E29"/>
    <w:rsid w:val="00B27236"/>
    <w:rsid w:val="00B90253"/>
    <w:rsid w:val="00BE095A"/>
    <w:rsid w:val="00C16501"/>
    <w:rsid w:val="00C37375"/>
    <w:rsid w:val="00C51F1A"/>
    <w:rsid w:val="00CC6B06"/>
    <w:rsid w:val="00CD6CEE"/>
    <w:rsid w:val="00CF4CA2"/>
    <w:rsid w:val="00D163E2"/>
    <w:rsid w:val="00D2648B"/>
    <w:rsid w:val="00D31FEC"/>
    <w:rsid w:val="00D55CC3"/>
    <w:rsid w:val="00D75418"/>
    <w:rsid w:val="00D86737"/>
    <w:rsid w:val="00D928B2"/>
    <w:rsid w:val="00DC72A5"/>
    <w:rsid w:val="00E16BE4"/>
    <w:rsid w:val="00E42A17"/>
    <w:rsid w:val="00E7675F"/>
    <w:rsid w:val="00E97E4B"/>
    <w:rsid w:val="00EB2920"/>
    <w:rsid w:val="00EB4D19"/>
    <w:rsid w:val="00EC7247"/>
    <w:rsid w:val="00EF15E2"/>
    <w:rsid w:val="00F17CBD"/>
    <w:rsid w:val="00FD646D"/>
    <w:rsid w:val="00FF2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E2C78A"/>
  <w15:chartTrackingRefBased/>
  <w15:docId w15:val="{3FC303D8-8B3E-46D6-8397-C2655C66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40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22A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75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18"/>
    <w:rPr>
      <w:rFonts w:ascii="Segoe UI" w:hAnsi="Segoe UI" w:cs="Segoe UI"/>
      <w:sz w:val="18"/>
      <w:szCs w:val="18"/>
    </w:rPr>
  </w:style>
  <w:style w:type="character" w:styleId="Hyperlink">
    <w:name w:val="Hyperlink"/>
    <w:basedOn w:val="DefaultParagraphFont"/>
    <w:uiPriority w:val="99"/>
    <w:semiHidden/>
    <w:unhideWhenUsed/>
    <w:rsid w:val="002C1BF7"/>
    <w:rPr>
      <w:color w:val="0000FF"/>
      <w:u w:val="single"/>
    </w:rPr>
  </w:style>
  <w:style w:type="paragraph" w:customStyle="1" w:styleId="Billname">
    <w:name w:val="Billname"/>
    <w:basedOn w:val="Normal"/>
    <w:rsid w:val="0065340F"/>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65340F"/>
    <w:pPr>
      <w:pBdr>
        <w:bottom w:val="single" w:sz="12" w:space="1" w:color="auto"/>
      </w:pBdr>
      <w:jc w:val="both"/>
    </w:pPr>
  </w:style>
  <w:style w:type="paragraph" w:customStyle="1" w:styleId="madeunder">
    <w:name w:val="made under"/>
    <w:basedOn w:val="Normal"/>
    <w:rsid w:val="0065340F"/>
    <w:pPr>
      <w:spacing w:before="180" w:after="60"/>
      <w:jc w:val="both"/>
    </w:pPr>
  </w:style>
  <w:style w:type="paragraph" w:customStyle="1" w:styleId="CoverActName">
    <w:name w:val="CoverActName"/>
    <w:basedOn w:val="Normal"/>
    <w:rsid w:val="0065340F"/>
    <w:pPr>
      <w:tabs>
        <w:tab w:val="left" w:pos="2600"/>
      </w:tabs>
      <w:spacing w:before="200" w:after="60"/>
      <w:jc w:val="both"/>
    </w:pPr>
    <w:rPr>
      <w:rFonts w:ascii="Arial" w:hAnsi="Arial"/>
      <w:b/>
    </w:rPr>
  </w:style>
  <w:style w:type="paragraph" w:styleId="ListParagraph">
    <w:name w:val="List Paragraph"/>
    <w:basedOn w:val="Normal"/>
    <w:link w:val="ListParagraphChar"/>
    <w:uiPriority w:val="34"/>
    <w:qFormat/>
    <w:rsid w:val="0065340F"/>
    <w:pPr>
      <w:ind w:left="720"/>
      <w:contextualSpacing/>
    </w:pPr>
  </w:style>
  <w:style w:type="paragraph" w:styleId="Header">
    <w:name w:val="header"/>
    <w:basedOn w:val="Normal"/>
    <w:link w:val="HeaderChar"/>
    <w:uiPriority w:val="99"/>
    <w:unhideWhenUsed/>
    <w:rsid w:val="00C16501"/>
    <w:pPr>
      <w:tabs>
        <w:tab w:val="center" w:pos="4513"/>
        <w:tab w:val="right" w:pos="9026"/>
      </w:tabs>
    </w:pPr>
  </w:style>
  <w:style w:type="character" w:customStyle="1" w:styleId="HeaderChar">
    <w:name w:val="Header Char"/>
    <w:basedOn w:val="DefaultParagraphFont"/>
    <w:link w:val="Header"/>
    <w:uiPriority w:val="99"/>
    <w:rsid w:val="00C1650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16501"/>
    <w:pPr>
      <w:tabs>
        <w:tab w:val="center" w:pos="4513"/>
        <w:tab w:val="right" w:pos="9026"/>
      </w:tabs>
    </w:pPr>
  </w:style>
  <w:style w:type="character" w:customStyle="1" w:styleId="FooterChar">
    <w:name w:val="Footer Char"/>
    <w:basedOn w:val="DefaultParagraphFont"/>
    <w:link w:val="Footer"/>
    <w:uiPriority w:val="99"/>
    <w:rsid w:val="00C1650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87B51"/>
    <w:rPr>
      <w:sz w:val="16"/>
      <w:szCs w:val="16"/>
    </w:rPr>
  </w:style>
  <w:style w:type="paragraph" w:styleId="CommentText">
    <w:name w:val="annotation text"/>
    <w:basedOn w:val="Normal"/>
    <w:link w:val="CommentTextChar"/>
    <w:uiPriority w:val="99"/>
    <w:semiHidden/>
    <w:unhideWhenUsed/>
    <w:rsid w:val="00287B51"/>
    <w:rPr>
      <w:sz w:val="20"/>
    </w:rPr>
  </w:style>
  <w:style w:type="character" w:customStyle="1" w:styleId="CommentTextChar">
    <w:name w:val="Comment Text Char"/>
    <w:basedOn w:val="DefaultParagraphFont"/>
    <w:link w:val="CommentText"/>
    <w:uiPriority w:val="99"/>
    <w:semiHidden/>
    <w:rsid w:val="00287B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7B51"/>
    <w:rPr>
      <w:b/>
      <w:bCs/>
    </w:rPr>
  </w:style>
  <w:style w:type="character" w:customStyle="1" w:styleId="CommentSubjectChar">
    <w:name w:val="Comment Subject Char"/>
    <w:basedOn w:val="CommentTextChar"/>
    <w:link w:val="CommentSubject"/>
    <w:uiPriority w:val="99"/>
    <w:semiHidden/>
    <w:rsid w:val="00287B51"/>
    <w:rPr>
      <w:rFonts w:ascii="Times New Roman" w:eastAsia="Times New Roman" w:hAnsi="Times New Roman" w:cs="Times New Roman"/>
      <w:b/>
      <w:bCs/>
      <w:sz w:val="20"/>
      <w:szCs w:val="20"/>
    </w:rPr>
  </w:style>
  <w:style w:type="table" w:styleId="TableGrid">
    <w:name w:val="Table Grid"/>
    <w:basedOn w:val="TableNormal"/>
    <w:uiPriority w:val="39"/>
    <w:rsid w:val="00FF2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1168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99656">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sChild>
        <w:div w:id="1859082063">
          <w:marLeft w:val="0"/>
          <w:marRight w:val="0"/>
          <w:marTop w:val="0"/>
          <w:marBottom w:val="0"/>
          <w:divBdr>
            <w:top w:val="none" w:sz="0" w:space="0" w:color="auto"/>
            <w:left w:val="none" w:sz="0" w:space="0" w:color="auto"/>
            <w:bottom w:val="none" w:sz="0" w:space="0" w:color="auto"/>
            <w:right w:val="none" w:sz="0" w:space="0" w:color="auto"/>
          </w:divBdr>
          <w:divsChild>
            <w:div w:id="1048607758">
              <w:marLeft w:val="0"/>
              <w:marRight w:val="0"/>
              <w:marTop w:val="0"/>
              <w:marBottom w:val="0"/>
              <w:divBdr>
                <w:top w:val="none" w:sz="0" w:space="0" w:color="auto"/>
                <w:left w:val="none" w:sz="0" w:space="0" w:color="auto"/>
                <w:bottom w:val="none" w:sz="0" w:space="0" w:color="auto"/>
                <w:right w:val="none" w:sz="0" w:space="0" w:color="auto"/>
              </w:divBdr>
              <w:divsChild>
                <w:div w:id="1785423600">
                  <w:marLeft w:val="0"/>
                  <w:marRight w:val="0"/>
                  <w:marTop w:val="0"/>
                  <w:marBottom w:val="0"/>
                  <w:divBdr>
                    <w:top w:val="none" w:sz="0" w:space="0" w:color="auto"/>
                    <w:left w:val="none" w:sz="0" w:space="0" w:color="auto"/>
                    <w:bottom w:val="none" w:sz="0" w:space="0" w:color="auto"/>
                    <w:right w:val="none" w:sz="0" w:space="0" w:color="auto"/>
                  </w:divBdr>
                  <w:divsChild>
                    <w:div w:id="410322387">
                      <w:marLeft w:val="0"/>
                      <w:marRight w:val="0"/>
                      <w:marTop w:val="0"/>
                      <w:marBottom w:val="0"/>
                      <w:divBdr>
                        <w:top w:val="none" w:sz="0" w:space="0" w:color="auto"/>
                        <w:left w:val="none" w:sz="0" w:space="0" w:color="auto"/>
                        <w:bottom w:val="none" w:sz="0" w:space="0" w:color="auto"/>
                        <w:right w:val="none" w:sz="0" w:space="0" w:color="auto"/>
                      </w:divBdr>
                      <w:divsChild>
                        <w:div w:id="1937976291">
                          <w:marLeft w:val="0"/>
                          <w:marRight w:val="0"/>
                          <w:marTop w:val="0"/>
                          <w:marBottom w:val="75"/>
                          <w:divBdr>
                            <w:top w:val="none" w:sz="0" w:space="0" w:color="auto"/>
                            <w:left w:val="none" w:sz="0" w:space="0" w:color="auto"/>
                            <w:bottom w:val="none" w:sz="0" w:space="0" w:color="auto"/>
                            <w:right w:val="none" w:sz="0" w:space="0" w:color="auto"/>
                          </w:divBdr>
                          <w:divsChild>
                            <w:div w:id="100225673">
                              <w:marLeft w:val="0"/>
                              <w:marRight w:val="0"/>
                              <w:marTop w:val="0"/>
                              <w:marBottom w:val="0"/>
                              <w:divBdr>
                                <w:top w:val="none" w:sz="0" w:space="0" w:color="auto"/>
                                <w:left w:val="none" w:sz="0" w:space="0" w:color="auto"/>
                                <w:bottom w:val="none" w:sz="0" w:space="0" w:color="auto"/>
                                <w:right w:val="none" w:sz="0" w:space="0" w:color="auto"/>
                              </w:divBdr>
                            </w:div>
                          </w:divsChild>
                        </w:div>
                        <w:div w:id="1967000954">
                          <w:marLeft w:val="0"/>
                          <w:marRight w:val="0"/>
                          <w:marTop w:val="0"/>
                          <w:marBottom w:val="75"/>
                          <w:divBdr>
                            <w:top w:val="none" w:sz="0" w:space="0" w:color="auto"/>
                            <w:left w:val="none" w:sz="0" w:space="0" w:color="auto"/>
                            <w:bottom w:val="none" w:sz="0" w:space="0" w:color="auto"/>
                            <w:right w:val="none" w:sz="0" w:space="0" w:color="auto"/>
                          </w:divBdr>
                          <w:divsChild>
                            <w:div w:id="6663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318656">
              <w:marLeft w:val="0"/>
              <w:marRight w:val="0"/>
              <w:marTop w:val="0"/>
              <w:marBottom w:val="0"/>
              <w:divBdr>
                <w:top w:val="none" w:sz="0" w:space="0" w:color="auto"/>
                <w:left w:val="none" w:sz="0" w:space="0" w:color="auto"/>
                <w:bottom w:val="none" w:sz="0" w:space="0" w:color="auto"/>
                <w:right w:val="none" w:sz="0" w:space="0" w:color="auto"/>
              </w:divBdr>
              <w:divsChild>
                <w:div w:id="747113348">
                  <w:marLeft w:val="30"/>
                  <w:marRight w:val="30"/>
                  <w:marTop w:val="60"/>
                  <w:marBottom w:val="60"/>
                  <w:divBdr>
                    <w:top w:val="none" w:sz="0" w:space="0" w:color="auto"/>
                    <w:left w:val="none" w:sz="0" w:space="0" w:color="auto"/>
                    <w:bottom w:val="none" w:sz="0" w:space="0" w:color="auto"/>
                    <w:right w:val="none" w:sz="0" w:space="0" w:color="auto"/>
                  </w:divBdr>
                  <w:divsChild>
                    <w:div w:id="613365777">
                      <w:marLeft w:val="0"/>
                      <w:marRight w:val="0"/>
                      <w:marTop w:val="0"/>
                      <w:marBottom w:val="0"/>
                      <w:divBdr>
                        <w:top w:val="none" w:sz="0" w:space="0" w:color="auto"/>
                        <w:left w:val="none" w:sz="0" w:space="0" w:color="auto"/>
                        <w:bottom w:val="none" w:sz="0" w:space="0" w:color="auto"/>
                        <w:right w:val="none" w:sz="0" w:space="0" w:color="auto"/>
                      </w:divBdr>
                      <w:divsChild>
                        <w:div w:id="1606840896">
                          <w:marLeft w:val="0"/>
                          <w:marRight w:val="0"/>
                          <w:marTop w:val="0"/>
                          <w:marBottom w:val="0"/>
                          <w:divBdr>
                            <w:top w:val="none" w:sz="0" w:space="0" w:color="auto"/>
                            <w:left w:val="none" w:sz="0" w:space="0" w:color="auto"/>
                            <w:bottom w:val="none" w:sz="0" w:space="0" w:color="auto"/>
                            <w:right w:val="none" w:sz="0" w:space="0" w:color="auto"/>
                          </w:divBdr>
                        </w:div>
                      </w:divsChild>
                    </w:div>
                    <w:div w:id="2144735134">
                      <w:marLeft w:val="0"/>
                      <w:marRight w:val="0"/>
                      <w:marTop w:val="0"/>
                      <w:marBottom w:val="0"/>
                      <w:divBdr>
                        <w:top w:val="none" w:sz="0" w:space="0" w:color="auto"/>
                        <w:left w:val="none" w:sz="0" w:space="0" w:color="auto"/>
                        <w:bottom w:val="none" w:sz="0" w:space="0" w:color="auto"/>
                        <w:right w:val="none" w:sz="0" w:space="0" w:color="auto"/>
                      </w:divBdr>
                    </w:div>
                  </w:divsChild>
                </w:div>
                <w:div w:id="1851720512">
                  <w:marLeft w:val="30"/>
                  <w:marRight w:val="30"/>
                  <w:marTop w:val="60"/>
                  <w:marBottom w:val="60"/>
                  <w:divBdr>
                    <w:top w:val="none" w:sz="0" w:space="0" w:color="auto"/>
                    <w:left w:val="none" w:sz="0" w:space="0" w:color="auto"/>
                    <w:bottom w:val="none" w:sz="0" w:space="0" w:color="auto"/>
                    <w:right w:val="none" w:sz="0" w:space="0" w:color="auto"/>
                  </w:divBdr>
                  <w:divsChild>
                    <w:div w:id="1696618882">
                      <w:marLeft w:val="0"/>
                      <w:marRight w:val="0"/>
                      <w:marTop w:val="0"/>
                      <w:marBottom w:val="0"/>
                      <w:divBdr>
                        <w:top w:val="none" w:sz="0" w:space="0" w:color="auto"/>
                        <w:left w:val="none" w:sz="0" w:space="0" w:color="auto"/>
                        <w:bottom w:val="none" w:sz="0" w:space="0" w:color="auto"/>
                        <w:right w:val="none" w:sz="0" w:space="0" w:color="auto"/>
                      </w:divBdr>
                    </w:div>
                  </w:divsChild>
                </w:div>
                <w:div w:id="1617709478">
                  <w:marLeft w:val="0"/>
                  <w:marRight w:val="0"/>
                  <w:marTop w:val="0"/>
                  <w:marBottom w:val="0"/>
                  <w:divBdr>
                    <w:top w:val="none" w:sz="0" w:space="0" w:color="auto"/>
                    <w:left w:val="none" w:sz="0" w:space="0" w:color="auto"/>
                    <w:bottom w:val="none" w:sz="0" w:space="0" w:color="auto"/>
                    <w:right w:val="none" w:sz="0" w:space="0" w:color="auto"/>
                  </w:divBdr>
                  <w:divsChild>
                    <w:div w:id="1123309370">
                      <w:marLeft w:val="0"/>
                      <w:marRight w:val="0"/>
                      <w:marTop w:val="0"/>
                      <w:marBottom w:val="0"/>
                      <w:divBdr>
                        <w:top w:val="none" w:sz="0" w:space="0" w:color="auto"/>
                        <w:left w:val="none" w:sz="0" w:space="0" w:color="auto"/>
                        <w:bottom w:val="none" w:sz="0" w:space="0" w:color="auto"/>
                        <w:right w:val="none" w:sz="0" w:space="0" w:color="auto"/>
                      </w:divBdr>
                      <w:divsChild>
                        <w:div w:id="1671367239">
                          <w:marLeft w:val="0"/>
                          <w:marRight w:val="0"/>
                          <w:marTop w:val="0"/>
                          <w:marBottom w:val="0"/>
                          <w:divBdr>
                            <w:top w:val="none" w:sz="0" w:space="0" w:color="auto"/>
                            <w:left w:val="none" w:sz="0" w:space="0" w:color="auto"/>
                            <w:bottom w:val="none" w:sz="0" w:space="0" w:color="auto"/>
                            <w:right w:val="none" w:sz="0" w:space="0" w:color="auto"/>
                          </w:divBdr>
                          <w:divsChild>
                            <w:div w:id="852304725">
                              <w:marLeft w:val="0"/>
                              <w:marRight w:val="0"/>
                              <w:marTop w:val="0"/>
                              <w:marBottom w:val="0"/>
                              <w:divBdr>
                                <w:top w:val="none" w:sz="0" w:space="0" w:color="auto"/>
                                <w:left w:val="none" w:sz="0" w:space="0" w:color="auto"/>
                                <w:bottom w:val="none" w:sz="0" w:space="0" w:color="auto"/>
                                <w:right w:val="none" w:sz="0" w:space="0" w:color="auto"/>
                              </w:divBdr>
                              <w:divsChild>
                                <w:div w:id="881677246">
                                  <w:marLeft w:val="0"/>
                                  <w:marRight w:val="0"/>
                                  <w:marTop w:val="0"/>
                                  <w:marBottom w:val="0"/>
                                  <w:divBdr>
                                    <w:top w:val="none" w:sz="0" w:space="0" w:color="auto"/>
                                    <w:left w:val="none" w:sz="0" w:space="0" w:color="auto"/>
                                    <w:bottom w:val="none" w:sz="0" w:space="0" w:color="auto"/>
                                    <w:right w:val="none" w:sz="0" w:space="0" w:color="auto"/>
                                  </w:divBdr>
                                </w:div>
                              </w:divsChild>
                            </w:div>
                            <w:div w:id="215045237">
                              <w:marLeft w:val="0"/>
                              <w:marRight w:val="0"/>
                              <w:marTop w:val="0"/>
                              <w:marBottom w:val="0"/>
                              <w:divBdr>
                                <w:top w:val="none" w:sz="0" w:space="0" w:color="auto"/>
                                <w:left w:val="none" w:sz="0" w:space="0" w:color="auto"/>
                                <w:bottom w:val="none" w:sz="0" w:space="0" w:color="auto"/>
                                <w:right w:val="none" w:sz="0" w:space="0" w:color="auto"/>
                              </w:divBdr>
                            </w:div>
                            <w:div w:id="766078796">
                              <w:marLeft w:val="0"/>
                              <w:marRight w:val="0"/>
                              <w:marTop w:val="0"/>
                              <w:marBottom w:val="0"/>
                              <w:divBdr>
                                <w:top w:val="none" w:sz="0" w:space="0" w:color="auto"/>
                                <w:left w:val="none" w:sz="0" w:space="0" w:color="auto"/>
                                <w:bottom w:val="none" w:sz="0" w:space="0" w:color="auto"/>
                                <w:right w:val="none" w:sz="0" w:space="0" w:color="auto"/>
                              </w:divBdr>
                              <w:divsChild>
                                <w:div w:id="6538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12">
                  <w:marLeft w:val="0"/>
                  <w:marRight w:val="0"/>
                  <w:marTop w:val="0"/>
                  <w:marBottom w:val="0"/>
                  <w:divBdr>
                    <w:top w:val="none" w:sz="0" w:space="0" w:color="auto"/>
                    <w:left w:val="none" w:sz="0" w:space="0" w:color="auto"/>
                    <w:bottom w:val="none" w:sz="0" w:space="0" w:color="auto"/>
                    <w:right w:val="none" w:sz="0" w:space="0" w:color="auto"/>
                  </w:divBdr>
                  <w:divsChild>
                    <w:div w:id="578714903">
                      <w:marLeft w:val="0"/>
                      <w:marRight w:val="0"/>
                      <w:marTop w:val="0"/>
                      <w:marBottom w:val="0"/>
                      <w:divBdr>
                        <w:top w:val="none" w:sz="0" w:space="0" w:color="auto"/>
                        <w:left w:val="none" w:sz="0" w:space="0" w:color="auto"/>
                        <w:bottom w:val="none" w:sz="0" w:space="0" w:color="auto"/>
                        <w:right w:val="none" w:sz="0" w:space="0" w:color="auto"/>
                      </w:divBdr>
                      <w:divsChild>
                        <w:div w:id="1096823027">
                          <w:marLeft w:val="0"/>
                          <w:marRight w:val="0"/>
                          <w:marTop w:val="15"/>
                          <w:marBottom w:val="0"/>
                          <w:divBdr>
                            <w:top w:val="none" w:sz="0" w:space="0" w:color="auto"/>
                            <w:left w:val="none" w:sz="0" w:space="0" w:color="auto"/>
                            <w:bottom w:val="none" w:sz="0" w:space="0" w:color="auto"/>
                            <w:right w:val="none" w:sz="0" w:space="0" w:color="auto"/>
                          </w:divBdr>
                          <w:divsChild>
                            <w:div w:id="1722554131">
                              <w:marLeft w:val="0"/>
                              <w:marRight w:val="0"/>
                              <w:marTop w:val="0"/>
                              <w:marBottom w:val="0"/>
                              <w:divBdr>
                                <w:top w:val="none" w:sz="0" w:space="0" w:color="auto"/>
                                <w:left w:val="none" w:sz="0" w:space="0" w:color="auto"/>
                                <w:bottom w:val="none" w:sz="0" w:space="0" w:color="auto"/>
                                <w:right w:val="none" w:sz="0" w:space="0" w:color="auto"/>
                              </w:divBdr>
                              <w:divsChild>
                                <w:div w:id="1458571096">
                                  <w:marLeft w:val="0"/>
                                  <w:marRight w:val="0"/>
                                  <w:marTop w:val="0"/>
                                  <w:marBottom w:val="0"/>
                                  <w:divBdr>
                                    <w:top w:val="none" w:sz="0" w:space="0" w:color="auto"/>
                                    <w:left w:val="none" w:sz="0" w:space="0" w:color="auto"/>
                                    <w:bottom w:val="none" w:sz="0" w:space="0" w:color="auto"/>
                                    <w:right w:val="none" w:sz="0" w:space="0" w:color="auto"/>
                                  </w:divBdr>
                                </w:div>
                                <w:div w:id="1186093474">
                                  <w:marLeft w:val="0"/>
                                  <w:marRight w:val="0"/>
                                  <w:marTop w:val="0"/>
                                  <w:marBottom w:val="0"/>
                                  <w:divBdr>
                                    <w:top w:val="none" w:sz="0" w:space="0" w:color="auto"/>
                                    <w:left w:val="none" w:sz="0" w:space="0" w:color="auto"/>
                                    <w:bottom w:val="none" w:sz="0" w:space="0" w:color="auto"/>
                                    <w:right w:val="none" w:sz="0" w:space="0" w:color="auto"/>
                                  </w:divBdr>
                                </w:div>
                                <w:div w:id="889849998">
                                  <w:marLeft w:val="0"/>
                                  <w:marRight w:val="0"/>
                                  <w:marTop w:val="0"/>
                                  <w:marBottom w:val="0"/>
                                  <w:divBdr>
                                    <w:top w:val="none" w:sz="0" w:space="0" w:color="auto"/>
                                    <w:left w:val="none" w:sz="0" w:space="0" w:color="auto"/>
                                    <w:bottom w:val="none" w:sz="0" w:space="0" w:color="auto"/>
                                    <w:right w:val="none" w:sz="0" w:space="0" w:color="auto"/>
                                  </w:divBdr>
                                </w:div>
                                <w:div w:id="942567946">
                                  <w:marLeft w:val="0"/>
                                  <w:marRight w:val="0"/>
                                  <w:marTop w:val="0"/>
                                  <w:marBottom w:val="0"/>
                                  <w:divBdr>
                                    <w:top w:val="none" w:sz="0" w:space="0" w:color="auto"/>
                                    <w:left w:val="none" w:sz="0" w:space="0" w:color="auto"/>
                                    <w:bottom w:val="none" w:sz="0" w:space="0" w:color="auto"/>
                                    <w:right w:val="none" w:sz="0" w:space="0" w:color="auto"/>
                                  </w:divBdr>
                                </w:div>
                                <w:div w:id="164512559">
                                  <w:marLeft w:val="0"/>
                                  <w:marRight w:val="0"/>
                                  <w:marTop w:val="0"/>
                                  <w:marBottom w:val="0"/>
                                  <w:divBdr>
                                    <w:top w:val="none" w:sz="0" w:space="0" w:color="auto"/>
                                    <w:left w:val="none" w:sz="0" w:space="0" w:color="auto"/>
                                    <w:bottom w:val="none" w:sz="0" w:space="0" w:color="auto"/>
                                    <w:right w:val="none" w:sz="0" w:space="0" w:color="auto"/>
                                  </w:divBdr>
                                </w:div>
                                <w:div w:id="1948152971">
                                  <w:marLeft w:val="0"/>
                                  <w:marRight w:val="0"/>
                                  <w:marTop w:val="0"/>
                                  <w:marBottom w:val="0"/>
                                  <w:divBdr>
                                    <w:top w:val="none" w:sz="0" w:space="0" w:color="auto"/>
                                    <w:left w:val="none" w:sz="0" w:space="0" w:color="auto"/>
                                    <w:bottom w:val="none" w:sz="0" w:space="0" w:color="auto"/>
                                    <w:right w:val="none" w:sz="0" w:space="0" w:color="auto"/>
                                  </w:divBdr>
                                </w:div>
                                <w:div w:id="280847171">
                                  <w:marLeft w:val="0"/>
                                  <w:marRight w:val="0"/>
                                  <w:marTop w:val="0"/>
                                  <w:marBottom w:val="0"/>
                                  <w:divBdr>
                                    <w:top w:val="none" w:sz="0" w:space="0" w:color="auto"/>
                                    <w:left w:val="none" w:sz="0" w:space="0" w:color="auto"/>
                                    <w:bottom w:val="none" w:sz="0" w:space="0" w:color="auto"/>
                                    <w:right w:val="none" w:sz="0" w:space="0" w:color="auto"/>
                                  </w:divBdr>
                                </w:div>
                                <w:div w:id="582034694">
                                  <w:marLeft w:val="0"/>
                                  <w:marRight w:val="0"/>
                                  <w:marTop w:val="0"/>
                                  <w:marBottom w:val="0"/>
                                  <w:divBdr>
                                    <w:top w:val="none" w:sz="0" w:space="0" w:color="auto"/>
                                    <w:left w:val="none" w:sz="0" w:space="0" w:color="auto"/>
                                    <w:bottom w:val="none" w:sz="0" w:space="0" w:color="auto"/>
                                    <w:right w:val="none" w:sz="0" w:space="0" w:color="auto"/>
                                  </w:divBdr>
                                </w:div>
                                <w:div w:id="1969579805">
                                  <w:marLeft w:val="0"/>
                                  <w:marRight w:val="0"/>
                                  <w:marTop w:val="0"/>
                                  <w:marBottom w:val="0"/>
                                  <w:divBdr>
                                    <w:top w:val="none" w:sz="0" w:space="0" w:color="auto"/>
                                    <w:left w:val="none" w:sz="0" w:space="0" w:color="auto"/>
                                    <w:bottom w:val="none" w:sz="0" w:space="0" w:color="auto"/>
                                    <w:right w:val="none" w:sz="0" w:space="0" w:color="auto"/>
                                  </w:divBdr>
                                </w:div>
                                <w:div w:id="1500191937">
                                  <w:marLeft w:val="0"/>
                                  <w:marRight w:val="0"/>
                                  <w:marTop w:val="0"/>
                                  <w:marBottom w:val="0"/>
                                  <w:divBdr>
                                    <w:top w:val="none" w:sz="0" w:space="0" w:color="auto"/>
                                    <w:left w:val="none" w:sz="0" w:space="0" w:color="auto"/>
                                    <w:bottom w:val="none" w:sz="0" w:space="0" w:color="auto"/>
                                    <w:right w:val="none" w:sz="0" w:space="0" w:color="auto"/>
                                  </w:divBdr>
                                </w:div>
                                <w:div w:id="370960283">
                                  <w:marLeft w:val="0"/>
                                  <w:marRight w:val="0"/>
                                  <w:marTop w:val="0"/>
                                  <w:marBottom w:val="0"/>
                                  <w:divBdr>
                                    <w:top w:val="none" w:sz="0" w:space="0" w:color="auto"/>
                                    <w:left w:val="none" w:sz="0" w:space="0" w:color="auto"/>
                                    <w:bottom w:val="none" w:sz="0" w:space="0" w:color="auto"/>
                                    <w:right w:val="none" w:sz="0" w:space="0" w:color="auto"/>
                                  </w:divBdr>
                                </w:div>
                                <w:div w:id="1587496566">
                                  <w:marLeft w:val="0"/>
                                  <w:marRight w:val="0"/>
                                  <w:marTop w:val="0"/>
                                  <w:marBottom w:val="0"/>
                                  <w:divBdr>
                                    <w:top w:val="none" w:sz="0" w:space="0" w:color="auto"/>
                                    <w:left w:val="none" w:sz="0" w:space="0" w:color="auto"/>
                                    <w:bottom w:val="none" w:sz="0" w:space="0" w:color="auto"/>
                                    <w:right w:val="none" w:sz="0" w:space="0" w:color="auto"/>
                                  </w:divBdr>
                                </w:div>
                                <w:div w:id="1159082339">
                                  <w:marLeft w:val="0"/>
                                  <w:marRight w:val="0"/>
                                  <w:marTop w:val="0"/>
                                  <w:marBottom w:val="0"/>
                                  <w:divBdr>
                                    <w:top w:val="none" w:sz="0" w:space="0" w:color="auto"/>
                                    <w:left w:val="none" w:sz="0" w:space="0" w:color="auto"/>
                                    <w:bottom w:val="none" w:sz="0" w:space="0" w:color="auto"/>
                                    <w:right w:val="none" w:sz="0" w:space="0" w:color="auto"/>
                                  </w:divBdr>
                                </w:div>
                                <w:div w:id="849105265">
                                  <w:marLeft w:val="0"/>
                                  <w:marRight w:val="0"/>
                                  <w:marTop w:val="0"/>
                                  <w:marBottom w:val="0"/>
                                  <w:divBdr>
                                    <w:top w:val="none" w:sz="0" w:space="0" w:color="auto"/>
                                    <w:left w:val="none" w:sz="0" w:space="0" w:color="auto"/>
                                    <w:bottom w:val="none" w:sz="0" w:space="0" w:color="auto"/>
                                    <w:right w:val="none" w:sz="0" w:space="0" w:color="auto"/>
                                  </w:divBdr>
                                </w:div>
                                <w:div w:id="45221524">
                                  <w:marLeft w:val="0"/>
                                  <w:marRight w:val="0"/>
                                  <w:marTop w:val="0"/>
                                  <w:marBottom w:val="0"/>
                                  <w:divBdr>
                                    <w:top w:val="none" w:sz="0" w:space="0" w:color="auto"/>
                                    <w:left w:val="none" w:sz="0" w:space="0" w:color="auto"/>
                                    <w:bottom w:val="none" w:sz="0" w:space="0" w:color="auto"/>
                                    <w:right w:val="none" w:sz="0" w:space="0" w:color="auto"/>
                                  </w:divBdr>
                                </w:div>
                                <w:div w:id="1439911627">
                                  <w:marLeft w:val="0"/>
                                  <w:marRight w:val="0"/>
                                  <w:marTop w:val="0"/>
                                  <w:marBottom w:val="0"/>
                                  <w:divBdr>
                                    <w:top w:val="none" w:sz="0" w:space="0" w:color="auto"/>
                                    <w:left w:val="none" w:sz="0" w:space="0" w:color="auto"/>
                                    <w:bottom w:val="none" w:sz="0" w:space="0" w:color="auto"/>
                                    <w:right w:val="none" w:sz="0" w:space="0" w:color="auto"/>
                                  </w:divBdr>
                                </w:div>
                                <w:div w:id="17920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092">
                          <w:marLeft w:val="0"/>
                          <w:marRight w:val="0"/>
                          <w:marTop w:val="15"/>
                          <w:marBottom w:val="0"/>
                          <w:divBdr>
                            <w:top w:val="none" w:sz="0" w:space="0" w:color="auto"/>
                            <w:left w:val="none" w:sz="0" w:space="0" w:color="auto"/>
                            <w:bottom w:val="none" w:sz="0" w:space="0" w:color="auto"/>
                            <w:right w:val="none" w:sz="0" w:space="0" w:color="auto"/>
                          </w:divBdr>
                          <w:divsChild>
                            <w:div w:id="1053575434">
                              <w:marLeft w:val="0"/>
                              <w:marRight w:val="0"/>
                              <w:marTop w:val="0"/>
                              <w:marBottom w:val="0"/>
                              <w:divBdr>
                                <w:top w:val="none" w:sz="0" w:space="0" w:color="auto"/>
                                <w:left w:val="none" w:sz="0" w:space="0" w:color="auto"/>
                                <w:bottom w:val="none" w:sz="0" w:space="0" w:color="auto"/>
                                <w:right w:val="none" w:sz="0" w:space="0" w:color="auto"/>
                              </w:divBdr>
                              <w:divsChild>
                                <w:div w:id="2085300203">
                                  <w:marLeft w:val="0"/>
                                  <w:marRight w:val="0"/>
                                  <w:marTop w:val="0"/>
                                  <w:marBottom w:val="0"/>
                                  <w:divBdr>
                                    <w:top w:val="none" w:sz="0" w:space="0" w:color="auto"/>
                                    <w:left w:val="none" w:sz="0" w:space="0" w:color="auto"/>
                                    <w:bottom w:val="none" w:sz="0" w:space="0" w:color="auto"/>
                                    <w:right w:val="none" w:sz="0" w:space="0" w:color="auto"/>
                                  </w:divBdr>
                                </w:div>
                                <w:div w:id="2021081612">
                                  <w:marLeft w:val="0"/>
                                  <w:marRight w:val="0"/>
                                  <w:marTop w:val="0"/>
                                  <w:marBottom w:val="0"/>
                                  <w:divBdr>
                                    <w:top w:val="none" w:sz="0" w:space="0" w:color="auto"/>
                                    <w:left w:val="none" w:sz="0" w:space="0" w:color="auto"/>
                                    <w:bottom w:val="none" w:sz="0" w:space="0" w:color="auto"/>
                                    <w:right w:val="none" w:sz="0" w:space="0" w:color="auto"/>
                                  </w:divBdr>
                                </w:div>
                                <w:div w:id="1506821205">
                                  <w:marLeft w:val="0"/>
                                  <w:marRight w:val="0"/>
                                  <w:marTop w:val="0"/>
                                  <w:marBottom w:val="0"/>
                                  <w:divBdr>
                                    <w:top w:val="none" w:sz="0" w:space="0" w:color="auto"/>
                                    <w:left w:val="none" w:sz="0" w:space="0" w:color="auto"/>
                                    <w:bottom w:val="none" w:sz="0" w:space="0" w:color="auto"/>
                                    <w:right w:val="none" w:sz="0" w:space="0" w:color="auto"/>
                                  </w:divBdr>
                                </w:div>
                                <w:div w:id="98304051">
                                  <w:marLeft w:val="0"/>
                                  <w:marRight w:val="0"/>
                                  <w:marTop w:val="0"/>
                                  <w:marBottom w:val="0"/>
                                  <w:divBdr>
                                    <w:top w:val="none" w:sz="0" w:space="0" w:color="auto"/>
                                    <w:left w:val="none" w:sz="0" w:space="0" w:color="auto"/>
                                    <w:bottom w:val="none" w:sz="0" w:space="0" w:color="auto"/>
                                    <w:right w:val="none" w:sz="0" w:space="0" w:color="auto"/>
                                  </w:divBdr>
                                </w:div>
                                <w:div w:id="609514114">
                                  <w:marLeft w:val="0"/>
                                  <w:marRight w:val="0"/>
                                  <w:marTop w:val="0"/>
                                  <w:marBottom w:val="0"/>
                                  <w:divBdr>
                                    <w:top w:val="none" w:sz="0" w:space="0" w:color="auto"/>
                                    <w:left w:val="none" w:sz="0" w:space="0" w:color="auto"/>
                                    <w:bottom w:val="none" w:sz="0" w:space="0" w:color="auto"/>
                                    <w:right w:val="none" w:sz="0" w:space="0" w:color="auto"/>
                                  </w:divBdr>
                                </w:div>
                                <w:div w:id="412750361">
                                  <w:marLeft w:val="0"/>
                                  <w:marRight w:val="0"/>
                                  <w:marTop w:val="0"/>
                                  <w:marBottom w:val="0"/>
                                  <w:divBdr>
                                    <w:top w:val="none" w:sz="0" w:space="0" w:color="auto"/>
                                    <w:left w:val="none" w:sz="0" w:space="0" w:color="auto"/>
                                    <w:bottom w:val="none" w:sz="0" w:space="0" w:color="auto"/>
                                    <w:right w:val="none" w:sz="0" w:space="0" w:color="auto"/>
                                  </w:divBdr>
                                </w:div>
                                <w:div w:id="1133641971">
                                  <w:marLeft w:val="0"/>
                                  <w:marRight w:val="0"/>
                                  <w:marTop w:val="0"/>
                                  <w:marBottom w:val="0"/>
                                  <w:divBdr>
                                    <w:top w:val="none" w:sz="0" w:space="0" w:color="auto"/>
                                    <w:left w:val="none" w:sz="0" w:space="0" w:color="auto"/>
                                    <w:bottom w:val="none" w:sz="0" w:space="0" w:color="auto"/>
                                    <w:right w:val="none" w:sz="0" w:space="0" w:color="auto"/>
                                  </w:divBdr>
                                </w:div>
                                <w:div w:id="2122022692">
                                  <w:marLeft w:val="0"/>
                                  <w:marRight w:val="0"/>
                                  <w:marTop w:val="0"/>
                                  <w:marBottom w:val="0"/>
                                  <w:divBdr>
                                    <w:top w:val="none" w:sz="0" w:space="0" w:color="auto"/>
                                    <w:left w:val="none" w:sz="0" w:space="0" w:color="auto"/>
                                    <w:bottom w:val="none" w:sz="0" w:space="0" w:color="auto"/>
                                    <w:right w:val="none" w:sz="0" w:space="0" w:color="auto"/>
                                  </w:divBdr>
                                </w:div>
                                <w:div w:id="766193953">
                                  <w:marLeft w:val="0"/>
                                  <w:marRight w:val="0"/>
                                  <w:marTop w:val="0"/>
                                  <w:marBottom w:val="0"/>
                                  <w:divBdr>
                                    <w:top w:val="none" w:sz="0" w:space="0" w:color="auto"/>
                                    <w:left w:val="none" w:sz="0" w:space="0" w:color="auto"/>
                                    <w:bottom w:val="none" w:sz="0" w:space="0" w:color="auto"/>
                                    <w:right w:val="none" w:sz="0" w:space="0" w:color="auto"/>
                                  </w:divBdr>
                                </w:div>
                                <w:div w:id="1558786599">
                                  <w:marLeft w:val="0"/>
                                  <w:marRight w:val="0"/>
                                  <w:marTop w:val="0"/>
                                  <w:marBottom w:val="0"/>
                                  <w:divBdr>
                                    <w:top w:val="none" w:sz="0" w:space="0" w:color="auto"/>
                                    <w:left w:val="none" w:sz="0" w:space="0" w:color="auto"/>
                                    <w:bottom w:val="none" w:sz="0" w:space="0" w:color="auto"/>
                                    <w:right w:val="none" w:sz="0" w:space="0" w:color="auto"/>
                                  </w:divBdr>
                                </w:div>
                                <w:div w:id="317340897">
                                  <w:marLeft w:val="0"/>
                                  <w:marRight w:val="0"/>
                                  <w:marTop w:val="0"/>
                                  <w:marBottom w:val="0"/>
                                  <w:divBdr>
                                    <w:top w:val="none" w:sz="0" w:space="0" w:color="auto"/>
                                    <w:left w:val="none" w:sz="0" w:space="0" w:color="auto"/>
                                    <w:bottom w:val="none" w:sz="0" w:space="0" w:color="auto"/>
                                    <w:right w:val="none" w:sz="0" w:space="0" w:color="auto"/>
                                  </w:divBdr>
                                </w:div>
                                <w:div w:id="424305808">
                                  <w:marLeft w:val="0"/>
                                  <w:marRight w:val="0"/>
                                  <w:marTop w:val="0"/>
                                  <w:marBottom w:val="0"/>
                                  <w:divBdr>
                                    <w:top w:val="none" w:sz="0" w:space="0" w:color="auto"/>
                                    <w:left w:val="none" w:sz="0" w:space="0" w:color="auto"/>
                                    <w:bottom w:val="none" w:sz="0" w:space="0" w:color="auto"/>
                                    <w:right w:val="none" w:sz="0" w:space="0" w:color="auto"/>
                                  </w:divBdr>
                                </w:div>
                                <w:div w:id="446513127">
                                  <w:marLeft w:val="0"/>
                                  <w:marRight w:val="0"/>
                                  <w:marTop w:val="0"/>
                                  <w:marBottom w:val="0"/>
                                  <w:divBdr>
                                    <w:top w:val="none" w:sz="0" w:space="0" w:color="auto"/>
                                    <w:left w:val="none" w:sz="0" w:space="0" w:color="auto"/>
                                    <w:bottom w:val="none" w:sz="0" w:space="0" w:color="auto"/>
                                    <w:right w:val="none" w:sz="0" w:space="0" w:color="auto"/>
                                  </w:divBdr>
                                </w:div>
                                <w:div w:id="721750781">
                                  <w:marLeft w:val="0"/>
                                  <w:marRight w:val="0"/>
                                  <w:marTop w:val="0"/>
                                  <w:marBottom w:val="0"/>
                                  <w:divBdr>
                                    <w:top w:val="none" w:sz="0" w:space="0" w:color="auto"/>
                                    <w:left w:val="none" w:sz="0" w:space="0" w:color="auto"/>
                                    <w:bottom w:val="none" w:sz="0" w:space="0" w:color="auto"/>
                                    <w:right w:val="none" w:sz="0" w:space="0" w:color="auto"/>
                                  </w:divBdr>
                                </w:div>
                                <w:div w:id="143743054">
                                  <w:marLeft w:val="0"/>
                                  <w:marRight w:val="0"/>
                                  <w:marTop w:val="0"/>
                                  <w:marBottom w:val="0"/>
                                  <w:divBdr>
                                    <w:top w:val="none" w:sz="0" w:space="0" w:color="auto"/>
                                    <w:left w:val="none" w:sz="0" w:space="0" w:color="auto"/>
                                    <w:bottom w:val="none" w:sz="0" w:space="0" w:color="auto"/>
                                    <w:right w:val="none" w:sz="0" w:space="0" w:color="auto"/>
                                  </w:divBdr>
                                </w:div>
                                <w:div w:id="977147971">
                                  <w:marLeft w:val="0"/>
                                  <w:marRight w:val="0"/>
                                  <w:marTop w:val="0"/>
                                  <w:marBottom w:val="0"/>
                                  <w:divBdr>
                                    <w:top w:val="none" w:sz="0" w:space="0" w:color="auto"/>
                                    <w:left w:val="none" w:sz="0" w:space="0" w:color="auto"/>
                                    <w:bottom w:val="none" w:sz="0" w:space="0" w:color="auto"/>
                                    <w:right w:val="none" w:sz="0" w:space="0" w:color="auto"/>
                                  </w:divBdr>
                                </w:div>
                                <w:div w:id="1452433924">
                                  <w:marLeft w:val="0"/>
                                  <w:marRight w:val="0"/>
                                  <w:marTop w:val="0"/>
                                  <w:marBottom w:val="0"/>
                                  <w:divBdr>
                                    <w:top w:val="none" w:sz="0" w:space="0" w:color="auto"/>
                                    <w:left w:val="none" w:sz="0" w:space="0" w:color="auto"/>
                                    <w:bottom w:val="none" w:sz="0" w:space="0" w:color="auto"/>
                                    <w:right w:val="none" w:sz="0" w:space="0" w:color="auto"/>
                                  </w:divBdr>
                                </w:div>
                                <w:div w:id="1496871039">
                                  <w:marLeft w:val="0"/>
                                  <w:marRight w:val="0"/>
                                  <w:marTop w:val="0"/>
                                  <w:marBottom w:val="0"/>
                                  <w:divBdr>
                                    <w:top w:val="none" w:sz="0" w:space="0" w:color="auto"/>
                                    <w:left w:val="none" w:sz="0" w:space="0" w:color="auto"/>
                                    <w:bottom w:val="none" w:sz="0" w:space="0" w:color="auto"/>
                                    <w:right w:val="none" w:sz="0" w:space="0" w:color="auto"/>
                                  </w:divBdr>
                                </w:div>
                                <w:div w:id="1761370852">
                                  <w:marLeft w:val="0"/>
                                  <w:marRight w:val="0"/>
                                  <w:marTop w:val="0"/>
                                  <w:marBottom w:val="0"/>
                                  <w:divBdr>
                                    <w:top w:val="none" w:sz="0" w:space="0" w:color="auto"/>
                                    <w:left w:val="none" w:sz="0" w:space="0" w:color="auto"/>
                                    <w:bottom w:val="none" w:sz="0" w:space="0" w:color="auto"/>
                                    <w:right w:val="none" w:sz="0" w:space="0" w:color="auto"/>
                                  </w:divBdr>
                                </w:div>
                                <w:div w:id="1750998861">
                                  <w:marLeft w:val="0"/>
                                  <w:marRight w:val="0"/>
                                  <w:marTop w:val="0"/>
                                  <w:marBottom w:val="0"/>
                                  <w:divBdr>
                                    <w:top w:val="none" w:sz="0" w:space="0" w:color="auto"/>
                                    <w:left w:val="none" w:sz="0" w:space="0" w:color="auto"/>
                                    <w:bottom w:val="none" w:sz="0" w:space="0" w:color="auto"/>
                                    <w:right w:val="none" w:sz="0" w:space="0" w:color="auto"/>
                                  </w:divBdr>
                                </w:div>
                                <w:div w:id="1382098687">
                                  <w:marLeft w:val="0"/>
                                  <w:marRight w:val="0"/>
                                  <w:marTop w:val="0"/>
                                  <w:marBottom w:val="0"/>
                                  <w:divBdr>
                                    <w:top w:val="none" w:sz="0" w:space="0" w:color="auto"/>
                                    <w:left w:val="none" w:sz="0" w:space="0" w:color="auto"/>
                                    <w:bottom w:val="none" w:sz="0" w:space="0" w:color="auto"/>
                                    <w:right w:val="none" w:sz="0" w:space="0" w:color="auto"/>
                                  </w:divBdr>
                                </w:div>
                                <w:div w:id="323514013">
                                  <w:marLeft w:val="0"/>
                                  <w:marRight w:val="0"/>
                                  <w:marTop w:val="0"/>
                                  <w:marBottom w:val="0"/>
                                  <w:divBdr>
                                    <w:top w:val="none" w:sz="0" w:space="0" w:color="auto"/>
                                    <w:left w:val="none" w:sz="0" w:space="0" w:color="auto"/>
                                    <w:bottom w:val="none" w:sz="0" w:space="0" w:color="auto"/>
                                    <w:right w:val="none" w:sz="0" w:space="0" w:color="auto"/>
                                  </w:divBdr>
                                </w:div>
                                <w:div w:id="694310578">
                                  <w:marLeft w:val="0"/>
                                  <w:marRight w:val="0"/>
                                  <w:marTop w:val="0"/>
                                  <w:marBottom w:val="0"/>
                                  <w:divBdr>
                                    <w:top w:val="none" w:sz="0" w:space="0" w:color="auto"/>
                                    <w:left w:val="none" w:sz="0" w:space="0" w:color="auto"/>
                                    <w:bottom w:val="none" w:sz="0" w:space="0" w:color="auto"/>
                                    <w:right w:val="none" w:sz="0" w:space="0" w:color="auto"/>
                                  </w:divBdr>
                                </w:div>
                                <w:div w:id="433094035">
                                  <w:marLeft w:val="0"/>
                                  <w:marRight w:val="0"/>
                                  <w:marTop w:val="0"/>
                                  <w:marBottom w:val="0"/>
                                  <w:divBdr>
                                    <w:top w:val="none" w:sz="0" w:space="0" w:color="auto"/>
                                    <w:left w:val="none" w:sz="0" w:space="0" w:color="auto"/>
                                    <w:bottom w:val="none" w:sz="0" w:space="0" w:color="auto"/>
                                    <w:right w:val="none" w:sz="0" w:space="0" w:color="auto"/>
                                  </w:divBdr>
                                </w:div>
                                <w:div w:id="812521012">
                                  <w:marLeft w:val="0"/>
                                  <w:marRight w:val="0"/>
                                  <w:marTop w:val="0"/>
                                  <w:marBottom w:val="0"/>
                                  <w:divBdr>
                                    <w:top w:val="none" w:sz="0" w:space="0" w:color="auto"/>
                                    <w:left w:val="none" w:sz="0" w:space="0" w:color="auto"/>
                                    <w:bottom w:val="none" w:sz="0" w:space="0" w:color="auto"/>
                                    <w:right w:val="none" w:sz="0" w:space="0" w:color="auto"/>
                                  </w:divBdr>
                                </w:div>
                                <w:div w:id="1376003524">
                                  <w:marLeft w:val="0"/>
                                  <w:marRight w:val="0"/>
                                  <w:marTop w:val="0"/>
                                  <w:marBottom w:val="0"/>
                                  <w:divBdr>
                                    <w:top w:val="none" w:sz="0" w:space="0" w:color="auto"/>
                                    <w:left w:val="none" w:sz="0" w:space="0" w:color="auto"/>
                                    <w:bottom w:val="none" w:sz="0" w:space="0" w:color="auto"/>
                                    <w:right w:val="none" w:sz="0" w:space="0" w:color="auto"/>
                                  </w:divBdr>
                                </w:div>
                                <w:div w:id="1840537164">
                                  <w:marLeft w:val="0"/>
                                  <w:marRight w:val="0"/>
                                  <w:marTop w:val="0"/>
                                  <w:marBottom w:val="0"/>
                                  <w:divBdr>
                                    <w:top w:val="none" w:sz="0" w:space="0" w:color="auto"/>
                                    <w:left w:val="none" w:sz="0" w:space="0" w:color="auto"/>
                                    <w:bottom w:val="none" w:sz="0" w:space="0" w:color="auto"/>
                                    <w:right w:val="none" w:sz="0" w:space="0" w:color="auto"/>
                                  </w:divBdr>
                                </w:div>
                                <w:div w:id="995186313">
                                  <w:marLeft w:val="0"/>
                                  <w:marRight w:val="0"/>
                                  <w:marTop w:val="0"/>
                                  <w:marBottom w:val="0"/>
                                  <w:divBdr>
                                    <w:top w:val="none" w:sz="0" w:space="0" w:color="auto"/>
                                    <w:left w:val="none" w:sz="0" w:space="0" w:color="auto"/>
                                    <w:bottom w:val="none" w:sz="0" w:space="0" w:color="auto"/>
                                    <w:right w:val="none" w:sz="0" w:space="0" w:color="auto"/>
                                  </w:divBdr>
                                </w:div>
                                <w:div w:id="1619680147">
                                  <w:marLeft w:val="0"/>
                                  <w:marRight w:val="0"/>
                                  <w:marTop w:val="0"/>
                                  <w:marBottom w:val="0"/>
                                  <w:divBdr>
                                    <w:top w:val="none" w:sz="0" w:space="0" w:color="auto"/>
                                    <w:left w:val="none" w:sz="0" w:space="0" w:color="auto"/>
                                    <w:bottom w:val="none" w:sz="0" w:space="0" w:color="auto"/>
                                    <w:right w:val="none" w:sz="0" w:space="0" w:color="auto"/>
                                  </w:divBdr>
                                </w:div>
                                <w:div w:id="1066105204">
                                  <w:marLeft w:val="0"/>
                                  <w:marRight w:val="0"/>
                                  <w:marTop w:val="0"/>
                                  <w:marBottom w:val="0"/>
                                  <w:divBdr>
                                    <w:top w:val="none" w:sz="0" w:space="0" w:color="auto"/>
                                    <w:left w:val="none" w:sz="0" w:space="0" w:color="auto"/>
                                    <w:bottom w:val="none" w:sz="0" w:space="0" w:color="auto"/>
                                    <w:right w:val="none" w:sz="0" w:space="0" w:color="auto"/>
                                  </w:divBdr>
                                </w:div>
                                <w:div w:id="217056785">
                                  <w:marLeft w:val="0"/>
                                  <w:marRight w:val="0"/>
                                  <w:marTop w:val="0"/>
                                  <w:marBottom w:val="0"/>
                                  <w:divBdr>
                                    <w:top w:val="none" w:sz="0" w:space="0" w:color="auto"/>
                                    <w:left w:val="none" w:sz="0" w:space="0" w:color="auto"/>
                                    <w:bottom w:val="none" w:sz="0" w:space="0" w:color="auto"/>
                                    <w:right w:val="none" w:sz="0" w:space="0" w:color="auto"/>
                                  </w:divBdr>
                                </w:div>
                                <w:div w:id="1366249287">
                                  <w:marLeft w:val="0"/>
                                  <w:marRight w:val="0"/>
                                  <w:marTop w:val="0"/>
                                  <w:marBottom w:val="0"/>
                                  <w:divBdr>
                                    <w:top w:val="none" w:sz="0" w:space="0" w:color="auto"/>
                                    <w:left w:val="none" w:sz="0" w:space="0" w:color="auto"/>
                                    <w:bottom w:val="none" w:sz="0" w:space="0" w:color="auto"/>
                                    <w:right w:val="none" w:sz="0" w:space="0" w:color="auto"/>
                                  </w:divBdr>
                                </w:div>
                                <w:div w:id="2083092700">
                                  <w:marLeft w:val="0"/>
                                  <w:marRight w:val="0"/>
                                  <w:marTop w:val="0"/>
                                  <w:marBottom w:val="0"/>
                                  <w:divBdr>
                                    <w:top w:val="none" w:sz="0" w:space="0" w:color="auto"/>
                                    <w:left w:val="none" w:sz="0" w:space="0" w:color="auto"/>
                                    <w:bottom w:val="none" w:sz="0" w:space="0" w:color="auto"/>
                                    <w:right w:val="none" w:sz="0" w:space="0" w:color="auto"/>
                                  </w:divBdr>
                                </w:div>
                                <w:div w:id="954867843">
                                  <w:marLeft w:val="0"/>
                                  <w:marRight w:val="0"/>
                                  <w:marTop w:val="0"/>
                                  <w:marBottom w:val="0"/>
                                  <w:divBdr>
                                    <w:top w:val="none" w:sz="0" w:space="0" w:color="auto"/>
                                    <w:left w:val="none" w:sz="0" w:space="0" w:color="auto"/>
                                    <w:bottom w:val="none" w:sz="0" w:space="0" w:color="auto"/>
                                    <w:right w:val="none" w:sz="0" w:space="0" w:color="auto"/>
                                  </w:divBdr>
                                </w:div>
                                <w:div w:id="1557862898">
                                  <w:marLeft w:val="0"/>
                                  <w:marRight w:val="0"/>
                                  <w:marTop w:val="0"/>
                                  <w:marBottom w:val="0"/>
                                  <w:divBdr>
                                    <w:top w:val="none" w:sz="0" w:space="0" w:color="auto"/>
                                    <w:left w:val="none" w:sz="0" w:space="0" w:color="auto"/>
                                    <w:bottom w:val="none" w:sz="0" w:space="0" w:color="auto"/>
                                    <w:right w:val="none" w:sz="0" w:space="0" w:color="auto"/>
                                  </w:divBdr>
                                </w:div>
                                <w:div w:id="1700084168">
                                  <w:marLeft w:val="0"/>
                                  <w:marRight w:val="0"/>
                                  <w:marTop w:val="0"/>
                                  <w:marBottom w:val="0"/>
                                  <w:divBdr>
                                    <w:top w:val="none" w:sz="0" w:space="0" w:color="auto"/>
                                    <w:left w:val="none" w:sz="0" w:space="0" w:color="auto"/>
                                    <w:bottom w:val="none" w:sz="0" w:space="0" w:color="auto"/>
                                    <w:right w:val="none" w:sz="0" w:space="0" w:color="auto"/>
                                  </w:divBdr>
                                </w:div>
                                <w:div w:id="974289756">
                                  <w:marLeft w:val="0"/>
                                  <w:marRight w:val="0"/>
                                  <w:marTop w:val="0"/>
                                  <w:marBottom w:val="0"/>
                                  <w:divBdr>
                                    <w:top w:val="none" w:sz="0" w:space="0" w:color="auto"/>
                                    <w:left w:val="none" w:sz="0" w:space="0" w:color="auto"/>
                                    <w:bottom w:val="none" w:sz="0" w:space="0" w:color="auto"/>
                                    <w:right w:val="none" w:sz="0" w:space="0" w:color="auto"/>
                                  </w:divBdr>
                                </w:div>
                                <w:div w:id="354311919">
                                  <w:marLeft w:val="0"/>
                                  <w:marRight w:val="0"/>
                                  <w:marTop w:val="0"/>
                                  <w:marBottom w:val="0"/>
                                  <w:divBdr>
                                    <w:top w:val="none" w:sz="0" w:space="0" w:color="auto"/>
                                    <w:left w:val="none" w:sz="0" w:space="0" w:color="auto"/>
                                    <w:bottom w:val="none" w:sz="0" w:space="0" w:color="auto"/>
                                    <w:right w:val="none" w:sz="0" w:space="0" w:color="auto"/>
                                  </w:divBdr>
                                </w:div>
                                <w:div w:id="605815975">
                                  <w:marLeft w:val="0"/>
                                  <w:marRight w:val="0"/>
                                  <w:marTop w:val="0"/>
                                  <w:marBottom w:val="0"/>
                                  <w:divBdr>
                                    <w:top w:val="none" w:sz="0" w:space="0" w:color="auto"/>
                                    <w:left w:val="none" w:sz="0" w:space="0" w:color="auto"/>
                                    <w:bottom w:val="none" w:sz="0" w:space="0" w:color="auto"/>
                                    <w:right w:val="none" w:sz="0" w:space="0" w:color="auto"/>
                                  </w:divBdr>
                                </w:div>
                                <w:div w:id="169872584">
                                  <w:marLeft w:val="0"/>
                                  <w:marRight w:val="0"/>
                                  <w:marTop w:val="0"/>
                                  <w:marBottom w:val="0"/>
                                  <w:divBdr>
                                    <w:top w:val="none" w:sz="0" w:space="0" w:color="auto"/>
                                    <w:left w:val="none" w:sz="0" w:space="0" w:color="auto"/>
                                    <w:bottom w:val="none" w:sz="0" w:space="0" w:color="auto"/>
                                    <w:right w:val="none" w:sz="0" w:space="0" w:color="auto"/>
                                  </w:divBdr>
                                </w:div>
                                <w:div w:id="1589189399">
                                  <w:marLeft w:val="0"/>
                                  <w:marRight w:val="0"/>
                                  <w:marTop w:val="0"/>
                                  <w:marBottom w:val="0"/>
                                  <w:divBdr>
                                    <w:top w:val="none" w:sz="0" w:space="0" w:color="auto"/>
                                    <w:left w:val="none" w:sz="0" w:space="0" w:color="auto"/>
                                    <w:bottom w:val="none" w:sz="0" w:space="0" w:color="auto"/>
                                    <w:right w:val="none" w:sz="0" w:space="0" w:color="auto"/>
                                  </w:divBdr>
                                </w:div>
                                <w:div w:id="1478451498">
                                  <w:marLeft w:val="0"/>
                                  <w:marRight w:val="0"/>
                                  <w:marTop w:val="0"/>
                                  <w:marBottom w:val="0"/>
                                  <w:divBdr>
                                    <w:top w:val="none" w:sz="0" w:space="0" w:color="auto"/>
                                    <w:left w:val="none" w:sz="0" w:space="0" w:color="auto"/>
                                    <w:bottom w:val="none" w:sz="0" w:space="0" w:color="auto"/>
                                    <w:right w:val="none" w:sz="0" w:space="0" w:color="auto"/>
                                  </w:divBdr>
                                </w:div>
                                <w:div w:id="635336842">
                                  <w:marLeft w:val="0"/>
                                  <w:marRight w:val="0"/>
                                  <w:marTop w:val="0"/>
                                  <w:marBottom w:val="0"/>
                                  <w:divBdr>
                                    <w:top w:val="none" w:sz="0" w:space="0" w:color="auto"/>
                                    <w:left w:val="none" w:sz="0" w:space="0" w:color="auto"/>
                                    <w:bottom w:val="none" w:sz="0" w:space="0" w:color="auto"/>
                                    <w:right w:val="none" w:sz="0" w:space="0" w:color="auto"/>
                                  </w:divBdr>
                                </w:div>
                                <w:div w:id="74088203">
                                  <w:marLeft w:val="0"/>
                                  <w:marRight w:val="0"/>
                                  <w:marTop w:val="0"/>
                                  <w:marBottom w:val="0"/>
                                  <w:divBdr>
                                    <w:top w:val="none" w:sz="0" w:space="0" w:color="auto"/>
                                    <w:left w:val="none" w:sz="0" w:space="0" w:color="auto"/>
                                    <w:bottom w:val="none" w:sz="0" w:space="0" w:color="auto"/>
                                    <w:right w:val="none" w:sz="0" w:space="0" w:color="auto"/>
                                  </w:divBdr>
                                </w:div>
                                <w:div w:id="2083486377">
                                  <w:marLeft w:val="0"/>
                                  <w:marRight w:val="0"/>
                                  <w:marTop w:val="0"/>
                                  <w:marBottom w:val="0"/>
                                  <w:divBdr>
                                    <w:top w:val="none" w:sz="0" w:space="0" w:color="auto"/>
                                    <w:left w:val="none" w:sz="0" w:space="0" w:color="auto"/>
                                    <w:bottom w:val="none" w:sz="0" w:space="0" w:color="auto"/>
                                    <w:right w:val="none" w:sz="0" w:space="0" w:color="auto"/>
                                  </w:divBdr>
                                </w:div>
                                <w:div w:id="1435059044">
                                  <w:marLeft w:val="0"/>
                                  <w:marRight w:val="0"/>
                                  <w:marTop w:val="0"/>
                                  <w:marBottom w:val="0"/>
                                  <w:divBdr>
                                    <w:top w:val="none" w:sz="0" w:space="0" w:color="auto"/>
                                    <w:left w:val="none" w:sz="0" w:space="0" w:color="auto"/>
                                    <w:bottom w:val="none" w:sz="0" w:space="0" w:color="auto"/>
                                    <w:right w:val="none" w:sz="0" w:space="0" w:color="auto"/>
                                  </w:divBdr>
                                </w:div>
                                <w:div w:id="1597209119">
                                  <w:marLeft w:val="0"/>
                                  <w:marRight w:val="0"/>
                                  <w:marTop w:val="0"/>
                                  <w:marBottom w:val="0"/>
                                  <w:divBdr>
                                    <w:top w:val="none" w:sz="0" w:space="0" w:color="auto"/>
                                    <w:left w:val="none" w:sz="0" w:space="0" w:color="auto"/>
                                    <w:bottom w:val="none" w:sz="0" w:space="0" w:color="auto"/>
                                    <w:right w:val="none" w:sz="0" w:space="0" w:color="auto"/>
                                  </w:divBdr>
                                </w:div>
                                <w:div w:id="279381322">
                                  <w:marLeft w:val="0"/>
                                  <w:marRight w:val="0"/>
                                  <w:marTop w:val="0"/>
                                  <w:marBottom w:val="0"/>
                                  <w:divBdr>
                                    <w:top w:val="none" w:sz="0" w:space="0" w:color="auto"/>
                                    <w:left w:val="none" w:sz="0" w:space="0" w:color="auto"/>
                                    <w:bottom w:val="none" w:sz="0" w:space="0" w:color="auto"/>
                                    <w:right w:val="none" w:sz="0" w:space="0" w:color="auto"/>
                                  </w:divBdr>
                                </w:div>
                                <w:div w:id="1974868634">
                                  <w:marLeft w:val="0"/>
                                  <w:marRight w:val="0"/>
                                  <w:marTop w:val="0"/>
                                  <w:marBottom w:val="0"/>
                                  <w:divBdr>
                                    <w:top w:val="none" w:sz="0" w:space="0" w:color="auto"/>
                                    <w:left w:val="none" w:sz="0" w:space="0" w:color="auto"/>
                                    <w:bottom w:val="none" w:sz="0" w:space="0" w:color="auto"/>
                                    <w:right w:val="none" w:sz="0" w:space="0" w:color="auto"/>
                                  </w:divBdr>
                                </w:div>
                                <w:div w:id="356009063">
                                  <w:marLeft w:val="0"/>
                                  <w:marRight w:val="0"/>
                                  <w:marTop w:val="0"/>
                                  <w:marBottom w:val="0"/>
                                  <w:divBdr>
                                    <w:top w:val="none" w:sz="0" w:space="0" w:color="auto"/>
                                    <w:left w:val="none" w:sz="0" w:space="0" w:color="auto"/>
                                    <w:bottom w:val="none" w:sz="0" w:space="0" w:color="auto"/>
                                    <w:right w:val="none" w:sz="0" w:space="0" w:color="auto"/>
                                  </w:divBdr>
                                </w:div>
                                <w:div w:id="802692268">
                                  <w:marLeft w:val="0"/>
                                  <w:marRight w:val="0"/>
                                  <w:marTop w:val="0"/>
                                  <w:marBottom w:val="0"/>
                                  <w:divBdr>
                                    <w:top w:val="none" w:sz="0" w:space="0" w:color="auto"/>
                                    <w:left w:val="none" w:sz="0" w:space="0" w:color="auto"/>
                                    <w:bottom w:val="none" w:sz="0" w:space="0" w:color="auto"/>
                                    <w:right w:val="none" w:sz="0" w:space="0" w:color="auto"/>
                                  </w:divBdr>
                                </w:div>
                                <w:div w:id="2060860345">
                                  <w:marLeft w:val="0"/>
                                  <w:marRight w:val="0"/>
                                  <w:marTop w:val="0"/>
                                  <w:marBottom w:val="0"/>
                                  <w:divBdr>
                                    <w:top w:val="none" w:sz="0" w:space="0" w:color="auto"/>
                                    <w:left w:val="none" w:sz="0" w:space="0" w:color="auto"/>
                                    <w:bottom w:val="none" w:sz="0" w:space="0" w:color="auto"/>
                                    <w:right w:val="none" w:sz="0" w:space="0" w:color="auto"/>
                                  </w:divBdr>
                                </w:div>
                                <w:div w:id="1425111715">
                                  <w:marLeft w:val="0"/>
                                  <w:marRight w:val="0"/>
                                  <w:marTop w:val="0"/>
                                  <w:marBottom w:val="0"/>
                                  <w:divBdr>
                                    <w:top w:val="none" w:sz="0" w:space="0" w:color="auto"/>
                                    <w:left w:val="none" w:sz="0" w:space="0" w:color="auto"/>
                                    <w:bottom w:val="none" w:sz="0" w:space="0" w:color="auto"/>
                                    <w:right w:val="none" w:sz="0" w:space="0" w:color="auto"/>
                                  </w:divBdr>
                                </w:div>
                                <w:div w:id="1669480134">
                                  <w:marLeft w:val="0"/>
                                  <w:marRight w:val="0"/>
                                  <w:marTop w:val="0"/>
                                  <w:marBottom w:val="0"/>
                                  <w:divBdr>
                                    <w:top w:val="none" w:sz="0" w:space="0" w:color="auto"/>
                                    <w:left w:val="none" w:sz="0" w:space="0" w:color="auto"/>
                                    <w:bottom w:val="none" w:sz="0" w:space="0" w:color="auto"/>
                                    <w:right w:val="none" w:sz="0" w:space="0" w:color="auto"/>
                                  </w:divBdr>
                                </w:div>
                                <w:div w:id="1569071184">
                                  <w:marLeft w:val="0"/>
                                  <w:marRight w:val="0"/>
                                  <w:marTop w:val="0"/>
                                  <w:marBottom w:val="0"/>
                                  <w:divBdr>
                                    <w:top w:val="none" w:sz="0" w:space="0" w:color="auto"/>
                                    <w:left w:val="none" w:sz="0" w:space="0" w:color="auto"/>
                                    <w:bottom w:val="none" w:sz="0" w:space="0" w:color="auto"/>
                                    <w:right w:val="none" w:sz="0" w:space="0" w:color="auto"/>
                                  </w:divBdr>
                                </w:div>
                                <w:div w:id="1016615122">
                                  <w:marLeft w:val="0"/>
                                  <w:marRight w:val="0"/>
                                  <w:marTop w:val="0"/>
                                  <w:marBottom w:val="0"/>
                                  <w:divBdr>
                                    <w:top w:val="none" w:sz="0" w:space="0" w:color="auto"/>
                                    <w:left w:val="none" w:sz="0" w:space="0" w:color="auto"/>
                                    <w:bottom w:val="none" w:sz="0" w:space="0" w:color="auto"/>
                                    <w:right w:val="none" w:sz="0" w:space="0" w:color="auto"/>
                                  </w:divBdr>
                                </w:div>
                                <w:div w:id="571474152">
                                  <w:marLeft w:val="0"/>
                                  <w:marRight w:val="0"/>
                                  <w:marTop w:val="0"/>
                                  <w:marBottom w:val="0"/>
                                  <w:divBdr>
                                    <w:top w:val="none" w:sz="0" w:space="0" w:color="auto"/>
                                    <w:left w:val="none" w:sz="0" w:space="0" w:color="auto"/>
                                    <w:bottom w:val="none" w:sz="0" w:space="0" w:color="auto"/>
                                    <w:right w:val="none" w:sz="0" w:space="0" w:color="auto"/>
                                  </w:divBdr>
                                </w:div>
                                <w:div w:id="1391345059">
                                  <w:marLeft w:val="0"/>
                                  <w:marRight w:val="0"/>
                                  <w:marTop w:val="0"/>
                                  <w:marBottom w:val="0"/>
                                  <w:divBdr>
                                    <w:top w:val="none" w:sz="0" w:space="0" w:color="auto"/>
                                    <w:left w:val="none" w:sz="0" w:space="0" w:color="auto"/>
                                    <w:bottom w:val="none" w:sz="0" w:space="0" w:color="auto"/>
                                    <w:right w:val="none" w:sz="0" w:space="0" w:color="auto"/>
                                  </w:divBdr>
                                </w:div>
                                <w:div w:id="632058920">
                                  <w:marLeft w:val="0"/>
                                  <w:marRight w:val="0"/>
                                  <w:marTop w:val="0"/>
                                  <w:marBottom w:val="0"/>
                                  <w:divBdr>
                                    <w:top w:val="none" w:sz="0" w:space="0" w:color="auto"/>
                                    <w:left w:val="none" w:sz="0" w:space="0" w:color="auto"/>
                                    <w:bottom w:val="none" w:sz="0" w:space="0" w:color="auto"/>
                                    <w:right w:val="none" w:sz="0" w:space="0" w:color="auto"/>
                                  </w:divBdr>
                                </w:div>
                                <w:div w:id="1422025606">
                                  <w:marLeft w:val="0"/>
                                  <w:marRight w:val="0"/>
                                  <w:marTop w:val="0"/>
                                  <w:marBottom w:val="0"/>
                                  <w:divBdr>
                                    <w:top w:val="none" w:sz="0" w:space="0" w:color="auto"/>
                                    <w:left w:val="none" w:sz="0" w:space="0" w:color="auto"/>
                                    <w:bottom w:val="none" w:sz="0" w:space="0" w:color="auto"/>
                                    <w:right w:val="none" w:sz="0" w:space="0" w:color="auto"/>
                                  </w:divBdr>
                                </w:div>
                                <w:div w:id="993141306">
                                  <w:marLeft w:val="0"/>
                                  <w:marRight w:val="0"/>
                                  <w:marTop w:val="0"/>
                                  <w:marBottom w:val="0"/>
                                  <w:divBdr>
                                    <w:top w:val="none" w:sz="0" w:space="0" w:color="auto"/>
                                    <w:left w:val="none" w:sz="0" w:space="0" w:color="auto"/>
                                    <w:bottom w:val="none" w:sz="0" w:space="0" w:color="auto"/>
                                    <w:right w:val="none" w:sz="0" w:space="0" w:color="auto"/>
                                  </w:divBdr>
                                </w:div>
                                <w:div w:id="368070050">
                                  <w:marLeft w:val="0"/>
                                  <w:marRight w:val="0"/>
                                  <w:marTop w:val="0"/>
                                  <w:marBottom w:val="0"/>
                                  <w:divBdr>
                                    <w:top w:val="none" w:sz="0" w:space="0" w:color="auto"/>
                                    <w:left w:val="none" w:sz="0" w:space="0" w:color="auto"/>
                                    <w:bottom w:val="none" w:sz="0" w:space="0" w:color="auto"/>
                                    <w:right w:val="none" w:sz="0" w:space="0" w:color="auto"/>
                                  </w:divBdr>
                                </w:div>
                                <w:div w:id="1910459831">
                                  <w:marLeft w:val="0"/>
                                  <w:marRight w:val="0"/>
                                  <w:marTop w:val="0"/>
                                  <w:marBottom w:val="0"/>
                                  <w:divBdr>
                                    <w:top w:val="none" w:sz="0" w:space="0" w:color="auto"/>
                                    <w:left w:val="none" w:sz="0" w:space="0" w:color="auto"/>
                                    <w:bottom w:val="none" w:sz="0" w:space="0" w:color="auto"/>
                                    <w:right w:val="none" w:sz="0" w:space="0" w:color="auto"/>
                                  </w:divBdr>
                                </w:div>
                                <w:div w:id="167600554">
                                  <w:marLeft w:val="0"/>
                                  <w:marRight w:val="0"/>
                                  <w:marTop w:val="0"/>
                                  <w:marBottom w:val="0"/>
                                  <w:divBdr>
                                    <w:top w:val="none" w:sz="0" w:space="0" w:color="auto"/>
                                    <w:left w:val="none" w:sz="0" w:space="0" w:color="auto"/>
                                    <w:bottom w:val="none" w:sz="0" w:space="0" w:color="auto"/>
                                    <w:right w:val="none" w:sz="0" w:space="0" w:color="auto"/>
                                  </w:divBdr>
                                </w:div>
                                <w:div w:id="17983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596448">
      <w:bodyDiv w:val="1"/>
      <w:marLeft w:val="0"/>
      <w:marRight w:val="0"/>
      <w:marTop w:val="0"/>
      <w:marBottom w:val="0"/>
      <w:divBdr>
        <w:top w:val="none" w:sz="0" w:space="0" w:color="auto"/>
        <w:left w:val="none" w:sz="0" w:space="0" w:color="auto"/>
        <w:bottom w:val="none" w:sz="0" w:space="0" w:color="auto"/>
        <w:right w:val="none" w:sz="0" w:space="0" w:color="auto"/>
      </w:divBdr>
    </w:div>
    <w:div w:id="124669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7734</Characters>
  <Application>Microsoft Office Word</Application>
  <DocSecurity>0</DocSecurity>
  <Lines>202</Lines>
  <Paragraphs>88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Cat</dc:creator>
  <cp:keywords/>
  <dc:description/>
  <cp:lastModifiedBy>Moxon, KarenL</cp:lastModifiedBy>
  <cp:revision>4</cp:revision>
  <dcterms:created xsi:type="dcterms:W3CDTF">2020-07-24T02:47:00Z</dcterms:created>
  <dcterms:modified xsi:type="dcterms:W3CDTF">2020-07-24T02:47:00Z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A25661481</vt:lpwstr>
  </property>
  <property fmtid="{D5CDD505-2E9C-101B-9397-08002B2CF9AE}" pid="4" name="Objective-Title">
    <vt:lpwstr>Att F - EEIS (Eligible Activities) ES</vt:lpwstr>
  </property>
  <property fmtid="{D5CDD505-2E9C-101B-9397-08002B2CF9AE}" pid="5" name="Objective-Comment">
    <vt:lpwstr/>
  </property>
  <property fmtid="{D5CDD505-2E9C-101B-9397-08002B2CF9AE}" pid="6" name="Objective-CreationStamp">
    <vt:filetime>2020-05-27T08:22:42Z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2020-06-26T05:11:58Z</vt:filetime>
  </property>
  <property fmtid="{D5CDD505-2E9C-101B-9397-08002B2CF9AE}" pid="10" name="Objective-ModificationStamp">
    <vt:filetime>2020-06-29T20:16:43Z</vt:filetime>
  </property>
  <property fmtid="{D5CDD505-2E9C-101B-9397-08002B2CF9AE}" pid="11" name="Objective-Owner">
    <vt:lpwstr>Anne Pentony</vt:lpwstr>
  </property>
  <property fmtid="{D5CDD505-2E9C-101B-9397-08002B2CF9AE}" pid="12" name="Objective-Path">
    <vt:lpwstr>Whole of ACT Government:EPSDD - Environment Planning and Sustainable Development Directorate:07. Ministerial, Cabinet and Government Relations:06. Ministerials:2020 - Ministerial and Chief Ministerial Briefs / Correspondence:Climate Change &amp; Sustainabilit</vt:lpwstr>
  </property>
  <property fmtid="{D5CDD505-2E9C-101B-9397-08002B2CF9AE}" pid="13" name="Objective-Parent">
    <vt:lpwstr>20/16403 Ministerial-Information Brief - Instruments for notification for the Energy Efficiency Improvement Scheme</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r8>22</vt:r8>
  </property>
  <property fmtid="{D5CDD505-2E9C-101B-9397-08002B2CF9AE}" pid="17" name="Objective-VersionComment">
    <vt:lpwstr/>
  </property>
  <property fmtid="{D5CDD505-2E9C-101B-9397-08002B2CF9AE}" pid="18" name="Objective-FileNumber">
    <vt:lpwstr>1-2020/16403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