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C466" w14:textId="77777777" w:rsidR="00A80B42" w:rsidRPr="00B1603C" w:rsidRDefault="00A80B42" w:rsidP="00886C13">
      <w:pPr>
        <w:spacing w:before="120"/>
        <w:rPr>
          <w:rFonts w:ascii="Arial" w:hAnsi="Arial" w:cs="Arial"/>
        </w:rPr>
      </w:pPr>
      <w:bookmarkStart w:id="0" w:name="_Toc44738651"/>
      <w:bookmarkStart w:id="1" w:name="_GoBack"/>
      <w:bookmarkEnd w:id="1"/>
    </w:p>
    <w:p w14:paraId="2E3763C8" w14:textId="77777777" w:rsidR="00886C13" w:rsidRPr="00F757D4" w:rsidRDefault="00886C13" w:rsidP="00886C13">
      <w:pPr>
        <w:spacing w:before="120"/>
        <w:rPr>
          <w:rFonts w:ascii="Arial" w:hAnsi="Arial" w:cs="Arial"/>
        </w:rPr>
      </w:pPr>
      <w:r w:rsidRPr="00F757D4">
        <w:rPr>
          <w:rFonts w:ascii="Arial" w:hAnsi="Arial" w:cs="Arial"/>
        </w:rPr>
        <w:t>Australian Capital Territory</w:t>
      </w:r>
    </w:p>
    <w:p w14:paraId="1DFBCAB2" w14:textId="6487AD05" w:rsidR="00886C13" w:rsidRPr="00F757D4" w:rsidRDefault="00886C13" w:rsidP="00886C13">
      <w:pPr>
        <w:pStyle w:val="Billname"/>
        <w:spacing w:before="700"/>
        <w:ind w:right="-193"/>
      </w:pPr>
      <w:r w:rsidRPr="00F757D4">
        <w:t xml:space="preserve">Planning and Development (Lease Variation Charge Deferred Payment Scheme) Determination </w:t>
      </w:r>
      <w:r w:rsidR="00C74719" w:rsidRPr="00F757D4">
        <w:t>20</w:t>
      </w:r>
      <w:r w:rsidR="004C6951">
        <w:t>20</w:t>
      </w:r>
    </w:p>
    <w:p w14:paraId="5F9BDCBD" w14:textId="1AA5DEF1" w:rsidR="00886C13" w:rsidRPr="00F757D4" w:rsidRDefault="00886C13" w:rsidP="00886C13">
      <w:pPr>
        <w:spacing w:before="300"/>
        <w:rPr>
          <w:rFonts w:ascii="Arial" w:hAnsi="Arial" w:cs="Arial"/>
          <w:b/>
          <w:bCs/>
          <w:vertAlign w:val="superscript"/>
        </w:rPr>
      </w:pPr>
      <w:r w:rsidRPr="00F757D4">
        <w:rPr>
          <w:rFonts w:ascii="Arial" w:hAnsi="Arial" w:cs="Arial"/>
          <w:b/>
          <w:bCs/>
        </w:rPr>
        <w:t xml:space="preserve">Disallowable instrument </w:t>
      </w:r>
      <w:r w:rsidR="00C74719" w:rsidRPr="00F757D4">
        <w:rPr>
          <w:rFonts w:ascii="Arial" w:hAnsi="Arial" w:cs="Arial"/>
          <w:b/>
          <w:bCs/>
        </w:rPr>
        <w:t>DI</w:t>
      </w:r>
      <w:r w:rsidR="00C74719" w:rsidRPr="00F757D4">
        <w:rPr>
          <w:rFonts w:ascii="Arial" w:hAnsi="Arial" w:cs="Arial"/>
          <w:b/>
          <w:bCs/>
          <w:iCs/>
        </w:rPr>
        <w:t>20</w:t>
      </w:r>
      <w:r w:rsidR="004C6951">
        <w:rPr>
          <w:rFonts w:ascii="Arial" w:hAnsi="Arial" w:cs="Arial"/>
          <w:b/>
          <w:bCs/>
          <w:iCs/>
        </w:rPr>
        <w:t>20</w:t>
      </w:r>
      <w:r w:rsidRPr="00F757D4">
        <w:rPr>
          <w:rFonts w:ascii="Arial" w:hAnsi="Arial" w:cs="Arial"/>
          <w:b/>
          <w:bCs/>
        </w:rPr>
        <w:t>–</w:t>
      </w:r>
      <w:r w:rsidR="00CB28BD">
        <w:rPr>
          <w:rFonts w:ascii="Arial" w:hAnsi="Arial" w:cs="Arial"/>
          <w:b/>
          <w:bCs/>
        </w:rPr>
        <w:t>225</w:t>
      </w:r>
    </w:p>
    <w:p w14:paraId="797022D6" w14:textId="77777777" w:rsidR="00886C13" w:rsidRPr="00F757D4" w:rsidRDefault="00886C13" w:rsidP="00886C13">
      <w:pPr>
        <w:pStyle w:val="madeunder"/>
        <w:spacing w:before="300" w:after="0"/>
      </w:pPr>
      <w:r w:rsidRPr="00F757D4">
        <w:t xml:space="preserve">made under the  </w:t>
      </w:r>
    </w:p>
    <w:p w14:paraId="5DF56653" w14:textId="2549B7A5" w:rsidR="00886C13" w:rsidRPr="00F757D4" w:rsidRDefault="00886C13" w:rsidP="006266D6">
      <w:pPr>
        <w:pStyle w:val="CoverActName"/>
        <w:spacing w:before="300" w:after="0"/>
        <w:jc w:val="left"/>
        <w:rPr>
          <w:rFonts w:cs="Arial"/>
          <w:sz w:val="20"/>
        </w:rPr>
      </w:pPr>
      <w:r w:rsidRPr="00F757D4">
        <w:rPr>
          <w:rFonts w:cs="Arial"/>
          <w:bCs/>
          <w:i/>
          <w:sz w:val="20"/>
        </w:rPr>
        <w:t>Planning and Development Act 2007</w:t>
      </w:r>
      <w:r w:rsidRPr="00F757D4">
        <w:rPr>
          <w:rFonts w:cs="Arial"/>
          <w:bCs/>
          <w:sz w:val="20"/>
        </w:rPr>
        <w:t>, s 279AA (1) (b) (Application to defer payment of lease variation charges) and s 279AC (2) (Conditions of deferral arrangement)</w:t>
      </w:r>
    </w:p>
    <w:p w14:paraId="2A635E49" w14:textId="77777777" w:rsidR="00886C13" w:rsidRPr="00F757D4" w:rsidRDefault="00886C13" w:rsidP="00886C13">
      <w:pPr>
        <w:pStyle w:val="N-line3"/>
        <w:pBdr>
          <w:bottom w:val="none" w:sz="0" w:space="0" w:color="auto"/>
        </w:pBdr>
      </w:pPr>
    </w:p>
    <w:p w14:paraId="4124F215" w14:textId="77777777" w:rsidR="00C17FAB" w:rsidRPr="00F757D4" w:rsidRDefault="00C17FAB">
      <w:pPr>
        <w:spacing w:before="360"/>
        <w:ind w:right="565"/>
        <w:rPr>
          <w:rFonts w:ascii="Arial" w:hAnsi="Arial" w:cs="Arial"/>
          <w:b/>
          <w:bCs/>
          <w:sz w:val="28"/>
          <w:szCs w:val="28"/>
        </w:rPr>
      </w:pPr>
      <w:r w:rsidRPr="00F757D4">
        <w:rPr>
          <w:rFonts w:ascii="Arial" w:hAnsi="Arial" w:cs="Arial"/>
          <w:b/>
          <w:bCs/>
          <w:sz w:val="28"/>
          <w:szCs w:val="28"/>
        </w:rPr>
        <w:t>EXPLANATORY STATEMENT</w:t>
      </w:r>
    </w:p>
    <w:p w14:paraId="4167E81F" w14:textId="77777777" w:rsidR="00C17FAB" w:rsidRPr="00F757D4" w:rsidRDefault="00C17FAB">
      <w:pPr>
        <w:pStyle w:val="N-line3"/>
        <w:pBdr>
          <w:bottom w:val="none" w:sz="0" w:space="0" w:color="auto"/>
        </w:pBdr>
      </w:pPr>
    </w:p>
    <w:p w14:paraId="4A40B498" w14:textId="77777777" w:rsidR="00C17FAB" w:rsidRPr="00F757D4" w:rsidRDefault="00C17FAB">
      <w:pPr>
        <w:pStyle w:val="N-line3"/>
        <w:pBdr>
          <w:top w:val="single" w:sz="12" w:space="1" w:color="auto"/>
          <w:bottom w:val="none" w:sz="0" w:space="0" w:color="auto"/>
        </w:pBdr>
      </w:pPr>
    </w:p>
    <w:bookmarkEnd w:id="0"/>
    <w:p w14:paraId="2F5D0210" w14:textId="77777777" w:rsidR="00BE20D2" w:rsidRPr="00F757D4" w:rsidRDefault="00886C13" w:rsidP="00AD0374">
      <w:pPr>
        <w:autoSpaceDE w:val="0"/>
        <w:autoSpaceDN w:val="0"/>
        <w:adjustRightInd w:val="0"/>
        <w:spacing w:before="300"/>
        <w:rPr>
          <w:rFonts w:ascii="Arial" w:hAnsi="Arial" w:cs="Arial"/>
          <w:b/>
          <w:lang w:eastAsia="en-AU"/>
        </w:rPr>
      </w:pPr>
      <w:r w:rsidRPr="00F757D4">
        <w:rPr>
          <w:rFonts w:ascii="Arial" w:hAnsi="Arial" w:cs="Arial"/>
          <w:b/>
          <w:lang w:eastAsia="en-AU"/>
        </w:rPr>
        <w:t>Background</w:t>
      </w:r>
    </w:p>
    <w:p w14:paraId="1E24E74C" w14:textId="563FEB6F" w:rsidR="00B54274" w:rsidRPr="00F757D4" w:rsidRDefault="00B54274" w:rsidP="004052AE">
      <w:pPr>
        <w:spacing w:before="140"/>
        <w:rPr>
          <w:szCs w:val="24"/>
          <w:lang w:eastAsia="en-AU"/>
        </w:rPr>
      </w:pPr>
      <w:r w:rsidRPr="00F757D4">
        <w:t xml:space="preserve">The </w:t>
      </w:r>
      <w:r w:rsidRPr="00F757D4">
        <w:rPr>
          <w:szCs w:val="24"/>
          <w:lang w:eastAsia="en-AU"/>
        </w:rPr>
        <w:t>deferred payment scheme for the lease variation charge (LVC)</w:t>
      </w:r>
      <w:r w:rsidR="00326AB0" w:rsidRPr="00F757D4">
        <w:rPr>
          <w:szCs w:val="24"/>
          <w:lang w:eastAsia="en-AU"/>
        </w:rPr>
        <w:t xml:space="preserve"> came into effect from 17 May 201</w:t>
      </w:r>
      <w:r w:rsidR="00546AB7" w:rsidRPr="00F757D4">
        <w:rPr>
          <w:szCs w:val="24"/>
          <w:lang w:eastAsia="en-AU"/>
        </w:rPr>
        <w:t>8</w:t>
      </w:r>
      <w:r w:rsidRPr="00F757D4">
        <w:rPr>
          <w:szCs w:val="24"/>
          <w:lang w:eastAsia="en-AU"/>
        </w:rPr>
        <w:t>.</w:t>
      </w:r>
    </w:p>
    <w:p w14:paraId="08CA0D07" w14:textId="128633EE" w:rsidR="00CF045E" w:rsidRPr="00F757D4" w:rsidRDefault="002755CC" w:rsidP="004052AE">
      <w:pPr>
        <w:spacing w:before="140"/>
      </w:pPr>
      <w:r w:rsidRPr="00F757D4">
        <w:t>Ordinarily</w:t>
      </w:r>
      <w:r w:rsidRPr="00F757D4">
        <w:rPr>
          <w:szCs w:val="24"/>
          <w:lang w:eastAsia="en-AU"/>
        </w:rPr>
        <w:t xml:space="preserve">, </w:t>
      </w:r>
      <w:r w:rsidR="00B13551" w:rsidRPr="00F757D4">
        <w:rPr>
          <w:szCs w:val="24"/>
          <w:lang w:eastAsia="en-AU"/>
        </w:rPr>
        <w:t xml:space="preserve">LVC is </w:t>
      </w:r>
      <w:r w:rsidRPr="00F757D4">
        <w:rPr>
          <w:szCs w:val="24"/>
          <w:lang w:eastAsia="en-AU"/>
        </w:rPr>
        <w:t xml:space="preserve">payable before a nominal rent lease is varied. </w:t>
      </w:r>
      <w:r w:rsidR="00B54274" w:rsidRPr="00F757D4">
        <w:t>Under the</w:t>
      </w:r>
      <w:r w:rsidR="00CF045E" w:rsidRPr="00F757D4">
        <w:t xml:space="preserve"> </w:t>
      </w:r>
      <w:r w:rsidR="00B54274" w:rsidRPr="00F757D4">
        <w:t>scheme</w:t>
      </w:r>
      <w:r w:rsidR="00CF045E" w:rsidRPr="00F757D4">
        <w:t xml:space="preserve"> however</w:t>
      </w:r>
      <w:r w:rsidR="00B54274" w:rsidRPr="00F757D4">
        <w:t xml:space="preserve">, </w:t>
      </w:r>
      <w:r w:rsidRPr="00F757D4">
        <w:t xml:space="preserve">a leaseholder </w:t>
      </w:r>
      <w:r w:rsidR="00770E96" w:rsidRPr="00F757D4">
        <w:t xml:space="preserve">may </w:t>
      </w:r>
      <w:r w:rsidR="00541B50" w:rsidRPr="00F757D4">
        <w:t>opt</w:t>
      </w:r>
      <w:r w:rsidR="00541B50" w:rsidRPr="00F757D4">
        <w:rPr>
          <w:i/>
        </w:rPr>
        <w:t xml:space="preserve"> </w:t>
      </w:r>
      <w:r w:rsidR="00CF045E" w:rsidRPr="00F757D4">
        <w:t>to defer the payment of</w:t>
      </w:r>
      <w:r w:rsidR="00DB6F77" w:rsidRPr="00F757D4">
        <w:t xml:space="preserve"> </w:t>
      </w:r>
      <w:r w:rsidR="00B54274" w:rsidRPr="00F757D4">
        <w:t>LVC</w:t>
      </w:r>
      <w:r w:rsidR="00CB5B61" w:rsidRPr="00F757D4">
        <w:t xml:space="preserve"> </w:t>
      </w:r>
      <w:r w:rsidRPr="00F757D4">
        <w:t xml:space="preserve">provided they </w:t>
      </w:r>
      <w:r w:rsidR="00541B50" w:rsidRPr="00F757D4">
        <w:t xml:space="preserve">apply to defer, </w:t>
      </w:r>
      <w:r w:rsidRPr="00F757D4">
        <w:t xml:space="preserve">meet certain </w:t>
      </w:r>
      <w:r w:rsidR="00CF045E" w:rsidRPr="00F757D4">
        <w:t>criteria</w:t>
      </w:r>
      <w:r w:rsidRPr="00F757D4">
        <w:t xml:space="preserve"> and agree to </w:t>
      </w:r>
      <w:r w:rsidR="005A0FF3" w:rsidRPr="00F757D4">
        <w:t xml:space="preserve">the </w:t>
      </w:r>
      <w:r w:rsidRPr="00F757D4">
        <w:t xml:space="preserve">conditions of </w:t>
      </w:r>
      <w:r w:rsidR="005A0FF3" w:rsidRPr="00F757D4">
        <w:t xml:space="preserve">a </w:t>
      </w:r>
      <w:r w:rsidR="004052AE" w:rsidRPr="00F757D4">
        <w:t>deferral</w:t>
      </w:r>
      <w:r w:rsidR="005A0FF3" w:rsidRPr="00F757D4">
        <w:t xml:space="preserve"> arrangement</w:t>
      </w:r>
      <w:r w:rsidR="00D21D00" w:rsidRPr="00F757D4">
        <w:t xml:space="preserve">. </w:t>
      </w:r>
    </w:p>
    <w:p w14:paraId="4A6284C8" w14:textId="6FDFB42B" w:rsidR="006874A3" w:rsidRPr="00F757D4" w:rsidRDefault="00326AB0" w:rsidP="004052AE">
      <w:pPr>
        <w:spacing w:before="140"/>
      </w:pPr>
      <w:r w:rsidRPr="00F757D4">
        <w:t>S</w:t>
      </w:r>
      <w:r w:rsidR="006874A3" w:rsidRPr="00F757D4">
        <w:t xml:space="preserve">ection 279AA (1) of </w:t>
      </w:r>
      <w:r w:rsidR="00CF045E" w:rsidRPr="00F757D4">
        <w:t xml:space="preserve">the </w:t>
      </w:r>
      <w:r w:rsidR="00CF045E" w:rsidRPr="00F757D4">
        <w:rPr>
          <w:i/>
        </w:rPr>
        <w:t>Planning and Development Act</w:t>
      </w:r>
      <w:r w:rsidR="00CF5A34" w:rsidRPr="00F757D4">
        <w:rPr>
          <w:i/>
        </w:rPr>
        <w:t xml:space="preserve"> 2007</w:t>
      </w:r>
      <w:r w:rsidR="00373896" w:rsidRPr="00F757D4">
        <w:t xml:space="preserve"> (Planning and Development Act)</w:t>
      </w:r>
      <w:r w:rsidR="00CF045E" w:rsidRPr="00F757D4">
        <w:t xml:space="preserve">, </w:t>
      </w:r>
      <w:r w:rsidR="005A0FF3" w:rsidRPr="00F757D4">
        <w:t xml:space="preserve">provides that </w:t>
      </w:r>
      <w:r w:rsidR="006874A3" w:rsidRPr="00F757D4">
        <w:t xml:space="preserve">an applicant for a development application may apply to the Commissioner for </w:t>
      </w:r>
      <w:r w:rsidR="00CF5A34" w:rsidRPr="00F757D4">
        <w:t>ACT </w:t>
      </w:r>
      <w:r w:rsidR="006874A3" w:rsidRPr="00F757D4">
        <w:t>Revenue to defer the payment of their LVC if:</w:t>
      </w:r>
    </w:p>
    <w:p w14:paraId="408CD22F" w14:textId="6E9585B1"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is given a notice of assessment of LVC under section 276D (1) of the Planning and Development Act;</w:t>
      </w:r>
    </w:p>
    <w:p w14:paraId="756833A1" w14:textId="7936D21B"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LVC to be deferred is at least the amount determined by the Treasurer; and</w:t>
      </w:r>
    </w:p>
    <w:p w14:paraId="3991B088" w14:textId="47274AEC"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satisfies any other criteria determined by the Treasurer.</w:t>
      </w:r>
    </w:p>
    <w:p w14:paraId="252E33CA" w14:textId="673540E9" w:rsidR="00F87660" w:rsidRPr="00F757D4" w:rsidRDefault="006874A3" w:rsidP="004052AE">
      <w:pPr>
        <w:spacing w:before="140"/>
      </w:pPr>
      <w:r w:rsidRPr="00F757D4">
        <w:t>Under section 279AB, the Commissioner must approve an application if satisfied that the applicant meets the criteria in section 279AA (1).</w:t>
      </w:r>
      <w:r w:rsidR="005A0FF3" w:rsidRPr="00F757D4">
        <w:t xml:space="preserve"> </w:t>
      </w:r>
      <w:r w:rsidRPr="00F757D4">
        <w:t xml:space="preserve">The Commissioner’s approval is subject to the applicant entering into an arrangement for the deferral of the LVC (the deferral arrangement), the conditions of which may be determined by the Commissioner (under section 52 </w:t>
      </w:r>
      <w:r w:rsidR="00F87660" w:rsidRPr="00F757D4">
        <w:t xml:space="preserve">(2) </w:t>
      </w:r>
      <w:r w:rsidRPr="00F757D4">
        <w:t xml:space="preserve">of the </w:t>
      </w:r>
      <w:r w:rsidR="003B287A" w:rsidRPr="003B287A">
        <w:rPr>
          <w:i/>
          <w:iCs/>
        </w:rPr>
        <w:t>Taxation Administration Act 1999</w:t>
      </w:r>
      <w:r w:rsidR="003B287A">
        <w:t xml:space="preserve"> (TAA)</w:t>
      </w:r>
      <w:r w:rsidRPr="00F757D4">
        <w:t>)</w:t>
      </w:r>
      <w:r w:rsidR="00F87660" w:rsidRPr="00F757D4">
        <w:t>, and by the Treasurer (under section</w:t>
      </w:r>
      <w:r w:rsidR="00CF5A34" w:rsidRPr="00F757D4">
        <w:t> </w:t>
      </w:r>
      <w:r w:rsidR="00F87660" w:rsidRPr="00F757D4">
        <w:t xml:space="preserve">279AC (2) of the Planning and Development Act). </w:t>
      </w:r>
    </w:p>
    <w:p w14:paraId="788592D0" w14:textId="433C89BD" w:rsidR="006874A3" w:rsidRPr="00F757D4" w:rsidRDefault="00CF5A34" w:rsidP="004052AE">
      <w:pPr>
        <w:spacing w:before="140"/>
      </w:pPr>
      <w:r w:rsidRPr="00F757D4">
        <w:lastRenderedPageBreak/>
        <w:t>S</w:t>
      </w:r>
      <w:r w:rsidR="00F87660" w:rsidRPr="00F757D4">
        <w:t xml:space="preserve">ection 279AC (4) </w:t>
      </w:r>
      <w:r w:rsidR="005A0FF3" w:rsidRPr="00F757D4">
        <w:t>states</w:t>
      </w:r>
      <w:r w:rsidR="00F87660" w:rsidRPr="00F757D4">
        <w:t xml:space="preserve"> that any arrangement about the deferred payment of LVC must be consistent with the conditions set out in the legislation and </w:t>
      </w:r>
      <w:r w:rsidR="005A0FF3" w:rsidRPr="00F757D4">
        <w:t>as determined</w:t>
      </w:r>
      <w:r w:rsidR="00F87660" w:rsidRPr="00F757D4">
        <w:t xml:space="preserve"> </w:t>
      </w:r>
      <w:r w:rsidR="005A0FF3" w:rsidRPr="00F757D4">
        <w:t>by</w:t>
      </w:r>
      <w:r w:rsidR="00F87660" w:rsidRPr="00F757D4">
        <w:t xml:space="preserve"> the Treasurer.</w:t>
      </w:r>
    </w:p>
    <w:p w14:paraId="375E2BE0" w14:textId="4AC68EC2" w:rsidR="005A0FF3" w:rsidRPr="00F757D4" w:rsidRDefault="00F87660" w:rsidP="004052AE">
      <w:pPr>
        <w:spacing w:before="140"/>
      </w:pPr>
      <w:r w:rsidRPr="00F757D4">
        <w:t xml:space="preserve">This instrument </w:t>
      </w:r>
      <w:r w:rsidR="00326AB0" w:rsidRPr="00F757D4">
        <w:t xml:space="preserve">replaces </w:t>
      </w:r>
      <w:r w:rsidR="00785233" w:rsidRPr="00F757D4">
        <w:t xml:space="preserve">the </w:t>
      </w:r>
      <w:r w:rsidR="00326AB0" w:rsidRPr="00F757D4">
        <w:rPr>
          <w:i/>
          <w:iCs/>
        </w:rPr>
        <w:t>Planning and Development (Lease Variation Charge Deferred Payment Scheme) Determination</w:t>
      </w:r>
      <w:r w:rsidR="00B30E8E" w:rsidRPr="00F757D4">
        <w:rPr>
          <w:i/>
          <w:iCs/>
        </w:rPr>
        <w:t xml:space="preserve"> 201</w:t>
      </w:r>
      <w:r w:rsidR="00824AAF" w:rsidRPr="00F757D4">
        <w:rPr>
          <w:i/>
          <w:iCs/>
        </w:rPr>
        <w:t>9</w:t>
      </w:r>
      <w:r w:rsidR="004C6951">
        <w:rPr>
          <w:i/>
          <w:iCs/>
        </w:rPr>
        <w:t xml:space="preserve"> (No 2)</w:t>
      </w:r>
      <w:r w:rsidR="00F855AE" w:rsidRPr="00F757D4">
        <w:rPr>
          <w:iCs/>
        </w:rPr>
        <w:t xml:space="preserve">, </w:t>
      </w:r>
      <w:r w:rsidR="00326AB0" w:rsidRPr="00F757D4">
        <w:rPr>
          <w:iCs/>
        </w:rPr>
        <w:t>DI201</w:t>
      </w:r>
      <w:r w:rsidR="00824AAF" w:rsidRPr="00F757D4">
        <w:rPr>
          <w:iCs/>
        </w:rPr>
        <w:t>9</w:t>
      </w:r>
      <w:r w:rsidR="00326AB0" w:rsidRPr="00F757D4">
        <w:rPr>
          <w:iCs/>
        </w:rPr>
        <w:t>-</w:t>
      </w:r>
      <w:r w:rsidR="004C6951">
        <w:rPr>
          <w:iCs/>
        </w:rPr>
        <w:t>236</w:t>
      </w:r>
      <w:r w:rsidR="004C6951" w:rsidRPr="00F757D4">
        <w:rPr>
          <w:iCs/>
        </w:rPr>
        <w:t xml:space="preserve"> </w:t>
      </w:r>
      <w:r w:rsidR="00326AB0" w:rsidRPr="00F757D4">
        <w:rPr>
          <w:iCs/>
        </w:rPr>
        <w:t xml:space="preserve">and </w:t>
      </w:r>
      <w:r w:rsidRPr="00F757D4">
        <w:t xml:space="preserve">outlines </w:t>
      </w:r>
      <w:r w:rsidR="00CF045E" w:rsidRPr="00F757D4">
        <w:t>t</w:t>
      </w:r>
      <w:r w:rsidR="00D21D00" w:rsidRPr="00F757D4">
        <w:t>he Treasurer</w:t>
      </w:r>
      <w:r w:rsidRPr="00F757D4">
        <w:t>’s</w:t>
      </w:r>
      <w:r w:rsidR="00D21D00" w:rsidRPr="00F757D4">
        <w:t xml:space="preserve"> </w:t>
      </w:r>
      <w:r w:rsidR="00CF045E" w:rsidRPr="00F757D4">
        <w:t>determin</w:t>
      </w:r>
      <w:r w:rsidRPr="00F757D4">
        <w:t>ation for</w:t>
      </w:r>
      <w:r w:rsidR="004C6951">
        <w:t xml:space="preserve"> an additional threshold for the amount of LVC to be deferred to account for the operation of the </w:t>
      </w:r>
      <w:r w:rsidR="004C6951" w:rsidRPr="00736B6D">
        <w:rPr>
          <w:i/>
          <w:iCs/>
        </w:rPr>
        <w:t>Planning and Development (Remission of Lease Variation Charges—Construction Sector Recovery) Determination 2020</w:t>
      </w:r>
      <w:r w:rsidR="004C6951">
        <w:t xml:space="preserve"> (the New LVC Remission).</w:t>
      </w:r>
    </w:p>
    <w:p w14:paraId="39790E6C" w14:textId="50A7DCFD" w:rsidR="009D0695" w:rsidRPr="00F757D4" w:rsidRDefault="009D0695" w:rsidP="00242952">
      <w:pPr>
        <w:spacing w:before="140" w:after="120"/>
      </w:pPr>
    </w:p>
    <w:p w14:paraId="4EBD5348" w14:textId="77777777" w:rsidR="00467BB4" w:rsidRPr="00F757D4" w:rsidRDefault="00467BB4" w:rsidP="004052AE">
      <w:pPr>
        <w:autoSpaceDE w:val="0"/>
        <w:autoSpaceDN w:val="0"/>
        <w:adjustRightInd w:val="0"/>
        <w:spacing w:before="300"/>
        <w:rPr>
          <w:rFonts w:ascii="Arial" w:hAnsi="Arial" w:cs="Arial"/>
          <w:b/>
          <w:lang w:eastAsia="en-AU"/>
        </w:rPr>
      </w:pPr>
      <w:r w:rsidRPr="00F757D4">
        <w:rPr>
          <w:rFonts w:ascii="Arial" w:hAnsi="Arial" w:cs="Arial"/>
          <w:b/>
          <w:lang w:eastAsia="en-AU"/>
        </w:rPr>
        <w:t>Details of the instrument</w:t>
      </w:r>
    </w:p>
    <w:p w14:paraId="5030E30C" w14:textId="77777777" w:rsidR="00467BB4" w:rsidRPr="00F757D4" w:rsidRDefault="00467BB4" w:rsidP="002E786B">
      <w:pPr>
        <w:spacing w:before="300"/>
        <w:ind w:left="720" w:hanging="720"/>
        <w:rPr>
          <w:rFonts w:ascii="Arial" w:hAnsi="Arial" w:cs="Arial"/>
          <w:b/>
          <w:bCs/>
        </w:rPr>
      </w:pPr>
      <w:r w:rsidRPr="00F757D4">
        <w:rPr>
          <w:rFonts w:ascii="Arial" w:hAnsi="Arial" w:cs="Arial"/>
          <w:b/>
          <w:bCs/>
        </w:rPr>
        <w:t>Section 1</w:t>
      </w:r>
      <w:r w:rsidRPr="00F757D4">
        <w:rPr>
          <w:rFonts w:ascii="Arial" w:hAnsi="Arial" w:cs="Arial"/>
          <w:b/>
          <w:bCs/>
        </w:rPr>
        <w:tab/>
        <w:t>Name of instrument</w:t>
      </w:r>
    </w:p>
    <w:p w14:paraId="7E8320CB" w14:textId="698DB863" w:rsidR="00467BB4" w:rsidRPr="00F757D4" w:rsidRDefault="00467BB4" w:rsidP="004052AE">
      <w:pPr>
        <w:spacing w:before="140"/>
      </w:pPr>
      <w:r w:rsidRPr="00F757D4">
        <w:t xml:space="preserve">This section </w:t>
      </w:r>
      <w:r w:rsidR="002E786B" w:rsidRPr="00F757D4">
        <w:t xml:space="preserve">states that </w:t>
      </w:r>
      <w:r w:rsidRPr="00F757D4">
        <w:t>the name of th</w:t>
      </w:r>
      <w:r w:rsidR="002E786B" w:rsidRPr="00F757D4">
        <w:t>is</w:t>
      </w:r>
      <w:r w:rsidRPr="00F757D4">
        <w:t xml:space="preserve"> instrument</w:t>
      </w:r>
      <w:r w:rsidR="002E786B" w:rsidRPr="00F757D4">
        <w:t xml:space="preserve"> is the </w:t>
      </w:r>
      <w:r w:rsidR="002E786B" w:rsidRPr="00F757D4">
        <w:rPr>
          <w:i/>
        </w:rPr>
        <w:t xml:space="preserve">Planning and Development (Lease Variation Charge Deferred Payment Scheme) Determination </w:t>
      </w:r>
      <w:r w:rsidR="00C74719" w:rsidRPr="00F757D4">
        <w:rPr>
          <w:i/>
        </w:rPr>
        <w:t>20</w:t>
      </w:r>
      <w:r w:rsidR="004C6951">
        <w:rPr>
          <w:i/>
        </w:rPr>
        <w:t>20</w:t>
      </w:r>
      <w:r w:rsidRPr="00F757D4">
        <w:t>.</w:t>
      </w:r>
    </w:p>
    <w:p w14:paraId="078DF8FF" w14:textId="77777777" w:rsidR="00467BB4" w:rsidRPr="00F757D4" w:rsidRDefault="00467BB4" w:rsidP="002E786B">
      <w:pPr>
        <w:spacing w:before="300"/>
        <w:ind w:left="720" w:hanging="720"/>
        <w:rPr>
          <w:rFonts w:ascii="Arial" w:hAnsi="Arial" w:cs="Arial"/>
          <w:b/>
          <w:bCs/>
        </w:rPr>
      </w:pPr>
      <w:r w:rsidRPr="00F757D4">
        <w:rPr>
          <w:rFonts w:ascii="Arial" w:hAnsi="Arial" w:cs="Arial"/>
          <w:b/>
          <w:bCs/>
        </w:rPr>
        <w:t>Section 2</w:t>
      </w:r>
      <w:r w:rsidRPr="00F757D4">
        <w:rPr>
          <w:rFonts w:ascii="Arial" w:hAnsi="Arial" w:cs="Arial"/>
          <w:b/>
          <w:bCs/>
        </w:rPr>
        <w:tab/>
        <w:t>Commencement</w:t>
      </w:r>
    </w:p>
    <w:p w14:paraId="0E3DD829" w14:textId="49A3A5FD" w:rsidR="00E17014" w:rsidRPr="00705DCF" w:rsidRDefault="00A535E2" w:rsidP="00E17014">
      <w:pPr>
        <w:spacing w:before="140"/>
      </w:pPr>
      <w:r w:rsidRPr="00F757D4">
        <w:t>T</w:t>
      </w:r>
      <w:r w:rsidR="00467BB4" w:rsidRPr="00F757D4">
        <w:t>h</w:t>
      </w:r>
      <w:r w:rsidR="002E786B" w:rsidRPr="00F757D4">
        <w:t>is</w:t>
      </w:r>
      <w:r w:rsidR="00467BB4" w:rsidRPr="00F757D4">
        <w:t xml:space="preserve"> instrument </w:t>
      </w:r>
      <w:r w:rsidR="004C6951">
        <w:t xml:space="preserve">is taken to have </w:t>
      </w:r>
      <w:r w:rsidR="00467BB4" w:rsidRPr="00F757D4">
        <w:t>commence</w:t>
      </w:r>
      <w:r w:rsidR="004C6951">
        <w:t xml:space="preserve">d </w:t>
      </w:r>
      <w:r w:rsidR="00467BB4" w:rsidRPr="00F757D4">
        <w:t xml:space="preserve">on </w:t>
      </w:r>
      <w:r w:rsidR="004C6951">
        <w:t>25 June 2020</w:t>
      </w:r>
      <w:r w:rsidR="004C6951">
        <w:rPr>
          <w:szCs w:val="24"/>
          <w:lang w:eastAsia="en-AU"/>
        </w:rPr>
        <w:t xml:space="preserve"> to align with the commencement </w:t>
      </w:r>
      <w:r w:rsidR="00956786">
        <w:rPr>
          <w:szCs w:val="24"/>
          <w:lang w:eastAsia="en-AU"/>
        </w:rPr>
        <w:t xml:space="preserve">of </w:t>
      </w:r>
      <w:r w:rsidR="00E17014">
        <w:t>the New LVC Remission</w:t>
      </w:r>
      <w:r w:rsidR="00E17014">
        <w:rPr>
          <w:szCs w:val="24"/>
        </w:rPr>
        <w:t>.</w:t>
      </w:r>
    </w:p>
    <w:p w14:paraId="759A68A5" w14:textId="77777777" w:rsidR="00E17014" w:rsidRDefault="00E17014" w:rsidP="00E17014"/>
    <w:p w14:paraId="3FAD7448" w14:textId="77777777" w:rsidR="00E17014" w:rsidRPr="00705DCF" w:rsidRDefault="00E17014" w:rsidP="00E17014">
      <w:pPr>
        <w:spacing w:after="240"/>
      </w:pPr>
      <w:r w:rsidRPr="00705DCF">
        <w:t>Section 76</w:t>
      </w:r>
      <w:r>
        <w:t xml:space="preserve"> </w:t>
      </w:r>
      <w:r w:rsidRPr="00705DCF">
        <w:t xml:space="preserve">(1) of the </w:t>
      </w:r>
      <w:r w:rsidRPr="00705DCF">
        <w:rPr>
          <w:i/>
          <w:iCs/>
        </w:rPr>
        <w:t>Legislation Act 2001</w:t>
      </w:r>
      <w:r>
        <w:t xml:space="preserve"> </w:t>
      </w:r>
      <w:r w:rsidRPr="00705DCF">
        <w:t>provides that a</w:t>
      </w:r>
      <w:r>
        <w:t xml:space="preserve"> </w:t>
      </w:r>
      <w:r w:rsidRPr="00705DCF">
        <w:t xml:space="preserve">statutory instrument may commence retrospectively provided it is non-prejudicial, that it does not operate to the disadvantage of a person by adversely affecting the person’s rights or imposing liabilities on the person. This instrument </w:t>
      </w:r>
      <w:r>
        <w:t>supports</w:t>
      </w:r>
      <w:r w:rsidRPr="00705DCF">
        <w:t xml:space="preserve"> a concession on the LVC payable for land that is developed </w:t>
      </w:r>
      <w:r>
        <w:t>in a manner that supports economic recovery from COVID</w:t>
      </w:r>
      <w:r>
        <w:noBreakHyphen/>
        <w:t>19</w:t>
      </w:r>
      <w:r w:rsidRPr="00705DCF">
        <w:t>. It promotes a purpose which will be of overall benefit to the ACT community.</w:t>
      </w:r>
    </w:p>
    <w:p w14:paraId="50EA6F12" w14:textId="77777777" w:rsidR="005008E0" w:rsidRPr="00F757D4" w:rsidRDefault="006D2889" w:rsidP="002E786B">
      <w:pPr>
        <w:spacing w:before="300"/>
        <w:ind w:left="1440" w:hanging="1440"/>
        <w:rPr>
          <w:rFonts w:ascii="Arial" w:hAnsi="Arial" w:cs="Arial"/>
          <w:b/>
          <w:bCs/>
        </w:rPr>
      </w:pPr>
      <w:r w:rsidRPr="00F757D4">
        <w:rPr>
          <w:rFonts w:ascii="Arial" w:hAnsi="Arial" w:cs="Arial"/>
          <w:b/>
          <w:bCs/>
        </w:rPr>
        <w:t>Section 3</w:t>
      </w:r>
      <w:r w:rsidRPr="00F757D4">
        <w:rPr>
          <w:rFonts w:ascii="Arial" w:hAnsi="Arial" w:cs="Arial"/>
          <w:b/>
          <w:bCs/>
        </w:rPr>
        <w:tab/>
      </w:r>
      <w:r w:rsidR="006305D4" w:rsidRPr="00F757D4">
        <w:rPr>
          <w:rFonts w:ascii="Arial" w:hAnsi="Arial" w:cs="Arial"/>
          <w:b/>
          <w:bCs/>
        </w:rPr>
        <w:t>Determination</w:t>
      </w:r>
      <w:r w:rsidR="002E786B" w:rsidRPr="00F757D4">
        <w:rPr>
          <w:rFonts w:ascii="Arial" w:hAnsi="Arial" w:cs="Arial"/>
          <w:b/>
          <w:bCs/>
        </w:rPr>
        <w:t xml:space="preserve"> of amount to be deferred</w:t>
      </w:r>
      <w:r w:rsidR="00C74719" w:rsidRPr="00F757D4">
        <w:rPr>
          <w:rFonts w:ascii="Arial Black" w:hAnsi="Arial Black"/>
          <w:b/>
        </w:rPr>
        <w:t>—</w:t>
      </w:r>
      <w:r w:rsidR="005008E0" w:rsidRPr="00F757D4">
        <w:rPr>
          <w:rFonts w:ascii="Arial" w:hAnsi="Arial" w:cs="Arial"/>
          <w:b/>
          <w:bCs/>
        </w:rPr>
        <w:t xml:space="preserve">s 279AA (1) (b) </w:t>
      </w:r>
    </w:p>
    <w:p w14:paraId="6B9EF437" w14:textId="77777777" w:rsidR="004C6951" w:rsidRDefault="002E786B" w:rsidP="00140133">
      <w:pPr>
        <w:spacing w:before="140"/>
      </w:pPr>
      <w:r w:rsidRPr="00F757D4">
        <w:t xml:space="preserve">This section provides that to be eligible </w:t>
      </w:r>
      <w:r w:rsidR="00140133" w:rsidRPr="00F757D4">
        <w:t xml:space="preserve">to participate in </w:t>
      </w:r>
      <w:r w:rsidRPr="00F757D4">
        <w:t xml:space="preserve">the scheme, the amount of </w:t>
      </w:r>
      <w:r w:rsidR="00140133" w:rsidRPr="00F757D4">
        <w:t xml:space="preserve">the </w:t>
      </w:r>
      <w:r w:rsidRPr="00F757D4">
        <w:t>LVC</w:t>
      </w:r>
      <w:r w:rsidR="00140133" w:rsidRPr="00F757D4">
        <w:t xml:space="preserve"> to be deferred </w:t>
      </w:r>
      <w:r w:rsidRPr="00F757D4">
        <w:t>in respect of a development application must be</w:t>
      </w:r>
    </w:p>
    <w:p w14:paraId="781E2856" w14:textId="1A44EEED" w:rsidR="004C6951" w:rsidRDefault="004C6951" w:rsidP="004C6951">
      <w:pPr>
        <w:pStyle w:val="ListParagraph"/>
        <w:numPr>
          <w:ilvl w:val="0"/>
          <w:numId w:val="32"/>
        </w:numPr>
        <w:spacing w:before="140"/>
      </w:pPr>
      <w:r>
        <w:t xml:space="preserve">for an amount of LVC subject to the </w:t>
      </w:r>
      <w:r>
        <w:rPr>
          <w:szCs w:val="24"/>
          <w:lang w:eastAsia="en-AU"/>
        </w:rPr>
        <w:t>New LVC Remission</w:t>
      </w:r>
      <w:r w:rsidRPr="004C6951">
        <w:rPr>
          <w:szCs w:val="24"/>
          <w:lang w:eastAsia="en-AU"/>
        </w:rPr>
        <w:t>—</w:t>
      </w:r>
      <w:r>
        <w:rPr>
          <w:szCs w:val="24"/>
          <w:lang w:eastAsia="en-AU"/>
        </w:rPr>
        <w:t>a nominal amount of at least $1; and</w:t>
      </w:r>
    </w:p>
    <w:p w14:paraId="4CB3DFFA" w14:textId="239C6FDC" w:rsidR="00E50AA4" w:rsidRPr="00F757D4" w:rsidRDefault="004C6951" w:rsidP="00E17014">
      <w:pPr>
        <w:pStyle w:val="ListParagraph"/>
        <w:numPr>
          <w:ilvl w:val="0"/>
          <w:numId w:val="32"/>
        </w:numPr>
        <w:spacing w:before="140"/>
      </w:pPr>
      <w:r>
        <w:t>for all other circumstances</w:t>
      </w:r>
      <w:r w:rsidRPr="004C6951">
        <w:rPr>
          <w:szCs w:val="24"/>
          <w:lang w:eastAsia="en-AU"/>
        </w:rPr>
        <w:t>—</w:t>
      </w:r>
      <w:r w:rsidR="00E50AA4" w:rsidRPr="00F757D4">
        <w:t>at least</w:t>
      </w:r>
      <w:r w:rsidR="002E786B" w:rsidRPr="00F757D4">
        <w:t xml:space="preserve"> </w:t>
      </w:r>
      <w:r w:rsidR="005008E0" w:rsidRPr="00F757D4">
        <w:t>$</w:t>
      </w:r>
      <w:r w:rsidR="00C74719" w:rsidRPr="00F757D4">
        <w:t>50</w:t>
      </w:r>
      <w:r w:rsidR="005008E0" w:rsidRPr="00F757D4">
        <w:t>,000.</w:t>
      </w:r>
      <w:r w:rsidR="00C74719" w:rsidRPr="00F757D4">
        <w:t xml:space="preserve"> </w:t>
      </w:r>
    </w:p>
    <w:p w14:paraId="0D330FF1" w14:textId="737C0F3E" w:rsidR="004C6951" w:rsidRDefault="004C6951" w:rsidP="00140133">
      <w:pPr>
        <w:spacing w:before="140"/>
      </w:pPr>
      <w:r>
        <w:t>The new threshold will permit smaller developments to access the New LVC Remission, and assist with COVID-19 economic recovery measures.</w:t>
      </w:r>
    </w:p>
    <w:p w14:paraId="2BA45CE1" w14:textId="4CE8773C" w:rsidR="00E50AA4" w:rsidRPr="00F757D4" w:rsidRDefault="00140133" w:rsidP="00140133">
      <w:pPr>
        <w:spacing w:before="140"/>
      </w:pPr>
      <w:r w:rsidRPr="00F757D4">
        <w:t xml:space="preserve">This amount is the amount </w:t>
      </w:r>
      <w:r w:rsidR="002E786B" w:rsidRPr="00F757D4">
        <w:t xml:space="preserve">described in </w:t>
      </w:r>
      <w:r w:rsidRPr="00F757D4">
        <w:t>a</w:t>
      </w:r>
      <w:r w:rsidR="002E786B" w:rsidRPr="00F757D4">
        <w:t xml:space="preserve"> notice of assessment of LVC given to an applicant under section 276D (1) of the Planning and Development Act, less any remission under section 278, plus any increase under section 279.</w:t>
      </w:r>
    </w:p>
    <w:p w14:paraId="07B46ED8" w14:textId="77777777" w:rsidR="004321AC" w:rsidRPr="00F757D4" w:rsidRDefault="002E786B" w:rsidP="00BC2E71">
      <w:pPr>
        <w:spacing w:before="300"/>
        <w:rPr>
          <w:rFonts w:ascii="Arial" w:hAnsi="Arial" w:cs="Arial"/>
          <w:b/>
          <w:bCs/>
        </w:rPr>
      </w:pPr>
      <w:r w:rsidRPr="00F757D4">
        <w:rPr>
          <w:rFonts w:ascii="Arial" w:hAnsi="Arial" w:cs="Arial"/>
          <w:b/>
          <w:bCs/>
        </w:rPr>
        <w:t>Section 4</w:t>
      </w:r>
      <w:r w:rsidRPr="00F757D4">
        <w:rPr>
          <w:rFonts w:ascii="Arial" w:hAnsi="Arial" w:cs="Arial"/>
          <w:b/>
          <w:bCs/>
        </w:rPr>
        <w:tab/>
      </w:r>
      <w:r w:rsidR="004321AC" w:rsidRPr="00F757D4">
        <w:rPr>
          <w:rFonts w:ascii="Arial" w:hAnsi="Arial" w:cs="Arial"/>
          <w:b/>
          <w:bCs/>
        </w:rPr>
        <w:t>Determination</w:t>
      </w:r>
      <w:r w:rsidR="006C1AD9" w:rsidRPr="00F757D4">
        <w:rPr>
          <w:rFonts w:ascii="Arial" w:hAnsi="Arial" w:cs="Arial"/>
          <w:b/>
          <w:bCs/>
        </w:rPr>
        <w:t xml:space="preserve"> of other conditions</w:t>
      </w:r>
      <w:r w:rsidR="00C74719" w:rsidRPr="00F757D4">
        <w:rPr>
          <w:rFonts w:ascii="Arial Black" w:hAnsi="Arial Black"/>
          <w:b/>
        </w:rPr>
        <w:t>—</w:t>
      </w:r>
      <w:r w:rsidR="006C1AD9" w:rsidRPr="00F757D4">
        <w:rPr>
          <w:rFonts w:ascii="Arial" w:hAnsi="Arial" w:cs="Arial"/>
          <w:b/>
          <w:bCs/>
        </w:rPr>
        <w:t>s 279AC (2)</w:t>
      </w:r>
    </w:p>
    <w:p w14:paraId="300D150F" w14:textId="7C92AF10" w:rsidR="00117D79" w:rsidRPr="00F757D4" w:rsidRDefault="00924CEC" w:rsidP="004052AE">
      <w:pPr>
        <w:spacing w:before="140"/>
      </w:pPr>
      <w:r w:rsidRPr="00F757D4">
        <w:t xml:space="preserve">Section </w:t>
      </w:r>
      <w:r w:rsidR="006C1AD9" w:rsidRPr="00F757D4">
        <w:t>4</w:t>
      </w:r>
      <w:r w:rsidR="00A535E2" w:rsidRPr="00F757D4">
        <w:t xml:space="preserve"> </w:t>
      </w:r>
      <w:r w:rsidR="004321AC" w:rsidRPr="00F757D4">
        <w:t xml:space="preserve">determines </w:t>
      </w:r>
      <w:r w:rsidR="003F62A9" w:rsidRPr="00F757D4">
        <w:t xml:space="preserve">that </w:t>
      </w:r>
      <w:r w:rsidR="00A535E2" w:rsidRPr="00F757D4">
        <w:t>th</w:t>
      </w:r>
      <w:r w:rsidR="004321AC" w:rsidRPr="00F757D4">
        <w:t xml:space="preserve">e interest rate chargeable </w:t>
      </w:r>
      <w:r w:rsidR="00A535E2" w:rsidRPr="00F757D4">
        <w:t xml:space="preserve">in respect of </w:t>
      </w:r>
      <w:r w:rsidR="003F62A9" w:rsidRPr="00F757D4">
        <w:t xml:space="preserve">the amount payable under the deferral arrangement </w:t>
      </w:r>
      <w:r w:rsidR="00A535E2" w:rsidRPr="00F757D4">
        <w:t xml:space="preserve">is </w:t>
      </w:r>
      <w:r w:rsidR="006C1AD9" w:rsidRPr="00F757D4">
        <w:t xml:space="preserve">the sum </w:t>
      </w:r>
      <w:r w:rsidR="00A535E2" w:rsidRPr="00F757D4">
        <w:t>of</w:t>
      </w:r>
      <w:r w:rsidR="004321AC" w:rsidRPr="00F757D4">
        <w:t xml:space="preserve"> the market rate </w:t>
      </w:r>
      <w:r w:rsidR="00A535E2" w:rsidRPr="00F757D4">
        <w:t>plus</w:t>
      </w:r>
      <w:r w:rsidR="001F49F2" w:rsidRPr="00F757D4">
        <w:t xml:space="preserve"> a margin of 1.8 </w:t>
      </w:r>
      <w:r w:rsidR="003F62A9" w:rsidRPr="00F757D4">
        <w:t>percent</w:t>
      </w:r>
      <w:r w:rsidR="00707BF0" w:rsidRPr="00F757D4">
        <w:t>age points</w:t>
      </w:r>
      <w:r w:rsidR="004321AC" w:rsidRPr="00F757D4">
        <w:t xml:space="preserve"> per annum</w:t>
      </w:r>
      <w:r w:rsidR="00BC6486" w:rsidRPr="00F757D4">
        <w:t xml:space="preserve"> (for lessees other than gaming machine club lessees)</w:t>
      </w:r>
      <w:r w:rsidR="004321AC" w:rsidRPr="00F757D4">
        <w:t>.</w:t>
      </w:r>
      <w:r w:rsidR="00707BF0" w:rsidRPr="00F757D4">
        <w:t xml:space="preserve"> </w:t>
      </w:r>
      <w:r w:rsidR="00707BF0" w:rsidRPr="00F757D4">
        <w:lastRenderedPageBreak/>
        <w:t>The market rate is adjusted in January and July each year</w:t>
      </w:r>
      <w:r w:rsidR="00117D79" w:rsidRPr="00F757D4">
        <w:t xml:space="preserve"> in accordance with Table 26 of the TAA. </w:t>
      </w:r>
    </w:p>
    <w:p w14:paraId="5B9AE34F" w14:textId="5B81E5B0" w:rsidR="009A3E7F" w:rsidRPr="00F757D4" w:rsidRDefault="00FA649F" w:rsidP="004052AE">
      <w:pPr>
        <w:spacing w:before="140"/>
      </w:pPr>
      <w:r w:rsidRPr="00F757D4">
        <w:t>F</w:t>
      </w:r>
      <w:r w:rsidR="00177A4D" w:rsidRPr="00F757D4">
        <w:t xml:space="preserve">or </w:t>
      </w:r>
      <w:r w:rsidR="00824AAF" w:rsidRPr="00F757D4">
        <w:t xml:space="preserve">gaming machine </w:t>
      </w:r>
      <w:r w:rsidR="00177A4D" w:rsidRPr="00F757D4">
        <w:t>clubs</w:t>
      </w:r>
      <w:r w:rsidR="00541B50" w:rsidRPr="00F757D4">
        <w:t xml:space="preserve"> wanting to opt in to the LVC deferred payment scheme</w:t>
      </w:r>
      <w:r w:rsidR="00177A4D" w:rsidRPr="00F757D4">
        <w:t>, the interest rate chargeable in respect of the amount payable under a deferral arrangement is the market rate</w:t>
      </w:r>
      <w:r w:rsidR="009751C3" w:rsidRPr="00F757D4">
        <w:t xml:space="preserve"> only</w:t>
      </w:r>
      <w:r w:rsidR="00177A4D" w:rsidRPr="00F757D4">
        <w:t>.</w:t>
      </w:r>
      <w:r w:rsidR="00C113E0" w:rsidRPr="00F757D4">
        <w:t xml:space="preserve"> </w:t>
      </w:r>
      <w:r w:rsidR="00B37E99" w:rsidRPr="00F757D4">
        <w:t xml:space="preserve">To qualify, </w:t>
      </w:r>
      <w:r w:rsidR="00824AAF" w:rsidRPr="00F757D4">
        <w:t xml:space="preserve">gaming machine </w:t>
      </w:r>
      <w:r w:rsidR="00B37E99" w:rsidRPr="00F757D4">
        <w:t xml:space="preserve">clubs must </w:t>
      </w:r>
      <w:r w:rsidR="00824AAF" w:rsidRPr="00F757D4">
        <w:t xml:space="preserve">hold a class C licence </w:t>
      </w:r>
      <w:r w:rsidR="00525228" w:rsidRPr="00F757D4">
        <w:t>under the</w:t>
      </w:r>
      <w:r w:rsidR="00824AAF" w:rsidRPr="00F757D4">
        <w:t xml:space="preserve"> </w:t>
      </w:r>
      <w:r w:rsidR="00824AAF" w:rsidRPr="00F757D4">
        <w:rPr>
          <w:i/>
        </w:rPr>
        <w:t>Gaming Machine Act 2004</w:t>
      </w:r>
      <w:r w:rsidR="00824AAF" w:rsidRPr="00F757D4">
        <w:t xml:space="preserve"> and must be able to demonstrate </w:t>
      </w:r>
      <w:r w:rsidR="009A3E7F" w:rsidRPr="00F757D4">
        <w:t xml:space="preserve">to the satisfaction of the Treasurer that </w:t>
      </w:r>
      <w:r w:rsidR="00824AAF" w:rsidRPr="00F757D4">
        <w:t>a public benefit</w:t>
      </w:r>
      <w:r w:rsidR="009A3E7F" w:rsidRPr="00F757D4">
        <w:t xml:space="preserve"> will be derived from the development and/or use of the land that is subject to the lease variation charge</w:t>
      </w:r>
      <w:r w:rsidR="00824AAF" w:rsidRPr="00F757D4">
        <w:t xml:space="preserve">. </w:t>
      </w:r>
      <w:r w:rsidR="00DE5FA4" w:rsidRPr="00F757D4">
        <w:t>T</w:t>
      </w:r>
      <w:r w:rsidR="009A3E7F" w:rsidRPr="00F757D4">
        <w:t xml:space="preserve">he Treasurer will </w:t>
      </w:r>
      <w:r w:rsidR="00DE5FA4" w:rsidRPr="00F757D4">
        <w:t>have</w:t>
      </w:r>
      <w:r w:rsidR="009A3E7F" w:rsidRPr="00F757D4">
        <w:t xml:space="preserve"> </w:t>
      </w:r>
      <w:r w:rsidR="00DE5FA4" w:rsidRPr="00F757D4">
        <w:t>regard</w:t>
      </w:r>
      <w:r w:rsidR="009A3E7F" w:rsidRPr="00F757D4">
        <w:t xml:space="preserve"> </w:t>
      </w:r>
      <w:r w:rsidR="00DE5FA4" w:rsidRPr="00F757D4">
        <w:t>to the underlying object</w:t>
      </w:r>
      <w:r w:rsidR="00123F5A">
        <w:t>ive</w:t>
      </w:r>
      <w:r w:rsidR="00DE5FA4" w:rsidRPr="00F757D4">
        <w:t xml:space="preserve">s of </w:t>
      </w:r>
      <w:r w:rsidR="009A3E7F" w:rsidRPr="00F757D4">
        <w:t xml:space="preserve">the </w:t>
      </w:r>
      <w:r w:rsidR="009A3E7F" w:rsidRPr="00F757D4">
        <w:rPr>
          <w:i/>
        </w:rPr>
        <w:t>Pathway to 4000 Gaming Machine Authorisations by 2020</w:t>
      </w:r>
      <w:r w:rsidR="009A3E7F" w:rsidRPr="00F757D4">
        <w:t>, August 2018</w:t>
      </w:r>
      <w:r w:rsidR="00DE5FA4" w:rsidRPr="00F757D4">
        <w:t xml:space="preserve"> </w:t>
      </w:r>
      <w:r w:rsidR="00ED584B" w:rsidRPr="00F757D4">
        <w:t>in considering public benefit</w:t>
      </w:r>
      <w:r w:rsidR="009A3E7F" w:rsidRPr="00F757D4">
        <w:t>.</w:t>
      </w:r>
      <w:r w:rsidR="00DE5FA4" w:rsidRPr="00F757D4">
        <w:t xml:space="preserve"> </w:t>
      </w:r>
    </w:p>
    <w:p w14:paraId="684C1695" w14:textId="2D016C0E" w:rsidR="00A65FC0" w:rsidRPr="00F757D4" w:rsidRDefault="00A65FC0" w:rsidP="004052AE">
      <w:pPr>
        <w:spacing w:before="140"/>
      </w:pPr>
      <w:r w:rsidRPr="00F757D4">
        <w:t>If at any time during the period of deferral, the gaming machine club ceases to develop the land and/or use it to derive a public benefit, any unpaid LVC and interest will become due and payable immediately</w:t>
      </w:r>
      <w:r w:rsidR="000A6F88" w:rsidRPr="00F757D4">
        <w:t xml:space="preserve"> (under the operation of the deferral </w:t>
      </w:r>
      <w:r w:rsidR="00525228" w:rsidRPr="00F757D4">
        <w:t>arrangement</w:t>
      </w:r>
      <w:r w:rsidR="000A6F88" w:rsidRPr="00F757D4">
        <w:t>)</w:t>
      </w:r>
      <w:r w:rsidRPr="00F757D4">
        <w:t>.</w:t>
      </w:r>
    </w:p>
    <w:p w14:paraId="485D6E4E" w14:textId="3D29D2F3" w:rsidR="005008E0" w:rsidRPr="00F757D4" w:rsidRDefault="00A31DC3" w:rsidP="004052AE">
      <w:pPr>
        <w:spacing w:before="140"/>
      </w:pPr>
      <w:r w:rsidRPr="00F757D4">
        <w:t>The manner in which interest is calculated and imposed is described in section 4 (</w:t>
      </w:r>
      <w:r w:rsidR="00177A4D" w:rsidRPr="00F757D4">
        <w:t>3</w:t>
      </w:r>
      <w:r w:rsidRPr="00F757D4">
        <w:t>) and section 4 (</w:t>
      </w:r>
      <w:r w:rsidR="00177A4D" w:rsidRPr="00F757D4">
        <w:t>4</w:t>
      </w:r>
      <w:r w:rsidRPr="00F757D4">
        <w:t xml:space="preserve">). </w:t>
      </w:r>
      <w:r w:rsidR="00117D79" w:rsidRPr="00F757D4">
        <w:t xml:space="preserve">Interest will be calculated from the date </w:t>
      </w:r>
      <w:r w:rsidR="00B1603C" w:rsidRPr="00F757D4">
        <w:t>of the execution of the lease variation</w:t>
      </w:r>
      <w:r w:rsidR="00117D79" w:rsidRPr="00F757D4">
        <w:t xml:space="preserve"> until the amount payable under the arrangement is paid in full.</w:t>
      </w:r>
      <w:r w:rsidRPr="00F757D4">
        <w:t xml:space="preserve"> It will accrue in respect of the amount payable on a monthly basis on the first day of that month.</w:t>
      </w:r>
    </w:p>
    <w:p w14:paraId="435D90E2" w14:textId="211B5A3E" w:rsidR="00A31DC3" w:rsidRPr="00F757D4" w:rsidRDefault="003F62A9" w:rsidP="004052AE">
      <w:pPr>
        <w:spacing w:before="140"/>
      </w:pPr>
      <w:r w:rsidRPr="00F757D4">
        <w:t xml:space="preserve">For the purposes of calculating interest, the amount payable under a deferral </w:t>
      </w:r>
      <w:r w:rsidR="00A31DC3" w:rsidRPr="00F757D4">
        <w:t>a</w:t>
      </w:r>
      <w:r w:rsidRPr="00F757D4">
        <w:t xml:space="preserve">rrangement includes </w:t>
      </w:r>
      <w:r w:rsidR="00F0119A" w:rsidRPr="00F757D4">
        <w:t xml:space="preserve">the costs and expenses reasonably incurred by the Territory in attempting to recover the LVC and any other amounts payable under the deferral arrangement </w:t>
      </w:r>
      <w:r w:rsidR="0068045D" w:rsidRPr="00F757D4">
        <w:t>(section 4 (</w:t>
      </w:r>
      <w:r w:rsidR="009751C3" w:rsidRPr="00F757D4">
        <w:t>5</w:t>
      </w:r>
      <w:r w:rsidR="0068045D" w:rsidRPr="00F757D4">
        <w:t>) defines amount payable)</w:t>
      </w:r>
      <w:r w:rsidRPr="00F757D4">
        <w:t>.</w:t>
      </w:r>
      <w:r w:rsidR="006C1AD9" w:rsidRPr="00F757D4">
        <w:t xml:space="preserve"> </w:t>
      </w:r>
    </w:p>
    <w:p w14:paraId="778C132D" w14:textId="6160B0C9" w:rsidR="003F62A9" w:rsidRPr="00F757D4" w:rsidRDefault="00A31DC3" w:rsidP="004052AE">
      <w:pPr>
        <w:spacing w:before="140"/>
      </w:pPr>
      <w:r w:rsidRPr="00F757D4">
        <w:t xml:space="preserve">The amount payable also includes </w:t>
      </w:r>
      <w:r w:rsidR="00603A12" w:rsidRPr="00F757D4">
        <w:t xml:space="preserve">the interest payable </w:t>
      </w:r>
      <w:r w:rsidR="0068045D" w:rsidRPr="00F757D4">
        <w:t>under the deferral arrangements. Interest will be charged on a compounding, monthly basis</w:t>
      </w:r>
      <w:r w:rsidR="00F0119A" w:rsidRPr="00F757D4">
        <w:t xml:space="preserve"> until payment is received in full</w:t>
      </w:r>
      <w:r w:rsidR="0068045D" w:rsidRPr="00F757D4">
        <w:t>.</w:t>
      </w:r>
    </w:p>
    <w:p w14:paraId="53C8A6D3" w14:textId="2E5774F8" w:rsidR="003F62A9" w:rsidRPr="00F757D4" w:rsidRDefault="003F62A9" w:rsidP="004052AE">
      <w:pPr>
        <w:spacing w:before="140"/>
      </w:pPr>
      <w:r w:rsidRPr="00F757D4">
        <w:t>Section</w:t>
      </w:r>
      <w:r w:rsidR="006C1AD9" w:rsidRPr="00F757D4">
        <w:t xml:space="preserve"> 4</w:t>
      </w:r>
      <w:r w:rsidRPr="00F757D4">
        <w:t xml:space="preserve"> (</w:t>
      </w:r>
      <w:r w:rsidR="009751C3" w:rsidRPr="00F757D4">
        <w:t>5</w:t>
      </w:r>
      <w:r w:rsidRPr="00F757D4">
        <w:t xml:space="preserve">) </w:t>
      </w:r>
      <w:r w:rsidR="0068045D" w:rsidRPr="00F757D4">
        <w:t xml:space="preserve">also </w:t>
      </w:r>
      <w:r w:rsidRPr="00F757D4">
        <w:t>defin</w:t>
      </w:r>
      <w:r w:rsidR="006C1AD9" w:rsidRPr="00F757D4">
        <w:t>es</w:t>
      </w:r>
      <w:r w:rsidR="0068045D" w:rsidRPr="00F757D4">
        <w:t xml:space="preserve"> the</w:t>
      </w:r>
      <w:r w:rsidRPr="00F757D4">
        <w:t xml:space="preserve"> </w:t>
      </w:r>
      <w:r w:rsidR="000D07FE" w:rsidRPr="00F757D4">
        <w:t>‘market rate’</w:t>
      </w:r>
      <w:r w:rsidRPr="00F757D4">
        <w:t>.</w:t>
      </w:r>
    </w:p>
    <w:p w14:paraId="53B4C1B2" w14:textId="0AC8B4C1" w:rsidR="003F62A9" w:rsidRPr="00F757D4" w:rsidRDefault="003F62A9" w:rsidP="003F62A9">
      <w:pPr>
        <w:spacing w:before="140"/>
      </w:pPr>
      <w:r w:rsidRPr="00F757D4">
        <w:t>The definition of market rate in this section is based on definition in the</w:t>
      </w:r>
      <w:r w:rsidR="000D07FE" w:rsidRPr="00F757D4">
        <w:t xml:space="preserve"> TAA</w:t>
      </w:r>
      <w:r w:rsidRPr="00F757D4">
        <w:t>, section</w:t>
      </w:r>
      <w:r w:rsidR="00DE3729">
        <w:t> </w:t>
      </w:r>
      <w:r w:rsidRPr="00F757D4">
        <w:t xml:space="preserve">26 for ‘monthly 90-day bank bill rate’. </w:t>
      </w:r>
    </w:p>
    <w:p w14:paraId="01B6F2CE" w14:textId="3A4142DF" w:rsidR="006266D6" w:rsidRPr="00F757D4" w:rsidRDefault="006266D6" w:rsidP="006266D6">
      <w:pPr>
        <w:spacing w:before="300"/>
        <w:ind w:left="1440" w:hanging="1440"/>
        <w:rPr>
          <w:rFonts w:ascii="Arial" w:hAnsi="Arial" w:cs="Arial"/>
          <w:b/>
          <w:bCs/>
        </w:rPr>
      </w:pPr>
      <w:r w:rsidRPr="00F757D4">
        <w:rPr>
          <w:rFonts w:ascii="Arial" w:hAnsi="Arial" w:cs="Arial"/>
          <w:b/>
          <w:bCs/>
        </w:rPr>
        <w:t xml:space="preserve">Section </w:t>
      </w:r>
      <w:r w:rsidR="003734B0" w:rsidRPr="00F757D4">
        <w:rPr>
          <w:rFonts w:ascii="Arial" w:hAnsi="Arial" w:cs="Arial"/>
          <w:b/>
          <w:bCs/>
        </w:rPr>
        <w:t>5</w:t>
      </w:r>
      <w:r w:rsidRPr="00F757D4">
        <w:rPr>
          <w:rFonts w:ascii="Arial" w:hAnsi="Arial" w:cs="Arial"/>
          <w:b/>
          <w:bCs/>
        </w:rPr>
        <w:t xml:space="preserve"> </w:t>
      </w:r>
      <w:r w:rsidRPr="00F757D4">
        <w:rPr>
          <w:rFonts w:ascii="Arial" w:hAnsi="Arial" w:cs="Arial"/>
          <w:b/>
          <w:bCs/>
        </w:rPr>
        <w:tab/>
        <w:t>Revocation</w:t>
      </w:r>
      <w:r w:rsidR="00251768" w:rsidRPr="00F757D4">
        <w:rPr>
          <w:rFonts w:ascii="Arial" w:hAnsi="Arial" w:cs="Arial"/>
          <w:b/>
          <w:bCs/>
        </w:rPr>
        <w:t xml:space="preserve"> </w:t>
      </w:r>
    </w:p>
    <w:p w14:paraId="628D7F15" w14:textId="65475A02" w:rsidR="00251768" w:rsidRPr="00F757D4" w:rsidRDefault="00251768" w:rsidP="00E1103C">
      <w:pPr>
        <w:ind w:left="1440" w:hanging="1440"/>
        <w:rPr>
          <w:rFonts w:ascii="Arial" w:hAnsi="Arial" w:cs="Arial"/>
          <w:b/>
          <w:bCs/>
        </w:rPr>
      </w:pPr>
    </w:p>
    <w:p w14:paraId="695135F3" w14:textId="7D54E214" w:rsidR="006266D6" w:rsidRPr="00F757D4" w:rsidRDefault="003D6C62" w:rsidP="004052AE">
      <w:pPr>
        <w:spacing w:before="140"/>
        <w:rPr>
          <w:iCs/>
        </w:rPr>
      </w:pPr>
      <w:r w:rsidRPr="00F757D4">
        <w:t xml:space="preserve">This instrument revokes </w:t>
      </w:r>
      <w:r w:rsidRPr="00F757D4">
        <w:rPr>
          <w:i/>
          <w:iCs/>
        </w:rPr>
        <w:t>Planning and Development (Lease Variation Charge Deferred Payment Scheme) Determination</w:t>
      </w:r>
      <w:r w:rsidR="00D071B2" w:rsidRPr="00F757D4">
        <w:rPr>
          <w:i/>
          <w:iCs/>
        </w:rPr>
        <w:t xml:space="preserve"> 201</w:t>
      </w:r>
      <w:r w:rsidR="00541B50" w:rsidRPr="00F757D4">
        <w:rPr>
          <w:i/>
          <w:iCs/>
        </w:rPr>
        <w:t>9</w:t>
      </w:r>
      <w:r w:rsidR="004C6951">
        <w:rPr>
          <w:i/>
          <w:iCs/>
        </w:rPr>
        <w:t xml:space="preserve"> (No 2)</w:t>
      </w:r>
      <w:r w:rsidR="00D071B2" w:rsidRPr="00F757D4">
        <w:rPr>
          <w:iCs/>
        </w:rPr>
        <w:t>,</w:t>
      </w:r>
      <w:r w:rsidRPr="00F757D4">
        <w:rPr>
          <w:iCs/>
        </w:rPr>
        <w:t xml:space="preserve"> DI201</w:t>
      </w:r>
      <w:r w:rsidR="00541B50" w:rsidRPr="00F757D4">
        <w:rPr>
          <w:iCs/>
        </w:rPr>
        <w:t>9</w:t>
      </w:r>
      <w:r w:rsidRPr="00F757D4">
        <w:rPr>
          <w:iCs/>
        </w:rPr>
        <w:t>-</w:t>
      </w:r>
      <w:r w:rsidR="004C6951">
        <w:rPr>
          <w:iCs/>
        </w:rPr>
        <w:t>236</w:t>
      </w:r>
      <w:r w:rsidR="00251768" w:rsidRPr="00F757D4">
        <w:rPr>
          <w:iCs/>
        </w:rPr>
        <w:t>.</w:t>
      </w:r>
      <w:r w:rsidRPr="00F757D4">
        <w:rPr>
          <w:iCs/>
        </w:rPr>
        <w:t xml:space="preserve"> </w:t>
      </w:r>
    </w:p>
    <w:p w14:paraId="7F7938F5" w14:textId="77777777" w:rsidR="003F62A9" w:rsidRPr="00F757D4" w:rsidRDefault="003F62A9" w:rsidP="004052AE">
      <w:pPr>
        <w:spacing w:before="140"/>
      </w:pPr>
    </w:p>
    <w:p w14:paraId="2B14B44B" w14:textId="77777777" w:rsidR="009F41D6" w:rsidRPr="00F757D4" w:rsidRDefault="009F41D6"/>
    <w:p w14:paraId="545568E0" w14:textId="77777777" w:rsidR="009F41D6" w:rsidRPr="00F757D4" w:rsidRDefault="009F41D6">
      <w:r w:rsidRPr="00F757D4">
        <w:t>Authorised by the Treasurer</w:t>
      </w:r>
    </w:p>
    <w:p w14:paraId="6BA54C16" w14:textId="77777777" w:rsidR="009F41D6" w:rsidRDefault="00654C52">
      <w:r w:rsidRPr="00F757D4">
        <w:t>Andrew Barr</w:t>
      </w:r>
      <w:r w:rsidR="00985F2C" w:rsidRPr="00F757D4">
        <w:t xml:space="preserve"> MLA</w:t>
      </w:r>
    </w:p>
    <w:p w14:paraId="3F64EBB7" w14:textId="247FE303" w:rsidR="0021310B" w:rsidRDefault="0021310B"/>
    <w:p w14:paraId="5934BC5C" w14:textId="572B0032" w:rsidR="009D46FD" w:rsidRDefault="009D46FD"/>
    <w:p w14:paraId="27B351C9" w14:textId="77777777" w:rsidR="009D46FD" w:rsidRPr="0043785C" w:rsidRDefault="009D46FD">
      <w:pPr>
        <w:rPr>
          <w:sz w:val="20"/>
        </w:rPr>
      </w:pPr>
    </w:p>
    <w:sectPr w:rsidR="009D46FD" w:rsidRPr="0043785C"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6414" w14:textId="77777777" w:rsidR="004B7F10" w:rsidRDefault="004B7F10" w:rsidP="00C17FAB">
      <w:r>
        <w:separator/>
      </w:r>
    </w:p>
  </w:endnote>
  <w:endnote w:type="continuationSeparator" w:id="0">
    <w:p w14:paraId="4C2EC041" w14:textId="77777777" w:rsidR="004B7F10" w:rsidRDefault="004B7F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90EB" w14:textId="77777777" w:rsidR="00A120F0" w:rsidRDefault="00A1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03A2" w14:textId="24A8AACA" w:rsidR="00EA6678" w:rsidRPr="00A120F0" w:rsidRDefault="00A120F0" w:rsidP="00A120F0">
    <w:pPr>
      <w:pStyle w:val="Footer"/>
      <w:jc w:val="center"/>
      <w:rPr>
        <w:rFonts w:cs="Arial"/>
        <w:sz w:val="14"/>
      </w:rPr>
    </w:pPr>
    <w:r w:rsidRPr="00A120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11B" w14:textId="77777777" w:rsidR="00A120F0" w:rsidRDefault="00A1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4466" w14:textId="77777777" w:rsidR="004B7F10" w:rsidRDefault="004B7F10" w:rsidP="00C17FAB">
      <w:r>
        <w:separator/>
      </w:r>
    </w:p>
  </w:footnote>
  <w:footnote w:type="continuationSeparator" w:id="0">
    <w:p w14:paraId="6E49E10C" w14:textId="77777777" w:rsidR="004B7F10" w:rsidRDefault="004B7F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1136" w14:textId="77777777" w:rsidR="00A120F0" w:rsidRDefault="00A12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F160" w14:textId="77777777" w:rsidR="00A120F0" w:rsidRDefault="00A12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50C4" w14:textId="77777777" w:rsidR="00A120F0" w:rsidRDefault="00A1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E5E2C80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C62DC"/>
    <w:multiLevelType w:val="hybridMultilevel"/>
    <w:tmpl w:val="9B26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82D89"/>
    <w:multiLevelType w:val="hybridMultilevel"/>
    <w:tmpl w:val="48F0716E"/>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F2B7B"/>
    <w:multiLevelType w:val="hybridMultilevel"/>
    <w:tmpl w:val="AC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46021"/>
    <w:multiLevelType w:val="hybridMultilevel"/>
    <w:tmpl w:val="512218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32E4F89"/>
    <w:multiLevelType w:val="hybridMultilevel"/>
    <w:tmpl w:val="1FBE346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2F127653"/>
    <w:multiLevelType w:val="hybridMultilevel"/>
    <w:tmpl w:val="23E8D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A9A5338"/>
    <w:multiLevelType w:val="hybridMultilevel"/>
    <w:tmpl w:val="B1DCD6C6"/>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437033"/>
    <w:multiLevelType w:val="hybridMultilevel"/>
    <w:tmpl w:val="BE1CF3E4"/>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64117"/>
    <w:multiLevelType w:val="hybridMultilevel"/>
    <w:tmpl w:val="96EECA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4258633A"/>
    <w:multiLevelType w:val="hybridMultilevel"/>
    <w:tmpl w:val="A9FA627E"/>
    <w:lvl w:ilvl="0" w:tplc="8E3629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31C3BE9"/>
    <w:multiLevelType w:val="hybridMultilevel"/>
    <w:tmpl w:val="89B2F83C"/>
    <w:lvl w:ilvl="0" w:tplc="209674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0B7AD3"/>
    <w:multiLevelType w:val="hybridMultilevel"/>
    <w:tmpl w:val="A91AE6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4DC0133A"/>
    <w:multiLevelType w:val="hybridMultilevel"/>
    <w:tmpl w:val="77E2A82E"/>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C94B7E"/>
    <w:multiLevelType w:val="hybridMultilevel"/>
    <w:tmpl w:val="EDACA4D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53273D37"/>
    <w:multiLevelType w:val="hybridMultilevel"/>
    <w:tmpl w:val="A776FA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56FA7FCA"/>
    <w:multiLevelType w:val="hybridMultilevel"/>
    <w:tmpl w:val="859AF8C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D36FA8"/>
    <w:multiLevelType w:val="hybridMultilevel"/>
    <w:tmpl w:val="90B0260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6EF20324"/>
    <w:multiLevelType w:val="hybridMultilevel"/>
    <w:tmpl w:val="BD981224"/>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9C5B40"/>
    <w:multiLevelType w:val="hybridMultilevel"/>
    <w:tmpl w:val="E84E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CD382B"/>
    <w:multiLevelType w:val="hybridMultilevel"/>
    <w:tmpl w:val="F71CA6A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3B70C1"/>
    <w:multiLevelType w:val="hybridMultilevel"/>
    <w:tmpl w:val="B538B890"/>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1" w15:restartNumberingAfterBreak="0">
    <w:nsid w:val="7DE22180"/>
    <w:multiLevelType w:val="hybridMultilevel"/>
    <w:tmpl w:val="847E5C0A"/>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3"/>
  </w:num>
  <w:num w:numId="5">
    <w:abstractNumId w:val="25"/>
  </w:num>
  <w:num w:numId="6">
    <w:abstractNumId w:val="2"/>
  </w:num>
  <w:num w:numId="7">
    <w:abstractNumId w:val="11"/>
  </w:num>
  <w:num w:numId="8">
    <w:abstractNumId w:val="12"/>
  </w:num>
  <w:num w:numId="9">
    <w:abstractNumId w:val="30"/>
  </w:num>
  <w:num w:numId="10">
    <w:abstractNumId w:val="20"/>
  </w:num>
  <w:num w:numId="11">
    <w:abstractNumId w:val="23"/>
  </w:num>
  <w:num w:numId="12">
    <w:abstractNumId w:val="8"/>
  </w:num>
  <w:num w:numId="13">
    <w:abstractNumId w:val="27"/>
  </w:num>
  <w:num w:numId="14">
    <w:abstractNumId w:val="10"/>
  </w:num>
  <w:num w:numId="15">
    <w:abstractNumId w:val="22"/>
  </w:num>
  <w:num w:numId="16">
    <w:abstractNumId w:val="5"/>
  </w:num>
  <w:num w:numId="17">
    <w:abstractNumId w:val="21"/>
  </w:num>
  <w:num w:numId="18">
    <w:abstractNumId w:val="9"/>
  </w:num>
  <w:num w:numId="19">
    <w:abstractNumId w:val="7"/>
  </w:num>
  <w:num w:numId="20">
    <w:abstractNumId w:val="28"/>
  </w:num>
  <w:num w:numId="21">
    <w:abstractNumId w:val="6"/>
  </w:num>
  <w:num w:numId="22">
    <w:abstractNumId w:val="1"/>
  </w:num>
  <w:num w:numId="23">
    <w:abstractNumId w:val="14"/>
  </w:num>
  <w:num w:numId="24">
    <w:abstractNumId w:val="26"/>
  </w:num>
  <w:num w:numId="25">
    <w:abstractNumId w:val="15"/>
  </w:num>
  <w:num w:numId="26">
    <w:abstractNumId w:val="29"/>
  </w:num>
  <w:num w:numId="27">
    <w:abstractNumId w:val="31"/>
  </w:num>
  <w:num w:numId="28">
    <w:abstractNumId w:val="24"/>
  </w:num>
  <w:num w:numId="29">
    <w:abstractNumId w:val="17"/>
  </w:num>
  <w:num w:numId="30">
    <w:abstractNumId w:val="16"/>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1046"/>
    <w:rsid w:val="00026588"/>
    <w:rsid w:val="00055F89"/>
    <w:rsid w:val="00056B0F"/>
    <w:rsid w:val="000819F7"/>
    <w:rsid w:val="000A1363"/>
    <w:rsid w:val="000A6F88"/>
    <w:rsid w:val="000C2BB1"/>
    <w:rsid w:val="000D07FE"/>
    <w:rsid w:val="000E599A"/>
    <w:rsid w:val="001074DA"/>
    <w:rsid w:val="001120F8"/>
    <w:rsid w:val="0011785A"/>
    <w:rsid w:val="00117D79"/>
    <w:rsid w:val="00123F5A"/>
    <w:rsid w:val="00140133"/>
    <w:rsid w:val="00154389"/>
    <w:rsid w:val="00166A15"/>
    <w:rsid w:val="00177A4D"/>
    <w:rsid w:val="001803E8"/>
    <w:rsid w:val="0018433F"/>
    <w:rsid w:val="001C11F9"/>
    <w:rsid w:val="001D4AED"/>
    <w:rsid w:val="001F49F2"/>
    <w:rsid w:val="0021310B"/>
    <w:rsid w:val="00234156"/>
    <w:rsid w:val="00236371"/>
    <w:rsid w:val="00242952"/>
    <w:rsid w:val="00250563"/>
    <w:rsid w:val="00251768"/>
    <w:rsid w:val="00251DEB"/>
    <w:rsid w:val="00252A11"/>
    <w:rsid w:val="00265970"/>
    <w:rsid w:val="002755CC"/>
    <w:rsid w:val="002A2D45"/>
    <w:rsid w:val="002A7512"/>
    <w:rsid w:val="002A772A"/>
    <w:rsid w:val="002B07CE"/>
    <w:rsid w:val="002D2A56"/>
    <w:rsid w:val="002D5963"/>
    <w:rsid w:val="002D7081"/>
    <w:rsid w:val="002D7C60"/>
    <w:rsid w:val="002E4169"/>
    <w:rsid w:val="002E786B"/>
    <w:rsid w:val="002F1531"/>
    <w:rsid w:val="002F29C8"/>
    <w:rsid w:val="002F3698"/>
    <w:rsid w:val="00314D77"/>
    <w:rsid w:val="00316A4F"/>
    <w:rsid w:val="00317ABC"/>
    <w:rsid w:val="003202CB"/>
    <w:rsid w:val="00326AB0"/>
    <w:rsid w:val="00332A8F"/>
    <w:rsid w:val="00333126"/>
    <w:rsid w:val="00350E00"/>
    <w:rsid w:val="003734B0"/>
    <w:rsid w:val="00373896"/>
    <w:rsid w:val="003A00F7"/>
    <w:rsid w:val="003A1F94"/>
    <w:rsid w:val="003A23CA"/>
    <w:rsid w:val="003A445B"/>
    <w:rsid w:val="003B287A"/>
    <w:rsid w:val="003C0755"/>
    <w:rsid w:val="003D5393"/>
    <w:rsid w:val="003D6C62"/>
    <w:rsid w:val="003E01DD"/>
    <w:rsid w:val="003F056E"/>
    <w:rsid w:val="003F2662"/>
    <w:rsid w:val="003F62A9"/>
    <w:rsid w:val="004052AE"/>
    <w:rsid w:val="00410458"/>
    <w:rsid w:val="00411384"/>
    <w:rsid w:val="00412187"/>
    <w:rsid w:val="00422555"/>
    <w:rsid w:val="00431701"/>
    <w:rsid w:val="004321AC"/>
    <w:rsid w:val="0043785C"/>
    <w:rsid w:val="00467BB4"/>
    <w:rsid w:val="00483DF2"/>
    <w:rsid w:val="0048708F"/>
    <w:rsid w:val="0049060D"/>
    <w:rsid w:val="0049316E"/>
    <w:rsid w:val="004B7F10"/>
    <w:rsid w:val="004C6951"/>
    <w:rsid w:val="004C6CC7"/>
    <w:rsid w:val="004D0405"/>
    <w:rsid w:val="004E1121"/>
    <w:rsid w:val="004E6378"/>
    <w:rsid w:val="004E69CA"/>
    <w:rsid w:val="004F231F"/>
    <w:rsid w:val="004F33C6"/>
    <w:rsid w:val="005008E0"/>
    <w:rsid w:val="00501DD2"/>
    <w:rsid w:val="00504847"/>
    <w:rsid w:val="005249A0"/>
    <w:rsid w:val="00525228"/>
    <w:rsid w:val="005330B3"/>
    <w:rsid w:val="00541B50"/>
    <w:rsid w:val="005456DB"/>
    <w:rsid w:val="00546AB7"/>
    <w:rsid w:val="00563962"/>
    <w:rsid w:val="005829EB"/>
    <w:rsid w:val="00585975"/>
    <w:rsid w:val="00587113"/>
    <w:rsid w:val="005A0FF3"/>
    <w:rsid w:val="005A451E"/>
    <w:rsid w:val="005C58E9"/>
    <w:rsid w:val="005D6331"/>
    <w:rsid w:val="005E649B"/>
    <w:rsid w:val="005E6AAA"/>
    <w:rsid w:val="005F7090"/>
    <w:rsid w:val="00603A12"/>
    <w:rsid w:val="00607DD2"/>
    <w:rsid w:val="006137E5"/>
    <w:rsid w:val="006215A7"/>
    <w:rsid w:val="006266D6"/>
    <w:rsid w:val="006305D4"/>
    <w:rsid w:val="006456A8"/>
    <w:rsid w:val="00650BE7"/>
    <w:rsid w:val="00651585"/>
    <w:rsid w:val="00654C52"/>
    <w:rsid w:val="00673B3C"/>
    <w:rsid w:val="0068045D"/>
    <w:rsid w:val="006805EA"/>
    <w:rsid w:val="006839ED"/>
    <w:rsid w:val="006874A3"/>
    <w:rsid w:val="006C0F03"/>
    <w:rsid w:val="006C1AD9"/>
    <w:rsid w:val="006C311C"/>
    <w:rsid w:val="006C3524"/>
    <w:rsid w:val="006D2889"/>
    <w:rsid w:val="006D6A7A"/>
    <w:rsid w:val="006E1649"/>
    <w:rsid w:val="006E4003"/>
    <w:rsid w:val="00703A00"/>
    <w:rsid w:val="00704624"/>
    <w:rsid w:val="00705445"/>
    <w:rsid w:val="00707BF0"/>
    <w:rsid w:val="0071766D"/>
    <w:rsid w:val="007264EC"/>
    <w:rsid w:val="00732EEA"/>
    <w:rsid w:val="007346AC"/>
    <w:rsid w:val="00743D6A"/>
    <w:rsid w:val="007605C9"/>
    <w:rsid w:val="007702C5"/>
    <w:rsid w:val="00770E96"/>
    <w:rsid w:val="007729E2"/>
    <w:rsid w:val="00775EA5"/>
    <w:rsid w:val="007804F9"/>
    <w:rsid w:val="00785233"/>
    <w:rsid w:val="00785CB1"/>
    <w:rsid w:val="00786215"/>
    <w:rsid w:val="00792C4A"/>
    <w:rsid w:val="007A745E"/>
    <w:rsid w:val="007B0675"/>
    <w:rsid w:val="007D348B"/>
    <w:rsid w:val="007D3851"/>
    <w:rsid w:val="0080096C"/>
    <w:rsid w:val="00800D6E"/>
    <w:rsid w:val="00804FF5"/>
    <w:rsid w:val="008216D8"/>
    <w:rsid w:val="00824AAF"/>
    <w:rsid w:val="00861146"/>
    <w:rsid w:val="00861F3A"/>
    <w:rsid w:val="00862808"/>
    <w:rsid w:val="00871ED8"/>
    <w:rsid w:val="00883210"/>
    <w:rsid w:val="0088469A"/>
    <w:rsid w:val="00886C13"/>
    <w:rsid w:val="008A366C"/>
    <w:rsid w:val="008B3482"/>
    <w:rsid w:val="008B7343"/>
    <w:rsid w:val="008B7FCC"/>
    <w:rsid w:val="00916DB4"/>
    <w:rsid w:val="00917A4F"/>
    <w:rsid w:val="00924CEC"/>
    <w:rsid w:val="00941EAD"/>
    <w:rsid w:val="00945DBA"/>
    <w:rsid w:val="009469C3"/>
    <w:rsid w:val="00947368"/>
    <w:rsid w:val="00956786"/>
    <w:rsid w:val="0097118B"/>
    <w:rsid w:val="0097161C"/>
    <w:rsid w:val="009751C3"/>
    <w:rsid w:val="00985C59"/>
    <w:rsid w:val="00985F2C"/>
    <w:rsid w:val="00990441"/>
    <w:rsid w:val="00995A9B"/>
    <w:rsid w:val="009A1ADD"/>
    <w:rsid w:val="009A3E7F"/>
    <w:rsid w:val="009B42B0"/>
    <w:rsid w:val="009B5C26"/>
    <w:rsid w:val="009D0695"/>
    <w:rsid w:val="009D0B78"/>
    <w:rsid w:val="009D46FD"/>
    <w:rsid w:val="009F41D6"/>
    <w:rsid w:val="009F7C48"/>
    <w:rsid w:val="00A11C45"/>
    <w:rsid w:val="00A120F0"/>
    <w:rsid w:val="00A22C67"/>
    <w:rsid w:val="00A30EA9"/>
    <w:rsid w:val="00A31DC3"/>
    <w:rsid w:val="00A421D9"/>
    <w:rsid w:val="00A50322"/>
    <w:rsid w:val="00A535E2"/>
    <w:rsid w:val="00A65A1E"/>
    <w:rsid w:val="00A65FC0"/>
    <w:rsid w:val="00A80B42"/>
    <w:rsid w:val="00A95CB9"/>
    <w:rsid w:val="00AD0374"/>
    <w:rsid w:val="00AD122C"/>
    <w:rsid w:val="00AE1712"/>
    <w:rsid w:val="00AE3B89"/>
    <w:rsid w:val="00AF512F"/>
    <w:rsid w:val="00B13551"/>
    <w:rsid w:val="00B1603C"/>
    <w:rsid w:val="00B30E8E"/>
    <w:rsid w:val="00B37E99"/>
    <w:rsid w:val="00B54274"/>
    <w:rsid w:val="00B62A35"/>
    <w:rsid w:val="00B65C77"/>
    <w:rsid w:val="00B7454D"/>
    <w:rsid w:val="00B93F04"/>
    <w:rsid w:val="00BB0804"/>
    <w:rsid w:val="00BB18E1"/>
    <w:rsid w:val="00BB5464"/>
    <w:rsid w:val="00BC2E71"/>
    <w:rsid w:val="00BC6486"/>
    <w:rsid w:val="00BD5A61"/>
    <w:rsid w:val="00BE20D2"/>
    <w:rsid w:val="00C02F08"/>
    <w:rsid w:val="00C113E0"/>
    <w:rsid w:val="00C1375C"/>
    <w:rsid w:val="00C17FAB"/>
    <w:rsid w:val="00C205B1"/>
    <w:rsid w:val="00C211A5"/>
    <w:rsid w:val="00C22138"/>
    <w:rsid w:val="00C3404C"/>
    <w:rsid w:val="00C35994"/>
    <w:rsid w:val="00C40E0F"/>
    <w:rsid w:val="00C43137"/>
    <w:rsid w:val="00C62840"/>
    <w:rsid w:val="00C71866"/>
    <w:rsid w:val="00C72EA0"/>
    <w:rsid w:val="00C74719"/>
    <w:rsid w:val="00C759D1"/>
    <w:rsid w:val="00CA3ED8"/>
    <w:rsid w:val="00CB28BD"/>
    <w:rsid w:val="00CB5B61"/>
    <w:rsid w:val="00CC6087"/>
    <w:rsid w:val="00CE3BED"/>
    <w:rsid w:val="00CE599C"/>
    <w:rsid w:val="00CF045E"/>
    <w:rsid w:val="00CF5A34"/>
    <w:rsid w:val="00D071B2"/>
    <w:rsid w:val="00D12F29"/>
    <w:rsid w:val="00D21D00"/>
    <w:rsid w:val="00D41104"/>
    <w:rsid w:val="00D449A3"/>
    <w:rsid w:val="00D457B9"/>
    <w:rsid w:val="00D52763"/>
    <w:rsid w:val="00DA3B00"/>
    <w:rsid w:val="00DB6F77"/>
    <w:rsid w:val="00DC0B89"/>
    <w:rsid w:val="00DC445D"/>
    <w:rsid w:val="00DE3729"/>
    <w:rsid w:val="00DE5FA4"/>
    <w:rsid w:val="00E001DB"/>
    <w:rsid w:val="00E02977"/>
    <w:rsid w:val="00E07F2A"/>
    <w:rsid w:val="00E1103C"/>
    <w:rsid w:val="00E17014"/>
    <w:rsid w:val="00E269A4"/>
    <w:rsid w:val="00E4651F"/>
    <w:rsid w:val="00E50AA4"/>
    <w:rsid w:val="00E537DA"/>
    <w:rsid w:val="00E84812"/>
    <w:rsid w:val="00E97FED"/>
    <w:rsid w:val="00EA1A48"/>
    <w:rsid w:val="00EA370B"/>
    <w:rsid w:val="00EA6678"/>
    <w:rsid w:val="00EA7437"/>
    <w:rsid w:val="00EB0E92"/>
    <w:rsid w:val="00EC1E79"/>
    <w:rsid w:val="00EC442F"/>
    <w:rsid w:val="00ED1A75"/>
    <w:rsid w:val="00ED20AF"/>
    <w:rsid w:val="00ED27D6"/>
    <w:rsid w:val="00ED584B"/>
    <w:rsid w:val="00F0119A"/>
    <w:rsid w:val="00F018B8"/>
    <w:rsid w:val="00F04CA8"/>
    <w:rsid w:val="00F070EB"/>
    <w:rsid w:val="00F07290"/>
    <w:rsid w:val="00F20471"/>
    <w:rsid w:val="00F254A1"/>
    <w:rsid w:val="00F27773"/>
    <w:rsid w:val="00F27868"/>
    <w:rsid w:val="00F31574"/>
    <w:rsid w:val="00F615DD"/>
    <w:rsid w:val="00F6496B"/>
    <w:rsid w:val="00F757D4"/>
    <w:rsid w:val="00F855AE"/>
    <w:rsid w:val="00F87660"/>
    <w:rsid w:val="00F87A14"/>
    <w:rsid w:val="00F97151"/>
    <w:rsid w:val="00F97FB3"/>
    <w:rsid w:val="00FA649F"/>
    <w:rsid w:val="00FB4332"/>
    <w:rsid w:val="00FC0296"/>
    <w:rsid w:val="00FC17D5"/>
    <w:rsid w:val="00FC28BE"/>
    <w:rsid w:val="00FC2900"/>
    <w:rsid w:val="00FC53E3"/>
    <w:rsid w:val="00FC79D2"/>
    <w:rsid w:val="00FD11D6"/>
    <w:rsid w:val="00FD1FAB"/>
    <w:rsid w:val="00FD75CE"/>
    <w:rsid w:val="00FE516B"/>
    <w:rsid w:val="00FE7FEF"/>
    <w:rsid w:val="00FF0C9F"/>
    <w:rsid w:val="00FF0D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5EB581"/>
  <w14:defaultImageDpi w14:val="0"/>
  <w15:docId w15:val="{FC6200FD-5FB6-406E-A204-382BBB5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semiHidden/>
    <w:unhideWhenUsed/>
    <w:rsid w:val="007804F9"/>
    <w:rPr>
      <w:sz w:val="20"/>
    </w:rPr>
  </w:style>
  <w:style w:type="character" w:customStyle="1" w:styleId="CommentTextChar">
    <w:name w:val="Comment Text Char"/>
    <w:basedOn w:val="DefaultParagraphFont"/>
    <w:link w:val="CommentText"/>
    <w:uiPriority w:val="99"/>
    <w:semiHidden/>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251768"/>
    <w:rPr>
      <w:sz w:val="24"/>
      <w:lang w:eastAsia="en-US"/>
    </w:rPr>
  </w:style>
  <w:style w:type="character" w:customStyle="1" w:styleId="highlight">
    <w:name w:val="highlight"/>
    <w:basedOn w:val="DefaultParagraphFont"/>
    <w:rsid w:val="009D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99342">
      <w:bodyDiv w:val="1"/>
      <w:marLeft w:val="0"/>
      <w:marRight w:val="0"/>
      <w:marTop w:val="0"/>
      <w:marBottom w:val="0"/>
      <w:divBdr>
        <w:top w:val="none" w:sz="0" w:space="0" w:color="auto"/>
        <w:left w:val="none" w:sz="0" w:space="0" w:color="auto"/>
        <w:bottom w:val="none" w:sz="0" w:space="0" w:color="auto"/>
        <w:right w:val="none" w:sz="0" w:space="0" w:color="auto"/>
      </w:divBdr>
      <w:divsChild>
        <w:div w:id="895122365">
          <w:marLeft w:val="0"/>
          <w:marRight w:val="0"/>
          <w:marTop w:val="0"/>
          <w:marBottom w:val="0"/>
          <w:divBdr>
            <w:top w:val="none" w:sz="0" w:space="0" w:color="auto"/>
            <w:left w:val="none" w:sz="0" w:space="0" w:color="auto"/>
            <w:bottom w:val="none" w:sz="0" w:space="0" w:color="auto"/>
            <w:right w:val="none" w:sz="0" w:space="0" w:color="auto"/>
          </w:divBdr>
          <w:divsChild>
            <w:div w:id="1804230818">
              <w:marLeft w:val="0"/>
              <w:marRight w:val="0"/>
              <w:marTop w:val="0"/>
              <w:marBottom w:val="0"/>
              <w:divBdr>
                <w:top w:val="none" w:sz="0" w:space="0" w:color="auto"/>
                <w:left w:val="none" w:sz="0" w:space="0" w:color="auto"/>
                <w:bottom w:val="none" w:sz="0" w:space="0" w:color="auto"/>
                <w:right w:val="none" w:sz="0" w:space="0" w:color="auto"/>
              </w:divBdr>
            </w:div>
            <w:div w:id="1194920279">
              <w:marLeft w:val="0"/>
              <w:marRight w:val="0"/>
              <w:marTop w:val="0"/>
              <w:marBottom w:val="0"/>
              <w:divBdr>
                <w:top w:val="none" w:sz="0" w:space="0" w:color="auto"/>
                <w:left w:val="none" w:sz="0" w:space="0" w:color="auto"/>
                <w:bottom w:val="none" w:sz="0" w:space="0" w:color="auto"/>
                <w:right w:val="none" w:sz="0" w:space="0" w:color="auto"/>
              </w:divBdr>
            </w:div>
            <w:div w:id="1258564166">
              <w:marLeft w:val="0"/>
              <w:marRight w:val="0"/>
              <w:marTop w:val="0"/>
              <w:marBottom w:val="0"/>
              <w:divBdr>
                <w:top w:val="none" w:sz="0" w:space="0" w:color="auto"/>
                <w:left w:val="none" w:sz="0" w:space="0" w:color="auto"/>
                <w:bottom w:val="none" w:sz="0" w:space="0" w:color="auto"/>
                <w:right w:val="none" w:sz="0" w:space="0" w:color="auto"/>
              </w:divBdr>
            </w:div>
            <w:div w:id="1586184369">
              <w:marLeft w:val="0"/>
              <w:marRight w:val="0"/>
              <w:marTop w:val="0"/>
              <w:marBottom w:val="0"/>
              <w:divBdr>
                <w:top w:val="none" w:sz="0" w:space="0" w:color="auto"/>
                <w:left w:val="none" w:sz="0" w:space="0" w:color="auto"/>
                <w:bottom w:val="none" w:sz="0" w:space="0" w:color="auto"/>
                <w:right w:val="none" w:sz="0" w:space="0" w:color="auto"/>
              </w:divBdr>
            </w:div>
            <w:div w:id="1399401989">
              <w:marLeft w:val="0"/>
              <w:marRight w:val="0"/>
              <w:marTop w:val="0"/>
              <w:marBottom w:val="0"/>
              <w:divBdr>
                <w:top w:val="none" w:sz="0" w:space="0" w:color="auto"/>
                <w:left w:val="none" w:sz="0" w:space="0" w:color="auto"/>
                <w:bottom w:val="none" w:sz="0" w:space="0" w:color="auto"/>
                <w:right w:val="none" w:sz="0" w:space="0" w:color="auto"/>
              </w:divBdr>
            </w:div>
            <w:div w:id="468598742">
              <w:marLeft w:val="0"/>
              <w:marRight w:val="0"/>
              <w:marTop w:val="0"/>
              <w:marBottom w:val="0"/>
              <w:divBdr>
                <w:top w:val="none" w:sz="0" w:space="0" w:color="auto"/>
                <w:left w:val="none" w:sz="0" w:space="0" w:color="auto"/>
                <w:bottom w:val="none" w:sz="0" w:space="0" w:color="auto"/>
                <w:right w:val="none" w:sz="0" w:space="0" w:color="auto"/>
              </w:divBdr>
            </w:div>
            <w:div w:id="358238955">
              <w:marLeft w:val="0"/>
              <w:marRight w:val="0"/>
              <w:marTop w:val="0"/>
              <w:marBottom w:val="0"/>
              <w:divBdr>
                <w:top w:val="none" w:sz="0" w:space="0" w:color="auto"/>
                <w:left w:val="none" w:sz="0" w:space="0" w:color="auto"/>
                <w:bottom w:val="none" w:sz="0" w:space="0" w:color="auto"/>
                <w:right w:val="none" w:sz="0" w:space="0" w:color="auto"/>
              </w:divBdr>
            </w:div>
            <w:div w:id="849836845">
              <w:marLeft w:val="0"/>
              <w:marRight w:val="0"/>
              <w:marTop w:val="0"/>
              <w:marBottom w:val="0"/>
              <w:divBdr>
                <w:top w:val="none" w:sz="0" w:space="0" w:color="auto"/>
                <w:left w:val="none" w:sz="0" w:space="0" w:color="auto"/>
                <w:bottom w:val="none" w:sz="0" w:space="0" w:color="auto"/>
                <w:right w:val="none" w:sz="0" w:space="0" w:color="auto"/>
              </w:divBdr>
            </w:div>
            <w:div w:id="368454913">
              <w:marLeft w:val="0"/>
              <w:marRight w:val="0"/>
              <w:marTop w:val="0"/>
              <w:marBottom w:val="0"/>
              <w:divBdr>
                <w:top w:val="none" w:sz="0" w:space="0" w:color="auto"/>
                <w:left w:val="none" w:sz="0" w:space="0" w:color="auto"/>
                <w:bottom w:val="none" w:sz="0" w:space="0" w:color="auto"/>
                <w:right w:val="none" w:sz="0" w:space="0" w:color="auto"/>
              </w:divBdr>
            </w:div>
            <w:div w:id="331303079">
              <w:marLeft w:val="0"/>
              <w:marRight w:val="0"/>
              <w:marTop w:val="0"/>
              <w:marBottom w:val="0"/>
              <w:divBdr>
                <w:top w:val="none" w:sz="0" w:space="0" w:color="auto"/>
                <w:left w:val="none" w:sz="0" w:space="0" w:color="auto"/>
                <w:bottom w:val="none" w:sz="0" w:space="0" w:color="auto"/>
                <w:right w:val="none" w:sz="0" w:space="0" w:color="auto"/>
              </w:divBdr>
            </w:div>
            <w:div w:id="1235167131">
              <w:marLeft w:val="0"/>
              <w:marRight w:val="0"/>
              <w:marTop w:val="0"/>
              <w:marBottom w:val="0"/>
              <w:divBdr>
                <w:top w:val="none" w:sz="0" w:space="0" w:color="auto"/>
                <w:left w:val="none" w:sz="0" w:space="0" w:color="auto"/>
                <w:bottom w:val="none" w:sz="0" w:space="0" w:color="auto"/>
                <w:right w:val="none" w:sz="0" w:space="0" w:color="auto"/>
              </w:divBdr>
            </w:div>
            <w:div w:id="43064043">
              <w:marLeft w:val="0"/>
              <w:marRight w:val="0"/>
              <w:marTop w:val="0"/>
              <w:marBottom w:val="0"/>
              <w:divBdr>
                <w:top w:val="none" w:sz="0" w:space="0" w:color="auto"/>
                <w:left w:val="none" w:sz="0" w:space="0" w:color="auto"/>
                <w:bottom w:val="none" w:sz="0" w:space="0" w:color="auto"/>
                <w:right w:val="none" w:sz="0" w:space="0" w:color="auto"/>
              </w:divBdr>
            </w:div>
            <w:div w:id="695539190">
              <w:marLeft w:val="0"/>
              <w:marRight w:val="0"/>
              <w:marTop w:val="0"/>
              <w:marBottom w:val="0"/>
              <w:divBdr>
                <w:top w:val="none" w:sz="0" w:space="0" w:color="auto"/>
                <w:left w:val="none" w:sz="0" w:space="0" w:color="auto"/>
                <w:bottom w:val="none" w:sz="0" w:space="0" w:color="auto"/>
                <w:right w:val="none" w:sz="0" w:space="0" w:color="auto"/>
              </w:divBdr>
            </w:div>
            <w:div w:id="278605736">
              <w:marLeft w:val="0"/>
              <w:marRight w:val="0"/>
              <w:marTop w:val="0"/>
              <w:marBottom w:val="0"/>
              <w:divBdr>
                <w:top w:val="none" w:sz="0" w:space="0" w:color="auto"/>
                <w:left w:val="none" w:sz="0" w:space="0" w:color="auto"/>
                <w:bottom w:val="none" w:sz="0" w:space="0" w:color="auto"/>
                <w:right w:val="none" w:sz="0" w:space="0" w:color="auto"/>
              </w:divBdr>
            </w:div>
            <w:div w:id="1524829167">
              <w:marLeft w:val="0"/>
              <w:marRight w:val="0"/>
              <w:marTop w:val="0"/>
              <w:marBottom w:val="0"/>
              <w:divBdr>
                <w:top w:val="none" w:sz="0" w:space="0" w:color="auto"/>
                <w:left w:val="none" w:sz="0" w:space="0" w:color="auto"/>
                <w:bottom w:val="none" w:sz="0" w:space="0" w:color="auto"/>
                <w:right w:val="none" w:sz="0" w:space="0" w:color="auto"/>
              </w:divBdr>
            </w:div>
            <w:div w:id="1815103616">
              <w:marLeft w:val="0"/>
              <w:marRight w:val="0"/>
              <w:marTop w:val="0"/>
              <w:marBottom w:val="0"/>
              <w:divBdr>
                <w:top w:val="none" w:sz="0" w:space="0" w:color="auto"/>
                <w:left w:val="none" w:sz="0" w:space="0" w:color="auto"/>
                <w:bottom w:val="none" w:sz="0" w:space="0" w:color="auto"/>
                <w:right w:val="none" w:sz="0" w:space="0" w:color="auto"/>
              </w:divBdr>
            </w:div>
            <w:div w:id="2097090822">
              <w:marLeft w:val="0"/>
              <w:marRight w:val="0"/>
              <w:marTop w:val="0"/>
              <w:marBottom w:val="0"/>
              <w:divBdr>
                <w:top w:val="none" w:sz="0" w:space="0" w:color="auto"/>
                <w:left w:val="none" w:sz="0" w:space="0" w:color="auto"/>
                <w:bottom w:val="none" w:sz="0" w:space="0" w:color="auto"/>
                <w:right w:val="none" w:sz="0" w:space="0" w:color="auto"/>
              </w:divBdr>
            </w:div>
            <w:div w:id="220215918">
              <w:marLeft w:val="0"/>
              <w:marRight w:val="0"/>
              <w:marTop w:val="0"/>
              <w:marBottom w:val="0"/>
              <w:divBdr>
                <w:top w:val="none" w:sz="0" w:space="0" w:color="auto"/>
                <w:left w:val="none" w:sz="0" w:space="0" w:color="auto"/>
                <w:bottom w:val="none" w:sz="0" w:space="0" w:color="auto"/>
                <w:right w:val="none" w:sz="0" w:space="0" w:color="auto"/>
              </w:divBdr>
            </w:div>
            <w:div w:id="507525648">
              <w:marLeft w:val="0"/>
              <w:marRight w:val="0"/>
              <w:marTop w:val="0"/>
              <w:marBottom w:val="0"/>
              <w:divBdr>
                <w:top w:val="none" w:sz="0" w:space="0" w:color="auto"/>
                <w:left w:val="none" w:sz="0" w:space="0" w:color="auto"/>
                <w:bottom w:val="none" w:sz="0" w:space="0" w:color="auto"/>
                <w:right w:val="none" w:sz="0" w:space="0" w:color="auto"/>
              </w:divBdr>
            </w:div>
            <w:div w:id="2117020431">
              <w:marLeft w:val="0"/>
              <w:marRight w:val="0"/>
              <w:marTop w:val="0"/>
              <w:marBottom w:val="0"/>
              <w:divBdr>
                <w:top w:val="none" w:sz="0" w:space="0" w:color="auto"/>
                <w:left w:val="none" w:sz="0" w:space="0" w:color="auto"/>
                <w:bottom w:val="none" w:sz="0" w:space="0" w:color="auto"/>
                <w:right w:val="none" w:sz="0" w:space="0" w:color="auto"/>
              </w:divBdr>
            </w:div>
            <w:div w:id="20055260">
              <w:marLeft w:val="0"/>
              <w:marRight w:val="0"/>
              <w:marTop w:val="0"/>
              <w:marBottom w:val="0"/>
              <w:divBdr>
                <w:top w:val="none" w:sz="0" w:space="0" w:color="auto"/>
                <w:left w:val="none" w:sz="0" w:space="0" w:color="auto"/>
                <w:bottom w:val="none" w:sz="0" w:space="0" w:color="auto"/>
                <w:right w:val="none" w:sz="0" w:space="0" w:color="auto"/>
              </w:divBdr>
            </w:div>
            <w:div w:id="1777405694">
              <w:marLeft w:val="0"/>
              <w:marRight w:val="0"/>
              <w:marTop w:val="0"/>
              <w:marBottom w:val="0"/>
              <w:divBdr>
                <w:top w:val="none" w:sz="0" w:space="0" w:color="auto"/>
                <w:left w:val="none" w:sz="0" w:space="0" w:color="auto"/>
                <w:bottom w:val="none" w:sz="0" w:space="0" w:color="auto"/>
                <w:right w:val="none" w:sz="0" w:space="0" w:color="auto"/>
              </w:divBdr>
            </w:div>
            <w:div w:id="634481742">
              <w:marLeft w:val="0"/>
              <w:marRight w:val="0"/>
              <w:marTop w:val="0"/>
              <w:marBottom w:val="0"/>
              <w:divBdr>
                <w:top w:val="none" w:sz="0" w:space="0" w:color="auto"/>
                <w:left w:val="none" w:sz="0" w:space="0" w:color="auto"/>
                <w:bottom w:val="none" w:sz="0" w:space="0" w:color="auto"/>
                <w:right w:val="none" w:sz="0" w:space="0" w:color="auto"/>
              </w:divBdr>
            </w:div>
            <w:div w:id="559748599">
              <w:marLeft w:val="0"/>
              <w:marRight w:val="0"/>
              <w:marTop w:val="0"/>
              <w:marBottom w:val="0"/>
              <w:divBdr>
                <w:top w:val="none" w:sz="0" w:space="0" w:color="auto"/>
                <w:left w:val="none" w:sz="0" w:space="0" w:color="auto"/>
                <w:bottom w:val="none" w:sz="0" w:space="0" w:color="auto"/>
                <w:right w:val="none" w:sz="0" w:space="0" w:color="auto"/>
              </w:divBdr>
            </w:div>
            <w:div w:id="1139956823">
              <w:marLeft w:val="0"/>
              <w:marRight w:val="0"/>
              <w:marTop w:val="0"/>
              <w:marBottom w:val="0"/>
              <w:divBdr>
                <w:top w:val="none" w:sz="0" w:space="0" w:color="auto"/>
                <w:left w:val="none" w:sz="0" w:space="0" w:color="auto"/>
                <w:bottom w:val="none" w:sz="0" w:space="0" w:color="auto"/>
                <w:right w:val="none" w:sz="0" w:space="0" w:color="auto"/>
              </w:divBdr>
            </w:div>
            <w:div w:id="344016779">
              <w:marLeft w:val="0"/>
              <w:marRight w:val="0"/>
              <w:marTop w:val="0"/>
              <w:marBottom w:val="0"/>
              <w:divBdr>
                <w:top w:val="none" w:sz="0" w:space="0" w:color="auto"/>
                <w:left w:val="none" w:sz="0" w:space="0" w:color="auto"/>
                <w:bottom w:val="none" w:sz="0" w:space="0" w:color="auto"/>
                <w:right w:val="none" w:sz="0" w:space="0" w:color="auto"/>
              </w:divBdr>
            </w:div>
            <w:div w:id="1303609098">
              <w:marLeft w:val="0"/>
              <w:marRight w:val="0"/>
              <w:marTop w:val="0"/>
              <w:marBottom w:val="0"/>
              <w:divBdr>
                <w:top w:val="none" w:sz="0" w:space="0" w:color="auto"/>
                <w:left w:val="none" w:sz="0" w:space="0" w:color="auto"/>
                <w:bottom w:val="none" w:sz="0" w:space="0" w:color="auto"/>
                <w:right w:val="none" w:sz="0" w:space="0" w:color="auto"/>
              </w:divBdr>
            </w:div>
            <w:div w:id="1424064410">
              <w:marLeft w:val="0"/>
              <w:marRight w:val="0"/>
              <w:marTop w:val="0"/>
              <w:marBottom w:val="0"/>
              <w:divBdr>
                <w:top w:val="none" w:sz="0" w:space="0" w:color="auto"/>
                <w:left w:val="none" w:sz="0" w:space="0" w:color="auto"/>
                <w:bottom w:val="none" w:sz="0" w:space="0" w:color="auto"/>
                <w:right w:val="none" w:sz="0" w:space="0" w:color="auto"/>
              </w:divBdr>
            </w:div>
            <w:div w:id="1498812425">
              <w:marLeft w:val="0"/>
              <w:marRight w:val="0"/>
              <w:marTop w:val="0"/>
              <w:marBottom w:val="0"/>
              <w:divBdr>
                <w:top w:val="none" w:sz="0" w:space="0" w:color="auto"/>
                <w:left w:val="none" w:sz="0" w:space="0" w:color="auto"/>
                <w:bottom w:val="none" w:sz="0" w:space="0" w:color="auto"/>
                <w:right w:val="none" w:sz="0" w:space="0" w:color="auto"/>
              </w:divBdr>
            </w:div>
            <w:div w:id="1056390354">
              <w:marLeft w:val="0"/>
              <w:marRight w:val="0"/>
              <w:marTop w:val="0"/>
              <w:marBottom w:val="0"/>
              <w:divBdr>
                <w:top w:val="none" w:sz="0" w:space="0" w:color="auto"/>
                <w:left w:val="none" w:sz="0" w:space="0" w:color="auto"/>
                <w:bottom w:val="none" w:sz="0" w:space="0" w:color="auto"/>
                <w:right w:val="none" w:sz="0" w:space="0" w:color="auto"/>
              </w:divBdr>
            </w:div>
            <w:div w:id="1275096824">
              <w:marLeft w:val="0"/>
              <w:marRight w:val="0"/>
              <w:marTop w:val="0"/>
              <w:marBottom w:val="0"/>
              <w:divBdr>
                <w:top w:val="none" w:sz="0" w:space="0" w:color="auto"/>
                <w:left w:val="none" w:sz="0" w:space="0" w:color="auto"/>
                <w:bottom w:val="none" w:sz="0" w:space="0" w:color="auto"/>
                <w:right w:val="none" w:sz="0" w:space="0" w:color="auto"/>
              </w:divBdr>
            </w:div>
            <w:div w:id="911737881">
              <w:marLeft w:val="0"/>
              <w:marRight w:val="0"/>
              <w:marTop w:val="0"/>
              <w:marBottom w:val="0"/>
              <w:divBdr>
                <w:top w:val="none" w:sz="0" w:space="0" w:color="auto"/>
                <w:left w:val="none" w:sz="0" w:space="0" w:color="auto"/>
                <w:bottom w:val="none" w:sz="0" w:space="0" w:color="auto"/>
                <w:right w:val="none" w:sz="0" w:space="0" w:color="auto"/>
              </w:divBdr>
            </w:div>
            <w:div w:id="1161777956">
              <w:marLeft w:val="0"/>
              <w:marRight w:val="0"/>
              <w:marTop w:val="0"/>
              <w:marBottom w:val="0"/>
              <w:divBdr>
                <w:top w:val="none" w:sz="0" w:space="0" w:color="auto"/>
                <w:left w:val="none" w:sz="0" w:space="0" w:color="auto"/>
                <w:bottom w:val="none" w:sz="0" w:space="0" w:color="auto"/>
                <w:right w:val="none" w:sz="0" w:space="0" w:color="auto"/>
              </w:divBdr>
            </w:div>
            <w:div w:id="938679038">
              <w:marLeft w:val="0"/>
              <w:marRight w:val="0"/>
              <w:marTop w:val="0"/>
              <w:marBottom w:val="0"/>
              <w:divBdr>
                <w:top w:val="none" w:sz="0" w:space="0" w:color="auto"/>
                <w:left w:val="none" w:sz="0" w:space="0" w:color="auto"/>
                <w:bottom w:val="none" w:sz="0" w:space="0" w:color="auto"/>
                <w:right w:val="none" w:sz="0" w:space="0" w:color="auto"/>
              </w:divBdr>
            </w:div>
            <w:div w:id="268247286">
              <w:marLeft w:val="0"/>
              <w:marRight w:val="0"/>
              <w:marTop w:val="0"/>
              <w:marBottom w:val="0"/>
              <w:divBdr>
                <w:top w:val="none" w:sz="0" w:space="0" w:color="auto"/>
                <w:left w:val="none" w:sz="0" w:space="0" w:color="auto"/>
                <w:bottom w:val="none" w:sz="0" w:space="0" w:color="auto"/>
                <w:right w:val="none" w:sz="0" w:space="0" w:color="auto"/>
              </w:divBdr>
            </w:div>
            <w:div w:id="50083464">
              <w:marLeft w:val="0"/>
              <w:marRight w:val="0"/>
              <w:marTop w:val="0"/>
              <w:marBottom w:val="0"/>
              <w:divBdr>
                <w:top w:val="none" w:sz="0" w:space="0" w:color="auto"/>
                <w:left w:val="none" w:sz="0" w:space="0" w:color="auto"/>
                <w:bottom w:val="none" w:sz="0" w:space="0" w:color="auto"/>
                <w:right w:val="none" w:sz="0" w:space="0" w:color="auto"/>
              </w:divBdr>
            </w:div>
            <w:div w:id="236287988">
              <w:marLeft w:val="0"/>
              <w:marRight w:val="0"/>
              <w:marTop w:val="0"/>
              <w:marBottom w:val="0"/>
              <w:divBdr>
                <w:top w:val="none" w:sz="0" w:space="0" w:color="auto"/>
                <w:left w:val="none" w:sz="0" w:space="0" w:color="auto"/>
                <w:bottom w:val="none" w:sz="0" w:space="0" w:color="auto"/>
                <w:right w:val="none" w:sz="0" w:space="0" w:color="auto"/>
              </w:divBdr>
            </w:div>
            <w:div w:id="79837392">
              <w:marLeft w:val="0"/>
              <w:marRight w:val="0"/>
              <w:marTop w:val="0"/>
              <w:marBottom w:val="0"/>
              <w:divBdr>
                <w:top w:val="none" w:sz="0" w:space="0" w:color="auto"/>
                <w:left w:val="none" w:sz="0" w:space="0" w:color="auto"/>
                <w:bottom w:val="none" w:sz="0" w:space="0" w:color="auto"/>
                <w:right w:val="none" w:sz="0" w:space="0" w:color="auto"/>
              </w:divBdr>
            </w:div>
            <w:div w:id="564801835">
              <w:marLeft w:val="0"/>
              <w:marRight w:val="0"/>
              <w:marTop w:val="0"/>
              <w:marBottom w:val="0"/>
              <w:divBdr>
                <w:top w:val="none" w:sz="0" w:space="0" w:color="auto"/>
                <w:left w:val="none" w:sz="0" w:space="0" w:color="auto"/>
                <w:bottom w:val="none" w:sz="0" w:space="0" w:color="auto"/>
                <w:right w:val="none" w:sz="0" w:space="0" w:color="auto"/>
              </w:divBdr>
            </w:div>
            <w:div w:id="1391540059">
              <w:marLeft w:val="0"/>
              <w:marRight w:val="0"/>
              <w:marTop w:val="0"/>
              <w:marBottom w:val="0"/>
              <w:divBdr>
                <w:top w:val="none" w:sz="0" w:space="0" w:color="auto"/>
                <w:left w:val="none" w:sz="0" w:space="0" w:color="auto"/>
                <w:bottom w:val="none" w:sz="0" w:space="0" w:color="auto"/>
                <w:right w:val="none" w:sz="0" w:space="0" w:color="auto"/>
              </w:divBdr>
            </w:div>
            <w:div w:id="639186825">
              <w:marLeft w:val="0"/>
              <w:marRight w:val="0"/>
              <w:marTop w:val="0"/>
              <w:marBottom w:val="0"/>
              <w:divBdr>
                <w:top w:val="none" w:sz="0" w:space="0" w:color="auto"/>
                <w:left w:val="none" w:sz="0" w:space="0" w:color="auto"/>
                <w:bottom w:val="none" w:sz="0" w:space="0" w:color="auto"/>
                <w:right w:val="none" w:sz="0" w:space="0" w:color="auto"/>
              </w:divBdr>
            </w:div>
            <w:div w:id="155457529">
              <w:marLeft w:val="0"/>
              <w:marRight w:val="0"/>
              <w:marTop w:val="0"/>
              <w:marBottom w:val="0"/>
              <w:divBdr>
                <w:top w:val="none" w:sz="0" w:space="0" w:color="auto"/>
                <w:left w:val="none" w:sz="0" w:space="0" w:color="auto"/>
                <w:bottom w:val="none" w:sz="0" w:space="0" w:color="auto"/>
                <w:right w:val="none" w:sz="0" w:space="0" w:color="auto"/>
              </w:divBdr>
            </w:div>
            <w:div w:id="764886756">
              <w:marLeft w:val="0"/>
              <w:marRight w:val="0"/>
              <w:marTop w:val="0"/>
              <w:marBottom w:val="0"/>
              <w:divBdr>
                <w:top w:val="none" w:sz="0" w:space="0" w:color="auto"/>
                <w:left w:val="none" w:sz="0" w:space="0" w:color="auto"/>
                <w:bottom w:val="none" w:sz="0" w:space="0" w:color="auto"/>
                <w:right w:val="none" w:sz="0" w:space="0" w:color="auto"/>
              </w:divBdr>
            </w:div>
            <w:div w:id="1577401417">
              <w:marLeft w:val="0"/>
              <w:marRight w:val="0"/>
              <w:marTop w:val="0"/>
              <w:marBottom w:val="0"/>
              <w:divBdr>
                <w:top w:val="none" w:sz="0" w:space="0" w:color="auto"/>
                <w:left w:val="none" w:sz="0" w:space="0" w:color="auto"/>
                <w:bottom w:val="none" w:sz="0" w:space="0" w:color="auto"/>
                <w:right w:val="none" w:sz="0" w:space="0" w:color="auto"/>
              </w:divBdr>
            </w:div>
            <w:div w:id="1335498249">
              <w:marLeft w:val="0"/>
              <w:marRight w:val="0"/>
              <w:marTop w:val="0"/>
              <w:marBottom w:val="0"/>
              <w:divBdr>
                <w:top w:val="none" w:sz="0" w:space="0" w:color="auto"/>
                <w:left w:val="none" w:sz="0" w:space="0" w:color="auto"/>
                <w:bottom w:val="none" w:sz="0" w:space="0" w:color="auto"/>
                <w:right w:val="none" w:sz="0" w:space="0" w:color="auto"/>
              </w:divBdr>
            </w:div>
            <w:div w:id="1549220984">
              <w:marLeft w:val="0"/>
              <w:marRight w:val="0"/>
              <w:marTop w:val="0"/>
              <w:marBottom w:val="0"/>
              <w:divBdr>
                <w:top w:val="none" w:sz="0" w:space="0" w:color="auto"/>
                <w:left w:val="none" w:sz="0" w:space="0" w:color="auto"/>
                <w:bottom w:val="none" w:sz="0" w:space="0" w:color="auto"/>
                <w:right w:val="none" w:sz="0" w:space="0" w:color="auto"/>
              </w:divBdr>
            </w:div>
            <w:div w:id="1456948764">
              <w:marLeft w:val="0"/>
              <w:marRight w:val="0"/>
              <w:marTop w:val="0"/>
              <w:marBottom w:val="0"/>
              <w:divBdr>
                <w:top w:val="none" w:sz="0" w:space="0" w:color="auto"/>
                <w:left w:val="none" w:sz="0" w:space="0" w:color="auto"/>
                <w:bottom w:val="none" w:sz="0" w:space="0" w:color="auto"/>
                <w:right w:val="none" w:sz="0" w:space="0" w:color="auto"/>
              </w:divBdr>
            </w:div>
            <w:div w:id="873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D33D-B091-4981-9474-D6C67E8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5380</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2017-08-07T23:22:00Z</cp:lastPrinted>
  <dcterms:created xsi:type="dcterms:W3CDTF">2020-07-27T01:06:00Z</dcterms:created>
  <dcterms:modified xsi:type="dcterms:W3CDTF">2020-07-27T01:06:00Z</dcterms:modified>
</cp:coreProperties>
</file>