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E3ADD" w14:textId="77777777" w:rsidR="009368DA" w:rsidRPr="008C3B92" w:rsidRDefault="009368DA" w:rsidP="009368DA">
      <w:pPr>
        <w:spacing w:after="0"/>
        <w:rPr>
          <w:rFonts w:ascii="Arial" w:hAnsi="Arial" w:cs="Arial"/>
          <w:b/>
          <w:bCs/>
          <w:sz w:val="24"/>
          <w:szCs w:val="24"/>
        </w:rPr>
      </w:pPr>
      <w:bookmarkStart w:id="0" w:name="_Hlk44657667"/>
      <w:bookmarkStart w:id="1" w:name="_GoBack"/>
      <w:bookmarkEnd w:id="1"/>
    </w:p>
    <w:p w14:paraId="7D751489" w14:textId="77777777" w:rsidR="009368DA" w:rsidRPr="008C3B92" w:rsidRDefault="009368DA" w:rsidP="009368DA">
      <w:pPr>
        <w:spacing w:after="0"/>
        <w:rPr>
          <w:rFonts w:ascii="Arial" w:hAnsi="Arial" w:cs="Arial"/>
          <w:b/>
          <w:bCs/>
          <w:sz w:val="24"/>
          <w:szCs w:val="24"/>
        </w:rPr>
      </w:pPr>
    </w:p>
    <w:p w14:paraId="0FA1CD53" w14:textId="77777777" w:rsidR="009368DA" w:rsidRPr="00BB387E" w:rsidRDefault="009368DA" w:rsidP="009368DA">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20</w:t>
      </w:r>
    </w:p>
    <w:p w14:paraId="4D4E9EE0" w14:textId="77777777" w:rsidR="009368DA" w:rsidRPr="00BB387E" w:rsidRDefault="009368DA" w:rsidP="009368DA">
      <w:pPr>
        <w:spacing w:after="0"/>
        <w:jc w:val="center"/>
        <w:rPr>
          <w:rFonts w:ascii="Arial" w:hAnsi="Arial" w:cs="Arial"/>
          <w:b/>
          <w:sz w:val="24"/>
          <w:szCs w:val="24"/>
        </w:rPr>
      </w:pPr>
    </w:p>
    <w:p w14:paraId="5C31DA47" w14:textId="77777777" w:rsidR="009368DA" w:rsidRPr="00BB387E" w:rsidRDefault="009368DA" w:rsidP="009368DA">
      <w:pPr>
        <w:spacing w:after="0"/>
        <w:jc w:val="center"/>
        <w:rPr>
          <w:rFonts w:ascii="Arial" w:hAnsi="Arial" w:cs="Arial"/>
          <w:b/>
          <w:sz w:val="24"/>
          <w:szCs w:val="24"/>
        </w:rPr>
      </w:pPr>
    </w:p>
    <w:p w14:paraId="7F8FCD00" w14:textId="77777777" w:rsidR="009368DA" w:rsidRPr="00BB387E" w:rsidRDefault="009368DA" w:rsidP="009368DA">
      <w:pPr>
        <w:spacing w:after="0"/>
        <w:jc w:val="center"/>
        <w:rPr>
          <w:rFonts w:ascii="Arial" w:hAnsi="Arial" w:cs="Arial"/>
          <w:b/>
          <w:sz w:val="24"/>
          <w:szCs w:val="24"/>
        </w:rPr>
      </w:pPr>
    </w:p>
    <w:p w14:paraId="4AB878D4" w14:textId="77777777" w:rsidR="009368DA" w:rsidRPr="00BB387E" w:rsidRDefault="009368DA" w:rsidP="009368DA">
      <w:pPr>
        <w:spacing w:after="0"/>
        <w:jc w:val="center"/>
        <w:rPr>
          <w:rFonts w:ascii="Arial" w:hAnsi="Arial" w:cs="Arial"/>
          <w:b/>
          <w:sz w:val="24"/>
          <w:szCs w:val="24"/>
        </w:rPr>
      </w:pPr>
    </w:p>
    <w:p w14:paraId="2200325C" w14:textId="77777777" w:rsidR="009368DA" w:rsidRPr="00BB387E" w:rsidRDefault="009368DA" w:rsidP="009368DA">
      <w:pPr>
        <w:spacing w:after="0"/>
        <w:jc w:val="center"/>
        <w:rPr>
          <w:rFonts w:ascii="Arial" w:hAnsi="Arial" w:cs="Arial"/>
          <w:b/>
          <w:bCs/>
          <w:sz w:val="24"/>
          <w:szCs w:val="24"/>
        </w:rPr>
      </w:pPr>
    </w:p>
    <w:p w14:paraId="7C98C8FD" w14:textId="77777777" w:rsidR="009368DA" w:rsidRPr="00BB387E" w:rsidRDefault="009368DA" w:rsidP="009368DA">
      <w:pPr>
        <w:spacing w:after="0"/>
        <w:jc w:val="center"/>
        <w:rPr>
          <w:rFonts w:ascii="Arial" w:hAnsi="Arial" w:cs="Arial"/>
          <w:b/>
          <w:bCs/>
          <w:sz w:val="24"/>
          <w:szCs w:val="24"/>
        </w:rPr>
      </w:pPr>
    </w:p>
    <w:p w14:paraId="0C637C63" w14:textId="77777777" w:rsidR="009368DA" w:rsidRPr="00BB387E" w:rsidRDefault="009368DA" w:rsidP="009368DA">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5FA799C9" w14:textId="77777777" w:rsidR="009368DA" w:rsidRPr="00BB387E" w:rsidRDefault="009368DA" w:rsidP="009368DA">
      <w:pPr>
        <w:spacing w:after="0"/>
        <w:jc w:val="center"/>
        <w:rPr>
          <w:rFonts w:ascii="Arial" w:hAnsi="Arial" w:cs="Arial"/>
          <w:b/>
          <w:sz w:val="24"/>
          <w:szCs w:val="24"/>
        </w:rPr>
      </w:pPr>
      <w:r w:rsidRPr="00BB387E">
        <w:rPr>
          <w:rFonts w:ascii="Arial" w:hAnsi="Arial" w:cs="Arial"/>
          <w:b/>
          <w:bCs/>
          <w:sz w:val="24"/>
          <w:szCs w:val="24"/>
        </w:rPr>
        <w:t>AUSTRALIAN CAPITAL TERRITORY</w:t>
      </w:r>
    </w:p>
    <w:p w14:paraId="3BC39A39" w14:textId="77777777" w:rsidR="009368DA" w:rsidRPr="00BB387E" w:rsidRDefault="009368DA" w:rsidP="009368DA">
      <w:pPr>
        <w:spacing w:after="0"/>
        <w:jc w:val="center"/>
        <w:rPr>
          <w:rFonts w:ascii="Arial" w:hAnsi="Arial" w:cs="Arial"/>
          <w:b/>
          <w:sz w:val="24"/>
          <w:szCs w:val="24"/>
        </w:rPr>
      </w:pPr>
    </w:p>
    <w:p w14:paraId="5A004D41" w14:textId="77777777" w:rsidR="009368DA" w:rsidRPr="00BB387E" w:rsidRDefault="009368DA" w:rsidP="009368DA">
      <w:pPr>
        <w:spacing w:after="0"/>
        <w:jc w:val="center"/>
        <w:rPr>
          <w:rFonts w:ascii="Arial" w:hAnsi="Arial" w:cs="Arial"/>
          <w:b/>
          <w:sz w:val="24"/>
          <w:szCs w:val="24"/>
        </w:rPr>
      </w:pPr>
    </w:p>
    <w:p w14:paraId="58A09A91" w14:textId="77777777" w:rsidR="009368DA" w:rsidRPr="00BB387E" w:rsidRDefault="009368DA" w:rsidP="009368DA">
      <w:pPr>
        <w:spacing w:after="0"/>
        <w:jc w:val="center"/>
        <w:rPr>
          <w:rFonts w:ascii="Arial" w:hAnsi="Arial" w:cs="Arial"/>
          <w:b/>
          <w:sz w:val="24"/>
          <w:szCs w:val="24"/>
        </w:rPr>
      </w:pPr>
    </w:p>
    <w:p w14:paraId="2456925B" w14:textId="77777777" w:rsidR="009368DA" w:rsidRPr="00BB387E" w:rsidRDefault="009368DA" w:rsidP="009368DA">
      <w:pPr>
        <w:spacing w:after="0"/>
        <w:jc w:val="center"/>
        <w:rPr>
          <w:rFonts w:ascii="Arial" w:hAnsi="Arial" w:cs="Arial"/>
          <w:b/>
          <w:sz w:val="24"/>
          <w:szCs w:val="24"/>
        </w:rPr>
      </w:pPr>
    </w:p>
    <w:p w14:paraId="28397331" w14:textId="77777777" w:rsidR="009368DA" w:rsidRPr="00BB387E" w:rsidRDefault="009368DA" w:rsidP="009368DA">
      <w:pPr>
        <w:spacing w:after="0"/>
        <w:jc w:val="center"/>
        <w:rPr>
          <w:rFonts w:ascii="Arial" w:hAnsi="Arial" w:cs="Arial"/>
          <w:b/>
          <w:sz w:val="24"/>
          <w:szCs w:val="24"/>
        </w:rPr>
      </w:pPr>
    </w:p>
    <w:p w14:paraId="3F04F93D" w14:textId="77777777" w:rsidR="009368DA" w:rsidRPr="00BB387E" w:rsidRDefault="009368DA" w:rsidP="009368DA">
      <w:pPr>
        <w:spacing w:after="0"/>
        <w:jc w:val="center"/>
        <w:rPr>
          <w:rFonts w:ascii="Arial" w:hAnsi="Arial" w:cs="Arial"/>
          <w:b/>
          <w:sz w:val="24"/>
          <w:szCs w:val="24"/>
        </w:rPr>
      </w:pPr>
    </w:p>
    <w:p w14:paraId="3CDA7C37" w14:textId="77777777" w:rsidR="009368DA" w:rsidRPr="00BB387E" w:rsidRDefault="009368DA" w:rsidP="009368DA">
      <w:pPr>
        <w:spacing w:after="0"/>
        <w:jc w:val="center"/>
        <w:rPr>
          <w:rFonts w:ascii="Arial" w:hAnsi="Arial" w:cs="Arial"/>
          <w:b/>
          <w:sz w:val="24"/>
          <w:szCs w:val="24"/>
        </w:rPr>
      </w:pPr>
    </w:p>
    <w:p w14:paraId="24DC28C4" w14:textId="77777777" w:rsidR="009368DA" w:rsidRPr="00BB387E" w:rsidRDefault="009368DA" w:rsidP="009368DA">
      <w:pPr>
        <w:spacing w:after="0"/>
        <w:jc w:val="center"/>
        <w:rPr>
          <w:rFonts w:ascii="Arial" w:hAnsi="Arial" w:cs="Arial"/>
          <w:b/>
          <w:sz w:val="24"/>
          <w:szCs w:val="24"/>
        </w:rPr>
      </w:pPr>
    </w:p>
    <w:p w14:paraId="2D14B86D" w14:textId="77777777" w:rsidR="009368DA" w:rsidRPr="00BB387E" w:rsidRDefault="009368DA" w:rsidP="009368DA">
      <w:pPr>
        <w:spacing w:after="0"/>
        <w:jc w:val="center"/>
        <w:rPr>
          <w:rFonts w:ascii="Arial" w:hAnsi="Arial" w:cs="Arial"/>
          <w:b/>
          <w:sz w:val="24"/>
          <w:szCs w:val="24"/>
        </w:rPr>
      </w:pPr>
    </w:p>
    <w:p w14:paraId="0EF4038B" w14:textId="77777777" w:rsidR="009368DA" w:rsidRPr="00BB387E" w:rsidRDefault="009368DA" w:rsidP="009368DA">
      <w:pPr>
        <w:spacing w:after="0"/>
        <w:jc w:val="center"/>
        <w:rPr>
          <w:rFonts w:ascii="Arial" w:hAnsi="Arial" w:cs="Arial"/>
          <w:b/>
          <w:sz w:val="24"/>
          <w:szCs w:val="24"/>
        </w:rPr>
      </w:pPr>
    </w:p>
    <w:p w14:paraId="4238AC16" w14:textId="0FA7DC0F" w:rsidR="009368DA" w:rsidRPr="00741C4A" w:rsidRDefault="009368DA" w:rsidP="009368DA">
      <w:pPr>
        <w:spacing w:after="0"/>
        <w:jc w:val="center"/>
        <w:rPr>
          <w:rFonts w:ascii="Arial" w:hAnsi="Arial" w:cs="Arial"/>
          <w:b/>
          <w:bCs/>
          <w:sz w:val="24"/>
          <w:szCs w:val="24"/>
        </w:rPr>
      </w:pPr>
      <w:r w:rsidRPr="00B01EA5">
        <w:rPr>
          <w:rFonts w:ascii="Arial" w:hAnsi="Arial" w:cs="Arial"/>
          <w:b/>
          <w:bCs/>
          <w:sz w:val="24"/>
          <w:szCs w:val="24"/>
        </w:rPr>
        <w:t>Sexuality and Gender Identity Conversion Practices Bill</w:t>
      </w:r>
      <w:r>
        <w:rPr>
          <w:rFonts w:ascii="Arial" w:hAnsi="Arial" w:cs="Arial"/>
          <w:b/>
          <w:bCs/>
          <w:sz w:val="24"/>
          <w:szCs w:val="24"/>
        </w:rPr>
        <w:t> </w:t>
      </w:r>
      <w:r w:rsidRPr="00741C4A">
        <w:rPr>
          <w:rFonts w:ascii="Arial" w:hAnsi="Arial" w:cs="Arial"/>
          <w:b/>
          <w:bCs/>
          <w:sz w:val="24"/>
          <w:szCs w:val="24"/>
        </w:rPr>
        <w:t>20</w:t>
      </w:r>
      <w:r>
        <w:rPr>
          <w:rFonts w:ascii="Arial" w:hAnsi="Arial" w:cs="Arial"/>
          <w:b/>
          <w:bCs/>
          <w:sz w:val="24"/>
          <w:szCs w:val="24"/>
        </w:rPr>
        <w:t>20</w:t>
      </w:r>
    </w:p>
    <w:p w14:paraId="132E9180" w14:textId="77777777" w:rsidR="009368DA" w:rsidRPr="00BB387E" w:rsidRDefault="009368DA" w:rsidP="009368DA">
      <w:pPr>
        <w:spacing w:after="0"/>
        <w:jc w:val="center"/>
        <w:rPr>
          <w:rFonts w:ascii="Arial" w:hAnsi="Arial" w:cs="Arial"/>
          <w:b/>
          <w:bCs/>
          <w:sz w:val="24"/>
          <w:szCs w:val="24"/>
        </w:rPr>
      </w:pPr>
    </w:p>
    <w:p w14:paraId="7C90963E" w14:textId="77777777" w:rsidR="009368DA" w:rsidRPr="00BB387E" w:rsidRDefault="009368DA" w:rsidP="009368DA">
      <w:pPr>
        <w:spacing w:after="0"/>
        <w:jc w:val="center"/>
        <w:rPr>
          <w:rFonts w:ascii="Arial" w:hAnsi="Arial" w:cs="Arial"/>
          <w:b/>
          <w:sz w:val="24"/>
          <w:szCs w:val="24"/>
        </w:rPr>
      </w:pPr>
    </w:p>
    <w:p w14:paraId="51E0B1F2" w14:textId="77777777" w:rsidR="009368DA" w:rsidRPr="00BB387E" w:rsidRDefault="009368DA" w:rsidP="009368DA">
      <w:pPr>
        <w:spacing w:after="0"/>
        <w:jc w:val="center"/>
        <w:rPr>
          <w:rFonts w:ascii="Arial" w:hAnsi="Arial" w:cs="Arial"/>
          <w:b/>
          <w:bCs/>
          <w:sz w:val="24"/>
          <w:szCs w:val="24"/>
        </w:rPr>
      </w:pPr>
    </w:p>
    <w:p w14:paraId="341780A2" w14:textId="77777777" w:rsidR="009368DA" w:rsidRDefault="009368DA" w:rsidP="009368DA">
      <w:pPr>
        <w:spacing w:after="0"/>
        <w:jc w:val="center"/>
        <w:rPr>
          <w:rFonts w:ascii="Arial" w:hAnsi="Arial" w:cs="Arial"/>
          <w:b/>
          <w:bCs/>
          <w:sz w:val="24"/>
          <w:szCs w:val="24"/>
        </w:rPr>
      </w:pPr>
      <w:r w:rsidRPr="00BB387E">
        <w:rPr>
          <w:rFonts w:ascii="Arial" w:hAnsi="Arial" w:cs="Arial"/>
          <w:b/>
          <w:bCs/>
          <w:sz w:val="24"/>
          <w:szCs w:val="24"/>
        </w:rPr>
        <w:t>EXPLANATORY STATEMENT</w:t>
      </w:r>
      <w:r>
        <w:rPr>
          <w:rFonts w:ascii="Arial" w:hAnsi="Arial" w:cs="Arial"/>
          <w:b/>
          <w:bCs/>
          <w:sz w:val="24"/>
          <w:szCs w:val="24"/>
        </w:rPr>
        <w:t xml:space="preserve"> </w:t>
      </w:r>
    </w:p>
    <w:p w14:paraId="04AE9A07" w14:textId="77777777" w:rsidR="009368DA" w:rsidRDefault="009368DA" w:rsidP="009368DA">
      <w:pPr>
        <w:spacing w:after="0"/>
        <w:jc w:val="center"/>
        <w:rPr>
          <w:rFonts w:ascii="Arial" w:hAnsi="Arial" w:cs="Arial"/>
          <w:b/>
          <w:bCs/>
          <w:sz w:val="24"/>
          <w:szCs w:val="24"/>
        </w:rPr>
      </w:pPr>
      <w:r>
        <w:rPr>
          <w:rFonts w:ascii="Arial" w:hAnsi="Arial" w:cs="Arial"/>
          <w:b/>
          <w:bCs/>
          <w:sz w:val="24"/>
          <w:szCs w:val="24"/>
        </w:rPr>
        <w:t>and</w:t>
      </w:r>
    </w:p>
    <w:p w14:paraId="3957A37C" w14:textId="77777777" w:rsidR="009368DA" w:rsidRDefault="009368DA" w:rsidP="009368DA">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72279493" w14:textId="77777777" w:rsidR="009368DA" w:rsidRPr="00BB387E" w:rsidRDefault="009368DA" w:rsidP="009368DA">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737BC502" w14:textId="77777777" w:rsidR="009368DA" w:rsidRPr="00BB387E" w:rsidRDefault="009368DA" w:rsidP="009368DA">
      <w:pPr>
        <w:spacing w:after="0"/>
        <w:jc w:val="center"/>
        <w:rPr>
          <w:rFonts w:ascii="Arial" w:hAnsi="Arial" w:cs="Arial"/>
          <w:b/>
          <w:sz w:val="24"/>
          <w:szCs w:val="24"/>
        </w:rPr>
      </w:pPr>
    </w:p>
    <w:p w14:paraId="6E41D66F" w14:textId="77777777" w:rsidR="009368DA" w:rsidRPr="00BB387E" w:rsidRDefault="009368DA" w:rsidP="009368DA">
      <w:pPr>
        <w:spacing w:after="0"/>
        <w:jc w:val="center"/>
        <w:rPr>
          <w:rFonts w:ascii="Arial" w:hAnsi="Arial" w:cs="Arial"/>
          <w:b/>
          <w:sz w:val="24"/>
          <w:szCs w:val="24"/>
        </w:rPr>
      </w:pPr>
    </w:p>
    <w:p w14:paraId="6ECC5223" w14:textId="77777777" w:rsidR="009368DA" w:rsidRPr="00BB387E" w:rsidRDefault="009368DA" w:rsidP="009368DA">
      <w:pPr>
        <w:spacing w:after="0"/>
        <w:jc w:val="center"/>
        <w:rPr>
          <w:rFonts w:ascii="Arial" w:hAnsi="Arial" w:cs="Arial"/>
          <w:b/>
          <w:sz w:val="24"/>
          <w:szCs w:val="24"/>
        </w:rPr>
      </w:pPr>
    </w:p>
    <w:p w14:paraId="2F78059F" w14:textId="77777777" w:rsidR="009368DA" w:rsidRPr="00BB387E" w:rsidRDefault="009368DA" w:rsidP="009368DA">
      <w:pPr>
        <w:spacing w:after="0"/>
        <w:jc w:val="center"/>
        <w:rPr>
          <w:rFonts w:ascii="Arial" w:hAnsi="Arial" w:cs="Arial"/>
          <w:b/>
          <w:sz w:val="24"/>
          <w:szCs w:val="24"/>
        </w:rPr>
      </w:pPr>
    </w:p>
    <w:p w14:paraId="2A7C76CF" w14:textId="77777777" w:rsidR="009368DA" w:rsidRPr="00BB387E" w:rsidRDefault="009368DA" w:rsidP="009368DA">
      <w:pPr>
        <w:keepNext/>
        <w:widowControl w:val="0"/>
        <w:spacing w:after="0"/>
        <w:jc w:val="center"/>
        <w:outlineLvl w:val="7"/>
        <w:rPr>
          <w:rFonts w:ascii="Arial" w:hAnsi="Arial" w:cs="Arial"/>
          <w:b/>
          <w:bCs/>
          <w:sz w:val="24"/>
          <w:szCs w:val="24"/>
        </w:rPr>
      </w:pPr>
    </w:p>
    <w:p w14:paraId="03E6B912" w14:textId="77777777" w:rsidR="009368DA" w:rsidRPr="00BB387E" w:rsidRDefault="009368DA" w:rsidP="009368DA">
      <w:pPr>
        <w:keepNext/>
        <w:widowControl w:val="0"/>
        <w:spacing w:after="0"/>
        <w:jc w:val="center"/>
        <w:outlineLvl w:val="7"/>
        <w:rPr>
          <w:rFonts w:ascii="Arial" w:hAnsi="Arial" w:cs="Arial"/>
          <w:b/>
          <w:bCs/>
          <w:sz w:val="24"/>
          <w:szCs w:val="24"/>
        </w:rPr>
      </w:pPr>
    </w:p>
    <w:p w14:paraId="4556A129" w14:textId="77777777" w:rsidR="009368DA" w:rsidRPr="00BB387E" w:rsidRDefault="009368DA" w:rsidP="009368DA">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27716F86" w14:textId="77777777" w:rsidR="009368DA" w:rsidRDefault="009368DA" w:rsidP="009368DA">
      <w:pPr>
        <w:spacing w:after="0"/>
        <w:ind w:right="686"/>
        <w:jc w:val="right"/>
        <w:rPr>
          <w:rFonts w:ascii="Arial" w:hAnsi="Arial" w:cs="Arial"/>
          <w:b/>
          <w:bCs/>
          <w:sz w:val="24"/>
          <w:szCs w:val="24"/>
        </w:rPr>
      </w:pPr>
      <w:r>
        <w:rPr>
          <w:rFonts w:ascii="Arial" w:hAnsi="Arial" w:cs="Arial"/>
          <w:b/>
          <w:bCs/>
          <w:sz w:val="24"/>
          <w:szCs w:val="24"/>
        </w:rPr>
        <w:t>Andrew Barr MLA</w:t>
      </w:r>
    </w:p>
    <w:p w14:paraId="45D0220C" w14:textId="77777777" w:rsidR="009368DA" w:rsidRPr="00BB387E" w:rsidRDefault="009368DA" w:rsidP="009368DA">
      <w:pPr>
        <w:spacing w:after="0"/>
        <w:ind w:right="686"/>
        <w:jc w:val="right"/>
        <w:rPr>
          <w:rFonts w:ascii="Arial" w:hAnsi="Arial" w:cs="Arial"/>
          <w:b/>
          <w:bCs/>
          <w:sz w:val="24"/>
          <w:szCs w:val="24"/>
        </w:rPr>
      </w:pPr>
      <w:r>
        <w:rPr>
          <w:rFonts w:ascii="Arial" w:hAnsi="Arial" w:cs="Arial"/>
          <w:b/>
          <w:bCs/>
          <w:sz w:val="24"/>
          <w:szCs w:val="24"/>
        </w:rPr>
        <w:t>Shane Rattenbury MLA</w:t>
      </w:r>
    </w:p>
    <w:p w14:paraId="5CB7134E" w14:textId="77777777" w:rsidR="009368DA" w:rsidRPr="008C3B92" w:rsidRDefault="009368DA" w:rsidP="009368DA">
      <w:pPr>
        <w:spacing w:after="0" w:line="240" w:lineRule="auto"/>
        <w:rPr>
          <w:rFonts w:ascii="Arial" w:hAnsi="Arial" w:cs="Arial"/>
          <w:b/>
          <w:bCs/>
          <w:sz w:val="24"/>
          <w:szCs w:val="24"/>
          <w:u w:val="single"/>
        </w:rPr>
        <w:sectPr w:rsidR="009368DA"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766C7538" w14:textId="35B1DAE1" w:rsidR="009368DA" w:rsidRPr="00BB387E" w:rsidRDefault="009368DA" w:rsidP="009368DA">
      <w:pPr>
        <w:pStyle w:val="Heading1"/>
        <w:jc w:val="center"/>
      </w:pPr>
      <w:r>
        <w:lastRenderedPageBreak/>
        <w:t>Sexuality and Gender Identity Conversion Practices Bill 2020</w:t>
      </w:r>
    </w:p>
    <w:p w14:paraId="39D9D609" w14:textId="77777777" w:rsidR="009368DA" w:rsidRDefault="009368DA" w:rsidP="009368DA">
      <w:pPr>
        <w:spacing w:after="0"/>
        <w:contextualSpacing/>
        <w:rPr>
          <w:rFonts w:ascii="Arial" w:hAnsi="Arial" w:cs="Arial"/>
          <w:bCs/>
          <w:sz w:val="24"/>
          <w:szCs w:val="24"/>
        </w:rPr>
      </w:pPr>
    </w:p>
    <w:p w14:paraId="74F4F84C" w14:textId="77777777" w:rsidR="009368DA" w:rsidRPr="00834FC9" w:rsidRDefault="009368DA" w:rsidP="009368DA">
      <w:pPr>
        <w:spacing w:after="0"/>
        <w:contextualSpacing/>
        <w:rPr>
          <w:rFonts w:ascii="Arial" w:hAnsi="Arial" w:cs="Arial"/>
          <w:bCs/>
          <w:sz w:val="24"/>
          <w:szCs w:val="24"/>
        </w:rPr>
      </w:pPr>
      <w:r w:rsidRPr="00834FC9">
        <w:rPr>
          <w:rFonts w:ascii="Arial" w:hAnsi="Arial" w:cs="Arial"/>
          <w:bCs/>
          <w:sz w:val="24"/>
          <w:szCs w:val="24"/>
        </w:rPr>
        <w:t xml:space="preserve">The Bill </w:t>
      </w:r>
      <w:r w:rsidRPr="00834FC9">
        <w:rPr>
          <w:rFonts w:ascii="Arial" w:hAnsi="Arial" w:cs="Arial"/>
          <w:b/>
          <w:sz w:val="24"/>
          <w:szCs w:val="24"/>
        </w:rPr>
        <w:t>is</w:t>
      </w:r>
      <w:r>
        <w:rPr>
          <w:rFonts w:ascii="Arial" w:hAnsi="Arial" w:cs="Arial"/>
          <w:b/>
          <w:sz w:val="24"/>
          <w:szCs w:val="24"/>
        </w:rPr>
        <w:t xml:space="preserve"> </w:t>
      </w:r>
      <w:r w:rsidRPr="00834FC9">
        <w:rPr>
          <w:rFonts w:ascii="Arial" w:hAnsi="Arial" w:cs="Arial"/>
          <w:bCs/>
          <w:sz w:val="24"/>
          <w:szCs w:val="24"/>
        </w:rPr>
        <w:t xml:space="preserve">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74E6846D" w14:textId="77777777" w:rsidR="009368DA" w:rsidRPr="00834FC9" w:rsidRDefault="009368DA" w:rsidP="009368DA">
      <w:pPr>
        <w:spacing w:after="0"/>
        <w:rPr>
          <w:rFonts w:ascii="Arial" w:hAnsi="Arial" w:cs="Arial"/>
          <w:bCs/>
          <w:sz w:val="24"/>
          <w:szCs w:val="24"/>
          <w:highlight w:val="yellow"/>
        </w:rPr>
      </w:pPr>
    </w:p>
    <w:p w14:paraId="4A733D83" w14:textId="77777777" w:rsidR="009368DA" w:rsidRDefault="009368DA" w:rsidP="009368DA">
      <w:pPr>
        <w:pStyle w:val="Heading2"/>
      </w:pPr>
      <w:r>
        <w:t>OVERVIEW OF THE BILL</w:t>
      </w:r>
    </w:p>
    <w:p w14:paraId="79FEB0F7" w14:textId="2DE41600" w:rsidR="00062D41" w:rsidRDefault="009368DA" w:rsidP="009368DA">
      <w:pPr>
        <w:tabs>
          <w:tab w:val="left" w:pos="5027"/>
        </w:tabs>
        <w:spacing w:after="120"/>
        <w:ind w:right="-45"/>
        <w:rPr>
          <w:rFonts w:ascii="Arial" w:hAnsi="Arial" w:cs="Arial"/>
          <w:iCs/>
          <w:sz w:val="24"/>
          <w:szCs w:val="24"/>
        </w:rPr>
      </w:pPr>
      <w:r>
        <w:rPr>
          <w:rFonts w:ascii="Arial" w:hAnsi="Arial" w:cs="Arial"/>
          <w:iCs/>
          <w:sz w:val="24"/>
          <w:szCs w:val="24"/>
        </w:rPr>
        <w:t xml:space="preserve">The Sexuality and Gender Identity Conversion Practices Bill 2020 (the Bill) prohibits </w:t>
      </w:r>
      <w:r w:rsidR="003E3B50">
        <w:rPr>
          <w:rFonts w:ascii="Arial" w:hAnsi="Arial" w:cs="Arial"/>
          <w:iCs/>
          <w:sz w:val="24"/>
          <w:szCs w:val="24"/>
        </w:rPr>
        <w:t xml:space="preserve">certain </w:t>
      </w:r>
      <w:r>
        <w:rPr>
          <w:rFonts w:ascii="Arial" w:hAnsi="Arial" w:cs="Arial"/>
          <w:iCs/>
          <w:sz w:val="24"/>
          <w:szCs w:val="24"/>
        </w:rPr>
        <w:t xml:space="preserve">practices aimed at changing a person’s </w:t>
      </w:r>
      <w:r w:rsidR="00C5493B">
        <w:rPr>
          <w:rFonts w:ascii="Arial" w:hAnsi="Arial" w:cs="Arial"/>
          <w:iCs/>
          <w:sz w:val="24"/>
          <w:szCs w:val="24"/>
        </w:rPr>
        <w:t>sexuality or</w:t>
      </w:r>
      <w:r>
        <w:rPr>
          <w:rFonts w:ascii="Arial" w:hAnsi="Arial" w:cs="Arial"/>
          <w:iCs/>
          <w:sz w:val="24"/>
          <w:szCs w:val="24"/>
        </w:rPr>
        <w:t xml:space="preserve"> gender identity </w:t>
      </w:r>
      <w:r w:rsidRPr="00741655">
        <w:rPr>
          <w:rFonts w:ascii="Arial" w:hAnsi="Arial" w:cs="Arial"/>
          <w:iCs/>
          <w:sz w:val="24"/>
          <w:szCs w:val="24"/>
        </w:rPr>
        <w:t>(‘</w:t>
      </w:r>
      <w:r>
        <w:rPr>
          <w:rFonts w:ascii="Arial" w:hAnsi="Arial" w:cs="Arial"/>
          <w:iCs/>
          <w:sz w:val="24"/>
          <w:szCs w:val="24"/>
        </w:rPr>
        <w:t xml:space="preserve">conversion practices’). </w:t>
      </w:r>
    </w:p>
    <w:p w14:paraId="222CD9A4" w14:textId="0D4A5AA1" w:rsidR="003E3B50" w:rsidRDefault="003E3B50" w:rsidP="009368DA">
      <w:pPr>
        <w:tabs>
          <w:tab w:val="left" w:pos="5027"/>
        </w:tabs>
        <w:spacing w:after="120"/>
        <w:ind w:right="-45"/>
        <w:rPr>
          <w:rFonts w:ascii="Arial" w:hAnsi="Arial" w:cs="Arial"/>
          <w:iCs/>
          <w:sz w:val="24"/>
          <w:szCs w:val="24"/>
        </w:rPr>
      </w:pPr>
      <w:r>
        <w:rPr>
          <w:rFonts w:ascii="Arial" w:hAnsi="Arial" w:cs="Arial"/>
          <w:iCs/>
          <w:sz w:val="24"/>
          <w:szCs w:val="24"/>
        </w:rPr>
        <w:t>The Bill makes it a criminal offence to conduct such practices on a protected person, or to remove a protected person from the jurisdiction for the purpose of conducting such practices.</w:t>
      </w:r>
      <w:r w:rsidR="00B25B1A">
        <w:rPr>
          <w:rFonts w:ascii="Arial" w:hAnsi="Arial" w:cs="Arial"/>
          <w:iCs/>
          <w:sz w:val="24"/>
          <w:szCs w:val="24"/>
        </w:rPr>
        <w:t xml:space="preserve"> A protected person means a child or a person who has impaired decision-making </w:t>
      </w:r>
      <w:r w:rsidR="00073A71">
        <w:rPr>
          <w:rFonts w:ascii="Arial" w:hAnsi="Arial" w:cs="Arial"/>
          <w:iCs/>
          <w:sz w:val="24"/>
          <w:szCs w:val="24"/>
        </w:rPr>
        <w:t xml:space="preserve">ability </w:t>
      </w:r>
      <w:r w:rsidR="00B25B1A">
        <w:rPr>
          <w:rFonts w:ascii="Arial" w:hAnsi="Arial" w:cs="Arial"/>
          <w:iCs/>
          <w:sz w:val="24"/>
          <w:szCs w:val="24"/>
        </w:rPr>
        <w:t>in relation to a matter relating to the person’s health or welfare.</w:t>
      </w:r>
    </w:p>
    <w:p w14:paraId="41822A12" w14:textId="195941B0" w:rsidR="003E3B50" w:rsidRDefault="003E3B50" w:rsidP="009368DA">
      <w:pPr>
        <w:tabs>
          <w:tab w:val="left" w:pos="5027"/>
        </w:tabs>
        <w:spacing w:after="120"/>
        <w:ind w:right="-45"/>
        <w:rPr>
          <w:rFonts w:ascii="Arial" w:hAnsi="Arial" w:cs="Arial"/>
          <w:iCs/>
          <w:sz w:val="24"/>
          <w:szCs w:val="24"/>
        </w:rPr>
      </w:pPr>
      <w:r>
        <w:rPr>
          <w:rFonts w:ascii="Arial" w:hAnsi="Arial" w:cs="Arial"/>
          <w:iCs/>
          <w:sz w:val="24"/>
          <w:szCs w:val="24"/>
        </w:rPr>
        <w:t>It also provides a civil mechanism through the</w:t>
      </w:r>
      <w:r w:rsidR="0083502D">
        <w:rPr>
          <w:rFonts w:ascii="Arial" w:hAnsi="Arial" w:cs="Arial"/>
          <w:iCs/>
          <w:sz w:val="24"/>
          <w:szCs w:val="24"/>
        </w:rPr>
        <w:t xml:space="preserve"> ACT</w:t>
      </w:r>
      <w:r>
        <w:rPr>
          <w:rFonts w:ascii="Arial" w:hAnsi="Arial" w:cs="Arial"/>
          <w:iCs/>
          <w:sz w:val="24"/>
          <w:szCs w:val="24"/>
        </w:rPr>
        <w:t xml:space="preserve"> Human Rights Commission </w:t>
      </w:r>
      <w:r w:rsidR="0083502D">
        <w:rPr>
          <w:rFonts w:ascii="Arial" w:hAnsi="Arial" w:cs="Arial"/>
          <w:iCs/>
          <w:sz w:val="24"/>
          <w:szCs w:val="24"/>
        </w:rPr>
        <w:t xml:space="preserve">(the Commission) </w:t>
      </w:r>
      <w:r w:rsidR="00B25B1A">
        <w:rPr>
          <w:rFonts w:ascii="Arial" w:hAnsi="Arial" w:cs="Arial"/>
          <w:iCs/>
          <w:sz w:val="24"/>
          <w:szCs w:val="24"/>
        </w:rPr>
        <w:t>for people who are harmed by conversion practices to make a conversion practice complaint which, if not successfully conciliated, can then be referred to</w:t>
      </w:r>
      <w:r>
        <w:rPr>
          <w:rFonts w:ascii="Arial" w:hAnsi="Arial" w:cs="Arial"/>
          <w:iCs/>
          <w:sz w:val="24"/>
          <w:szCs w:val="24"/>
        </w:rPr>
        <w:t xml:space="preserve"> the ACT Civil and Administrative Tribunal (ACAT) </w:t>
      </w:r>
    </w:p>
    <w:p w14:paraId="3C9B1A2E" w14:textId="70F93783" w:rsidR="00D01182" w:rsidRDefault="00D01182" w:rsidP="00D01182">
      <w:pPr>
        <w:tabs>
          <w:tab w:val="left" w:pos="5027"/>
        </w:tabs>
        <w:spacing w:after="120"/>
        <w:ind w:right="-45"/>
        <w:rPr>
          <w:rFonts w:ascii="Arial" w:hAnsi="Arial" w:cs="Arial"/>
          <w:iCs/>
          <w:sz w:val="24"/>
          <w:szCs w:val="24"/>
        </w:rPr>
      </w:pPr>
      <w:r>
        <w:rPr>
          <w:rFonts w:ascii="Arial" w:hAnsi="Arial" w:cs="Arial"/>
          <w:iCs/>
          <w:sz w:val="24"/>
          <w:szCs w:val="24"/>
        </w:rPr>
        <w:t>The Bill does not prohibit</w:t>
      </w:r>
      <w:r w:rsidRPr="00062D41">
        <w:rPr>
          <w:rFonts w:ascii="Arial" w:hAnsi="Arial" w:cs="Arial"/>
          <w:iCs/>
          <w:sz w:val="24"/>
          <w:szCs w:val="24"/>
        </w:rPr>
        <w:t xml:space="preserve"> </w:t>
      </w:r>
      <w:r w:rsidR="003E3B50">
        <w:rPr>
          <w:rFonts w:ascii="Arial" w:hAnsi="Arial" w:cs="Arial"/>
          <w:iCs/>
          <w:sz w:val="24"/>
          <w:szCs w:val="24"/>
        </w:rPr>
        <w:t xml:space="preserve">a person providing </w:t>
      </w:r>
      <w:r w:rsidRPr="00062D41">
        <w:rPr>
          <w:rFonts w:ascii="Arial" w:hAnsi="Arial" w:cs="Arial"/>
          <w:iCs/>
          <w:sz w:val="24"/>
          <w:szCs w:val="24"/>
        </w:rPr>
        <w:t>support and affirmation of an individual’s identity and choices</w:t>
      </w:r>
      <w:r>
        <w:rPr>
          <w:rFonts w:ascii="Arial" w:hAnsi="Arial" w:cs="Arial"/>
          <w:iCs/>
          <w:sz w:val="24"/>
          <w:szCs w:val="24"/>
        </w:rPr>
        <w:t xml:space="preserve">. Conversion practices do not include practices that </w:t>
      </w:r>
      <w:r w:rsidRPr="00062D41">
        <w:rPr>
          <w:rFonts w:ascii="Arial" w:hAnsi="Arial" w:cs="Arial"/>
          <w:iCs/>
          <w:sz w:val="24"/>
          <w:szCs w:val="24"/>
        </w:rPr>
        <w:t xml:space="preserve">assist a person undergoing or considering </w:t>
      </w:r>
      <w:r w:rsidR="00255013">
        <w:rPr>
          <w:rFonts w:ascii="Arial" w:hAnsi="Arial" w:cs="Arial"/>
          <w:iCs/>
          <w:sz w:val="24"/>
          <w:szCs w:val="24"/>
        </w:rPr>
        <w:t>undergoing a</w:t>
      </w:r>
      <w:r w:rsidRPr="00062D41">
        <w:rPr>
          <w:rFonts w:ascii="Arial" w:hAnsi="Arial" w:cs="Arial"/>
          <w:iCs/>
          <w:sz w:val="24"/>
          <w:szCs w:val="24"/>
        </w:rPr>
        <w:t xml:space="preserve"> gender transition, assist a person to express their gender identity, provide acceptance, support </w:t>
      </w:r>
      <w:r w:rsidR="00182173">
        <w:rPr>
          <w:rFonts w:ascii="Arial" w:hAnsi="Arial" w:cs="Arial"/>
          <w:iCs/>
          <w:sz w:val="24"/>
          <w:szCs w:val="24"/>
        </w:rPr>
        <w:t>or</w:t>
      </w:r>
      <w:r w:rsidR="00182173" w:rsidRPr="00062D41">
        <w:rPr>
          <w:rFonts w:ascii="Arial" w:hAnsi="Arial" w:cs="Arial"/>
          <w:iCs/>
          <w:sz w:val="24"/>
          <w:szCs w:val="24"/>
        </w:rPr>
        <w:t xml:space="preserve"> </w:t>
      </w:r>
      <w:r w:rsidRPr="00062D41">
        <w:rPr>
          <w:rFonts w:ascii="Arial" w:hAnsi="Arial" w:cs="Arial"/>
          <w:iCs/>
          <w:sz w:val="24"/>
          <w:szCs w:val="24"/>
        </w:rPr>
        <w:t>understanding of a person, or facilitate</w:t>
      </w:r>
      <w:r w:rsidR="003E3B50">
        <w:rPr>
          <w:rFonts w:ascii="Arial" w:hAnsi="Arial" w:cs="Arial"/>
          <w:iCs/>
          <w:sz w:val="24"/>
          <w:szCs w:val="24"/>
        </w:rPr>
        <w:t xml:space="preserve"> </w:t>
      </w:r>
      <w:r w:rsidRPr="00062D41">
        <w:rPr>
          <w:rFonts w:ascii="Arial" w:hAnsi="Arial" w:cs="Arial"/>
          <w:iCs/>
          <w:sz w:val="24"/>
          <w:szCs w:val="24"/>
        </w:rPr>
        <w:t xml:space="preserve">a person’s coping skills, social support </w:t>
      </w:r>
      <w:r w:rsidR="00182173">
        <w:rPr>
          <w:rFonts w:ascii="Arial" w:hAnsi="Arial" w:cs="Arial"/>
          <w:iCs/>
          <w:sz w:val="24"/>
          <w:szCs w:val="24"/>
        </w:rPr>
        <w:t xml:space="preserve">or identity </w:t>
      </w:r>
      <w:r w:rsidRPr="00062D41">
        <w:rPr>
          <w:rFonts w:ascii="Arial" w:hAnsi="Arial" w:cs="Arial"/>
          <w:iCs/>
          <w:sz w:val="24"/>
          <w:szCs w:val="24"/>
        </w:rPr>
        <w:t>exploration</w:t>
      </w:r>
      <w:r w:rsidR="00182173">
        <w:rPr>
          <w:rFonts w:ascii="Arial" w:hAnsi="Arial" w:cs="Arial"/>
          <w:iCs/>
          <w:sz w:val="24"/>
          <w:szCs w:val="24"/>
        </w:rPr>
        <w:t xml:space="preserve"> and development</w:t>
      </w:r>
      <w:r w:rsidRPr="00062D41">
        <w:rPr>
          <w:rFonts w:ascii="Arial" w:hAnsi="Arial" w:cs="Arial"/>
          <w:iCs/>
          <w:sz w:val="24"/>
          <w:szCs w:val="24"/>
        </w:rPr>
        <w:t xml:space="preserve">. </w:t>
      </w:r>
    </w:p>
    <w:p w14:paraId="254837E5" w14:textId="7EBC33F4" w:rsidR="00D01182" w:rsidRDefault="00D01182" w:rsidP="00D01182">
      <w:pPr>
        <w:tabs>
          <w:tab w:val="left" w:pos="5027"/>
        </w:tabs>
        <w:spacing w:after="120"/>
        <w:ind w:right="-45"/>
        <w:rPr>
          <w:rFonts w:ascii="Arial" w:hAnsi="Arial" w:cs="Arial"/>
          <w:iCs/>
          <w:sz w:val="24"/>
          <w:szCs w:val="24"/>
        </w:rPr>
      </w:pPr>
      <w:r>
        <w:rPr>
          <w:rFonts w:ascii="Arial" w:hAnsi="Arial" w:cs="Arial"/>
          <w:iCs/>
          <w:sz w:val="24"/>
          <w:szCs w:val="24"/>
        </w:rPr>
        <w:t>The Bill also does not prohibit practices in line with professional medical standards. C</w:t>
      </w:r>
      <w:r w:rsidRPr="00062D41">
        <w:rPr>
          <w:rFonts w:ascii="Arial" w:hAnsi="Arial" w:cs="Arial"/>
          <w:iCs/>
          <w:sz w:val="24"/>
          <w:szCs w:val="24"/>
        </w:rPr>
        <w:t>onversion practices do not include a practice by a health service provider that, in the provider’s reasonable professional judgment, is necessary to provide a health service in a manner that is safe and appropriate or comply with the provider’s legal or professional obligations.</w:t>
      </w:r>
      <w:r>
        <w:rPr>
          <w:rFonts w:ascii="Arial" w:hAnsi="Arial" w:cs="Arial"/>
          <w:iCs/>
          <w:sz w:val="24"/>
          <w:szCs w:val="24"/>
        </w:rPr>
        <w:t xml:space="preserve"> </w:t>
      </w:r>
    </w:p>
    <w:p w14:paraId="53AFE1A2" w14:textId="4F5F2D05" w:rsidR="009368DA" w:rsidRDefault="009368DA" w:rsidP="009368DA">
      <w:pPr>
        <w:tabs>
          <w:tab w:val="left" w:pos="5027"/>
        </w:tabs>
        <w:spacing w:after="120"/>
        <w:ind w:right="-45"/>
        <w:rPr>
          <w:rFonts w:ascii="Arial" w:hAnsi="Arial" w:cs="Arial"/>
          <w:iCs/>
          <w:sz w:val="24"/>
          <w:szCs w:val="24"/>
        </w:rPr>
      </w:pPr>
      <w:r>
        <w:rPr>
          <w:rFonts w:ascii="Arial" w:hAnsi="Arial" w:cs="Arial"/>
          <w:iCs/>
          <w:sz w:val="24"/>
          <w:szCs w:val="24"/>
        </w:rPr>
        <w:t>Conversion practices are based in an ideology that LGBTQ people are ‘broken’ or ‘unnatural’ and encompass a wide range of practices that seek to ‘fix’ people to become or express a heterosexual or cisgender</w:t>
      </w:r>
      <w:r w:rsidR="004928BA">
        <w:rPr>
          <w:rFonts w:ascii="Arial" w:hAnsi="Arial" w:cs="Arial"/>
          <w:iCs/>
          <w:sz w:val="24"/>
          <w:szCs w:val="24"/>
        </w:rPr>
        <w:t xml:space="preserve"> </w:t>
      </w:r>
      <w:r>
        <w:rPr>
          <w:rFonts w:ascii="Arial" w:hAnsi="Arial" w:cs="Arial"/>
          <w:iCs/>
          <w:sz w:val="24"/>
          <w:szCs w:val="24"/>
        </w:rPr>
        <w:t xml:space="preserve">identity. </w:t>
      </w:r>
    </w:p>
    <w:p w14:paraId="1D6FDD3E" w14:textId="3A9072EC" w:rsidR="009368DA" w:rsidRDefault="009368DA" w:rsidP="009368DA">
      <w:pPr>
        <w:tabs>
          <w:tab w:val="left" w:pos="5027"/>
        </w:tabs>
        <w:spacing w:after="120"/>
        <w:ind w:right="-45"/>
        <w:rPr>
          <w:rFonts w:ascii="Arial" w:hAnsi="Arial" w:cs="Arial"/>
          <w:iCs/>
          <w:sz w:val="24"/>
          <w:szCs w:val="24"/>
        </w:rPr>
      </w:pPr>
      <w:r>
        <w:rPr>
          <w:rFonts w:ascii="Arial" w:hAnsi="Arial" w:cs="Arial"/>
          <w:iCs/>
          <w:sz w:val="24"/>
          <w:szCs w:val="24"/>
        </w:rPr>
        <w:t>Conversion practices cause harm. Evidence from survivors of conversion practices in the ACT and Australia reveal the extent and long-term impact of this harm. These</w:t>
      </w:r>
      <w:r w:rsidRPr="00976F24">
        <w:rPr>
          <w:rFonts w:ascii="Arial" w:hAnsi="Arial" w:cs="Arial"/>
          <w:iCs/>
          <w:sz w:val="24"/>
          <w:szCs w:val="24"/>
        </w:rPr>
        <w:t xml:space="preserve"> practices are reported to cause depression, suicidality, anxiety, decreased sexual function, poor self-esteem, social isolation, and decreased capacity for intimacy</w:t>
      </w:r>
      <w:r>
        <w:rPr>
          <w:rFonts w:ascii="Arial" w:hAnsi="Arial" w:cs="Arial"/>
          <w:iCs/>
          <w:sz w:val="24"/>
          <w:szCs w:val="24"/>
        </w:rPr>
        <w:t>.</w:t>
      </w:r>
      <w:r w:rsidRPr="00672307">
        <w:rPr>
          <w:rStyle w:val="FootnoteReference"/>
          <w:rFonts w:ascii="Arial" w:hAnsi="Arial" w:cs="Arial"/>
        </w:rPr>
        <w:footnoteReference w:id="2"/>
      </w:r>
      <w:r>
        <w:rPr>
          <w:rFonts w:ascii="Arial" w:hAnsi="Arial" w:cs="Arial"/>
          <w:iCs/>
          <w:sz w:val="24"/>
          <w:szCs w:val="24"/>
        </w:rPr>
        <w:t xml:space="preserve"> Conversely, there is no evidence to suggest any benefits nor that sexual</w:t>
      </w:r>
      <w:r w:rsidR="00843710">
        <w:rPr>
          <w:rFonts w:ascii="Arial" w:hAnsi="Arial" w:cs="Arial"/>
          <w:iCs/>
          <w:sz w:val="24"/>
          <w:szCs w:val="24"/>
        </w:rPr>
        <w:t>ity</w:t>
      </w:r>
      <w:r>
        <w:rPr>
          <w:rFonts w:ascii="Arial" w:hAnsi="Arial" w:cs="Arial"/>
          <w:iCs/>
          <w:sz w:val="24"/>
          <w:szCs w:val="24"/>
        </w:rPr>
        <w:t xml:space="preserve"> or gender </w:t>
      </w:r>
      <w:r>
        <w:rPr>
          <w:rFonts w:ascii="Arial" w:hAnsi="Arial" w:cs="Arial"/>
          <w:iCs/>
          <w:sz w:val="24"/>
          <w:szCs w:val="24"/>
        </w:rPr>
        <w:lastRenderedPageBreak/>
        <w:t>identity can be changed by undertaking conversion practices. These practices have been condemned by peak national medical bodies.</w:t>
      </w:r>
      <w:r w:rsidRPr="00672307">
        <w:rPr>
          <w:rStyle w:val="FootnoteReference"/>
          <w:rFonts w:ascii="Arial" w:hAnsi="Arial" w:cs="Arial"/>
        </w:rPr>
        <w:footnoteReference w:id="3"/>
      </w:r>
      <w:r>
        <w:rPr>
          <w:rFonts w:ascii="Arial" w:hAnsi="Arial" w:cs="Arial"/>
          <w:iCs/>
          <w:sz w:val="24"/>
          <w:szCs w:val="24"/>
        </w:rPr>
        <w:t xml:space="preserve"> </w:t>
      </w:r>
    </w:p>
    <w:p w14:paraId="678761BF" w14:textId="033DD9D3" w:rsidR="009368DA" w:rsidRDefault="009368DA" w:rsidP="009368DA">
      <w:pPr>
        <w:tabs>
          <w:tab w:val="left" w:pos="5027"/>
        </w:tabs>
        <w:spacing w:after="120"/>
        <w:ind w:right="-45"/>
        <w:rPr>
          <w:rFonts w:ascii="Arial" w:hAnsi="Arial" w:cs="Arial"/>
          <w:iCs/>
          <w:sz w:val="24"/>
          <w:szCs w:val="24"/>
        </w:rPr>
      </w:pPr>
      <w:r>
        <w:rPr>
          <w:rFonts w:ascii="Arial" w:hAnsi="Arial" w:cs="Arial"/>
          <w:iCs/>
          <w:sz w:val="24"/>
          <w:szCs w:val="24"/>
        </w:rPr>
        <w:t xml:space="preserve">In </w:t>
      </w:r>
      <w:r w:rsidR="00D63E03">
        <w:rPr>
          <w:rFonts w:ascii="Arial" w:hAnsi="Arial" w:cs="Arial"/>
          <w:iCs/>
          <w:sz w:val="24"/>
          <w:szCs w:val="24"/>
        </w:rPr>
        <w:t>the first Action Plan made under our Capital of Equality Strategy</w:t>
      </w:r>
      <w:r>
        <w:rPr>
          <w:rFonts w:ascii="Arial" w:hAnsi="Arial" w:cs="Arial"/>
          <w:iCs/>
          <w:sz w:val="24"/>
          <w:szCs w:val="24"/>
        </w:rPr>
        <w:t xml:space="preserve">, the ACT Government committed to banning conversion practices by the end of 2020. </w:t>
      </w:r>
    </w:p>
    <w:p w14:paraId="2C38565A" w14:textId="319A6E44" w:rsidR="00D63E03" w:rsidRPr="00045364" w:rsidRDefault="009368DA" w:rsidP="009368DA">
      <w:pPr>
        <w:tabs>
          <w:tab w:val="left" w:pos="5027"/>
        </w:tabs>
        <w:spacing w:after="120"/>
        <w:ind w:right="-45"/>
        <w:rPr>
          <w:rFonts w:ascii="Arial" w:hAnsi="Arial" w:cs="Arial"/>
          <w:iCs/>
          <w:sz w:val="24"/>
          <w:szCs w:val="24"/>
        </w:rPr>
      </w:pPr>
      <w:r>
        <w:rPr>
          <w:rFonts w:ascii="Arial" w:hAnsi="Arial" w:cs="Arial"/>
          <w:iCs/>
          <w:sz w:val="24"/>
          <w:szCs w:val="24"/>
        </w:rPr>
        <w:t xml:space="preserve">Recognising that conversion practices often occur outside of formal health settings, </w:t>
      </w:r>
      <w:r w:rsidRPr="00045364">
        <w:rPr>
          <w:rFonts w:ascii="Arial" w:hAnsi="Arial" w:cs="Arial"/>
          <w:iCs/>
          <w:sz w:val="24"/>
          <w:szCs w:val="24"/>
        </w:rPr>
        <w:t xml:space="preserve">this Bill provides for </w:t>
      </w:r>
      <w:r w:rsidR="00360F73" w:rsidRPr="00045364">
        <w:rPr>
          <w:rFonts w:ascii="Arial" w:hAnsi="Arial" w:cs="Arial"/>
          <w:iCs/>
          <w:sz w:val="24"/>
          <w:szCs w:val="24"/>
        </w:rPr>
        <w:t>a civil complaints mechanism in relation to any person who performs a</w:t>
      </w:r>
      <w:r w:rsidRPr="00045364">
        <w:rPr>
          <w:rFonts w:ascii="Arial" w:hAnsi="Arial" w:cs="Arial"/>
          <w:iCs/>
          <w:sz w:val="24"/>
          <w:szCs w:val="24"/>
        </w:rPr>
        <w:t xml:space="preserve"> </w:t>
      </w:r>
      <w:r w:rsidR="00360F73" w:rsidRPr="00045364">
        <w:rPr>
          <w:rFonts w:ascii="Arial" w:hAnsi="Arial" w:cs="Arial"/>
          <w:iCs/>
          <w:sz w:val="24"/>
          <w:szCs w:val="24"/>
        </w:rPr>
        <w:t>conversion</w:t>
      </w:r>
      <w:r w:rsidRPr="00045364">
        <w:rPr>
          <w:rFonts w:ascii="Arial" w:hAnsi="Arial" w:cs="Arial"/>
          <w:iCs/>
          <w:sz w:val="24"/>
          <w:szCs w:val="24"/>
        </w:rPr>
        <w:t xml:space="preserve"> </w:t>
      </w:r>
      <w:r w:rsidR="0085408D" w:rsidRPr="00045364">
        <w:rPr>
          <w:rFonts w:ascii="Arial" w:hAnsi="Arial" w:cs="Arial"/>
          <w:iCs/>
          <w:sz w:val="24"/>
          <w:szCs w:val="24"/>
        </w:rPr>
        <w:t>practice,</w:t>
      </w:r>
      <w:r w:rsidR="00360F73" w:rsidRPr="00045364">
        <w:rPr>
          <w:rFonts w:ascii="Arial" w:hAnsi="Arial" w:cs="Arial"/>
          <w:iCs/>
          <w:sz w:val="24"/>
          <w:szCs w:val="24"/>
        </w:rPr>
        <w:t xml:space="preserve"> </w:t>
      </w:r>
      <w:r w:rsidRPr="00045364">
        <w:rPr>
          <w:rFonts w:ascii="Arial" w:hAnsi="Arial" w:cs="Arial"/>
          <w:iCs/>
          <w:sz w:val="24"/>
          <w:szCs w:val="24"/>
        </w:rPr>
        <w:t xml:space="preserve">and </w:t>
      </w:r>
      <w:r w:rsidR="003E3B50" w:rsidRPr="00045364">
        <w:rPr>
          <w:rFonts w:ascii="Arial" w:hAnsi="Arial" w:cs="Arial"/>
          <w:iCs/>
          <w:sz w:val="24"/>
          <w:szCs w:val="24"/>
        </w:rPr>
        <w:t xml:space="preserve">this </w:t>
      </w:r>
      <w:r w:rsidRPr="00045364">
        <w:rPr>
          <w:rFonts w:ascii="Arial" w:hAnsi="Arial" w:cs="Arial"/>
          <w:iCs/>
          <w:sz w:val="24"/>
          <w:szCs w:val="24"/>
        </w:rPr>
        <w:t xml:space="preserve">is not limited to health providers. </w:t>
      </w:r>
    </w:p>
    <w:p w14:paraId="33609645" w14:textId="24551A92" w:rsidR="0026333E" w:rsidRDefault="009368DA" w:rsidP="009368DA">
      <w:pPr>
        <w:tabs>
          <w:tab w:val="left" w:pos="5027"/>
        </w:tabs>
        <w:spacing w:after="120"/>
        <w:ind w:right="-45"/>
        <w:rPr>
          <w:rFonts w:ascii="Arial" w:hAnsi="Arial" w:cs="Arial"/>
          <w:iCs/>
          <w:sz w:val="24"/>
          <w:szCs w:val="24"/>
        </w:rPr>
      </w:pPr>
      <w:r w:rsidRPr="00045364">
        <w:rPr>
          <w:rFonts w:ascii="Arial" w:hAnsi="Arial" w:cs="Arial"/>
          <w:iCs/>
          <w:sz w:val="24"/>
          <w:szCs w:val="24"/>
        </w:rPr>
        <w:t>The Bill provides the Commission with jurisdiction to handle complaints about conversion practices, allowing the Commission to have the capacity to deal with complaints from individuals</w:t>
      </w:r>
      <w:r w:rsidR="0026333E" w:rsidRPr="00045364">
        <w:rPr>
          <w:rFonts w:ascii="Arial" w:hAnsi="Arial" w:cs="Arial"/>
          <w:iCs/>
          <w:sz w:val="24"/>
          <w:szCs w:val="24"/>
        </w:rPr>
        <w:t xml:space="preserve"> made against individuals and/or organisations providing these services in the ACT.</w:t>
      </w:r>
      <w:r w:rsidRPr="00045364">
        <w:rPr>
          <w:rFonts w:ascii="Arial" w:hAnsi="Arial" w:cs="Arial"/>
          <w:iCs/>
          <w:sz w:val="24"/>
          <w:szCs w:val="24"/>
        </w:rPr>
        <w:t xml:space="preserve"> </w:t>
      </w:r>
      <w:r w:rsidR="0026333E" w:rsidRPr="00045364">
        <w:rPr>
          <w:rFonts w:ascii="Arial" w:hAnsi="Arial" w:cs="Arial"/>
          <w:iCs/>
          <w:sz w:val="24"/>
          <w:szCs w:val="24"/>
        </w:rPr>
        <w:t xml:space="preserve">The Commission will also have the power to </w:t>
      </w:r>
      <w:r w:rsidRPr="00045364">
        <w:rPr>
          <w:rFonts w:ascii="Arial" w:hAnsi="Arial" w:cs="Arial"/>
          <w:iCs/>
          <w:sz w:val="24"/>
          <w:szCs w:val="24"/>
        </w:rPr>
        <w:t xml:space="preserve">conduct Commission-initiated considerations or systemic reviews </w:t>
      </w:r>
      <w:r w:rsidR="003868EA" w:rsidRPr="00045364">
        <w:rPr>
          <w:rFonts w:ascii="Arial" w:hAnsi="Arial" w:cs="Arial"/>
          <w:iCs/>
          <w:sz w:val="24"/>
          <w:szCs w:val="24"/>
        </w:rPr>
        <w:t xml:space="preserve">into </w:t>
      </w:r>
      <w:r w:rsidR="0026333E" w:rsidRPr="00045364">
        <w:rPr>
          <w:rFonts w:ascii="Arial" w:hAnsi="Arial" w:cs="Arial"/>
          <w:iCs/>
          <w:sz w:val="24"/>
          <w:szCs w:val="24"/>
        </w:rPr>
        <w:t xml:space="preserve">conversion </w:t>
      </w:r>
      <w:r w:rsidR="003868EA" w:rsidRPr="00045364">
        <w:rPr>
          <w:rFonts w:ascii="Arial" w:hAnsi="Arial" w:cs="Arial"/>
          <w:iCs/>
          <w:sz w:val="24"/>
          <w:szCs w:val="24"/>
        </w:rPr>
        <w:t>practice</w:t>
      </w:r>
      <w:r w:rsidR="0026333E" w:rsidRPr="00045364">
        <w:rPr>
          <w:rFonts w:ascii="Arial" w:hAnsi="Arial" w:cs="Arial"/>
          <w:iCs/>
          <w:sz w:val="24"/>
          <w:szCs w:val="24"/>
        </w:rPr>
        <w:t>s</w:t>
      </w:r>
      <w:r w:rsidRPr="00045364">
        <w:rPr>
          <w:rFonts w:ascii="Arial" w:hAnsi="Arial" w:cs="Arial"/>
          <w:iCs/>
          <w:sz w:val="24"/>
          <w:szCs w:val="24"/>
        </w:rPr>
        <w:t>.</w:t>
      </w:r>
      <w:r w:rsidRPr="00073A71">
        <w:rPr>
          <w:rFonts w:ascii="Arial" w:hAnsi="Arial" w:cs="Arial"/>
          <w:iCs/>
          <w:sz w:val="24"/>
          <w:szCs w:val="24"/>
        </w:rPr>
        <w:t xml:space="preserve"> </w:t>
      </w:r>
    </w:p>
    <w:p w14:paraId="4FD37AF0" w14:textId="650CB3F4" w:rsidR="00007998" w:rsidRDefault="00D01182" w:rsidP="009368DA">
      <w:pPr>
        <w:tabs>
          <w:tab w:val="left" w:pos="5027"/>
        </w:tabs>
        <w:spacing w:after="120"/>
        <w:ind w:right="-45"/>
        <w:rPr>
          <w:rFonts w:ascii="Arial" w:hAnsi="Arial" w:cs="Arial"/>
          <w:iCs/>
          <w:sz w:val="24"/>
          <w:szCs w:val="24"/>
        </w:rPr>
      </w:pPr>
      <w:r w:rsidRPr="00073A71">
        <w:rPr>
          <w:rFonts w:ascii="Arial" w:hAnsi="Arial" w:cs="Arial"/>
          <w:iCs/>
          <w:sz w:val="24"/>
          <w:szCs w:val="24"/>
        </w:rPr>
        <w:t xml:space="preserve">The Bill further provides that, where a matter dealt with by the Commission has not been resolved through conciliation, the matter can be referred to the </w:t>
      </w:r>
      <w:r w:rsidR="003E3B50" w:rsidRPr="00073A71">
        <w:rPr>
          <w:rFonts w:ascii="Arial" w:hAnsi="Arial" w:cs="Arial"/>
          <w:iCs/>
          <w:sz w:val="24"/>
          <w:szCs w:val="24"/>
        </w:rPr>
        <w:t>ACAT</w:t>
      </w:r>
      <w:r w:rsidRPr="00073A71">
        <w:rPr>
          <w:rFonts w:ascii="Arial" w:hAnsi="Arial" w:cs="Arial"/>
          <w:iCs/>
          <w:sz w:val="24"/>
          <w:szCs w:val="24"/>
        </w:rPr>
        <w:t>. The ACAT would then make a binding determination as to whether a conversion practice had occurred and could make a range of orders to remedy the situation, including cease and desist orders in relation to the practice</w:t>
      </w:r>
      <w:r w:rsidR="00073A71">
        <w:rPr>
          <w:rFonts w:ascii="Arial" w:hAnsi="Arial" w:cs="Arial"/>
          <w:iCs/>
          <w:sz w:val="24"/>
          <w:szCs w:val="24"/>
        </w:rPr>
        <w:t>.</w:t>
      </w:r>
      <w:r w:rsidR="00073A71" w:rsidRPr="00073A71">
        <w:rPr>
          <w:rFonts w:ascii="Arial" w:hAnsi="Arial" w:cs="Arial"/>
          <w:iCs/>
          <w:sz w:val="24"/>
          <w:szCs w:val="24"/>
        </w:rPr>
        <w:t xml:space="preserve"> T</w:t>
      </w:r>
      <w:r w:rsidR="00073A71">
        <w:rPr>
          <w:rFonts w:ascii="Arial" w:hAnsi="Arial" w:cs="Arial"/>
          <w:iCs/>
          <w:sz w:val="24"/>
          <w:szCs w:val="24"/>
        </w:rPr>
        <w:t>he ACAT must consider whether the person complained about engaged in a harmful practice before granting a remedy.</w:t>
      </w:r>
    </w:p>
    <w:p w14:paraId="4FBDCE80" w14:textId="0C811A1D" w:rsidR="009368DA" w:rsidRDefault="009368DA" w:rsidP="009368DA">
      <w:pPr>
        <w:tabs>
          <w:tab w:val="left" w:pos="5027"/>
        </w:tabs>
        <w:spacing w:after="120"/>
        <w:ind w:right="-45"/>
        <w:rPr>
          <w:rFonts w:ascii="Arial" w:hAnsi="Arial" w:cs="Arial"/>
          <w:iCs/>
          <w:sz w:val="24"/>
          <w:szCs w:val="24"/>
        </w:rPr>
      </w:pPr>
      <w:r>
        <w:rPr>
          <w:rFonts w:ascii="Arial" w:hAnsi="Arial" w:cs="Arial"/>
          <w:iCs/>
          <w:sz w:val="24"/>
          <w:szCs w:val="24"/>
        </w:rPr>
        <w:t>The function of the Commission is to provide an educative and conciliatory role in finding resolution between parties. People who undertake conversion practices and people who are the subject of them often live and practice their faith in the same communities. This approach recognises the need to educate and bring individuals forward together in a supportive, rights-based and inclusive way.</w:t>
      </w:r>
    </w:p>
    <w:p w14:paraId="3FA7F6D7" w14:textId="2455E2E8" w:rsidR="009368DA" w:rsidRDefault="009368DA" w:rsidP="009368DA">
      <w:pPr>
        <w:tabs>
          <w:tab w:val="left" w:pos="5027"/>
        </w:tabs>
        <w:spacing w:after="120"/>
        <w:ind w:right="-45"/>
        <w:rPr>
          <w:rFonts w:ascii="Arial" w:hAnsi="Arial" w:cs="Arial"/>
          <w:iCs/>
          <w:sz w:val="24"/>
          <w:szCs w:val="24"/>
        </w:rPr>
      </w:pPr>
      <w:r>
        <w:rPr>
          <w:rFonts w:ascii="Arial" w:hAnsi="Arial" w:cs="Arial"/>
          <w:iCs/>
          <w:sz w:val="24"/>
          <w:szCs w:val="24"/>
        </w:rPr>
        <w:t xml:space="preserve">The Bill also provides for criminal penalties where a child or </w:t>
      </w:r>
      <w:r w:rsidR="00BF60E7">
        <w:rPr>
          <w:rFonts w:ascii="Arial" w:hAnsi="Arial" w:cs="Arial"/>
          <w:iCs/>
          <w:sz w:val="24"/>
          <w:szCs w:val="24"/>
        </w:rPr>
        <w:t xml:space="preserve">a person who has impaired decision-making </w:t>
      </w:r>
      <w:r w:rsidR="00073A71">
        <w:rPr>
          <w:rFonts w:ascii="Arial" w:hAnsi="Arial" w:cs="Arial"/>
          <w:iCs/>
          <w:sz w:val="24"/>
          <w:szCs w:val="24"/>
        </w:rPr>
        <w:t xml:space="preserve">ability </w:t>
      </w:r>
      <w:r w:rsidR="00BF60E7">
        <w:rPr>
          <w:rFonts w:ascii="Arial" w:hAnsi="Arial" w:cs="Arial"/>
          <w:iCs/>
          <w:sz w:val="24"/>
          <w:szCs w:val="24"/>
        </w:rPr>
        <w:t xml:space="preserve">in relation to a matter relating to the person’s health or welfare </w:t>
      </w:r>
      <w:r>
        <w:rPr>
          <w:rFonts w:ascii="Arial" w:hAnsi="Arial" w:cs="Arial"/>
          <w:iCs/>
          <w:sz w:val="24"/>
          <w:szCs w:val="24"/>
        </w:rPr>
        <w:t>is the subject of conversion practices or is removed from the ACT in order for the conversion practice to be performed. These criminal penalties apply in recognition of the serious harm that can be caused by conversion practices and the particular vulnerability of</w:t>
      </w:r>
      <w:r w:rsidR="00D63E03">
        <w:rPr>
          <w:rFonts w:ascii="Arial" w:hAnsi="Arial" w:cs="Arial"/>
          <w:iCs/>
          <w:sz w:val="24"/>
          <w:szCs w:val="24"/>
        </w:rPr>
        <w:t xml:space="preserve"> people who aren’t able to consent to exposure to harm. They also s</w:t>
      </w:r>
      <w:r>
        <w:rPr>
          <w:rFonts w:ascii="Arial" w:hAnsi="Arial" w:cs="Arial"/>
          <w:iCs/>
          <w:sz w:val="24"/>
          <w:szCs w:val="24"/>
        </w:rPr>
        <w:t>ignal to the community that the ACT Government does not condone these practices in or outside the Territory.</w:t>
      </w:r>
    </w:p>
    <w:p w14:paraId="29B576FD" w14:textId="1A2E98B1" w:rsidR="009368DA" w:rsidRDefault="009368DA" w:rsidP="009368DA">
      <w:pPr>
        <w:tabs>
          <w:tab w:val="left" w:pos="5027"/>
        </w:tabs>
        <w:spacing w:after="120"/>
        <w:ind w:right="-45"/>
        <w:rPr>
          <w:rFonts w:ascii="Arial" w:hAnsi="Arial" w:cs="Arial"/>
          <w:iCs/>
          <w:sz w:val="24"/>
          <w:szCs w:val="24"/>
        </w:rPr>
      </w:pPr>
      <w:r>
        <w:rPr>
          <w:rFonts w:ascii="Arial" w:hAnsi="Arial" w:cs="Arial"/>
          <w:iCs/>
          <w:sz w:val="24"/>
          <w:szCs w:val="24"/>
        </w:rPr>
        <w:t xml:space="preserve">The prohibition and penalties in the Bill are designed to strike an appropriate balance between the right </w:t>
      </w:r>
      <w:r w:rsidR="003868EA">
        <w:rPr>
          <w:rFonts w:ascii="Arial" w:hAnsi="Arial" w:cs="Arial"/>
          <w:iCs/>
          <w:sz w:val="24"/>
          <w:szCs w:val="24"/>
        </w:rPr>
        <w:t>of individuals and communities to practice their faith</w:t>
      </w:r>
      <w:r>
        <w:rPr>
          <w:rFonts w:ascii="Arial" w:hAnsi="Arial" w:cs="Arial"/>
          <w:iCs/>
          <w:sz w:val="24"/>
          <w:szCs w:val="24"/>
        </w:rPr>
        <w:t xml:space="preserve"> and the prevention of harm </w:t>
      </w:r>
      <w:r w:rsidR="00360F73">
        <w:rPr>
          <w:rFonts w:ascii="Arial" w:hAnsi="Arial" w:cs="Arial"/>
          <w:iCs/>
          <w:sz w:val="24"/>
          <w:szCs w:val="24"/>
        </w:rPr>
        <w:t xml:space="preserve">caused by practices aimed at changing sexuality or gender </w:t>
      </w:r>
      <w:r w:rsidR="00360F73">
        <w:rPr>
          <w:rFonts w:ascii="Arial" w:hAnsi="Arial" w:cs="Arial"/>
          <w:iCs/>
          <w:sz w:val="24"/>
          <w:szCs w:val="24"/>
        </w:rPr>
        <w:lastRenderedPageBreak/>
        <w:t>identity. These practices are based on misleading claims and have been shown to be ineffective and harmful</w:t>
      </w:r>
      <w:r>
        <w:rPr>
          <w:rFonts w:ascii="Arial" w:hAnsi="Arial" w:cs="Arial"/>
          <w:iCs/>
          <w:sz w:val="24"/>
          <w:szCs w:val="24"/>
        </w:rPr>
        <w:t>.</w:t>
      </w:r>
    </w:p>
    <w:p w14:paraId="31A29C6E" w14:textId="77777777" w:rsidR="009368DA" w:rsidRDefault="009368DA" w:rsidP="009368DA">
      <w:pPr>
        <w:tabs>
          <w:tab w:val="left" w:pos="5027"/>
        </w:tabs>
        <w:spacing w:after="120"/>
        <w:ind w:right="-45"/>
        <w:rPr>
          <w:rFonts w:ascii="Arial" w:hAnsi="Arial" w:cs="Arial"/>
          <w:iCs/>
          <w:sz w:val="24"/>
          <w:szCs w:val="24"/>
        </w:rPr>
      </w:pPr>
      <w:r>
        <w:rPr>
          <w:rFonts w:ascii="Arial" w:hAnsi="Arial" w:cs="Arial"/>
          <w:iCs/>
          <w:sz w:val="24"/>
          <w:szCs w:val="24"/>
        </w:rPr>
        <w:t xml:space="preserve">The ACT Government is committed to the prevention of harm and supporting equality, diversity and inclusion within the Territory. The ACT Government recognises that people’s faith can be an important part of their lives and seeks to create a community where LGBTQ people can practice their own faith in a way that includes and supports them in a safe way. </w:t>
      </w:r>
    </w:p>
    <w:p w14:paraId="4657FD9B" w14:textId="77777777" w:rsidR="009368DA" w:rsidRDefault="009368DA" w:rsidP="009368DA">
      <w:pPr>
        <w:rPr>
          <w:rFonts w:ascii="Arial" w:hAnsi="Arial" w:cs="Arial"/>
          <w:b/>
          <w:sz w:val="24"/>
          <w:szCs w:val="24"/>
        </w:rPr>
      </w:pPr>
      <w:r w:rsidRPr="00AC59DF">
        <w:rPr>
          <w:rFonts w:ascii="Arial" w:hAnsi="Arial" w:cs="Arial"/>
          <w:b/>
          <w:sz w:val="24"/>
          <w:szCs w:val="24"/>
        </w:rPr>
        <w:t>CONSULTATION ON THE PROPOSED APPROACH</w:t>
      </w:r>
    </w:p>
    <w:p w14:paraId="02EFBE1B" w14:textId="3ADBC9BB" w:rsidR="00CF3C28" w:rsidRPr="00AD2933" w:rsidRDefault="00CF3C28" w:rsidP="009368DA">
      <w:pPr>
        <w:rPr>
          <w:rFonts w:ascii="Arial" w:hAnsi="Arial" w:cs="Arial"/>
          <w:iCs/>
          <w:sz w:val="24"/>
          <w:szCs w:val="24"/>
        </w:rPr>
      </w:pPr>
      <w:r w:rsidRPr="00AD2933">
        <w:rPr>
          <w:rFonts w:ascii="Arial" w:hAnsi="Arial" w:cs="Arial"/>
          <w:iCs/>
          <w:sz w:val="24"/>
          <w:szCs w:val="24"/>
        </w:rPr>
        <w:t>There has been</w:t>
      </w:r>
      <w:r w:rsidR="00DA607A" w:rsidRPr="00AD2933">
        <w:rPr>
          <w:rFonts w:ascii="Arial" w:hAnsi="Arial" w:cs="Arial"/>
          <w:iCs/>
          <w:sz w:val="24"/>
          <w:szCs w:val="24"/>
        </w:rPr>
        <w:t xml:space="preserve"> ongoing</w:t>
      </w:r>
      <w:r w:rsidRPr="00AD2933">
        <w:rPr>
          <w:rFonts w:ascii="Arial" w:hAnsi="Arial" w:cs="Arial"/>
          <w:iCs/>
          <w:sz w:val="24"/>
          <w:szCs w:val="24"/>
        </w:rPr>
        <w:t xml:space="preserve"> community engagement on the Bill since the ACT Government announced plans to legislate to prohibit conversion practices in May</w:t>
      </w:r>
      <w:r w:rsidR="00255013">
        <w:rPr>
          <w:rFonts w:ascii="Arial" w:hAnsi="Arial" w:cs="Arial"/>
          <w:iCs/>
          <w:sz w:val="24"/>
          <w:szCs w:val="24"/>
        </w:rPr>
        <w:t> </w:t>
      </w:r>
      <w:r w:rsidRPr="00AD2933">
        <w:rPr>
          <w:rFonts w:ascii="Arial" w:hAnsi="Arial" w:cs="Arial"/>
          <w:iCs/>
          <w:sz w:val="24"/>
          <w:szCs w:val="24"/>
        </w:rPr>
        <w:t xml:space="preserve">2018. Stakeholders who have provided input include an inter-directorate group, LGBTIQA+ groups, survivor groups of conversion practices, faith groups, education peak bodies, medical peak bodies and health organisations, and concerned individuals. </w:t>
      </w:r>
    </w:p>
    <w:p w14:paraId="42DB0B6F" w14:textId="08A4754D" w:rsidR="00CF3C28" w:rsidRPr="00AD2933" w:rsidRDefault="00CF3C28" w:rsidP="009368DA">
      <w:pPr>
        <w:rPr>
          <w:rFonts w:ascii="Arial" w:hAnsi="Arial" w:cs="Arial"/>
          <w:iCs/>
          <w:sz w:val="24"/>
          <w:szCs w:val="24"/>
        </w:rPr>
      </w:pPr>
      <w:r w:rsidRPr="00AD2933">
        <w:rPr>
          <w:rFonts w:ascii="Arial" w:hAnsi="Arial" w:cs="Arial"/>
          <w:iCs/>
          <w:sz w:val="24"/>
          <w:szCs w:val="24"/>
        </w:rPr>
        <w:t xml:space="preserve">Views from consultation have informed the development of the Bill. Consultation has highlighted the ongoing nature </w:t>
      </w:r>
      <w:r w:rsidR="00DA607A" w:rsidRPr="00AD2933">
        <w:rPr>
          <w:rFonts w:ascii="Arial" w:hAnsi="Arial" w:cs="Arial"/>
          <w:iCs/>
          <w:sz w:val="24"/>
          <w:szCs w:val="24"/>
        </w:rPr>
        <w:t xml:space="preserve">and harm </w:t>
      </w:r>
      <w:r w:rsidRPr="00AD2933">
        <w:rPr>
          <w:rFonts w:ascii="Arial" w:hAnsi="Arial" w:cs="Arial"/>
          <w:iCs/>
          <w:sz w:val="24"/>
          <w:szCs w:val="24"/>
        </w:rPr>
        <w:t xml:space="preserve">of conversion practices, the forms in which </w:t>
      </w:r>
      <w:r w:rsidR="00FB44E9" w:rsidRPr="00AD2933">
        <w:rPr>
          <w:rFonts w:ascii="Arial" w:hAnsi="Arial" w:cs="Arial"/>
          <w:iCs/>
          <w:sz w:val="24"/>
          <w:szCs w:val="24"/>
        </w:rPr>
        <w:t>conversion practices</w:t>
      </w:r>
      <w:r w:rsidRPr="00AD2933">
        <w:rPr>
          <w:rFonts w:ascii="Arial" w:hAnsi="Arial" w:cs="Arial"/>
          <w:iCs/>
          <w:sz w:val="24"/>
          <w:szCs w:val="24"/>
        </w:rPr>
        <w:t xml:space="preserve"> can take, and the need to </w:t>
      </w:r>
      <w:r w:rsidR="00DA607A" w:rsidRPr="00AD2933">
        <w:rPr>
          <w:rFonts w:ascii="Arial" w:hAnsi="Arial" w:cs="Arial"/>
          <w:iCs/>
          <w:sz w:val="24"/>
          <w:szCs w:val="24"/>
        </w:rPr>
        <w:t>provide for</w:t>
      </w:r>
      <w:r w:rsidRPr="00AD2933">
        <w:rPr>
          <w:rFonts w:ascii="Arial" w:hAnsi="Arial" w:cs="Arial"/>
          <w:iCs/>
          <w:sz w:val="24"/>
          <w:szCs w:val="24"/>
        </w:rPr>
        <w:t xml:space="preserve"> different civil and criminal liabilities and enforcement options </w:t>
      </w:r>
      <w:r w:rsidR="00A9171D" w:rsidRPr="00AD2933">
        <w:rPr>
          <w:rFonts w:ascii="Arial" w:hAnsi="Arial" w:cs="Arial"/>
          <w:iCs/>
          <w:sz w:val="24"/>
          <w:szCs w:val="24"/>
        </w:rPr>
        <w:t xml:space="preserve">for a more effective response. </w:t>
      </w:r>
    </w:p>
    <w:p w14:paraId="5692E140" w14:textId="62143751" w:rsidR="009368DA" w:rsidRDefault="009368DA" w:rsidP="009368DA">
      <w:pPr>
        <w:pStyle w:val="Heading2"/>
      </w:pPr>
      <w:r>
        <w:t xml:space="preserve">CONSISTENCY WITH </w:t>
      </w:r>
      <w:r w:rsidRPr="008C225D">
        <w:t>HUMAN RIGHTS</w:t>
      </w:r>
    </w:p>
    <w:p w14:paraId="5BD82565" w14:textId="77777777" w:rsidR="009368DA" w:rsidRPr="00414921" w:rsidRDefault="009368DA" w:rsidP="009368DA">
      <w:pPr>
        <w:rPr>
          <w:rFonts w:ascii="Arial" w:hAnsi="Arial" w:cs="Arial"/>
          <w:b/>
          <w:bCs/>
          <w:iCs/>
          <w:sz w:val="24"/>
          <w:szCs w:val="24"/>
        </w:rPr>
      </w:pPr>
      <w:r w:rsidRPr="00414921">
        <w:rPr>
          <w:rFonts w:ascii="Arial" w:hAnsi="Arial" w:cs="Arial"/>
          <w:b/>
          <w:bCs/>
          <w:iCs/>
          <w:sz w:val="24"/>
          <w:szCs w:val="24"/>
        </w:rPr>
        <w:t>Rights engaged</w:t>
      </w:r>
    </w:p>
    <w:p w14:paraId="0E1F8908" w14:textId="77777777" w:rsidR="009368DA" w:rsidRDefault="009368DA" w:rsidP="009368DA">
      <w:pPr>
        <w:rPr>
          <w:rFonts w:ascii="Arial" w:hAnsi="Arial" w:cs="Arial"/>
          <w:iCs/>
          <w:sz w:val="24"/>
          <w:szCs w:val="24"/>
        </w:rPr>
      </w:pPr>
      <w:r w:rsidRPr="00470FB7">
        <w:rPr>
          <w:rFonts w:ascii="Arial" w:hAnsi="Arial" w:cs="Arial"/>
          <w:iCs/>
          <w:sz w:val="24"/>
          <w:szCs w:val="24"/>
        </w:rPr>
        <w:t xml:space="preserve">The Bill </w:t>
      </w:r>
      <w:r>
        <w:rPr>
          <w:rFonts w:ascii="Arial" w:hAnsi="Arial" w:cs="Arial"/>
          <w:iCs/>
          <w:sz w:val="24"/>
          <w:szCs w:val="24"/>
        </w:rPr>
        <w:t xml:space="preserve">engages a number of human rights in the </w:t>
      </w:r>
      <w:r>
        <w:rPr>
          <w:rFonts w:ascii="Arial" w:hAnsi="Arial" w:cs="Arial"/>
          <w:i/>
          <w:sz w:val="24"/>
          <w:szCs w:val="24"/>
        </w:rPr>
        <w:t>Human Rights Act 2004</w:t>
      </w:r>
      <w:r>
        <w:rPr>
          <w:rFonts w:ascii="Arial" w:hAnsi="Arial" w:cs="Arial"/>
          <w:iCs/>
          <w:sz w:val="24"/>
          <w:szCs w:val="24"/>
        </w:rPr>
        <w:t xml:space="preserve"> (HRA). </w:t>
      </w:r>
    </w:p>
    <w:p w14:paraId="6AD8BC9D" w14:textId="77777777" w:rsidR="009368DA" w:rsidRDefault="009368DA" w:rsidP="009368DA">
      <w:pPr>
        <w:rPr>
          <w:rFonts w:ascii="Arial" w:hAnsi="Arial" w:cs="Arial"/>
          <w:iCs/>
          <w:sz w:val="24"/>
          <w:szCs w:val="24"/>
        </w:rPr>
      </w:pPr>
      <w:r>
        <w:rPr>
          <w:rFonts w:ascii="Arial" w:hAnsi="Arial" w:cs="Arial"/>
          <w:iCs/>
          <w:sz w:val="24"/>
          <w:szCs w:val="24"/>
        </w:rPr>
        <w:t xml:space="preserve">The Bill promotes </w:t>
      </w:r>
      <w:r w:rsidRPr="00470FB7">
        <w:rPr>
          <w:rFonts w:ascii="Arial" w:hAnsi="Arial" w:cs="Arial"/>
          <w:iCs/>
          <w:sz w:val="24"/>
          <w:szCs w:val="24"/>
        </w:rPr>
        <w:t xml:space="preserve">the right to equality and non-discrimination </w:t>
      </w:r>
      <w:r>
        <w:rPr>
          <w:rFonts w:ascii="Arial" w:hAnsi="Arial" w:cs="Arial"/>
          <w:iCs/>
          <w:sz w:val="24"/>
          <w:szCs w:val="24"/>
        </w:rPr>
        <w:t>(</w:t>
      </w:r>
      <w:r w:rsidRPr="00470FB7">
        <w:rPr>
          <w:rFonts w:ascii="Arial" w:hAnsi="Arial" w:cs="Arial"/>
          <w:iCs/>
          <w:sz w:val="24"/>
          <w:szCs w:val="24"/>
        </w:rPr>
        <w:t>s</w:t>
      </w:r>
      <w:r>
        <w:rPr>
          <w:rFonts w:ascii="Arial" w:hAnsi="Arial" w:cs="Arial"/>
          <w:iCs/>
          <w:sz w:val="24"/>
          <w:szCs w:val="24"/>
        </w:rPr>
        <w:t>ection 8) and</w:t>
      </w:r>
      <w:r w:rsidRPr="00470FB7">
        <w:rPr>
          <w:rFonts w:ascii="Arial" w:hAnsi="Arial" w:cs="Arial"/>
          <w:iCs/>
          <w:sz w:val="24"/>
          <w:szCs w:val="24"/>
        </w:rPr>
        <w:t xml:space="preserve"> the </w:t>
      </w:r>
      <w:r>
        <w:rPr>
          <w:rFonts w:ascii="Arial" w:hAnsi="Arial" w:cs="Arial"/>
          <w:iCs/>
          <w:sz w:val="24"/>
          <w:szCs w:val="24"/>
        </w:rPr>
        <w:t>right</w:t>
      </w:r>
      <w:r w:rsidRPr="00470FB7">
        <w:rPr>
          <w:rFonts w:ascii="Arial" w:hAnsi="Arial" w:cs="Arial"/>
          <w:iCs/>
          <w:sz w:val="24"/>
          <w:szCs w:val="24"/>
        </w:rPr>
        <w:t xml:space="preserve"> of children to protection (</w:t>
      </w:r>
      <w:r>
        <w:rPr>
          <w:rFonts w:ascii="Arial" w:hAnsi="Arial" w:cs="Arial"/>
          <w:iCs/>
          <w:sz w:val="24"/>
          <w:szCs w:val="24"/>
        </w:rPr>
        <w:t>section 11(2)).</w:t>
      </w:r>
    </w:p>
    <w:p w14:paraId="17C8C288" w14:textId="18CD15EB" w:rsidR="009368DA" w:rsidRDefault="009368DA" w:rsidP="009368DA">
      <w:pPr>
        <w:rPr>
          <w:rFonts w:ascii="Arial" w:hAnsi="Arial" w:cs="Arial"/>
          <w:iCs/>
          <w:sz w:val="24"/>
          <w:szCs w:val="24"/>
        </w:rPr>
      </w:pPr>
      <w:r>
        <w:rPr>
          <w:rFonts w:ascii="Arial" w:hAnsi="Arial" w:cs="Arial"/>
          <w:iCs/>
          <w:sz w:val="24"/>
          <w:szCs w:val="24"/>
        </w:rPr>
        <w:t xml:space="preserve">The Bill limits </w:t>
      </w:r>
      <w:r w:rsidRPr="00470FB7">
        <w:rPr>
          <w:rFonts w:ascii="Arial" w:hAnsi="Arial" w:cs="Arial"/>
          <w:iCs/>
          <w:sz w:val="24"/>
          <w:szCs w:val="24"/>
        </w:rPr>
        <w:t xml:space="preserve">the right to freedom of thought, conscience, religion and belief protected </w:t>
      </w:r>
      <w:r>
        <w:rPr>
          <w:rFonts w:ascii="Arial" w:hAnsi="Arial" w:cs="Arial"/>
          <w:iCs/>
          <w:sz w:val="24"/>
          <w:szCs w:val="24"/>
        </w:rPr>
        <w:t>(</w:t>
      </w:r>
      <w:r w:rsidRPr="00470FB7">
        <w:rPr>
          <w:rFonts w:ascii="Arial" w:hAnsi="Arial" w:cs="Arial"/>
          <w:iCs/>
          <w:sz w:val="24"/>
          <w:szCs w:val="24"/>
        </w:rPr>
        <w:t>s</w:t>
      </w:r>
      <w:r>
        <w:rPr>
          <w:rFonts w:ascii="Arial" w:hAnsi="Arial" w:cs="Arial"/>
          <w:iCs/>
          <w:sz w:val="24"/>
          <w:szCs w:val="24"/>
        </w:rPr>
        <w:t xml:space="preserve">ection </w:t>
      </w:r>
      <w:r w:rsidRPr="00470FB7">
        <w:rPr>
          <w:rFonts w:ascii="Arial" w:hAnsi="Arial" w:cs="Arial"/>
          <w:iCs/>
          <w:sz w:val="24"/>
          <w:szCs w:val="24"/>
        </w:rPr>
        <w:t>14</w:t>
      </w:r>
      <w:r>
        <w:rPr>
          <w:rFonts w:ascii="Arial" w:hAnsi="Arial" w:cs="Arial"/>
          <w:iCs/>
          <w:sz w:val="24"/>
          <w:szCs w:val="24"/>
        </w:rPr>
        <w:t xml:space="preserve">), freedom of expression (section 16), the right to freedom of movement (section 13), </w:t>
      </w:r>
      <w:r w:rsidRPr="00470FB7">
        <w:rPr>
          <w:rFonts w:ascii="Arial" w:hAnsi="Arial" w:cs="Arial"/>
          <w:iCs/>
          <w:sz w:val="24"/>
          <w:szCs w:val="24"/>
        </w:rPr>
        <w:t xml:space="preserve">the right of parents to ensure the religious </w:t>
      </w:r>
      <w:r>
        <w:rPr>
          <w:rFonts w:ascii="Arial" w:hAnsi="Arial" w:cs="Arial"/>
          <w:iCs/>
          <w:sz w:val="24"/>
          <w:szCs w:val="24"/>
        </w:rPr>
        <w:t xml:space="preserve">and moral </w:t>
      </w:r>
      <w:r w:rsidRPr="00470FB7">
        <w:rPr>
          <w:rFonts w:ascii="Arial" w:hAnsi="Arial" w:cs="Arial"/>
          <w:iCs/>
          <w:sz w:val="24"/>
          <w:szCs w:val="24"/>
        </w:rPr>
        <w:t>education of a child in conformity with their convictions (s</w:t>
      </w:r>
      <w:r>
        <w:rPr>
          <w:rFonts w:ascii="Arial" w:hAnsi="Arial" w:cs="Arial"/>
          <w:iCs/>
          <w:sz w:val="24"/>
          <w:szCs w:val="24"/>
        </w:rPr>
        <w:t xml:space="preserve">ection </w:t>
      </w:r>
      <w:r w:rsidRPr="00470FB7">
        <w:rPr>
          <w:rFonts w:ascii="Arial" w:hAnsi="Arial" w:cs="Arial"/>
          <w:iCs/>
          <w:sz w:val="24"/>
          <w:szCs w:val="24"/>
        </w:rPr>
        <w:t>27A)</w:t>
      </w:r>
      <w:r>
        <w:rPr>
          <w:rFonts w:ascii="Arial" w:hAnsi="Arial" w:cs="Arial"/>
          <w:iCs/>
          <w:sz w:val="24"/>
          <w:szCs w:val="24"/>
        </w:rPr>
        <w:t>, and the right to privacy (section 12)</w:t>
      </w:r>
      <w:r w:rsidRPr="00470FB7">
        <w:rPr>
          <w:rFonts w:ascii="Arial" w:hAnsi="Arial" w:cs="Arial"/>
          <w:iCs/>
          <w:sz w:val="24"/>
          <w:szCs w:val="24"/>
        </w:rPr>
        <w:t>. As discussed in more detail below, these limitations are reasonable and proportionate in accordance with s</w:t>
      </w:r>
      <w:r>
        <w:rPr>
          <w:rFonts w:ascii="Arial" w:hAnsi="Arial" w:cs="Arial"/>
          <w:iCs/>
          <w:sz w:val="24"/>
          <w:szCs w:val="24"/>
        </w:rPr>
        <w:t>ection</w:t>
      </w:r>
      <w:r w:rsidRPr="00470FB7">
        <w:rPr>
          <w:rFonts w:ascii="Arial" w:hAnsi="Arial" w:cs="Arial"/>
          <w:iCs/>
          <w:sz w:val="24"/>
          <w:szCs w:val="24"/>
        </w:rPr>
        <w:t xml:space="preserve"> 28 of the HR</w:t>
      </w:r>
      <w:r>
        <w:rPr>
          <w:rFonts w:ascii="Arial" w:hAnsi="Arial" w:cs="Arial"/>
          <w:iCs/>
          <w:sz w:val="24"/>
          <w:szCs w:val="24"/>
        </w:rPr>
        <w:t>A</w:t>
      </w:r>
      <w:r w:rsidRPr="00470FB7">
        <w:rPr>
          <w:rFonts w:ascii="Arial" w:hAnsi="Arial" w:cs="Arial"/>
          <w:iCs/>
          <w:sz w:val="24"/>
          <w:szCs w:val="24"/>
        </w:rPr>
        <w:t>.</w:t>
      </w:r>
    </w:p>
    <w:p w14:paraId="0BDB99AD" w14:textId="77777777" w:rsidR="009368DA" w:rsidRPr="00BC3EF0" w:rsidRDefault="009368DA" w:rsidP="009368DA">
      <w:pPr>
        <w:rPr>
          <w:rFonts w:ascii="Arial" w:hAnsi="Arial" w:cs="Arial"/>
          <w:b/>
          <w:bCs/>
          <w:i/>
          <w:sz w:val="24"/>
          <w:szCs w:val="24"/>
        </w:rPr>
      </w:pPr>
      <w:r w:rsidRPr="00BC3EF0">
        <w:rPr>
          <w:rFonts w:ascii="Arial" w:hAnsi="Arial" w:cs="Arial"/>
          <w:b/>
          <w:bCs/>
          <w:i/>
          <w:sz w:val="24"/>
          <w:szCs w:val="24"/>
        </w:rPr>
        <w:t>Rights Promoted</w:t>
      </w:r>
    </w:p>
    <w:p w14:paraId="02A33328" w14:textId="045DD814" w:rsidR="009368DA" w:rsidRDefault="009368DA" w:rsidP="009368DA">
      <w:pPr>
        <w:rPr>
          <w:rFonts w:ascii="Arial" w:hAnsi="Arial" w:cs="Arial"/>
          <w:iCs/>
          <w:sz w:val="24"/>
          <w:szCs w:val="24"/>
        </w:rPr>
      </w:pPr>
      <w:r>
        <w:rPr>
          <w:rFonts w:ascii="Arial" w:hAnsi="Arial" w:cs="Arial"/>
          <w:iCs/>
          <w:sz w:val="24"/>
          <w:szCs w:val="24"/>
        </w:rPr>
        <w:t>The Bill promotes the right to equality and non-discrimination by prohibiting conversion practices. Conversion practices are focused on changing a person’s sexuality</w:t>
      </w:r>
      <w:r w:rsidR="00420689">
        <w:rPr>
          <w:rFonts w:ascii="Arial" w:hAnsi="Arial" w:cs="Arial"/>
          <w:iCs/>
          <w:sz w:val="24"/>
          <w:szCs w:val="24"/>
        </w:rPr>
        <w:t xml:space="preserve"> or</w:t>
      </w:r>
      <w:r>
        <w:rPr>
          <w:rFonts w:ascii="Arial" w:hAnsi="Arial" w:cs="Arial"/>
          <w:iCs/>
          <w:sz w:val="24"/>
          <w:szCs w:val="24"/>
        </w:rPr>
        <w:t xml:space="preserve"> gender identity and the outcome of prohibiting these practices is to remove discrimination experienced on the basis of those attributes, and to ensure individuals with those attributes have the equal protection of the law against harmful practices targeted at them. </w:t>
      </w:r>
    </w:p>
    <w:p w14:paraId="49EE2693" w14:textId="5E30BDEB" w:rsidR="009368DA" w:rsidRPr="00FC6C85" w:rsidRDefault="009368DA" w:rsidP="009368DA">
      <w:pPr>
        <w:rPr>
          <w:rFonts w:ascii="Arial" w:hAnsi="Arial" w:cs="Arial"/>
          <w:iCs/>
          <w:sz w:val="24"/>
          <w:szCs w:val="24"/>
        </w:rPr>
      </w:pPr>
      <w:r>
        <w:rPr>
          <w:rFonts w:ascii="Arial" w:hAnsi="Arial" w:cs="Arial"/>
          <w:iCs/>
          <w:sz w:val="24"/>
          <w:szCs w:val="24"/>
        </w:rPr>
        <w:lastRenderedPageBreak/>
        <w:t>The prohibition of conversion practices promotes the right of children to protection. Evidence from survivor groups and research into conversion practices show the extensive and long-term harm caused by conversion practices. The prohibition of conversion practices and prohibition on removing children from the ACT to undertake these practices ensure the protection of the child without discrimination because of their sexual</w:t>
      </w:r>
      <w:r w:rsidR="00420689">
        <w:rPr>
          <w:rFonts w:ascii="Arial" w:hAnsi="Arial" w:cs="Arial"/>
          <w:iCs/>
          <w:sz w:val="24"/>
          <w:szCs w:val="24"/>
        </w:rPr>
        <w:t xml:space="preserve">ity or </w:t>
      </w:r>
      <w:r>
        <w:rPr>
          <w:rFonts w:ascii="Arial" w:hAnsi="Arial" w:cs="Arial"/>
          <w:iCs/>
          <w:sz w:val="24"/>
          <w:szCs w:val="24"/>
        </w:rPr>
        <w:t>gender identity</w:t>
      </w:r>
      <w:r w:rsidR="00420689">
        <w:rPr>
          <w:rFonts w:ascii="Arial" w:hAnsi="Arial" w:cs="Arial"/>
          <w:iCs/>
          <w:sz w:val="24"/>
          <w:szCs w:val="24"/>
        </w:rPr>
        <w:t xml:space="preserve">. </w:t>
      </w:r>
      <w:r>
        <w:rPr>
          <w:rFonts w:ascii="Arial" w:hAnsi="Arial" w:cs="Arial"/>
          <w:iCs/>
          <w:sz w:val="24"/>
          <w:szCs w:val="24"/>
        </w:rPr>
        <w:t xml:space="preserve"> </w:t>
      </w:r>
    </w:p>
    <w:p w14:paraId="504AB337" w14:textId="77777777" w:rsidR="009368DA" w:rsidRDefault="009368DA" w:rsidP="009368DA">
      <w:pPr>
        <w:rPr>
          <w:rFonts w:ascii="Arial" w:hAnsi="Arial" w:cs="Arial"/>
          <w:b/>
          <w:bCs/>
          <w:i/>
          <w:sz w:val="24"/>
          <w:szCs w:val="24"/>
        </w:rPr>
      </w:pPr>
      <w:r>
        <w:rPr>
          <w:rFonts w:ascii="Arial" w:hAnsi="Arial" w:cs="Arial"/>
          <w:b/>
          <w:bCs/>
          <w:i/>
          <w:sz w:val="24"/>
          <w:szCs w:val="24"/>
        </w:rPr>
        <w:t>R</w:t>
      </w:r>
      <w:r w:rsidRPr="00D5521B">
        <w:rPr>
          <w:rFonts w:ascii="Arial" w:hAnsi="Arial" w:cs="Arial"/>
          <w:b/>
          <w:bCs/>
          <w:i/>
          <w:sz w:val="24"/>
          <w:szCs w:val="24"/>
        </w:rPr>
        <w:t xml:space="preserve">ight to freedom of thought, conscience, religion and belief </w:t>
      </w:r>
      <w:r>
        <w:rPr>
          <w:rFonts w:ascii="Arial" w:hAnsi="Arial" w:cs="Arial"/>
          <w:b/>
          <w:bCs/>
          <w:i/>
          <w:sz w:val="24"/>
          <w:szCs w:val="24"/>
        </w:rPr>
        <w:t>(section 14) and the right to freedom of expression (section 16)</w:t>
      </w:r>
    </w:p>
    <w:p w14:paraId="5CCA1F58" w14:textId="77777777" w:rsidR="009368DA" w:rsidRPr="00FD462F" w:rsidRDefault="009368DA" w:rsidP="009368DA">
      <w:pPr>
        <w:rPr>
          <w:rFonts w:ascii="Arial" w:hAnsi="Arial" w:cs="Arial"/>
          <w:i/>
          <w:sz w:val="24"/>
          <w:szCs w:val="24"/>
        </w:rPr>
      </w:pPr>
      <w:r w:rsidRPr="00FD462F">
        <w:rPr>
          <w:rFonts w:ascii="Arial" w:hAnsi="Arial" w:cs="Arial"/>
          <w:i/>
          <w:sz w:val="24"/>
          <w:szCs w:val="24"/>
        </w:rPr>
        <w:t>Nature of the right and the limitation (s28(a) and (c))</w:t>
      </w:r>
    </w:p>
    <w:p w14:paraId="51214F0E" w14:textId="77777777" w:rsidR="009368DA" w:rsidRPr="009D772C" w:rsidRDefault="009368DA" w:rsidP="009368DA">
      <w:pPr>
        <w:rPr>
          <w:rFonts w:ascii="Arial" w:hAnsi="Arial" w:cs="Arial"/>
          <w:iCs/>
          <w:sz w:val="24"/>
          <w:szCs w:val="24"/>
        </w:rPr>
      </w:pPr>
      <w:r w:rsidRPr="009D772C">
        <w:rPr>
          <w:rFonts w:ascii="Arial" w:hAnsi="Arial" w:cs="Arial"/>
          <w:iCs/>
          <w:sz w:val="24"/>
          <w:szCs w:val="24"/>
        </w:rPr>
        <w:t>The right to freedom of thought, conscience, religion and belief in s</w:t>
      </w:r>
      <w:r>
        <w:rPr>
          <w:rFonts w:ascii="Arial" w:hAnsi="Arial" w:cs="Arial"/>
          <w:iCs/>
          <w:sz w:val="24"/>
          <w:szCs w:val="24"/>
        </w:rPr>
        <w:t xml:space="preserve">ection </w:t>
      </w:r>
      <w:r w:rsidRPr="009D772C">
        <w:rPr>
          <w:rFonts w:ascii="Arial" w:hAnsi="Arial" w:cs="Arial"/>
          <w:iCs/>
          <w:sz w:val="24"/>
          <w:szCs w:val="24"/>
        </w:rPr>
        <w:t>14 of the HR</w:t>
      </w:r>
      <w:r>
        <w:rPr>
          <w:rFonts w:ascii="Arial" w:hAnsi="Arial" w:cs="Arial"/>
          <w:iCs/>
          <w:sz w:val="24"/>
          <w:szCs w:val="24"/>
        </w:rPr>
        <w:t xml:space="preserve">A </w:t>
      </w:r>
      <w:r w:rsidRPr="009D772C">
        <w:rPr>
          <w:rFonts w:ascii="Arial" w:hAnsi="Arial" w:cs="Arial"/>
          <w:iCs/>
          <w:sz w:val="24"/>
          <w:szCs w:val="24"/>
        </w:rPr>
        <w:t xml:space="preserve">is drawn from Article 18 of the International Covenant on Civil and Political Rights (ICCPR). The UN Human Rights Committee has confirmed that the right to freedom of thought, conscience and religion “is far-reaching and profound; it encompasses freedom of thoughts on all matters, personal conviction and the commitment to religion or belief, whether manifested individually or in community with others.”  </w:t>
      </w:r>
    </w:p>
    <w:p w14:paraId="05E2AEFF" w14:textId="77777777" w:rsidR="009368DA" w:rsidRDefault="009368DA" w:rsidP="009368DA">
      <w:pPr>
        <w:rPr>
          <w:rFonts w:ascii="Arial" w:hAnsi="Arial" w:cs="Arial"/>
          <w:iCs/>
          <w:sz w:val="24"/>
          <w:szCs w:val="24"/>
        </w:rPr>
      </w:pPr>
      <w:r w:rsidRPr="009D772C">
        <w:rPr>
          <w:rFonts w:ascii="Arial" w:hAnsi="Arial" w:cs="Arial"/>
          <w:iCs/>
          <w:sz w:val="24"/>
          <w:szCs w:val="24"/>
        </w:rPr>
        <w:t>The right to have or adopt a religion or belief is a matter of individual thought and conscience, considered to be absolute and unqualified in international law, and no limitation of this aspect of the right would be considered reasonable. However, the right to ‘</w:t>
      </w:r>
      <w:r w:rsidRPr="00FA5B57">
        <w:rPr>
          <w:rFonts w:ascii="Arial" w:hAnsi="Arial" w:cs="Arial"/>
          <w:iCs/>
          <w:sz w:val="24"/>
          <w:szCs w:val="24"/>
        </w:rPr>
        <w:t>manifest’ or ‘demonstrate’ religion or belief, which would include undertaking conversion practices, impact</w:t>
      </w:r>
      <w:r>
        <w:rPr>
          <w:rFonts w:ascii="Arial" w:hAnsi="Arial" w:cs="Arial"/>
          <w:iCs/>
          <w:sz w:val="24"/>
          <w:szCs w:val="24"/>
        </w:rPr>
        <w:t>s</w:t>
      </w:r>
      <w:r w:rsidRPr="00FA5B57">
        <w:rPr>
          <w:rFonts w:ascii="Arial" w:hAnsi="Arial" w:cs="Arial"/>
          <w:iCs/>
          <w:sz w:val="24"/>
          <w:szCs w:val="24"/>
        </w:rPr>
        <w:t xml:space="preserve"> others and may thus be subject to reasonable limitation.</w:t>
      </w:r>
      <w:r w:rsidRPr="00FA5B57">
        <w:rPr>
          <w:rStyle w:val="FootnoteReference"/>
          <w:rFonts w:ascii="Arial" w:hAnsi="Arial" w:cs="Arial"/>
        </w:rPr>
        <w:footnoteReference w:id="4"/>
      </w:r>
      <w:r w:rsidRPr="00FA5B57">
        <w:rPr>
          <w:rFonts w:ascii="Arial" w:hAnsi="Arial" w:cs="Arial"/>
          <w:iCs/>
          <w:sz w:val="24"/>
          <w:szCs w:val="24"/>
        </w:rPr>
        <w:t xml:space="preserve"> This aspect of the right will not extend to every act or omission which is in some way inspired, motivated or influenced by religious belief but must be intimately linked to the religion or belief.</w:t>
      </w:r>
      <w:r w:rsidRPr="00FA5B57">
        <w:rPr>
          <w:rStyle w:val="FootnoteReference"/>
          <w:rFonts w:ascii="Arial" w:hAnsi="Arial" w:cs="Arial"/>
        </w:rPr>
        <w:footnoteReference w:id="5"/>
      </w:r>
      <w:r w:rsidRPr="009D772C">
        <w:rPr>
          <w:rFonts w:ascii="Arial" w:hAnsi="Arial" w:cs="Arial"/>
          <w:iCs/>
          <w:sz w:val="24"/>
          <w:szCs w:val="24"/>
        </w:rPr>
        <w:t xml:space="preserve">   </w:t>
      </w:r>
    </w:p>
    <w:p w14:paraId="6460171F" w14:textId="0BD604B5" w:rsidR="009368DA" w:rsidRDefault="009368DA" w:rsidP="009368DA">
      <w:pPr>
        <w:rPr>
          <w:rFonts w:ascii="Arial" w:hAnsi="Arial" w:cs="Arial"/>
          <w:iCs/>
          <w:sz w:val="24"/>
          <w:szCs w:val="24"/>
        </w:rPr>
      </w:pPr>
      <w:r w:rsidRPr="00E24D52">
        <w:rPr>
          <w:rFonts w:ascii="Arial" w:hAnsi="Arial" w:cs="Arial"/>
          <w:iCs/>
          <w:sz w:val="24"/>
          <w:szCs w:val="24"/>
        </w:rPr>
        <w:t xml:space="preserve">The right to freedom of </w:t>
      </w:r>
      <w:r>
        <w:rPr>
          <w:rFonts w:ascii="Arial" w:hAnsi="Arial" w:cs="Arial"/>
          <w:iCs/>
          <w:sz w:val="24"/>
          <w:szCs w:val="24"/>
        </w:rPr>
        <w:t xml:space="preserve">expression encompasses the </w:t>
      </w:r>
      <w:r w:rsidRPr="00E24D52">
        <w:rPr>
          <w:rFonts w:ascii="Arial" w:hAnsi="Arial" w:cs="Arial"/>
          <w:iCs/>
          <w:sz w:val="24"/>
          <w:szCs w:val="24"/>
        </w:rPr>
        <w:t>right to hold opinions without interference</w:t>
      </w:r>
      <w:r>
        <w:rPr>
          <w:rFonts w:ascii="Arial" w:hAnsi="Arial" w:cs="Arial"/>
          <w:iCs/>
          <w:sz w:val="24"/>
          <w:szCs w:val="24"/>
        </w:rPr>
        <w:t xml:space="preserve"> (section 16(1))</w:t>
      </w:r>
      <w:r w:rsidRPr="00E24D52">
        <w:rPr>
          <w:rFonts w:ascii="Arial" w:hAnsi="Arial" w:cs="Arial"/>
          <w:iCs/>
          <w:sz w:val="24"/>
          <w:szCs w:val="24"/>
        </w:rPr>
        <w:t>.</w:t>
      </w:r>
      <w:r>
        <w:rPr>
          <w:rFonts w:ascii="Arial" w:hAnsi="Arial" w:cs="Arial"/>
          <w:iCs/>
          <w:sz w:val="24"/>
          <w:szCs w:val="24"/>
        </w:rPr>
        <w:t xml:space="preserve"> </w:t>
      </w:r>
      <w:r w:rsidRPr="00E24D52">
        <w:rPr>
          <w:rFonts w:ascii="Arial" w:hAnsi="Arial" w:cs="Arial"/>
          <w:iCs/>
          <w:sz w:val="24"/>
          <w:szCs w:val="24"/>
        </w:rPr>
        <w:t>The right to freedom of expression</w:t>
      </w:r>
      <w:r>
        <w:rPr>
          <w:rFonts w:ascii="Arial" w:hAnsi="Arial" w:cs="Arial"/>
          <w:iCs/>
          <w:sz w:val="24"/>
          <w:szCs w:val="24"/>
        </w:rPr>
        <w:t xml:space="preserve"> further</w:t>
      </w:r>
      <w:r w:rsidRPr="00E24D52">
        <w:rPr>
          <w:rFonts w:ascii="Arial" w:hAnsi="Arial" w:cs="Arial"/>
          <w:iCs/>
          <w:sz w:val="24"/>
          <w:szCs w:val="24"/>
        </w:rPr>
        <w:t xml:space="preserve"> </w:t>
      </w:r>
      <w:r w:rsidRPr="00FD5225">
        <w:rPr>
          <w:rFonts w:ascii="Arial" w:hAnsi="Arial" w:cs="Arial"/>
          <w:iCs/>
          <w:sz w:val="24"/>
          <w:szCs w:val="24"/>
        </w:rPr>
        <w:t>includes the freedom to seek, receive and impart</w:t>
      </w:r>
      <w:r>
        <w:rPr>
          <w:rFonts w:ascii="Arial" w:hAnsi="Arial" w:cs="Arial"/>
          <w:iCs/>
          <w:sz w:val="24"/>
          <w:szCs w:val="24"/>
        </w:rPr>
        <w:t xml:space="preserve"> </w:t>
      </w:r>
      <w:r w:rsidRPr="00FD5225">
        <w:rPr>
          <w:rFonts w:ascii="Arial" w:hAnsi="Arial" w:cs="Arial"/>
          <w:iCs/>
          <w:sz w:val="24"/>
          <w:szCs w:val="24"/>
        </w:rPr>
        <w:t>information and ideas of all kinds, regardless of borders, whether orally, in writing or in print, by way of art, or in another way chosen by him or her</w:t>
      </w:r>
      <w:r>
        <w:rPr>
          <w:rFonts w:ascii="Arial" w:hAnsi="Arial" w:cs="Arial"/>
          <w:iCs/>
          <w:sz w:val="24"/>
          <w:szCs w:val="24"/>
        </w:rPr>
        <w:t xml:space="preserve"> (section</w:t>
      </w:r>
      <w:r w:rsidR="00FB44E9">
        <w:rPr>
          <w:rFonts w:ascii="Arial" w:hAnsi="Arial" w:cs="Arial"/>
          <w:iCs/>
          <w:sz w:val="24"/>
          <w:szCs w:val="24"/>
        </w:rPr>
        <w:t> </w:t>
      </w:r>
      <w:r>
        <w:rPr>
          <w:rFonts w:ascii="Arial" w:hAnsi="Arial" w:cs="Arial"/>
          <w:iCs/>
          <w:sz w:val="24"/>
          <w:szCs w:val="24"/>
        </w:rPr>
        <w:t xml:space="preserve">16(2)). </w:t>
      </w:r>
    </w:p>
    <w:p w14:paraId="5563D9BA" w14:textId="2C7F4DE6" w:rsidR="009368DA" w:rsidRPr="00E24D52" w:rsidRDefault="009368DA" w:rsidP="009368DA">
      <w:pPr>
        <w:rPr>
          <w:rFonts w:ascii="Arial" w:hAnsi="Arial" w:cs="Arial"/>
          <w:iCs/>
          <w:sz w:val="24"/>
          <w:szCs w:val="24"/>
        </w:rPr>
      </w:pPr>
      <w:r>
        <w:rPr>
          <w:rFonts w:ascii="Arial" w:hAnsi="Arial" w:cs="Arial"/>
          <w:iCs/>
          <w:sz w:val="24"/>
          <w:szCs w:val="24"/>
        </w:rPr>
        <w:t>The right to freedom of thought, conscience, religion and belief and the right to freedom of expression are engaged by prohibiting conversion practices</w:t>
      </w:r>
      <w:r w:rsidR="00910A13">
        <w:rPr>
          <w:rFonts w:ascii="Arial" w:hAnsi="Arial" w:cs="Arial"/>
          <w:iCs/>
          <w:sz w:val="24"/>
          <w:szCs w:val="24"/>
        </w:rPr>
        <w:t>,</w:t>
      </w:r>
      <w:r>
        <w:rPr>
          <w:rFonts w:ascii="Arial" w:hAnsi="Arial" w:cs="Arial"/>
          <w:iCs/>
          <w:sz w:val="24"/>
          <w:szCs w:val="24"/>
        </w:rPr>
        <w:t xml:space="preserve"> as this measure does not permit the manifestation or demonstration of religious belief, or the expression of information or ideas, that seek to change a person’s </w:t>
      </w:r>
      <w:r w:rsidR="00420689">
        <w:rPr>
          <w:rFonts w:ascii="Arial" w:hAnsi="Arial" w:cs="Arial"/>
          <w:iCs/>
          <w:sz w:val="24"/>
          <w:szCs w:val="24"/>
        </w:rPr>
        <w:t>sexuality</w:t>
      </w:r>
      <w:r>
        <w:rPr>
          <w:rFonts w:ascii="Arial" w:hAnsi="Arial" w:cs="Arial"/>
          <w:iCs/>
          <w:sz w:val="24"/>
          <w:szCs w:val="24"/>
        </w:rPr>
        <w:t xml:space="preserve"> or gender identity. </w:t>
      </w:r>
    </w:p>
    <w:p w14:paraId="72A489C3" w14:textId="77777777" w:rsidR="009368DA" w:rsidRPr="00FD462F" w:rsidRDefault="009368DA" w:rsidP="009368DA">
      <w:pPr>
        <w:rPr>
          <w:rFonts w:ascii="Arial" w:hAnsi="Arial" w:cs="Arial"/>
          <w:i/>
          <w:sz w:val="24"/>
          <w:szCs w:val="24"/>
        </w:rPr>
      </w:pPr>
      <w:r w:rsidRPr="00FD462F">
        <w:rPr>
          <w:rFonts w:ascii="Arial" w:hAnsi="Arial" w:cs="Arial"/>
          <w:i/>
          <w:sz w:val="24"/>
          <w:szCs w:val="24"/>
        </w:rPr>
        <w:t>Legitimate purpose (s28(b))</w:t>
      </w:r>
    </w:p>
    <w:p w14:paraId="2D45EBD6" w14:textId="13CF9969" w:rsidR="009368DA" w:rsidRDefault="009368DA" w:rsidP="009368DA">
      <w:pPr>
        <w:rPr>
          <w:rFonts w:ascii="Arial" w:hAnsi="Arial" w:cs="Arial"/>
          <w:iCs/>
          <w:sz w:val="24"/>
          <w:szCs w:val="24"/>
        </w:rPr>
      </w:pPr>
      <w:r w:rsidRPr="009D772C">
        <w:rPr>
          <w:rFonts w:ascii="Arial" w:hAnsi="Arial" w:cs="Arial"/>
          <w:iCs/>
          <w:sz w:val="24"/>
          <w:szCs w:val="24"/>
        </w:rPr>
        <w:lastRenderedPageBreak/>
        <w:t xml:space="preserve">The </w:t>
      </w:r>
      <w:r>
        <w:rPr>
          <w:rFonts w:ascii="Arial" w:hAnsi="Arial" w:cs="Arial"/>
          <w:iCs/>
          <w:sz w:val="24"/>
          <w:szCs w:val="24"/>
        </w:rPr>
        <w:t>Bill</w:t>
      </w:r>
      <w:r w:rsidRPr="009D772C">
        <w:rPr>
          <w:rFonts w:ascii="Arial" w:hAnsi="Arial" w:cs="Arial"/>
          <w:iCs/>
          <w:sz w:val="24"/>
          <w:szCs w:val="24"/>
        </w:rPr>
        <w:t xml:space="preserve"> </w:t>
      </w:r>
      <w:r>
        <w:rPr>
          <w:rFonts w:ascii="Arial" w:hAnsi="Arial" w:cs="Arial"/>
          <w:iCs/>
          <w:sz w:val="24"/>
          <w:szCs w:val="24"/>
        </w:rPr>
        <w:t>seeks</w:t>
      </w:r>
      <w:r w:rsidRPr="009D772C">
        <w:rPr>
          <w:rFonts w:ascii="Arial" w:hAnsi="Arial" w:cs="Arial"/>
          <w:iCs/>
          <w:sz w:val="24"/>
          <w:szCs w:val="24"/>
        </w:rPr>
        <w:t xml:space="preserve"> to achieve </w:t>
      </w:r>
      <w:r>
        <w:rPr>
          <w:rFonts w:ascii="Arial" w:hAnsi="Arial" w:cs="Arial"/>
          <w:iCs/>
          <w:sz w:val="24"/>
          <w:szCs w:val="24"/>
        </w:rPr>
        <w:t>the</w:t>
      </w:r>
      <w:r w:rsidRPr="009D772C">
        <w:rPr>
          <w:rFonts w:ascii="Arial" w:hAnsi="Arial" w:cs="Arial"/>
          <w:iCs/>
          <w:sz w:val="24"/>
          <w:szCs w:val="24"/>
        </w:rPr>
        <w:t xml:space="preserve"> important and legitimate objective</w:t>
      </w:r>
      <w:r>
        <w:rPr>
          <w:rFonts w:ascii="Arial" w:hAnsi="Arial" w:cs="Arial"/>
          <w:iCs/>
          <w:sz w:val="24"/>
          <w:szCs w:val="24"/>
        </w:rPr>
        <w:t xml:space="preserve"> of</w:t>
      </w:r>
      <w:r w:rsidRPr="009D772C">
        <w:rPr>
          <w:rFonts w:ascii="Arial" w:hAnsi="Arial" w:cs="Arial"/>
          <w:iCs/>
          <w:sz w:val="24"/>
          <w:szCs w:val="24"/>
        </w:rPr>
        <w:t xml:space="preserve"> preventing serious harms</w:t>
      </w:r>
      <w:r>
        <w:rPr>
          <w:rFonts w:ascii="Arial" w:hAnsi="Arial" w:cs="Arial"/>
          <w:iCs/>
          <w:sz w:val="24"/>
          <w:szCs w:val="24"/>
        </w:rPr>
        <w:t xml:space="preserve"> towards LGBTQ individuals and protecting the right to be free</w:t>
      </w:r>
      <w:r w:rsidRPr="009D772C">
        <w:rPr>
          <w:rFonts w:ascii="Arial" w:hAnsi="Arial" w:cs="Arial"/>
          <w:iCs/>
          <w:sz w:val="24"/>
          <w:szCs w:val="24"/>
        </w:rPr>
        <w:t xml:space="preserve"> from </w:t>
      </w:r>
      <w:r>
        <w:rPr>
          <w:rFonts w:ascii="Arial" w:hAnsi="Arial" w:cs="Arial"/>
          <w:iCs/>
          <w:sz w:val="24"/>
          <w:szCs w:val="24"/>
        </w:rPr>
        <w:t xml:space="preserve">discrimination on the basis of </w:t>
      </w:r>
      <w:r w:rsidR="00420689">
        <w:rPr>
          <w:rFonts w:ascii="Arial" w:hAnsi="Arial" w:cs="Arial"/>
          <w:iCs/>
          <w:sz w:val="24"/>
          <w:szCs w:val="24"/>
        </w:rPr>
        <w:t>sexuality</w:t>
      </w:r>
      <w:r>
        <w:rPr>
          <w:rFonts w:ascii="Arial" w:hAnsi="Arial" w:cs="Arial"/>
          <w:iCs/>
          <w:sz w:val="24"/>
          <w:szCs w:val="24"/>
        </w:rPr>
        <w:t xml:space="preserve"> or gender identity. </w:t>
      </w:r>
    </w:p>
    <w:p w14:paraId="6E753D17" w14:textId="77777777" w:rsidR="009368DA" w:rsidRDefault="009368DA" w:rsidP="009368DA">
      <w:pPr>
        <w:rPr>
          <w:rFonts w:ascii="Arial" w:hAnsi="Arial" w:cs="Arial"/>
          <w:iCs/>
          <w:sz w:val="24"/>
          <w:szCs w:val="24"/>
        </w:rPr>
      </w:pPr>
      <w:r>
        <w:rPr>
          <w:rFonts w:ascii="Arial" w:hAnsi="Arial" w:cs="Arial"/>
          <w:iCs/>
          <w:sz w:val="24"/>
          <w:szCs w:val="24"/>
        </w:rPr>
        <w:t xml:space="preserve">Conversion practices can have long term negative impacts on the health and wellbeing of LGBTQ individuals. LGBTQ people are already a vulnerable, stigmatised population and as a consequence face a greater risk of poor mental health. The risks to the health and well-being of LGBTQ people in communities where conversion practices are undertaken compounds this risk as they live in community groups which can be unsupportive and discriminatory. Evidence from survivors of conversion practices reveal the ongoing harms caused by these practices long after they have been undertaken. </w:t>
      </w:r>
    </w:p>
    <w:p w14:paraId="22B59F15" w14:textId="77777777" w:rsidR="009368DA" w:rsidRDefault="009368DA" w:rsidP="009368DA">
      <w:pPr>
        <w:rPr>
          <w:rFonts w:ascii="Arial" w:hAnsi="Arial" w:cs="Arial"/>
          <w:i/>
          <w:sz w:val="24"/>
          <w:szCs w:val="24"/>
        </w:rPr>
      </w:pPr>
      <w:r w:rsidRPr="00FD462F">
        <w:rPr>
          <w:rFonts w:ascii="Arial" w:hAnsi="Arial" w:cs="Arial"/>
          <w:i/>
          <w:sz w:val="24"/>
          <w:szCs w:val="24"/>
        </w:rPr>
        <w:t>Rational connection between the limitation and the purpose (s28(d))</w:t>
      </w:r>
    </w:p>
    <w:p w14:paraId="2CA4A8B2" w14:textId="77777777" w:rsidR="009368DA" w:rsidRPr="004F3671" w:rsidRDefault="009368DA" w:rsidP="009368DA">
      <w:pPr>
        <w:rPr>
          <w:rFonts w:ascii="Arial" w:hAnsi="Arial" w:cs="Arial"/>
          <w:iCs/>
          <w:sz w:val="24"/>
          <w:szCs w:val="24"/>
        </w:rPr>
      </w:pPr>
      <w:r>
        <w:rPr>
          <w:rFonts w:ascii="Arial" w:hAnsi="Arial" w:cs="Arial"/>
          <w:iCs/>
          <w:sz w:val="24"/>
          <w:szCs w:val="24"/>
        </w:rPr>
        <w:t xml:space="preserve">By limiting the right to demonstrate, manifest and express religious beliefs by prohibiting conversion practices, this will reduce the harm caused to individuals subject to conversion practices. </w:t>
      </w:r>
      <w:r w:rsidRPr="00420689">
        <w:rPr>
          <w:rFonts w:ascii="Arial" w:hAnsi="Arial" w:cs="Arial"/>
          <w:iCs/>
          <w:sz w:val="24"/>
          <w:szCs w:val="24"/>
        </w:rPr>
        <w:t>There is no evidence to suggest any benefit or success in conversion practices.</w:t>
      </w:r>
    </w:p>
    <w:p w14:paraId="43E873C1" w14:textId="77777777" w:rsidR="009368DA" w:rsidRDefault="009368DA" w:rsidP="009368DA">
      <w:pPr>
        <w:rPr>
          <w:rFonts w:ascii="Arial" w:hAnsi="Arial" w:cs="Arial"/>
          <w:i/>
          <w:sz w:val="24"/>
          <w:szCs w:val="24"/>
        </w:rPr>
      </w:pPr>
      <w:r w:rsidRPr="00FD462F">
        <w:rPr>
          <w:rFonts w:ascii="Arial" w:hAnsi="Arial" w:cs="Arial"/>
          <w:i/>
          <w:sz w:val="24"/>
          <w:szCs w:val="24"/>
        </w:rPr>
        <w:t>Proportionality (s28 (e))</w:t>
      </w:r>
    </w:p>
    <w:p w14:paraId="47AD8AB4" w14:textId="0ABD59C1" w:rsidR="009368DA" w:rsidRDefault="009368DA" w:rsidP="009368DA">
      <w:pPr>
        <w:rPr>
          <w:rFonts w:ascii="Arial" w:hAnsi="Arial" w:cs="Arial"/>
          <w:iCs/>
          <w:sz w:val="24"/>
          <w:szCs w:val="24"/>
        </w:rPr>
      </w:pPr>
      <w:r>
        <w:rPr>
          <w:rFonts w:ascii="Arial" w:hAnsi="Arial" w:cs="Arial"/>
          <w:iCs/>
          <w:sz w:val="24"/>
          <w:szCs w:val="24"/>
        </w:rPr>
        <w:t>Prohibiting conversion practices is a reasonable, necessary and proportionate means to achieve the legitimate objective. The measure does not limit the right to have or adopt particular beliefs or to hold particular opinions</w:t>
      </w:r>
      <w:r w:rsidR="000108BE">
        <w:rPr>
          <w:rFonts w:ascii="Arial" w:hAnsi="Arial" w:cs="Arial"/>
          <w:iCs/>
          <w:sz w:val="24"/>
          <w:szCs w:val="24"/>
        </w:rPr>
        <w:t xml:space="preserve"> and does not limit the right to teach religious tenets</w:t>
      </w:r>
      <w:r>
        <w:rPr>
          <w:rFonts w:ascii="Arial" w:hAnsi="Arial" w:cs="Arial"/>
          <w:iCs/>
          <w:sz w:val="24"/>
          <w:szCs w:val="24"/>
        </w:rPr>
        <w:t xml:space="preserve">, but limits the demonstration or manifestation of those beliefs </w:t>
      </w:r>
      <w:r w:rsidR="000108BE">
        <w:rPr>
          <w:rFonts w:ascii="Arial" w:hAnsi="Arial" w:cs="Arial"/>
          <w:iCs/>
          <w:sz w:val="24"/>
          <w:szCs w:val="24"/>
        </w:rPr>
        <w:t xml:space="preserve">where they are directed at changing sexuality or gender identity, </w:t>
      </w:r>
      <w:r>
        <w:rPr>
          <w:rFonts w:ascii="Arial" w:hAnsi="Arial" w:cs="Arial"/>
          <w:iCs/>
          <w:sz w:val="24"/>
          <w:szCs w:val="24"/>
        </w:rPr>
        <w:t xml:space="preserve">given the evidenced impacts on the rights of others. </w:t>
      </w:r>
    </w:p>
    <w:p w14:paraId="739A7706" w14:textId="7F9C6D37" w:rsidR="00E92A56" w:rsidRDefault="009368DA" w:rsidP="009368DA">
      <w:pPr>
        <w:rPr>
          <w:rFonts w:ascii="Arial" w:hAnsi="Arial" w:cs="Arial"/>
          <w:iCs/>
          <w:sz w:val="24"/>
          <w:szCs w:val="24"/>
        </w:rPr>
      </w:pPr>
      <w:r>
        <w:rPr>
          <w:rFonts w:ascii="Arial" w:hAnsi="Arial" w:cs="Arial"/>
          <w:iCs/>
          <w:sz w:val="24"/>
          <w:szCs w:val="24"/>
        </w:rPr>
        <w:t xml:space="preserve">Particular safeguards are in place to ensure that the measure is the least rights restrictive approach. </w:t>
      </w:r>
      <w:r w:rsidR="000108BE">
        <w:rPr>
          <w:rFonts w:ascii="Arial" w:hAnsi="Arial" w:cs="Arial"/>
          <w:iCs/>
          <w:sz w:val="24"/>
          <w:szCs w:val="24"/>
        </w:rPr>
        <w:t xml:space="preserve">The definition of conversion practice is </w:t>
      </w:r>
      <w:r w:rsidR="00E92A56">
        <w:rPr>
          <w:rFonts w:ascii="Arial" w:hAnsi="Arial" w:cs="Arial"/>
          <w:iCs/>
          <w:sz w:val="24"/>
          <w:szCs w:val="24"/>
        </w:rPr>
        <w:t xml:space="preserve">deliberately targeted and </w:t>
      </w:r>
      <w:r w:rsidR="000108BE">
        <w:rPr>
          <w:rFonts w:ascii="Arial" w:hAnsi="Arial" w:cs="Arial"/>
          <w:iCs/>
          <w:sz w:val="24"/>
          <w:szCs w:val="24"/>
        </w:rPr>
        <w:t>confined to practices the purpose, or pu</w:t>
      </w:r>
      <w:r w:rsidR="00C124D5">
        <w:rPr>
          <w:rFonts w:ascii="Arial" w:hAnsi="Arial" w:cs="Arial"/>
          <w:iCs/>
          <w:sz w:val="24"/>
          <w:szCs w:val="24"/>
        </w:rPr>
        <w:t xml:space="preserve">rported purpose, of which is to </w:t>
      </w:r>
      <w:r w:rsidR="000108BE">
        <w:rPr>
          <w:rFonts w:ascii="Arial" w:hAnsi="Arial" w:cs="Arial"/>
          <w:iCs/>
          <w:sz w:val="24"/>
          <w:szCs w:val="24"/>
        </w:rPr>
        <w:t>change a person’</w:t>
      </w:r>
      <w:r w:rsidR="00C124D5">
        <w:rPr>
          <w:rFonts w:ascii="Arial" w:hAnsi="Arial" w:cs="Arial"/>
          <w:iCs/>
          <w:sz w:val="24"/>
          <w:szCs w:val="24"/>
        </w:rPr>
        <w:t xml:space="preserve">s sexuality or gender identity. This targets the prohibition at practices </w:t>
      </w:r>
      <w:r w:rsidR="00D34B5A">
        <w:rPr>
          <w:rFonts w:ascii="Arial" w:hAnsi="Arial" w:cs="Arial"/>
          <w:iCs/>
          <w:sz w:val="24"/>
          <w:szCs w:val="24"/>
        </w:rPr>
        <w:t>that are demonstrably harmful and based on unfounded claims</w:t>
      </w:r>
      <w:r w:rsidR="00C124D5">
        <w:rPr>
          <w:rFonts w:ascii="Arial" w:hAnsi="Arial" w:cs="Arial"/>
          <w:iCs/>
          <w:sz w:val="24"/>
          <w:szCs w:val="24"/>
        </w:rPr>
        <w:t xml:space="preserve"> </w:t>
      </w:r>
      <w:r w:rsidR="00E92A56">
        <w:rPr>
          <w:rFonts w:ascii="Arial" w:hAnsi="Arial" w:cs="Arial"/>
          <w:iCs/>
          <w:sz w:val="24"/>
          <w:szCs w:val="24"/>
        </w:rPr>
        <w:t>as</w:t>
      </w:r>
      <w:r w:rsidR="00C124D5">
        <w:rPr>
          <w:rFonts w:ascii="Arial" w:hAnsi="Arial" w:cs="Arial"/>
          <w:iCs/>
          <w:sz w:val="24"/>
          <w:szCs w:val="24"/>
        </w:rPr>
        <w:t xml:space="preserve"> current evidence</w:t>
      </w:r>
      <w:r w:rsidR="00E92A56">
        <w:rPr>
          <w:rFonts w:ascii="Arial" w:hAnsi="Arial" w:cs="Arial"/>
          <w:iCs/>
          <w:sz w:val="24"/>
          <w:szCs w:val="24"/>
        </w:rPr>
        <w:t xml:space="preserve"> indicates that it is not possible to achieve such a change in reality</w:t>
      </w:r>
      <w:r w:rsidR="00C124D5">
        <w:rPr>
          <w:rFonts w:ascii="Arial" w:hAnsi="Arial" w:cs="Arial"/>
          <w:iCs/>
          <w:sz w:val="24"/>
          <w:szCs w:val="24"/>
        </w:rPr>
        <w:t xml:space="preserve">. </w:t>
      </w:r>
      <w:r w:rsidR="00E92A56">
        <w:rPr>
          <w:rFonts w:ascii="Arial" w:hAnsi="Arial" w:cs="Arial"/>
          <w:iCs/>
          <w:sz w:val="24"/>
          <w:szCs w:val="24"/>
        </w:rPr>
        <w:t xml:space="preserve">The prohibition </w:t>
      </w:r>
      <w:r w:rsidR="00C124D5">
        <w:rPr>
          <w:rFonts w:ascii="Arial" w:hAnsi="Arial" w:cs="Arial"/>
          <w:iCs/>
          <w:sz w:val="24"/>
          <w:szCs w:val="24"/>
        </w:rPr>
        <w:t xml:space="preserve">does not </w:t>
      </w:r>
      <w:r w:rsidR="00D34B5A">
        <w:rPr>
          <w:rFonts w:ascii="Arial" w:hAnsi="Arial" w:cs="Arial"/>
          <w:iCs/>
          <w:sz w:val="24"/>
          <w:szCs w:val="24"/>
        </w:rPr>
        <w:t xml:space="preserve">interfere with </w:t>
      </w:r>
      <w:r w:rsidR="00C124D5">
        <w:rPr>
          <w:rFonts w:ascii="Arial" w:hAnsi="Arial" w:cs="Arial"/>
          <w:iCs/>
          <w:sz w:val="24"/>
          <w:szCs w:val="24"/>
        </w:rPr>
        <w:t>religious teachings</w:t>
      </w:r>
      <w:r w:rsidR="00E92A56">
        <w:rPr>
          <w:rFonts w:ascii="Arial" w:hAnsi="Arial" w:cs="Arial"/>
          <w:iCs/>
          <w:sz w:val="24"/>
          <w:szCs w:val="24"/>
        </w:rPr>
        <w:t xml:space="preserve"> more broadly</w:t>
      </w:r>
      <w:r w:rsidR="00C124D5">
        <w:rPr>
          <w:rFonts w:ascii="Arial" w:hAnsi="Arial" w:cs="Arial"/>
          <w:iCs/>
          <w:sz w:val="24"/>
          <w:szCs w:val="24"/>
        </w:rPr>
        <w:t xml:space="preserve">. </w:t>
      </w:r>
      <w:r w:rsidR="002A709A">
        <w:rPr>
          <w:rFonts w:ascii="Arial" w:hAnsi="Arial" w:cs="Arial"/>
          <w:iCs/>
          <w:sz w:val="24"/>
          <w:szCs w:val="24"/>
        </w:rPr>
        <w:t>Further, p</w:t>
      </w:r>
      <w:r>
        <w:rPr>
          <w:rFonts w:ascii="Arial" w:hAnsi="Arial" w:cs="Arial"/>
          <w:iCs/>
          <w:sz w:val="24"/>
          <w:szCs w:val="24"/>
        </w:rPr>
        <w:t xml:space="preserve">ractices are criminalised only where undertaken on a ‘protected person’ (a child or </w:t>
      </w:r>
      <w:r w:rsidR="00BF60E7">
        <w:rPr>
          <w:rFonts w:ascii="Arial" w:hAnsi="Arial" w:cs="Arial"/>
          <w:iCs/>
          <w:sz w:val="24"/>
          <w:szCs w:val="24"/>
        </w:rPr>
        <w:t xml:space="preserve">a person who has impaired decision-making </w:t>
      </w:r>
      <w:r w:rsidR="00073A71">
        <w:rPr>
          <w:rFonts w:ascii="Arial" w:hAnsi="Arial" w:cs="Arial"/>
          <w:iCs/>
          <w:sz w:val="24"/>
          <w:szCs w:val="24"/>
        </w:rPr>
        <w:t xml:space="preserve">ability </w:t>
      </w:r>
      <w:r w:rsidR="00BF60E7">
        <w:rPr>
          <w:rFonts w:ascii="Arial" w:hAnsi="Arial" w:cs="Arial"/>
          <w:iCs/>
          <w:sz w:val="24"/>
          <w:szCs w:val="24"/>
        </w:rPr>
        <w:t>in relation to a matter relating to the person’s health or welfare</w:t>
      </w:r>
      <w:r>
        <w:rPr>
          <w:rFonts w:ascii="Arial" w:hAnsi="Arial" w:cs="Arial"/>
          <w:iCs/>
          <w:sz w:val="24"/>
          <w:szCs w:val="24"/>
        </w:rPr>
        <w:t xml:space="preserve">) or where a protected person is removed from the Territory for the purpose of undertaking conversion practices. </w:t>
      </w:r>
    </w:p>
    <w:p w14:paraId="67AF0231" w14:textId="4DBF0FF3" w:rsidR="009368DA" w:rsidRDefault="00E92A56" w:rsidP="009368DA">
      <w:pPr>
        <w:rPr>
          <w:rFonts w:ascii="Arial" w:hAnsi="Arial" w:cs="Arial"/>
          <w:iCs/>
          <w:sz w:val="24"/>
          <w:szCs w:val="24"/>
        </w:rPr>
      </w:pPr>
      <w:r>
        <w:rPr>
          <w:rFonts w:ascii="Arial" w:hAnsi="Arial" w:cs="Arial"/>
          <w:iCs/>
          <w:sz w:val="24"/>
          <w:szCs w:val="24"/>
        </w:rPr>
        <w:t>A complaint may be made to the ACT Human Rights Commission in a wider range or situations, including situations where</w:t>
      </w:r>
      <w:r w:rsidR="009368DA">
        <w:rPr>
          <w:rFonts w:ascii="Arial" w:hAnsi="Arial" w:cs="Arial"/>
          <w:iCs/>
          <w:sz w:val="24"/>
          <w:szCs w:val="24"/>
        </w:rPr>
        <w:t xml:space="preserve"> </w:t>
      </w:r>
      <w:r>
        <w:rPr>
          <w:rFonts w:ascii="Arial" w:hAnsi="Arial" w:cs="Arial"/>
          <w:iCs/>
          <w:sz w:val="24"/>
          <w:szCs w:val="24"/>
        </w:rPr>
        <w:t xml:space="preserve">conversion </w:t>
      </w:r>
      <w:r w:rsidR="009368DA">
        <w:rPr>
          <w:rFonts w:ascii="Arial" w:hAnsi="Arial" w:cs="Arial"/>
          <w:iCs/>
          <w:sz w:val="24"/>
          <w:szCs w:val="24"/>
        </w:rPr>
        <w:t xml:space="preserve">practices are undertaken within the Territory </w:t>
      </w:r>
      <w:r>
        <w:rPr>
          <w:rFonts w:ascii="Arial" w:hAnsi="Arial" w:cs="Arial"/>
          <w:iCs/>
          <w:sz w:val="24"/>
          <w:szCs w:val="24"/>
        </w:rPr>
        <w:t>on</w:t>
      </w:r>
      <w:r w:rsidR="009368DA">
        <w:rPr>
          <w:rFonts w:ascii="Arial" w:hAnsi="Arial" w:cs="Arial"/>
          <w:iCs/>
          <w:sz w:val="24"/>
          <w:szCs w:val="24"/>
        </w:rPr>
        <w:t xml:space="preserve"> adults. </w:t>
      </w:r>
      <w:r>
        <w:rPr>
          <w:rFonts w:ascii="Arial" w:hAnsi="Arial" w:cs="Arial"/>
          <w:iCs/>
          <w:sz w:val="24"/>
          <w:szCs w:val="24"/>
        </w:rPr>
        <w:t>The focus of the Human Rights Commission is to conciliate complaints and to seek a</w:t>
      </w:r>
      <w:r w:rsidR="009368DA">
        <w:rPr>
          <w:rFonts w:ascii="Arial" w:hAnsi="Arial" w:cs="Arial"/>
          <w:iCs/>
          <w:sz w:val="24"/>
          <w:szCs w:val="24"/>
        </w:rPr>
        <w:t xml:space="preserve"> resolution between the parties. </w:t>
      </w:r>
      <w:r>
        <w:rPr>
          <w:rFonts w:ascii="Arial" w:hAnsi="Arial" w:cs="Arial"/>
          <w:iCs/>
          <w:sz w:val="24"/>
          <w:szCs w:val="24"/>
        </w:rPr>
        <w:t xml:space="preserve">If matters cannot be resolved through this approach the complainant can seek to have the matter </w:t>
      </w:r>
      <w:r>
        <w:rPr>
          <w:rFonts w:ascii="Arial" w:hAnsi="Arial" w:cs="Arial"/>
          <w:iCs/>
          <w:sz w:val="24"/>
          <w:szCs w:val="24"/>
        </w:rPr>
        <w:lastRenderedPageBreak/>
        <w:t>determined by the ACAT</w:t>
      </w:r>
      <w:r w:rsidR="009368DA">
        <w:rPr>
          <w:rFonts w:ascii="Arial" w:hAnsi="Arial" w:cs="Arial"/>
          <w:iCs/>
          <w:sz w:val="24"/>
          <w:szCs w:val="24"/>
        </w:rPr>
        <w:t xml:space="preserve">. This structure of liability ensures that the measure is targeted and proportionate to the harms caused. </w:t>
      </w:r>
    </w:p>
    <w:p w14:paraId="3FF3F3BB" w14:textId="7EAC40A7" w:rsidR="009368DA" w:rsidRPr="004F3671" w:rsidRDefault="00E92A56" w:rsidP="009368DA">
      <w:pPr>
        <w:rPr>
          <w:rFonts w:ascii="Arial" w:hAnsi="Arial" w:cs="Arial"/>
          <w:b/>
          <w:bCs/>
          <w:iCs/>
          <w:sz w:val="24"/>
          <w:szCs w:val="24"/>
        </w:rPr>
      </w:pPr>
      <w:r>
        <w:rPr>
          <w:rFonts w:ascii="Arial" w:hAnsi="Arial" w:cs="Arial"/>
          <w:iCs/>
          <w:sz w:val="24"/>
          <w:szCs w:val="24"/>
        </w:rPr>
        <w:t>A complaint about a c</w:t>
      </w:r>
      <w:r w:rsidR="009368DA">
        <w:rPr>
          <w:rFonts w:ascii="Arial" w:hAnsi="Arial" w:cs="Arial"/>
          <w:iCs/>
          <w:sz w:val="24"/>
          <w:szCs w:val="24"/>
        </w:rPr>
        <w:t xml:space="preserve">onversion practices </w:t>
      </w:r>
      <w:r>
        <w:rPr>
          <w:rFonts w:ascii="Arial" w:hAnsi="Arial" w:cs="Arial"/>
          <w:iCs/>
          <w:sz w:val="24"/>
          <w:szCs w:val="24"/>
        </w:rPr>
        <w:t>may be made</w:t>
      </w:r>
      <w:r w:rsidR="009368DA">
        <w:rPr>
          <w:rFonts w:ascii="Arial" w:hAnsi="Arial" w:cs="Arial"/>
          <w:iCs/>
          <w:sz w:val="24"/>
          <w:szCs w:val="24"/>
        </w:rPr>
        <w:t xml:space="preserve"> </w:t>
      </w:r>
      <w:r>
        <w:rPr>
          <w:rFonts w:ascii="Arial" w:hAnsi="Arial" w:cs="Arial"/>
          <w:iCs/>
          <w:sz w:val="24"/>
          <w:szCs w:val="24"/>
        </w:rPr>
        <w:t>regardless of whether a person agreed or consented to the practice at the time</w:t>
      </w:r>
      <w:r w:rsidR="009368DA">
        <w:rPr>
          <w:rFonts w:ascii="Arial" w:hAnsi="Arial" w:cs="Arial"/>
          <w:iCs/>
          <w:sz w:val="24"/>
          <w:szCs w:val="24"/>
        </w:rPr>
        <w:t xml:space="preserve">. This is considered to be the least rights restrictive means to achieve the objective, as limiting the prohibition to </w:t>
      </w:r>
      <w:r>
        <w:rPr>
          <w:rFonts w:ascii="Arial" w:hAnsi="Arial" w:cs="Arial"/>
          <w:iCs/>
          <w:sz w:val="24"/>
          <w:szCs w:val="24"/>
        </w:rPr>
        <w:t>instances where the practice was non-consensual</w:t>
      </w:r>
      <w:r w:rsidR="009368DA">
        <w:rPr>
          <w:rFonts w:ascii="Arial" w:hAnsi="Arial" w:cs="Arial"/>
          <w:iCs/>
          <w:sz w:val="24"/>
          <w:szCs w:val="24"/>
        </w:rPr>
        <w:t xml:space="preserve"> </w:t>
      </w:r>
      <w:r w:rsidR="00D34B5A">
        <w:rPr>
          <w:rFonts w:ascii="Arial" w:hAnsi="Arial" w:cs="Arial"/>
          <w:iCs/>
          <w:sz w:val="24"/>
          <w:szCs w:val="24"/>
        </w:rPr>
        <w:t xml:space="preserve">would </w:t>
      </w:r>
      <w:r w:rsidR="009368DA">
        <w:rPr>
          <w:rFonts w:ascii="Arial" w:hAnsi="Arial" w:cs="Arial"/>
          <w:iCs/>
          <w:sz w:val="24"/>
          <w:szCs w:val="24"/>
        </w:rPr>
        <w:t>not prevent the harm caused by conversion practices</w:t>
      </w:r>
      <w:r>
        <w:rPr>
          <w:rFonts w:ascii="Arial" w:hAnsi="Arial" w:cs="Arial"/>
          <w:iCs/>
          <w:sz w:val="24"/>
          <w:szCs w:val="24"/>
        </w:rPr>
        <w:t>. Evidence indicates</w:t>
      </w:r>
      <w:r w:rsidR="009368DA">
        <w:rPr>
          <w:rFonts w:ascii="Arial" w:hAnsi="Arial" w:cs="Arial"/>
          <w:iCs/>
          <w:sz w:val="24"/>
          <w:szCs w:val="24"/>
        </w:rPr>
        <w:t xml:space="preserve"> that conversion practices are undertaken in a range of informal and formal contexts</w:t>
      </w:r>
      <w:r>
        <w:rPr>
          <w:rFonts w:ascii="Arial" w:hAnsi="Arial" w:cs="Arial"/>
          <w:iCs/>
          <w:sz w:val="24"/>
          <w:szCs w:val="24"/>
        </w:rPr>
        <w:t xml:space="preserve"> and that consent may be obtained through misleading claims or indoctrination. People who are subject to these practices are generally not made aware of the harm these practices can cause</w:t>
      </w:r>
      <w:r w:rsidR="009368DA">
        <w:rPr>
          <w:rFonts w:ascii="Arial" w:hAnsi="Arial" w:cs="Arial"/>
          <w:iCs/>
          <w:sz w:val="24"/>
          <w:szCs w:val="24"/>
        </w:rPr>
        <w:t xml:space="preserve">. This measure is the least rights restrictive way to ensure that these practices </w:t>
      </w:r>
      <w:r w:rsidR="00D34B5A">
        <w:rPr>
          <w:rFonts w:ascii="Arial" w:hAnsi="Arial" w:cs="Arial"/>
          <w:iCs/>
          <w:sz w:val="24"/>
          <w:szCs w:val="24"/>
        </w:rPr>
        <w:t>can be prevented, and that a clear message is sent that such practices are not accepted in the ACT</w:t>
      </w:r>
      <w:r w:rsidR="009368DA">
        <w:rPr>
          <w:rFonts w:ascii="Arial" w:hAnsi="Arial" w:cs="Arial"/>
          <w:iCs/>
          <w:sz w:val="24"/>
          <w:szCs w:val="24"/>
        </w:rPr>
        <w:t xml:space="preserve">. </w:t>
      </w:r>
    </w:p>
    <w:p w14:paraId="0CDA3649" w14:textId="77777777" w:rsidR="009368DA" w:rsidRDefault="009368DA" w:rsidP="009368DA">
      <w:pPr>
        <w:rPr>
          <w:rFonts w:ascii="Arial" w:hAnsi="Arial" w:cs="Arial"/>
          <w:b/>
          <w:bCs/>
          <w:i/>
          <w:sz w:val="24"/>
          <w:szCs w:val="24"/>
        </w:rPr>
      </w:pPr>
      <w:r>
        <w:rPr>
          <w:rFonts w:ascii="Arial" w:hAnsi="Arial" w:cs="Arial"/>
          <w:b/>
          <w:bCs/>
          <w:i/>
          <w:sz w:val="24"/>
          <w:szCs w:val="24"/>
        </w:rPr>
        <w:t>R</w:t>
      </w:r>
      <w:r w:rsidRPr="00D5521B">
        <w:rPr>
          <w:rFonts w:ascii="Arial" w:hAnsi="Arial" w:cs="Arial"/>
          <w:b/>
          <w:bCs/>
          <w:i/>
          <w:sz w:val="24"/>
          <w:szCs w:val="24"/>
        </w:rPr>
        <w:t xml:space="preserve">ight to </w:t>
      </w:r>
      <w:r>
        <w:rPr>
          <w:rFonts w:ascii="Arial" w:hAnsi="Arial" w:cs="Arial"/>
          <w:b/>
          <w:bCs/>
          <w:i/>
          <w:sz w:val="24"/>
          <w:szCs w:val="24"/>
        </w:rPr>
        <w:t>freedom of movement</w:t>
      </w:r>
      <w:r w:rsidRPr="00D5521B">
        <w:rPr>
          <w:rFonts w:ascii="Arial" w:hAnsi="Arial" w:cs="Arial"/>
          <w:b/>
          <w:bCs/>
          <w:i/>
          <w:sz w:val="24"/>
          <w:szCs w:val="24"/>
        </w:rPr>
        <w:t xml:space="preserve"> </w:t>
      </w:r>
    </w:p>
    <w:p w14:paraId="2A6150D5" w14:textId="77777777" w:rsidR="009368DA" w:rsidRDefault="009368DA" w:rsidP="009368DA">
      <w:pPr>
        <w:rPr>
          <w:rFonts w:ascii="Arial" w:hAnsi="Arial" w:cs="Arial"/>
          <w:i/>
          <w:sz w:val="24"/>
          <w:szCs w:val="24"/>
        </w:rPr>
      </w:pPr>
      <w:r w:rsidRPr="00FD462F">
        <w:rPr>
          <w:rFonts w:ascii="Arial" w:hAnsi="Arial" w:cs="Arial"/>
          <w:i/>
          <w:sz w:val="24"/>
          <w:szCs w:val="24"/>
        </w:rPr>
        <w:t>Nature of the right and the limitation (s28(a) and (c))</w:t>
      </w:r>
    </w:p>
    <w:p w14:paraId="7266CBB3" w14:textId="6CE05ACA" w:rsidR="009368DA" w:rsidRPr="00C85C04" w:rsidRDefault="009368DA" w:rsidP="009368DA">
      <w:pPr>
        <w:rPr>
          <w:rFonts w:ascii="Arial" w:hAnsi="Arial" w:cs="Arial"/>
          <w:b/>
          <w:bCs/>
          <w:iCs/>
          <w:sz w:val="24"/>
          <w:szCs w:val="24"/>
        </w:rPr>
      </w:pPr>
      <w:r>
        <w:rPr>
          <w:rFonts w:ascii="Arial" w:hAnsi="Arial" w:cs="Arial"/>
          <w:iCs/>
          <w:sz w:val="24"/>
          <w:szCs w:val="24"/>
        </w:rPr>
        <w:t>The right to freedom of movement encompasses the right to move freely within the ACT and includes the right to leave</w:t>
      </w:r>
      <w:r w:rsidR="00D34B5A">
        <w:rPr>
          <w:rFonts w:ascii="Arial" w:hAnsi="Arial" w:cs="Arial"/>
          <w:iCs/>
          <w:sz w:val="24"/>
          <w:szCs w:val="24"/>
        </w:rPr>
        <w:t xml:space="preserve"> the Territory</w:t>
      </w:r>
      <w:r>
        <w:rPr>
          <w:rFonts w:ascii="Arial" w:hAnsi="Arial" w:cs="Arial"/>
          <w:iCs/>
          <w:sz w:val="24"/>
          <w:szCs w:val="24"/>
        </w:rPr>
        <w:t xml:space="preserve">. This right is engaged and limited as the prohibition on conversion practices extends to removing ‘protected persons’, namely a child or adult who </w:t>
      </w:r>
      <w:r w:rsidR="00D34B5A">
        <w:rPr>
          <w:rFonts w:ascii="Arial" w:hAnsi="Arial" w:cs="Arial"/>
          <w:iCs/>
          <w:sz w:val="24"/>
          <w:szCs w:val="24"/>
        </w:rPr>
        <w:t xml:space="preserve">has impaired </w:t>
      </w:r>
      <w:r w:rsidR="00205254">
        <w:rPr>
          <w:rFonts w:ascii="Arial" w:hAnsi="Arial" w:cs="Arial"/>
          <w:iCs/>
          <w:sz w:val="24"/>
          <w:szCs w:val="24"/>
        </w:rPr>
        <w:t>decision-making</w:t>
      </w:r>
      <w:r w:rsidR="00D34B5A">
        <w:rPr>
          <w:rFonts w:ascii="Arial" w:hAnsi="Arial" w:cs="Arial"/>
          <w:iCs/>
          <w:sz w:val="24"/>
          <w:szCs w:val="24"/>
        </w:rPr>
        <w:t xml:space="preserve"> ability</w:t>
      </w:r>
      <w:r>
        <w:rPr>
          <w:rFonts w:ascii="Arial" w:hAnsi="Arial" w:cs="Arial"/>
          <w:iCs/>
          <w:sz w:val="24"/>
          <w:szCs w:val="24"/>
        </w:rPr>
        <w:t xml:space="preserve">, from the ACT for the purpose of performing a conversion practice. The right to freedom of movement can be limited in certain circumstances to protect the rights and freedoms of others. </w:t>
      </w:r>
    </w:p>
    <w:p w14:paraId="6CA18770" w14:textId="77777777" w:rsidR="009368DA" w:rsidRDefault="009368DA" w:rsidP="009368DA">
      <w:pPr>
        <w:rPr>
          <w:rFonts w:ascii="Arial" w:hAnsi="Arial" w:cs="Arial"/>
          <w:iCs/>
          <w:sz w:val="24"/>
          <w:szCs w:val="24"/>
        </w:rPr>
      </w:pPr>
      <w:r w:rsidRPr="003206E7">
        <w:rPr>
          <w:rFonts w:ascii="Arial" w:hAnsi="Arial" w:cs="Arial"/>
          <w:i/>
          <w:sz w:val="24"/>
          <w:szCs w:val="24"/>
        </w:rPr>
        <w:t>Legitimate purpose (s28(b))</w:t>
      </w:r>
    </w:p>
    <w:p w14:paraId="0BD5C5CF" w14:textId="270331A9" w:rsidR="009368DA" w:rsidRPr="00FA5E5C" w:rsidRDefault="009368DA" w:rsidP="009368DA">
      <w:pPr>
        <w:rPr>
          <w:rFonts w:ascii="Arial" w:hAnsi="Arial" w:cs="Arial"/>
          <w:b/>
          <w:bCs/>
          <w:iCs/>
          <w:sz w:val="24"/>
          <w:szCs w:val="24"/>
        </w:rPr>
      </w:pPr>
      <w:r>
        <w:rPr>
          <w:rFonts w:ascii="Arial" w:hAnsi="Arial" w:cs="Arial"/>
          <w:iCs/>
          <w:sz w:val="24"/>
          <w:szCs w:val="24"/>
        </w:rPr>
        <w:t>The measure to prohibit the movement of protected persons from the ACT to undertake conversion practices seeks the legitimate objective of preventing harm. As stated above, the harms caused to LGBTQ individuals can be long-term and extensive. Children and adults w</w:t>
      </w:r>
      <w:r w:rsidR="00D34B5A">
        <w:rPr>
          <w:rFonts w:ascii="Arial" w:hAnsi="Arial" w:cs="Arial"/>
          <w:iCs/>
          <w:sz w:val="24"/>
          <w:szCs w:val="24"/>
        </w:rPr>
        <w:t>ith impaired capacity</w:t>
      </w:r>
      <w:r>
        <w:rPr>
          <w:rFonts w:ascii="Arial" w:hAnsi="Arial" w:cs="Arial"/>
          <w:iCs/>
          <w:sz w:val="24"/>
          <w:szCs w:val="24"/>
        </w:rPr>
        <w:t xml:space="preserve"> are a particularly vulnerable group at risk of conversion practices.  </w:t>
      </w:r>
    </w:p>
    <w:p w14:paraId="23123BE4" w14:textId="77777777" w:rsidR="009368DA" w:rsidRDefault="009368DA" w:rsidP="009368DA">
      <w:pPr>
        <w:rPr>
          <w:rFonts w:ascii="Arial" w:hAnsi="Arial" w:cs="Arial"/>
          <w:i/>
          <w:sz w:val="24"/>
          <w:szCs w:val="24"/>
        </w:rPr>
      </w:pPr>
      <w:r w:rsidRPr="003206E7">
        <w:rPr>
          <w:rFonts w:ascii="Arial" w:hAnsi="Arial" w:cs="Arial"/>
          <w:i/>
          <w:sz w:val="24"/>
          <w:szCs w:val="24"/>
        </w:rPr>
        <w:t>Rational connection between the limitation and the purpose (s28(d))</w:t>
      </w:r>
    </w:p>
    <w:p w14:paraId="0D905B52" w14:textId="77777777" w:rsidR="009368DA" w:rsidRPr="00C15968" w:rsidRDefault="009368DA" w:rsidP="009368DA">
      <w:pPr>
        <w:rPr>
          <w:rFonts w:ascii="Arial" w:hAnsi="Arial" w:cs="Arial"/>
          <w:iCs/>
          <w:sz w:val="24"/>
          <w:szCs w:val="24"/>
        </w:rPr>
      </w:pPr>
      <w:r>
        <w:rPr>
          <w:rFonts w:ascii="Arial" w:hAnsi="Arial" w:cs="Arial"/>
          <w:iCs/>
          <w:sz w:val="24"/>
          <w:szCs w:val="24"/>
        </w:rPr>
        <w:t xml:space="preserve">By prohibiting the removal of protected persons from the ACT in order to undertake conversion practices, this achieves the objective of reducing harm to individuals subject to those conversion practices. </w:t>
      </w:r>
    </w:p>
    <w:p w14:paraId="760C02D2" w14:textId="77777777" w:rsidR="009368DA" w:rsidRDefault="009368DA" w:rsidP="009368DA">
      <w:pPr>
        <w:rPr>
          <w:rFonts w:ascii="Arial" w:hAnsi="Arial" w:cs="Arial"/>
          <w:i/>
          <w:sz w:val="24"/>
          <w:szCs w:val="24"/>
        </w:rPr>
      </w:pPr>
      <w:r w:rsidRPr="003206E7">
        <w:rPr>
          <w:rFonts w:ascii="Arial" w:hAnsi="Arial" w:cs="Arial"/>
          <w:i/>
          <w:sz w:val="24"/>
          <w:szCs w:val="24"/>
        </w:rPr>
        <w:t>Proportionality (s28 (e))</w:t>
      </w:r>
    </w:p>
    <w:p w14:paraId="45D52EAC" w14:textId="77777777" w:rsidR="009368DA" w:rsidRDefault="009368DA" w:rsidP="009368DA">
      <w:pPr>
        <w:rPr>
          <w:rFonts w:ascii="Arial" w:hAnsi="Arial" w:cs="Arial"/>
          <w:iCs/>
          <w:sz w:val="24"/>
          <w:szCs w:val="24"/>
        </w:rPr>
      </w:pPr>
      <w:r>
        <w:rPr>
          <w:rFonts w:ascii="Arial" w:hAnsi="Arial" w:cs="Arial"/>
          <w:iCs/>
          <w:sz w:val="24"/>
          <w:szCs w:val="24"/>
        </w:rPr>
        <w:t xml:space="preserve">The criminal offence for the removal of a protected person is necessary and proportionate to achieve the objective of preventing harm. </w:t>
      </w:r>
    </w:p>
    <w:p w14:paraId="1E6C440B" w14:textId="2F9F2EB0" w:rsidR="009368DA" w:rsidRDefault="009368DA" w:rsidP="009368DA">
      <w:pPr>
        <w:rPr>
          <w:rFonts w:ascii="Arial" w:hAnsi="Arial" w:cs="Arial"/>
          <w:iCs/>
          <w:sz w:val="24"/>
          <w:szCs w:val="24"/>
        </w:rPr>
      </w:pPr>
      <w:r>
        <w:rPr>
          <w:rFonts w:ascii="Arial" w:hAnsi="Arial" w:cs="Arial"/>
          <w:iCs/>
          <w:sz w:val="24"/>
          <w:szCs w:val="24"/>
        </w:rPr>
        <w:t xml:space="preserve">A safeguard has been included to appropriately target the limitation to freedom of movement to protect persons being removed from the ACT and does not extend to </w:t>
      </w:r>
      <w:r>
        <w:rPr>
          <w:rFonts w:ascii="Arial" w:hAnsi="Arial" w:cs="Arial"/>
          <w:iCs/>
          <w:sz w:val="24"/>
          <w:szCs w:val="24"/>
        </w:rPr>
        <w:lastRenderedPageBreak/>
        <w:t xml:space="preserve">consenting adults who may </w:t>
      </w:r>
      <w:r w:rsidR="00C90083">
        <w:rPr>
          <w:rFonts w:ascii="Arial" w:hAnsi="Arial" w:cs="Arial"/>
          <w:iCs/>
          <w:sz w:val="24"/>
          <w:szCs w:val="24"/>
        </w:rPr>
        <w:t xml:space="preserve">themselves </w:t>
      </w:r>
      <w:r>
        <w:rPr>
          <w:rFonts w:ascii="Arial" w:hAnsi="Arial" w:cs="Arial"/>
          <w:iCs/>
          <w:sz w:val="24"/>
          <w:szCs w:val="24"/>
        </w:rPr>
        <w:t xml:space="preserve">wish to </w:t>
      </w:r>
      <w:r w:rsidR="00D34B5A">
        <w:rPr>
          <w:rFonts w:ascii="Arial" w:hAnsi="Arial" w:cs="Arial"/>
          <w:iCs/>
          <w:sz w:val="24"/>
          <w:szCs w:val="24"/>
        </w:rPr>
        <w:t xml:space="preserve">leave the Territory to </w:t>
      </w:r>
      <w:r>
        <w:rPr>
          <w:rFonts w:ascii="Arial" w:hAnsi="Arial" w:cs="Arial"/>
          <w:iCs/>
          <w:sz w:val="24"/>
          <w:szCs w:val="24"/>
        </w:rPr>
        <w:t xml:space="preserve">undertake these practices. </w:t>
      </w:r>
    </w:p>
    <w:p w14:paraId="3A7B1F61" w14:textId="2AE6C8C9" w:rsidR="009368DA" w:rsidRDefault="009368DA" w:rsidP="009368DA">
      <w:pPr>
        <w:rPr>
          <w:rFonts w:ascii="Arial" w:hAnsi="Arial" w:cs="Arial"/>
          <w:iCs/>
          <w:sz w:val="24"/>
          <w:szCs w:val="24"/>
        </w:rPr>
      </w:pPr>
      <w:r>
        <w:rPr>
          <w:rFonts w:ascii="Arial" w:hAnsi="Arial" w:cs="Arial"/>
          <w:iCs/>
          <w:sz w:val="24"/>
          <w:szCs w:val="24"/>
        </w:rPr>
        <w:t xml:space="preserve">Criminal liability rather than civil liability is imposed given the serious nature of the harm that can be caused to a protected person, noting that they are particularly vulnerable to the impacts of conversion practices. The criminal offence imposes a maximum penalty of 150 penalty units (currently $24,000), imprisonment for 12 months, or both. This is considered to be proportionate to the seriousness of the offence and sends a strong message to the community that these practices are not condoned here or elsewhere. </w:t>
      </w:r>
    </w:p>
    <w:p w14:paraId="206FADB9" w14:textId="77777777" w:rsidR="009368DA" w:rsidRDefault="009368DA" w:rsidP="009368DA">
      <w:pPr>
        <w:rPr>
          <w:rFonts w:ascii="Arial" w:hAnsi="Arial" w:cs="Arial"/>
          <w:b/>
          <w:bCs/>
          <w:i/>
          <w:sz w:val="24"/>
          <w:szCs w:val="24"/>
        </w:rPr>
      </w:pPr>
      <w:r>
        <w:rPr>
          <w:rFonts w:ascii="Arial" w:hAnsi="Arial" w:cs="Arial"/>
          <w:b/>
          <w:bCs/>
          <w:i/>
          <w:sz w:val="24"/>
          <w:szCs w:val="24"/>
        </w:rPr>
        <w:t>R</w:t>
      </w:r>
      <w:r w:rsidRPr="00D5521B">
        <w:rPr>
          <w:rFonts w:ascii="Arial" w:hAnsi="Arial" w:cs="Arial"/>
          <w:b/>
          <w:bCs/>
          <w:i/>
          <w:sz w:val="24"/>
          <w:szCs w:val="24"/>
        </w:rPr>
        <w:t xml:space="preserve">ight to </w:t>
      </w:r>
      <w:r>
        <w:rPr>
          <w:rFonts w:ascii="Arial" w:hAnsi="Arial" w:cs="Arial"/>
          <w:b/>
          <w:bCs/>
          <w:i/>
          <w:sz w:val="24"/>
          <w:szCs w:val="24"/>
        </w:rPr>
        <w:t xml:space="preserve">education </w:t>
      </w:r>
    </w:p>
    <w:p w14:paraId="776851BE" w14:textId="77777777" w:rsidR="009368DA" w:rsidRPr="00414921" w:rsidRDefault="009368DA" w:rsidP="009368DA">
      <w:pPr>
        <w:rPr>
          <w:rFonts w:ascii="Arial" w:hAnsi="Arial" w:cs="Arial"/>
          <w:b/>
          <w:bCs/>
          <w:i/>
          <w:sz w:val="24"/>
          <w:szCs w:val="24"/>
        </w:rPr>
      </w:pPr>
      <w:r w:rsidRPr="003206E7">
        <w:rPr>
          <w:rFonts w:ascii="Arial" w:hAnsi="Arial" w:cs="Arial"/>
          <w:i/>
          <w:sz w:val="24"/>
          <w:szCs w:val="24"/>
        </w:rPr>
        <w:t>Nature of the right and the limitation (s28(a) and (c))</w:t>
      </w:r>
    </w:p>
    <w:p w14:paraId="7814E76C" w14:textId="77777777" w:rsidR="009368DA" w:rsidRPr="001346E3" w:rsidRDefault="009368DA" w:rsidP="009368DA">
      <w:pPr>
        <w:rPr>
          <w:rFonts w:ascii="Arial" w:hAnsi="Arial" w:cs="Arial"/>
          <w:iCs/>
          <w:sz w:val="24"/>
          <w:szCs w:val="24"/>
        </w:rPr>
      </w:pPr>
      <w:r w:rsidRPr="001346E3">
        <w:rPr>
          <w:rFonts w:ascii="Arial" w:hAnsi="Arial" w:cs="Arial"/>
          <w:iCs/>
          <w:sz w:val="24"/>
          <w:szCs w:val="24"/>
        </w:rPr>
        <w:t>Section 27A (3)(b) provides that:</w:t>
      </w:r>
    </w:p>
    <w:p w14:paraId="54FF0EBF" w14:textId="77777777" w:rsidR="009368DA" w:rsidRPr="001346E3" w:rsidRDefault="009368DA" w:rsidP="009368DA">
      <w:pPr>
        <w:ind w:left="720"/>
        <w:rPr>
          <w:rFonts w:ascii="Arial" w:hAnsi="Arial" w:cs="Arial"/>
          <w:iCs/>
          <w:sz w:val="24"/>
          <w:szCs w:val="24"/>
        </w:rPr>
      </w:pPr>
      <w:r w:rsidRPr="001346E3">
        <w:rPr>
          <w:rFonts w:ascii="Arial" w:hAnsi="Arial" w:cs="Arial"/>
          <w:iCs/>
          <w:sz w:val="24"/>
          <w:szCs w:val="24"/>
        </w:rPr>
        <w:t>To ensure the religious and moral education of a child in conformity with the convictions of the child’s parent or guardian, the parent or guardian may choose schooling for the child (other than schooling provided by the government) that conforms to the minimum educational standards required under law.</w:t>
      </w:r>
    </w:p>
    <w:p w14:paraId="57E5A09C" w14:textId="5C418275" w:rsidR="009368DA" w:rsidRPr="001346E3" w:rsidRDefault="009368DA" w:rsidP="009368DA">
      <w:pPr>
        <w:rPr>
          <w:rFonts w:ascii="Arial" w:hAnsi="Arial" w:cs="Arial"/>
          <w:iCs/>
          <w:sz w:val="24"/>
          <w:szCs w:val="24"/>
        </w:rPr>
      </w:pPr>
      <w:r w:rsidRPr="001346E3">
        <w:rPr>
          <w:rFonts w:ascii="Arial" w:hAnsi="Arial" w:cs="Arial"/>
          <w:iCs/>
          <w:sz w:val="24"/>
          <w:szCs w:val="24"/>
        </w:rPr>
        <w:t xml:space="preserve">The right to education is drawn from Article 13 of the International Covenant on the Economic Social and Cultural Rights. The UN Committee on Economic Social and Cultural rights </w:t>
      </w:r>
      <w:r w:rsidR="004928BA" w:rsidRPr="001346E3">
        <w:rPr>
          <w:rFonts w:ascii="Arial" w:hAnsi="Arial" w:cs="Arial"/>
          <w:iCs/>
          <w:sz w:val="24"/>
          <w:szCs w:val="24"/>
        </w:rPr>
        <w:t>note</w:t>
      </w:r>
      <w:r w:rsidRPr="001346E3">
        <w:rPr>
          <w:rFonts w:ascii="Arial" w:hAnsi="Arial" w:cs="Arial"/>
          <w:iCs/>
          <w:sz w:val="24"/>
          <w:szCs w:val="24"/>
        </w:rPr>
        <w:t xml:space="preserve"> in General Comment No. 13, that the right to freedom of religious education is constrained by minimum standards which must be consistent with the educational objectives set out in Article 13(1). These objectives include that education be directed to the human personality’s “sense of dignity”, it shall “enable all persons to participate effectively in a free society”, and it shall promote understanding among all “ethnic” groups, as well as nations and racial and religious groups.</w:t>
      </w:r>
    </w:p>
    <w:p w14:paraId="1F4F57BE" w14:textId="77777777" w:rsidR="009368DA" w:rsidRPr="001346E3" w:rsidRDefault="009368DA" w:rsidP="009368DA">
      <w:pPr>
        <w:rPr>
          <w:rFonts w:ascii="Arial" w:hAnsi="Arial" w:cs="Arial"/>
          <w:iCs/>
          <w:sz w:val="24"/>
          <w:szCs w:val="24"/>
        </w:rPr>
      </w:pPr>
      <w:r w:rsidRPr="001346E3">
        <w:rPr>
          <w:rFonts w:ascii="Arial" w:hAnsi="Arial" w:cs="Arial"/>
          <w:iCs/>
          <w:sz w:val="24"/>
          <w:szCs w:val="24"/>
        </w:rPr>
        <w:t>Article 29 of the Convention on the Rights of the Child further requires that the education of the child shall be directed to:</w:t>
      </w:r>
    </w:p>
    <w:p w14:paraId="41E5CA0C" w14:textId="77777777" w:rsidR="009368DA" w:rsidRPr="001346E3" w:rsidRDefault="009368DA" w:rsidP="009368DA">
      <w:pPr>
        <w:ind w:left="360"/>
        <w:rPr>
          <w:rFonts w:ascii="Arial" w:hAnsi="Arial" w:cs="Arial"/>
          <w:iCs/>
          <w:sz w:val="24"/>
          <w:szCs w:val="24"/>
        </w:rPr>
      </w:pPr>
      <w:r w:rsidRPr="001346E3">
        <w:rPr>
          <w:rFonts w:ascii="Arial" w:hAnsi="Arial" w:cs="Arial"/>
          <w:iCs/>
          <w:sz w:val="24"/>
          <w:szCs w:val="24"/>
        </w:rPr>
        <w:t>the development of respect for human rights and fundamental freedoms, and for the principles enshrined in the Charter of the United Nations’, and ‘the preparation of the child for responsible life in a free society, in the spirit of understanding, peace, tolerance, equality of sexes, and friendship among all peoples, ethnic, national and religious groups and persons of indigenous origin.</w:t>
      </w:r>
    </w:p>
    <w:p w14:paraId="278506C7" w14:textId="77777777" w:rsidR="009368DA" w:rsidRDefault="009368DA" w:rsidP="009368DA">
      <w:pPr>
        <w:rPr>
          <w:rFonts w:ascii="Arial" w:hAnsi="Arial" w:cs="Arial"/>
          <w:i/>
          <w:sz w:val="24"/>
          <w:szCs w:val="24"/>
        </w:rPr>
      </w:pPr>
      <w:r w:rsidRPr="003206E7">
        <w:rPr>
          <w:rFonts w:ascii="Arial" w:hAnsi="Arial" w:cs="Arial"/>
          <w:i/>
          <w:sz w:val="24"/>
          <w:szCs w:val="24"/>
        </w:rPr>
        <w:t>Legitimate purpose (s28(b))</w:t>
      </w:r>
    </w:p>
    <w:p w14:paraId="3561C0A8" w14:textId="77777777" w:rsidR="009368DA" w:rsidRPr="0084501E" w:rsidRDefault="009368DA" w:rsidP="009368DA">
      <w:pPr>
        <w:rPr>
          <w:rFonts w:ascii="Arial" w:hAnsi="Arial" w:cs="Arial"/>
          <w:iCs/>
          <w:sz w:val="24"/>
          <w:szCs w:val="24"/>
        </w:rPr>
      </w:pPr>
      <w:r w:rsidRPr="0036296E">
        <w:rPr>
          <w:rFonts w:ascii="Arial" w:hAnsi="Arial" w:cs="Arial"/>
          <w:iCs/>
          <w:sz w:val="24"/>
          <w:szCs w:val="24"/>
        </w:rPr>
        <w:t xml:space="preserve">As stated above, any limitation on the rights of parents to choose education in conformity with religious conviction is intended to serve an important purpose of </w:t>
      </w:r>
      <w:r>
        <w:rPr>
          <w:rFonts w:ascii="Arial" w:hAnsi="Arial" w:cs="Arial"/>
          <w:iCs/>
          <w:sz w:val="24"/>
          <w:szCs w:val="24"/>
        </w:rPr>
        <w:t xml:space="preserve">preventing harm caused by conversion practices and </w:t>
      </w:r>
      <w:r w:rsidRPr="0036296E">
        <w:rPr>
          <w:rFonts w:ascii="Arial" w:hAnsi="Arial" w:cs="Arial"/>
          <w:iCs/>
          <w:sz w:val="24"/>
          <w:szCs w:val="24"/>
        </w:rPr>
        <w:t xml:space="preserve">protecting the right to equality and non-discrimination of </w:t>
      </w:r>
      <w:r>
        <w:rPr>
          <w:rFonts w:ascii="Arial" w:hAnsi="Arial" w:cs="Arial"/>
          <w:iCs/>
          <w:sz w:val="24"/>
          <w:szCs w:val="24"/>
        </w:rPr>
        <w:t>LGBTQ individuals</w:t>
      </w:r>
      <w:r w:rsidRPr="0036296E">
        <w:rPr>
          <w:rFonts w:ascii="Arial" w:hAnsi="Arial" w:cs="Arial"/>
          <w:iCs/>
          <w:sz w:val="24"/>
          <w:szCs w:val="24"/>
        </w:rPr>
        <w:t>.</w:t>
      </w:r>
    </w:p>
    <w:p w14:paraId="0228C800" w14:textId="77777777" w:rsidR="009368DA" w:rsidRDefault="009368DA" w:rsidP="009368DA">
      <w:pPr>
        <w:rPr>
          <w:rFonts w:ascii="Arial" w:hAnsi="Arial" w:cs="Arial"/>
          <w:i/>
          <w:sz w:val="24"/>
          <w:szCs w:val="24"/>
        </w:rPr>
      </w:pPr>
      <w:r w:rsidRPr="003206E7">
        <w:rPr>
          <w:rFonts w:ascii="Arial" w:hAnsi="Arial" w:cs="Arial"/>
          <w:i/>
          <w:sz w:val="24"/>
          <w:szCs w:val="24"/>
        </w:rPr>
        <w:lastRenderedPageBreak/>
        <w:t>Rational connection between the limitation and the purpose (s28(d))</w:t>
      </w:r>
    </w:p>
    <w:p w14:paraId="718D48BE" w14:textId="77777777" w:rsidR="009368DA" w:rsidRPr="0036296E" w:rsidRDefault="009368DA" w:rsidP="009368DA">
      <w:pPr>
        <w:rPr>
          <w:rFonts w:ascii="Arial" w:hAnsi="Arial" w:cs="Arial"/>
          <w:b/>
          <w:bCs/>
          <w:iCs/>
          <w:sz w:val="24"/>
          <w:szCs w:val="24"/>
        </w:rPr>
      </w:pPr>
      <w:r w:rsidRPr="0063647F">
        <w:rPr>
          <w:rFonts w:ascii="Arial" w:hAnsi="Arial" w:cs="Arial"/>
          <w:iCs/>
          <w:sz w:val="24"/>
          <w:szCs w:val="24"/>
        </w:rPr>
        <w:t>The measure is rationally connected to preventing harm</w:t>
      </w:r>
      <w:r>
        <w:rPr>
          <w:rFonts w:ascii="Arial" w:hAnsi="Arial" w:cs="Arial"/>
          <w:iCs/>
          <w:sz w:val="24"/>
          <w:szCs w:val="24"/>
        </w:rPr>
        <w:t xml:space="preserve"> to LGBTQ individuals</w:t>
      </w:r>
      <w:r w:rsidRPr="0063647F">
        <w:rPr>
          <w:rFonts w:ascii="Arial" w:hAnsi="Arial" w:cs="Arial"/>
          <w:iCs/>
          <w:sz w:val="24"/>
          <w:szCs w:val="24"/>
        </w:rPr>
        <w:t>.</w:t>
      </w:r>
    </w:p>
    <w:p w14:paraId="542C8953" w14:textId="77777777" w:rsidR="009368DA" w:rsidRDefault="009368DA" w:rsidP="009368DA">
      <w:pPr>
        <w:rPr>
          <w:rFonts w:ascii="Arial" w:hAnsi="Arial" w:cs="Arial"/>
          <w:b/>
          <w:bCs/>
          <w:i/>
          <w:sz w:val="24"/>
          <w:szCs w:val="24"/>
        </w:rPr>
      </w:pPr>
      <w:r w:rsidRPr="003206E7">
        <w:rPr>
          <w:rFonts w:ascii="Arial" w:hAnsi="Arial" w:cs="Arial"/>
          <w:i/>
          <w:sz w:val="24"/>
          <w:szCs w:val="24"/>
        </w:rPr>
        <w:t>Proportionality (s28 (e))</w:t>
      </w:r>
    </w:p>
    <w:p w14:paraId="4B9D2013" w14:textId="72B19338" w:rsidR="009368DA" w:rsidRDefault="009368DA" w:rsidP="009368DA">
      <w:pPr>
        <w:rPr>
          <w:rFonts w:ascii="Arial" w:hAnsi="Arial" w:cs="Arial"/>
          <w:iCs/>
          <w:sz w:val="24"/>
          <w:szCs w:val="24"/>
        </w:rPr>
      </w:pPr>
      <w:r>
        <w:rPr>
          <w:rFonts w:ascii="Arial" w:hAnsi="Arial" w:cs="Arial"/>
          <w:iCs/>
          <w:sz w:val="24"/>
          <w:szCs w:val="24"/>
        </w:rPr>
        <w:t>The</w:t>
      </w:r>
      <w:r w:rsidR="00D34B5A">
        <w:rPr>
          <w:rFonts w:ascii="Arial" w:hAnsi="Arial" w:cs="Arial"/>
          <w:iCs/>
          <w:sz w:val="24"/>
          <w:szCs w:val="24"/>
        </w:rPr>
        <w:t xml:space="preserve"> criminal</w:t>
      </w:r>
      <w:r>
        <w:rPr>
          <w:rFonts w:ascii="Arial" w:hAnsi="Arial" w:cs="Arial"/>
          <w:iCs/>
          <w:sz w:val="24"/>
          <w:szCs w:val="24"/>
        </w:rPr>
        <w:t xml:space="preserve"> prohibition in the Bill is a prohibition on undertaking conversion practices on </w:t>
      </w:r>
      <w:r w:rsidR="00D34B5A">
        <w:rPr>
          <w:rFonts w:ascii="Arial" w:hAnsi="Arial" w:cs="Arial"/>
          <w:iCs/>
          <w:sz w:val="24"/>
          <w:szCs w:val="24"/>
        </w:rPr>
        <w:t>children and people with impaired capacity</w:t>
      </w:r>
      <w:r>
        <w:rPr>
          <w:rFonts w:ascii="Arial" w:hAnsi="Arial" w:cs="Arial"/>
          <w:iCs/>
          <w:sz w:val="24"/>
          <w:szCs w:val="24"/>
        </w:rPr>
        <w:t xml:space="preserve">. Where these practices align with particular religious teachings, then the right of parents to choose education for their children is limited to the extent that the teachings can be defined as ‘conversion practices’. </w:t>
      </w:r>
    </w:p>
    <w:p w14:paraId="2F5338FA" w14:textId="0EC7506B" w:rsidR="00C90083" w:rsidRDefault="009368DA" w:rsidP="009368DA">
      <w:pPr>
        <w:rPr>
          <w:rFonts w:ascii="Arial" w:hAnsi="Arial" w:cs="Arial"/>
          <w:iCs/>
          <w:sz w:val="24"/>
          <w:szCs w:val="24"/>
        </w:rPr>
      </w:pPr>
      <w:r>
        <w:rPr>
          <w:rFonts w:ascii="Arial" w:hAnsi="Arial" w:cs="Arial"/>
          <w:iCs/>
          <w:sz w:val="24"/>
          <w:szCs w:val="24"/>
        </w:rPr>
        <w:t>Any</w:t>
      </w:r>
      <w:r w:rsidR="00C90083">
        <w:rPr>
          <w:rFonts w:ascii="Arial" w:hAnsi="Arial" w:cs="Arial"/>
          <w:iCs/>
          <w:sz w:val="24"/>
          <w:szCs w:val="24"/>
        </w:rPr>
        <w:t xml:space="preserve"> resulting</w:t>
      </w:r>
      <w:r>
        <w:rPr>
          <w:rFonts w:ascii="Arial" w:hAnsi="Arial" w:cs="Arial"/>
          <w:iCs/>
          <w:sz w:val="24"/>
          <w:szCs w:val="24"/>
        </w:rPr>
        <w:t xml:space="preserve"> limitation is proportionate to the objective sought, as the measure supports LGBTQ individuals to be safe and practice their faith in environments that support and include them. </w:t>
      </w:r>
    </w:p>
    <w:p w14:paraId="0F64DD95" w14:textId="67AECA8B" w:rsidR="00D34B5A" w:rsidRDefault="00D34B5A" w:rsidP="009368DA">
      <w:pPr>
        <w:rPr>
          <w:rFonts w:ascii="Arial" w:hAnsi="Arial" w:cs="Arial"/>
          <w:iCs/>
          <w:sz w:val="24"/>
          <w:szCs w:val="24"/>
        </w:rPr>
      </w:pPr>
      <w:r>
        <w:rPr>
          <w:rFonts w:ascii="Arial" w:hAnsi="Arial" w:cs="Arial"/>
          <w:iCs/>
          <w:sz w:val="24"/>
          <w:szCs w:val="24"/>
        </w:rPr>
        <w:t>This measure will not prevent religious schools from teaching the tenets of their faith, including teachings on homosexuality or gender identity. It is aimed only at practices that actively seek to change the sexuality or gender identity of a person.</w:t>
      </w:r>
    </w:p>
    <w:p w14:paraId="046F2761" w14:textId="72534157" w:rsidR="009368DA" w:rsidRDefault="009368DA" w:rsidP="009368DA">
      <w:pPr>
        <w:rPr>
          <w:rFonts w:ascii="Arial" w:hAnsi="Arial" w:cs="Arial"/>
          <w:b/>
          <w:bCs/>
          <w:i/>
          <w:sz w:val="24"/>
          <w:szCs w:val="24"/>
        </w:rPr>
      </w:pPr>
      <w:r>
        <w:rPr>
          <w:rFonts w:ascii="Arial" w:hAnsi="Arial" w:cs="Arial"/>
          <w:b/>
          <w:bCs/>
          <w:i/>
          <w:sz w:val="24"/>
          <w:szCs w:val="24"/>
        </w:rPr>
        <w:t>R</w:t>
      </w:r>
      <w:r w:rsidRPr="00D5521B">
        <w:rPr>
          <w:rFonts w:ascii="Arial" w:hAnsi="Arial" w:cs="Arial"/>
          <w:b/>
          <w:bCs/>
          <w:i/>
          <w:sz w:val="24"/>
          <w:szCs w:val="24"/>
        </w:rPr>
        <w:t xml:space="preserve">ight to </w:t>
      </w:r>
      <w:r>
        <w:rPr>
          <w:rFonts w:ascii="Arial" w:hAnsi="Arial" w:cs="Arial"/>
          <w:b/>
          <w:bCs/>
          <w:i/>
          <w:sz w:val="24"/>
          <w:szCs w:val="24"/>
        </w:rPr>
        <w:t>privacy</w:t>
      </w:r>
      <w:r w:rsidRPr="00D5521B">
        <w:rPr>
          <w:rFonts w:ascii="Arial" w:hAnsi="Arial" w:cs="Arial"/>
          <w:b/>
          <w:bCs/>
          <w:i/>
          <w:sz w:val="24"/>
          <w:szCs w:val="24"/>
        </w:rPr>
        <w:t xml:space="preserve"> </w:t>
      </w:r>
    </w:p>
    <w:p w14:paraId="374664CB" w14:textId="77777777" w:rsidR="009368DA" w:rsidRPr="00414921" w:rsidRDefault="009368DA" w:rsidP="009368DA">
      <w:pPr>
        <w:rPr>
          <w:rFonts w:ascii="Arial" w:hAnsi="Arial" w:cs="Arial"/>
          <w:b/>
          <w:bCs/>
          <w:i/>
          <w:sz w:val="24"/>
          <w:szCs w:val="24"/>
        </w:rPr>
      </w:pPr>
      <w:r w:rsidRPr="003206E7">
        <w:rPr>
          <w:rFonts w:ascii="Arial" w:hAnsi="Arial" w:cs="Arial"/>
          <w:i/>
          <w:sz w:val="24"/>
          <w:szCs w:val="24"/>
        </w:rPr>
        <w:t>Nature of the right and the limitation (s28(a) and (c))</w:t>
      </w:r>
    </w:p>
    <w:p w14:paraId="22958E33" w14:textId="5F68D0AE" w:rsidR="009368DA" w:rsidRDefault="009368DA" w:rsidP="009368DA">
      <w:pPr>
        <w:rPr>
          <w:rFonts w:ascii="Arial" w:hAnsi="Arial" w:cs="Arial"/>
          <w:iCs/>
          <w:sz w:val="24"/>
          <w:szCs w:val="24"/>
        </w:rPr>
      </w:pPr>
      <w:r>
        <w:rPr>
          <w:rFonts w:ascii="Arial" w:hAnsi="Arial" w:cs="Arial"/>
          <w:iCs/>
          <w:sz w:val="24"/>
          <w:szCs w:val="24"/>
        </w:rPr>
        <w:t xml:space="preserve">The right to privacy includes the right </w:t>
      </w:r>
      <w:r w:rsidRPr="00B81B0C">
        <w:rPr>
          <w:rFonts w:ascii="Arial" w:hAnsi="Arial" w:cs="Arial"/>
          <w:iCs/>
          <w:sz w:val="24"/>
          <w:szCs w:val="24"/>
        </w:rPr>
        <w:t xml:space="preserve">not to have </w:t>
      </w:r>
      <w:r>
        <w:rPr>
          <w:rFonts w:ascii="Arial" w:hAnsi="Arial" w:cs="Arial"/>
          <w:iCs/>
          <w:sz w:val="24"/>
          <w:szCs w:val="24"/>
        </w:rPr>
        <w:t>one’s</w:t>
      </w:r>
      <w:r w:rsidRPr="00B81B0C">
        <w:rPr>
          <w:rFonts w:ascii="Arial" w:hAnsi="Arial" w:cs="Arial"/>
          <w:iCs/>
          <w:sz w:val="24"/>
          <w:szCs w:val="24"/>
        </w:rPr>
        <w:t xml:space="preserve"> privacy, family, home or correspondence interfered with unlawfully or arbitrarily</w:t>
      </w:r>
      <w:r>
        <w:rPr>
          <w:rFonts w:ascii="Arial" w:hAnsi="Arial" w:cs="Arial"/>
          <w:iCs/>
          <w:sz w:val="24"/>
          <w:szCs w:val="24"/>
        </w:rPr>
        <w:t xml:space="preserve"> (section 12(a)). This right is derived from Article 17 of the ICCPR. The UN Human Rights Committee has commented that privacy should be understood as including</w:t>
      </w:r>
      <w:r w:rsidRPr="00B81B0C">
        <w:rPr>
          <w:rFonts w:ascii="Arial" w:hAnsi="Arial" w:cs="Arial"/>
          <w:iCs/>
          <w:sz w:val="24"/>
          <w:szCs w:val="24"/>
        </w:rPr>
        <w:t xml:space="preserve"> freedom from unwarranted and unreasonable intrusions into activities that society recognises as falling within the sphere of individual autonomy</w:t>
      </w:r>
      <w:r>
        <w:rPr>
          <w:rFonts w:ascii="Arial" w:hAnsi="Arial" w:cs="Arial"/>
          <w:iCs/>
          <w:sz w:val="24"/>
          <w:szCs w:val="24"/>
        </w:rPr>
        <w:t>.</w:t>
      </w:r>
    </w:p>
    <w:p w14:paraId="5E7CF4D2" w14:textId="7C508D18" w:rsidR="009368DA" w:rsidRPr="00C977F8" w:rsidRDefault="009368DA" w:rsidP="009368DA">
      <w:pPr>
        <w:rPr>
          <w:rFonts w:ascii="Arial" w:hAnsi="Arial" w:cs="Arial"/>
          <w:iCs/>
          <w:sz w:val="24"/>
          <w:szCs w:val="24"/>
        </w:rPr>
      </w:pPr>
      <w:r>
        <w:rPr>
          <w:rFonts w:ascii="Arial" w:hAnsi="Arial" w:cs="Arial"/>
          <w:iCs/>
          <w:sz w:val="24"/>
          <w:szCs w:val="24"/>
        </w:rPr>
        <w:t>The right to privacy is limited where conversion practices occur within the home and/or family units</w:t>
      </w:r>
      <w:r w:rsidR="00D34B5A">
        <w:rPr>
          <w:rFonts w:ascii="Arial" w:hAnsi="Arial" w:cs="Arial"/>
          <w:iCs/>
          <w:sz w:val="24"/>
          <w:szCs w:val="24"/>
        </w:rPr>
        <w:t xml:space="preserve"> or where an individual chooses to seek out these practices (for religious or other personal reasons)</w:t>
      </w:r>
      <w:r>
        <w:rPr>
          <w:rFonts w:ascii="Arial" w:hAnsi="Arial" w:cs="Arial"/>
          <w:iCs/>
          <w:sz w:val="24"/>
          <w:szCs w:val="24"/>
        </w:rPr>
        <w:t xml:space="preserve">. </w:t>
      </w:r>
      <w:r w:rsidRPr="0031554A">
        <w:rPr>
          <w:rFonts w:ascii="Arial" w:hAnsi="Arial" w:cs="Arial"/>
          <w:iCs/>
          <w:sz w:val="24"/>
          <w:szCs w:val="24"/>
        </w:rPr>
        <w:t>The right to privacy may be subject to permissible limitations which are</w:t>
      </w:r>
      <w:r>
        <w:rPr>
          <w:rFonts w:ascii="Arial" w:hAnsi="Arial" w:cs="Arial"/>
          <w:iCs/>
          <w:sz w:val="24"/>
          <w:szCs w:val="24"/>
        </w:rPr>
        <w:t xml:space="preserve"> </w:t>
      </w:r>
      <w:r w:rsidRPr="0031554A">
        <w:rPr>
          <w:rFonts w:ascii="Arial" w:hAnsi="Arial" w:cs="Arial"/>
          <w:iCs/>
          <w:sz w:val="24"/>
          <w:szCs w:val="24"/>
        </w:rPr>
        <w:t xml:space="preserve">prescribed by law and are not arbitrary. </w:t>
      </w:r>
    </w:p>
    <w:p w14:paraId="7AC90243" w14:textId="77777777" w:rsidR="009368DA" w:rsidRDefault="009368DA" w:rsidP="009368DA">
      <w:pPr>
        <w:rPr>
          <w:rFonts w:ascii="Arial" w:hAnsi="Arial" w:cs="Arial"/>
          <w:i/>
          <w:sz w:val="24"/>
          <w:szCs w:val="24"/>
        </w:rPr>
      </w:pPr>
      <w:r w:rsidRPr="003206E7">
        <w:rPr>
          <w:rFonts w:ascii="Arial" w:hAnsi="Arial" w:cs="Arial"/>
          <w:i/>
          <w:sz w:val="24"/>
          <w:szCs w:val="24"/>
        </w:rPr>
        <w:t>Legitimate purpose (s28(b))</w:t>
      </w:r>
    </w:p>
    <w:p w14:paraId="0C68CCB6" w14:textId="250123C8" w:rsidR="009368DA" w:rsidRDefault="009368DA" w:rsidP="009368DA">
      <w:pPr>
        <w:rPr>
          <w:rFonts w:ascii="Arial" w:hAnsi="Arial" w:cs="Arial"/>
          <w:iCs/>
          <w:sz w:val="24"/>
          <w:szCs w:val="24"/>
        </w:rPr>
      </w:pPr>
      <w:r>
        <w:rPr>
          <w:rFonts w:ascii="Arial" w:hAnsi="Arial" w:cs="Arial"/>
          <w:iCs/>
          <w:sz w:val="24"/>
          <w:szCs w:val="24"/>
        </w:rPr>
        <w:t>As discussed above, t</w:t>
      </w:r>
      <w:r w:rsidRPr="009D772C">
        <w:rPr>
          <w:rFonts w:ascii="Arial" w:hAnsi="Arial" w:cs="Arial"/>
          <w:iCs/>
          <w:sz w:val="24"/>
          <w:szCs w:val="24"/>
        </w:rPr>
        <w:t xml:space="preserve">he </w:t>
      </w:r>
      <w:r>
        <w:rPr>
          <w:rFonts w:ascii="Arial" w:hAnsi="Arial" w:cs="Arial"/>
          <w:iCs/>
          <w:sz w:val="24"/>
          <w:szCs w:val="24"/>
        </w:rPr>
        <w:t>Bill</w:t>
      </w:r>
      <w:r w:rsidRPr="009D772C">
        <w:rPr>
          <w:rFonts w:ascii="Arial" w:hAnsi="Arial" w:cs="Arial"/>
          <w:iCs/>
          <w:sz w:val="24"/>
          <w:szCs w:val="24"/>
        </w:rPr>
        <w:t xml:space="preserve"> </w:t>
      </w:r>
      <w:r>
        <w:rPr>
          <w:rFonts w:ascii="Arial" w:hAnsi="Arial" w:cs="Arial"/>
          <w:iCs/>
          <w:sz w:val="24"/>
          <w:szCs w:val="24"/>
        </w:rPr>
        <w:t>is</w:t>
      </w:r>
      <w:r w:rsidRPr="009D772C">
        <w:rPr>
          <w:rFonts w:ascii="Arial" w:hAnsi="Arial" w:cs="Arial"/>
          <w:iCs/>
          <w:sz w:val="24"/>
          <w:szCs w:val="24"/>
        </w:rPr>
        <w:t xml:space="preserve"> intended to achieve </w:t>
      </w:r>
      <w:r>
        <w:rPr>
          <w:rFonts w:ascii="Arial" w:hAnsi="Arial" w:cs="Arial"/>
          <w:iCs/>
          <w:sz w:val="24"/>
          <w:szCs w:val="24"/>
        </w:rPr>
        <w:t>the</w:t>
      </w:r>
      <w:r w:rsidRPr="009D772C">
        <w:rPr>
          <w:rFonts w:ascii="Arial" w:hAnsi="Arial" w:cs="Arial"/>
          <w:iCs/>
          <w:sz w:val="24"/>
          <w:szCs w:val="24"/>
        </w:rPr>
        <w:t xml:space="preserve"> important and legitimate objective</w:t>
      </w:r>
      <w:r>
        <w:rPr>
          <w:rFonts w:ascii="Arial" w:hAnsi="Arial" w:cs="Arial"/>
          <w:iCs/>
          <w:sz w:val="24"/>
          <w:szCs w:val="24"/>
        </w:rPr>
        <w:t xml:space="preserve"> of</w:t>
      </w:r>
      <w:r w:rsidRPr="009D772C">
        <w:rPr>
          <w:rFonts w:ascii="Arial" w:hAnsi="Arial" w:cs="Arial"/>
          <w:iCs/>
          <w:sz w:val="24"/>
          <w:szCs w:val="24"/>
        </w:rPr>
        <w:t xml:space="preserve"> preventing serious harms</w:t>
      </w:r>
      <w:r>
        <w:rPr>
          <w:rFonts w:ascii="Arial" w:hAnsi="Arial" w:cs="Arial"/>
          <w:iCs/>
          <w:sz w:val="24"/>
          <w:szCs w:val="24"/>
        </w:rPr>
        <w:t xml:space="preserve"> towards LGBTQ individuals and protecting the right to be free</w:t>
      </w:r>
      <w:r w:rsidRPr="009D772C">
        <w:rPr>
          <w:rFonts w:ascii="Arial" w:hAnsi="Arial" w:cs="Arial"/>
          <w:iCs/>
          <w:sz w:val="24"/>
          <w:szCs w:val="24"/>
        </w:rPr>
        <w:t xml:space="preserve"> from </w:t>
      </w:r>
      <w:r>
        <w:rPr>
          <w:rFonts w:ascii="Arial" w:hAnsi="Arial" w:cs="Arial"/>
          <w:iCs/>
          <w:sz w:val="24"/>
          <w:szCs w:val="24"/>
        </w:rPr>
        <w:t xml:space="preserve">discrimination on the basis of </w:t>
      </w:r>
      <w:r w:rsidR="00D235C4">
        <w:rPr>
          <w:rFonts w:ascii="Arial" w:hAnsi="Arial" w:cs="Arial"/>
          <w:iCs/>
          <w:sz w:val="24"/>
          <w:szCs w:val="24"/>
        </w:rPr>
        <w:t xml:space="preserve">sexuality </w:t>
      </w:r>
      <w:r>
        <w:rPr>
          <w:rFonts w:ascii="Arial" w:hAnsi="Arial" w:cs="Arial"/>
          <w:iCs/>
          <w:sz w:val="24"/>
          <w:szCs w:val="24"/>
        </w:rPr>
        <w:t xml:space="preserve">or gender identity. </w:t>
      </w:r>
    </w:p>
    <w:p w14:paraId="2B822C13" w14:textId="77777777" w:rsidR="009368DA" w:rsidRDefault="009368DA" w:rsidP="009368DA">
      <w:pPr>
        <w:rPr>
          <w:rFonts w:ascii="Arial" w:hAnsi="Arial" w:cs="Arial"/>
          <w:i/>
          <w:sz w:val="24"/>
          <w:szCs w:val="24"/>
        </w:rPr>
      </w:pPr>
      <w:r w:rsidRPr="003206E7">
        <w:rPr>
          <w:rFonts w:ascii="Arial" w:hAnsi="Arial" w:cs="Arial"/>
          <w:i/>
          <w:sz w:val="24"/>
          <w:szCs w:val="24"/>
        </w:rPr>
        <w:t>Rational connection between the limitation and the purpose (s28(d))</w:t>
      </w:r>
    </w:p>
    <w:p w14:paraId="3BE19318" w14:textId="77777777" w:rsidR="009368DA" w:rsidRPr="00531A97" w:rsidRDefault="009368DA" w:rsidP="009368DA">
      <w:pPr>
        <w:rPr>
          <w:rFonts w:ascii="Arial" w:hAnsi="Arial" w:cs="Arial"/>
          <w:iCs/>
          <w:sz w:val="24"/>
          <w:szCs w:val="24"/>
        </w:rPr>
      </w:pPr>
      <w:r>
        <w:rPr>
          <w:rFonts w:ascii="Arial" w:hAnsi="Arial" w:cs="Arial"/>
          <w:iCs/>
          <w:sz w:val="24"/>
          <w:szCs w:val="24"/>
        </w:rPr>
        <w:t xml:space="preserve">As stated above, the measure is rationally connected to achieving the objective. </w:t>
      </w:r>
    </w:p>
    <w:p w14:paraId="57D4D06A" w14:textId="77777777" w:rsidR="009368DA" w:rsidRDefault="009368DA" w:rsidP="009368DA">
      <w:pPr>
        <w:rPr>
          <w:rFonts w:ascii="Arial" w:hAnsi="Arial" w:cs="Arial"/>
          <w:i/>
          <w:sz w:val="24"/>
          <w:szCs w:val="24"/>
        </w:rPr>
      </w:pPr>
      <w:r w:rsidRPr="003206E7">
        <w:rPr>
          <w:rFonts w:ascii="Arial" w:hAnsi="Arial" w:cs="Arial"/>
          <w:i/>
          <w:sz w:val="24"/>
          <w:szCs w:val="24"/>
        </w:rPr>
        <w:t>Proportionality (s28 (e))</w:t>
      </w:r>
    </w:p>
    <w:p w14:paraId="1A4C6467" w14:textId="1C803E45" w:rsidR="009368DA" w:rsidRDefault="009368DA" w:rsidP="009368DA">
      <w:pPr>
        <w:rPr>
          <w:rFonts w:ascii="Arial" w:hAnsi="Arial" w:cs="Arial"/>
          <w:iCs/>
          <w:sz w:val="24"/>
          <w:szCs w:val="24"/>
        </w:rPr>
      </w:pPr>
      <w:r>
        <w:rPr>
          <w:rFonts w:ascii="Arial" w:hAnsi="Arial" w:cs="Arial"/>
          <w:iCs/>
          <w:sz w:val="24"/>
          <w:szCs w:val="24"/>
        </w:rPr>
        <w:t xml:space="preserve">The measure is the least rights restrictive way to prevent harm. </w:t>
      </w:r>
      <w:r w:rsidR="00D34B5A">
        <w:rPr>
          <w:rFonts w:ascii="Arial" w:hAnsi="Arial" w:cs="Arial"/>
          <w:iCs/>
          <w:sz w:val="24"/>
          <w:szCs w:val="24"/>
        </w:rPr>
        <w:t>The criminal</w:t>
      </w:r>
      <w:r>
        <w:rPr>
          <w:rFonts w:ascii="Arial" w:hAnsi="Arial" w:cs="Arial"/>
          <w:iCs/>
          <w:sz w:val="24"/>
          <w:szCs w:val="24"/>
        </w:rPr>
        <w:t xml:space="preserve"> prohibition is appropriately confined to conversion practices on protected persons. </w:t>
      </w:r>
    </w:p>
    <w:p w14:paraId="61B5B764" w14:textId="48423CEE" w:rsidR="00511CDA" w:rsidRDefault="00D34B5A" w:rsidP="009368DA">
      <w:pPr>
        <w:rPr>
          <w:rFonts w:ascii="Arial" w:hAnsi="Arial" w:cs="Arial"/>
          <w:iCs/>
          <w:sz w:val="24"/>
          <w:szCs w:val="24"/>
        </w:rPr>
      </w:pPr>
      <w:r>
        <w:rPr>
          <w:rFonts w:ascii="Arial" w:hAnsi="Arial" w:cs="Arial"/>
          <w:iCs/>
          <w:sz w:val="24"/>
          <w:szCs w:val="24"/>
        </w:rPr>
        <w:lastRenderedPageBreak/>
        <w:t xml:space="preserve">Although the civil prohibition </w:t>
      </w:r>
      <w:r w:rsidR="00511CDA">
        <w:rPr>
          <w:rFonts w:ascii="Arial" w:hAnsi="Arial" w:cs="Arial"/>
          <w:iCs/>
          <w:sz w:val="24"/>
          <w:szCs w:val="24"/>
        </w:rPr>
        <w:t>may to some extent constrain</w:t>
      </w:r>
      <w:r>
        <w:rPr>
          <w:rFonts w:ascii="Arial" w:hAnsi="Arial" w:cs="Arial"/>
          <w:iCs/>
          <w:sz w:val="24"/>
          <w:szCs w:val="24"/>
        </w:rPr>
        <w:t xml:space="preserve"> </w:t>
      </w:r>
      <w:r w:rsidR="00511CDA">
        <w:rPr>
          <w:rFonts w:ascii="Arial" w:hAnsi="Arial" w:cs="Arial"/>
          <w:iCs/>
          <w:sz w:val="24"/>
          <w:szCs w:val="24"/>
        </w:rPr>
        <w:t>the ability of an</w:t>
      </w:r>
      <w:r>
        <w:rPr>
          <w:rFonts w:ascii="Arial" w:hAnsi="Arial" w:cs="Arial"/>
          <w:iCs/>
          <w:sz w:val="24"/>
          <w:szCs w:val="24"/>
        </w:rPr>
        <w:t xml:space="preserve"> adult with capacity</w:t>
      </w:r>
      <w:r w:rsidR="00511CDA">
        <w:rPr>
          <w:rFonts w:ascii="Arial" w:hAnsi="Arial" w:cs="Arial"/>
          <w:iCs/>
          <w:sz w:val="24"/>
          <w:szCs w:val="24"/>
        </w:rPr>
        <w:t xml:space="preserve"> to seek out conversion practices in the ACT (as practitioners may be less likely to offer such services), an individual who has chosen to be subject to conversion practice can make their own choice as to whether to make a complaint about the practice. </w:t>
      </w:r>
    </w:p>
    <w:p w14:paraId="02310877" w14:textId="77777777" w:rsidR="00511CDA" w:rsidRDefault="00511CDA" w:rsidP="009368DA">
      <w:pPr>
        <w:rPr>
          <w:rFonts w:ascii="Arial" w:hAnsi="Arial" w:cs="Arial"/>
          <w:iCs/>
          <w:sz w:val="24"/>
          <w:szCs w:val="24"/>
        </w:rPr>
      </w:pPr>
    </w:p>
    <w:p w14:paraId="7FB47A7D" w14:textId="5D181BB3" w:rsidR="009368DA" w:rsidRPr="00531A97" w:rsidRDefault="009368DA" w:rsidP="009368DA">
      <w:pPr>
        <w:rPr>
          <w:rFonts w:ascii="Arial" w:hAnsi="Arial" w:cs="Arial"/>
          <w:iCs/>
          <w:sz w:val="24"/>
          <w:szCs w:val="24"/>
        </w:rPr>
      </w:pPr>
      <w:r>
        <w:rPr>
          <w:rFonts w:ascii="Arial" w:hAnsi="Arial" w:cs="Arial"/>
          <w:iCs/>
          <w:sz w:val="24"/>
          <w:szCs w:val="24"/>
        </w:rPr>
        <w:t xml:space="preserve">The ACT Human Rights Commission can also initiate Commission-initiated considerations </w:t>
      </w:r>
      <w:r w:rsidR="00BB3416" w:rsidRPr="00AD2933">
        <w:rPr>
          <w:rFonts w:ascii="Arial" w:hAnsi="Arial" w:cs="Arial"/>
          <w:iCs/>
          <w:sz w:val="24"/>
          <w:szCs w:val="24"/>
        </w:rPr>
        <w:t>where they are aware of particular issues or practices being undertaken, however there will be no systemic regulation of practices</w:t>
      </w:r>
      <w:r>
        <w:rPr>
          <w:rFonts w:ascii="Arial" w:hAnsi="Arial" w:cs="Arial"/>
          <w:iCs/>
          <w:sz w:val="24"/>
          <w:szCs w:val="24"/>
        </w:rPr>
        <w:t xml:space="preserve">. Rather than criminalising practices in relation to adults with </w:t>
      </w:r>
      <w:r w:rsidR="00360F73">
        <w:rPr>
          <w:rFonts w:ascii="Arial" w:hAnsi="Arial" w:cs="Arial"/>
          <w:iCs/>
          <w:sz w:val="24"/>
          <w:szCs w:val="24"/>
        </w:rPr>
        <w:t>decision making capacity</w:t>
      </w:r>
      <w:r>
        <w:rPr>
          <w:rFonts w:ascii="Arial" w:hAnsi="Arial" w:cs="Arial"/>
          <w:iCs/>
          <w:sz w:val="24"/>
          <w:szCs w:val="24"/>
        </w:rPr>
        <w:t xml:space="preserve">, this avenue allows for an educative and conciliatory approach. The prohibition brings in criminal penalties only for practices undertaken on protected persons or the removal of protected persons from the ACT for the purpose of performing a conversion practice. </w:t>
      </w:r>
    </w:p>
    <w:p w14:paraId="4BC8B0A1" w14:textId="1008C80E" w:rsidR="00D34B5A" w:rsidRDefault="00D34B5A" w:rsidP="00D34B5A">
      <w:pPr>
        <w:rPr>
          <w:rFonts w:ascii="Arial" w:hAnsi="Arial" w:cs="Arial"/>
          <w:iCs/>
          <w:sz w:val="24"/>
          <w:szCs w:val="24"/>
        </w:rPr>
      </w:pPr>
      <w:bookmarkStart w:id="2" w:name="OLE_LINK1"/>
      <w:r>
        <w:rPr>
          <w:rFonts w:ascii="Arial" w:hAnsi="Arial" w:cs="Arial"/>
          <w:iCs/>
          <w:sz w:val="24"/>
          <w:szCs w:val="24"/>
        </w:rPr>
        <w:t>The Bill further provides the Minister must review the operation of the Act, and the amendments of other territory laws made by the Act, and present a report of the review to the Legislative Assembly as soon as practicable after the end of its 2</w:t>
      </w:r>
      <w:r w:rsidRPr="004928BA">
        <w:rPr>
          <w:rFonts w:ascii="Arial" w:hAnsi="Arial" w:cs="Arial"/>
          <w:iCs/>
          <w:sz w:val="24"/>
          <w:szCs w:val="24"/>
          <w:vertAlign w:val="superscript"/>
        </w:rPr>
        <w:t>nd</w:t>
      </w:r>
      <w:r>
        <w:rPr>
          <w:rFonts w:ascii="Arial" w:hAnsi="Arial" w:cs="Arial"/>
          <w:iCs/>
          <w:sz w:val="24"/>
          <w:szCs w:val="24"/>
        </w:rPr>
        <w:t xml:space="preserve"> year of operation. This will provide transparency and enable further consideration of the effectiveness of the legislation in addressing harm</w:t>
      </w:r>
      <w:r w:rsidR="00360F73">
        <w:rPr>
          <w:rFonts w:ascii="Arial" w:hAnsi="Arial" w:cs="Arial"/>
          <w:iCs/>
          <w:sz w:val="24"/>
          <w:szCs w:val="24"/>
        </w:rPr>
        <w:t>.</w:t>
      </w:r>
      <w:r>
        <w:rPr>
          <w:rFonts w:ascii="Arial" w:hAnsi="Arial" w:cs="Arial"/>
          <w:iCs/>
          <w:sz w:val="24"/>
          <w:szCs w:val="24"/>
        </w:rPr>
        <w:t xml:space="preserve"> </w:t>
      </w:r>
    </w:p>
    <w:p w14:paraId="49CBFAA8" w14:textId="77777777" w:rsidR="009368DA" w:rsidRDefault="009368DA" w:rsidP="009368DA">
      <w:pPr>
        <w:spacing w:after="0" w:line="240" w:lineRule="auto"/>
        <w:rPr>
          <w:rFonts w:asciiTheme="minorHAnsi" w:eastAsiaTheme="majorEastAsia" w:hAnsiTheme="minorHAnsi" w:cs="Arial"/>
          <w:sz w:val="28"/>
          <w:szCs w:val="28"/>
          <w:lang w:eastAsia="en-AU"/>
        </w:rPr>
      </w:pPr>
      <w:r>
        <w:rPr>
          <w:rFonts w:asciiTheme="minorHAnsi" w:hAnsiTheme="minorHAnsi" w:cs="Arial"/>
          <w:b/>
          <w:sz w:val="28"/>
          <w:szCs w:val="28"/>
          <w:lang w:eastAsia="en-AU"/>
        </w:rPr>
        <w:br w:type="page"/>
      </w:r>
    </w:p>
    <w:p w14:paraId="315BD294" w14:textId="77777777" w:rsidR="009368DA" w:rsidRDefault="009368DA" w:rsidP="009368DA">
      <w:pPr>
        <w:pStyle w:val="Heading2"/>
        <w:ind w:left="-108"/>
        <w:jc w:val="center"/>
        <w:rPr>
          <w:rFonts w:asciiTheme="minorHAnsi" w:hAnsiTheme="minorHAnsi" w:cs="Arial"/>
          <w:b w:val="0"/>
          <w:sz w:val="28"/>
          <w:szCs w:val="28"/>
          <w:lang w:eastAsia="en-AU"/>
        </w:rPr>
      </w:pPr>
    </w:p>
    <w:p w14:paraId="2AAA3F8C" w14:textId="2CB7855C" w:rsidR="009368DA" w:rsidRPr="00943C7F" w:rsidRDefault="009368DA" w:rsidP="009368DA">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Sexuality and Gender Identity Conversion Practices Bill</w:t>
      </w:r>
      <w:r w:rsidRPr="00943C7F">
        <w:rPr>
          <w:rFonts w:asciiTheme="minorHAnsi" w:hAnsiTheme="minorHAnsi" w:cs="Arial"/>
          <w:b w:val="0"/>
          <w:sz w:val="28"/>
          <w:szCs w:val="28"/>
          <w:lang w:eastAsia="en-AU"/>
        </w:rPr>
        <w:t xml:space="preserve"> 20</w:t>
      </w:r>
      <w:r>
        <w:rPr>
          <w:rFonts w:asciiTheme="minorHAnsi" w:hAnsiTheme="minorHAnsi" w:cs="Arial"/>
          <w:b w:val="0"/>
          <w:sz w:val="28"/>
          <w:szCs w:val="28"/>
          <w:lang w:eastAsia="en-AU"/>
        </w:rPr>
        <w:t>20</w:t>
      </w:r>
    </w:p>
    <w:bookmarkEnd w:id="2"/>
    <w:p w14:paraId="6054B825" w14:textId="77777777" w:rsidR="009368DA" w:rsidRPr="003E5EE6" w:rsidRDefault="009368DA" w:rsidP="009368DA">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2D295EED" w14:textId="77777777" w:rsidR="009368DA" w:rsidRDefault="009368DA" w:rsidP="009368DA"/>
    <w:p w14:paraId="272B6AC3" w14:textId="77777777" w:rsidR="009368DA" w:rsidRPr="00D77995" w:rsidRDefault="009368DA" w:rsidP="009368DA"/>
    <w:p w14:paraId="47AB8B50" w14:textId="36E98DD7" w:rsidR="009368DA" w:rsidRDefault="009368DA" w:rsidP="009368DA">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Sexuality and Gender Identity Conversion Practices Bill 2020</w:t>
      </w:r>
      <w:r w:rsidRPr="00521950">
        <w:rPr>
          <w:rFonts w:asciiTheme="minorHAnsi" w:hAnsiTheme="minorHAnsi"/>
        </w:rPr>
        <w:t>.  In my opinion,</w:t>
      </w:r>
      <w:r>
        <w:rPr>
          <w:rFonts w:asciiTheme="minorHAnsi" w:hAnsiTheme="minorHAnsi"/>
        </w:rPr>
        <w:t xml:space="preserve"> having regard to the Bill and the outline of the policy considerations and justification of any limitations on rights outlined in this explanatory statement, </w:t>
      </w:r>
      <w:r w:rsidRPr="00521950">
        <w:rPr>
          <w:rFonts w:asciiTheme="minorHAnsi" w:hAnsiTheme="minorHAnsi"/>
        </w:rPr>
        <w:t>the Bill</w:t>
      </w:r>
      <w:r w:rsidRPr="005162FA">
        <w:rPr>
          <w:rFonts w:asciiTheme="minorHAnsi" w:hAnsiTheme="minorHAnsi"/>
        </w:rPr>
        <w:t xml:space="preserve"> </w:t>
      </w:r>
      <w:r w:rsidRPr="00521950">
        <w:rPr>
          <w:rFonts w:asciiTheme="minorHAnsi" w:hAnsiTheme="minorHAnsi"/>
        </w:rPr>
        <w:t xml:space="preserve">as presented </w:t>
      </w:r>
      <w:r>
        <w:rPr>
          <w:rFonts w:asciiTheme="minorHAnsi" w:hAnsiTheme="minorHAnsi"/>
        </w:rPr>
        <w:t>to the Legislative Assembly</w:t>
      </w:r>
      <w:r w:rsidRPr="00674910">
        <w:rPr>
          <w:rFonts w:asciiTheme="minorHAnsi" w:hAnsiTheme="minorHAnsi"/>
          <w:b/>
        </w:rPr>
        <w:t xml:space="preserve"> is</w:t>
      </w:r>
      <w:r>
        <w:rPr>
          <w:rFonts w:asciiTheme="minorHAnsi" w:hAnsiTheme="minorHAnsi"/>
        </w:rPr>
        <w:t xml:space="preserve"> </w:t>
      </w:r>
      <w:r w:rsidRPr="00521950">
        <w:rPr>
          <w:rFonts w:asciiTheme="minorHAnsi" w:hAnsiTheme="minorHAnsi"/>
        </w:rPr>
        <w:t xml:space="preserve">consistent with the </w:t>
      </w:r>
      <w:r w:rsidRPr="00521950">
        <w:rPr>
          <w:rFonts w:asciiTheme="minorHAnsi" w:hAnsiTheme="minorHAnsi"/>
          <w:i/>
          <w:iCs/>
        </w:rPr>
        <w:t>Human Rights Act 2004</w:t>
      </w:r>
      <w:r>
        <w:rPr>
          <w:rFonts w:asciiTheme="minorHAnsi" w:hAnsiTheme="minorHAnsi"/>
          <w:i/>
          <w:iCs/>
        </w:rPr>
        <w:t>.</w:t>
      </w:r>
    </w:p>
    <w:p w14:paraId="1B0C590D" w14:textId="77777777" w:rsidR="009368DA" w:rsidRDefault="009368DA" w:rsidP="009368DA">
      <w:pPr>
        <w:rPr>
          <w:rFonts w:asciiTheme="minorHAnsi" w:hAnsiTheme="minorHAnsi" w:cstheme="minorHAnsi"/>
        </w:rPr>
      </w:pPr>
    </w:p>
    <w:p w14:paraId="43C10B29" w14:textId="77777777" w:rsidR="009368DA" w:rsidRDefault="009368DA" w:rsidP="009368DA">
      <w:pPr>
        <w:rPr>
          <w:rFonts w:asciiTheme="minorHAnsi" w:hAnsiTheme="minorHAnsi" w:cstheme="minorHAnsi"/>
        </w:rPr>
      </w:pPr>
    </w:p>
    <w:p w14:paraId="5FD5E9A7" w14:textId="77777777" w:rsidR="009368DA" w:rsidRDefault="009368DA" w:rsidP="009368DA">
      <w:pPr>
        <w:rPr>
          <w:rFonts w:asciiTheme="minorHAnsi" w:hAnsiTheme="minorHAnsi" w:cstheme="minorHAnsi"/>
        </w:rPr>
      </w:pPr>
      <w:r>
        <w:rPr>
          <w:rFonts w:asciiTheme="minorHAnsi" w:hAnsiTheme="minorHAnsi" w:cstheme="minorHAnsi"/>
        </w:rPr>
        <w:t>………………………………………………….</w:t>
      </w:r>
    </w:p>
    <w:p w14:paraId="2C7189A1" w14:textId="77777777" w:rsidR="009368DA" w:rsidRDefault="009368DA" w:rsidP="009368DA">
      <w:pPr>
        <w:rPr>
          <w:rFonts w:asciiTheme="minorHAnsi" w:hAnsiTheme="minorHAnsi" w:cstheme="minorHAnsi"/>
        </w:rPr>
      </w:pPr>
      <w:r>
        <w:rPr>
          <w:rFonts w:asciiTheme="minorHAnsi" w:hAnsiTheme="minorHAnsi" w:cstheme="minorHAnsi"/>
        </w:rPr>
        <w:t>Gordon Ramsay MLA</w:t>
      </w:r>
      <w:r>
        <w:rPr>
          <w:rFonts w:asciiTheme="minorHAnsi" w:hAnsiTheme="minorHAnsi" w:cstheme="minorHAnsi"/>
        </w:rPr>
        <w:br/>
        <w:t>Attorney-General</w:t>
      </w:r>
    </w:p>
    <w:p w14:paraId="1AB9B6CA" w14:textId="77777777" w:rsidR="009368DA" w:rsidRPr="006D52AC" w:rsidRDefault="009368DA" w:rsidP="009368DA">
      <w:pPr>
        <w:spacing w:before="200"/>
        <w:rPr>
          <w:rFonts w:ascii="Arial" w:hAnsi="Arial" w:cs="Arial"/>
          <w:sz w:val="24"/>
          <w:szCs w:val="24"/>
        </w:rPr>
      </w:pPr>
    </w:p>
    <w:p w14:paraId="61A619EE" w14:textId="77777777" w:rsidR="009368DA" w:rsidRDefault="009368DA" w:rsidP="009368DA">
      <w:pPr>
        <w:pStyle w:val="Heading2"/>
        <w:pageBreakBefore/>
        <w:spacing w:before="240" w:after="240"/>
      </w:pPr>
      <w:r w:rsidRPr="008C225D">
        <w:lastRenderedPageBreak/>
        <w:t>CLAUSE NOTES</w:t>
      </w:r>
    </w:p>
    <w:p w14:paraId="3C3DA24B" w14:textId="0A048B76" w:rsidR="009368DA" w:rsidRPr="00E76504" w:rsidRDefault="00381E75" w:rsidP="00381E75">
      <w:pPr>
        <w:pStyle w:val="Heading3"/>
      </w:pPr>
      <w:r>
        <w:t>Part 1</w:t>
      </w:r>
      <w:r>
        <w:tab/>
      </w:r>
      <w:r>
        <w:tab/>
        <w:t>Preliminary</w:t>
      </w:r>
    </w:p>
    <w:p w14:paraId="2387E121" w14:textId="1C3E528D" w:rsidR="009368DA" w:rsidRDefault="009368DA" w:rsidP="009368DA">
      <w:pPr>
        <w:pStyle w:val="Heading3"/>
      </w:pPr>
      <w:r w:rsidRPr="00ED3B77">
        <w:t>Clause 1</w:t>
      </w:r>
      <w:r w:rsidRPr="00ED3B77">
        <w:tab/>
        <w:t>Name of Act</w:t>
      </w:r>
    </w:p>
    <w:p w14:paraId="1DF1AE36" w14:textId="02C3DD9A" w:rsidR="00FD4116" w:rsidRPr="00FD4116" w:rsidRDefault="00FD4116" w:rsidP="00FD4116">
      <w:pPr>
        <w:rPr>
          <w:rFonts w:ascii="Arial" w:hAnsi="Arial" w:cs="Arial"/>
          <w:sz w:val="24"/>
          <w:szCs w:val="24"/>
        </w:rPr>
      </w:pPr>
      <w:r w:rsidRPr="00FD4116">
        <w:rPr>
          <w:rFonts w:ascii="Arial" w:hAnsi="Arial" w:cs="Arial"/>
          <w:sz w:val="24"/>
          <w:szCs w:val="24"/>
        </w:rPr>
        <w:t xml:space="preserve">This clause is a formal </w:t>
      </w:r>
      <w:r>
        <w:rPr>
          <w:rFonts w:ascii="Arial" w:hAnsi="Arial" w:cs="Arial"/>
          <w:sz w:val="24"/>
          <w:szCs w:val="24"/>
        </w:rPr>
        <w:t xml:space="preserve">provision setting out the name of the Act as the </w:t>
      </w:r>
      <w:r>
        <w:rPr>
          <w:rFonts w:ascii="Arial" w:hAnsi="Arial" w:cs="Arial"/>
          <w:i/>
          <w:iCs/>
          <w:sz w:val="24"/>
          <w:szCs w:val="24"/>
        </w:rPr>
        <w:t>Sexuality and Gender Identity Conversion Practices Act 2020</w:t>
      </w:r>
      <w:r>
        <w:rPr>
          <w:rFonts w:ascii="Arial" w:hAnsi="Arial" w:cs="Arial"/>
          <w:sz w:val="24"/>
          <w:szCs w:val="24"/>
        </w:rPr>
        <w:t xml:space="preserve"> (the Act).</w:t>
      </w:r>
    </w:p>
    <w:p w14:paraId="2ED46636" w14:textId="4136243E" w:rsidR="009368DA" w:rsidRDefault="009368DA" w:rsidP="009368DA">
      <w:pPr>
        <w:pStyle w:val="Heading3"/>
      </w:pPr>
      <w:r w:rsidRPr="00ED3B77">
        <w:t>Clause 2</w:t>
      </w:r>
      <w:r w:rsidRPr="00ED3B77">
        <w:tab/>
        <w:t>Commencement</w:t>
      </w:r>
    </w:p>
    <w:p w14:paraId="5519325E" w14:textId="2865592C" w:rsidR="00FD4116" w:rsidRPr="00FD4116" w:rsidRDefault="00FD4116" w:rsidP="00FD4116">
      <w:pPr>
        <w:rPr>
          <w:rFonts w:ascii="Arial" w:hAnsi="Arial" w:cs="Arial"/>
          <w:sz w:val="24"/>
          <w:szCs w:val="24"/>
        </w:rPr>
      </w:pPr>
      <w:r w:rsidRPr="00FD4116">
        <w:rPr>
          <w:rFonts w:ascii="Arial" w:hAnsi="Arial" w:cs="Arial"/>
          <w:sz w:val="24"/>
          <w:szCs w:val="24"/>
        </w:rPr>
        <w:t>This clause provides for commencement of the Act</w:t>
      </w:r>
      <w:r>
        <w:rPr>
          <w:rFonts w:ascii="Arial" w:hAnsi="Arial" w:cs="Arial"/>
          <w:sz w:val="24"/>
          <w:szCs w:val="24"/>
        </w:rPr>
        <w:t xml:space="preserve"> 6 months after its notification day.</w:t>
      </w:r>
    </w:p>
    <w:p w14:paraId="2561FA70" w14:textId="66848393" w:rsidR="009368DA" w:rsidRPr="00ED3B77" w:rsidRDefault="009368DA" w:rsidP="009368DA">
      <w:pPr>
        <w:pStyle w:val="Heading3"/>
        <w:rPr>
          <w:b w:val="0"/>
        </w:rPr>
      </w:pPr>
      <w:r w:rsidRPr="00ED3B77">
        <w:t>Clause 3</w:t>
      </w:r>
      <w:r w:rsidRPr="00ED3B77">
        <w:tab/>
      </w:r>
      <w:r w:rsidR="00FD4116">
        <w:t>Dictionary</w:t>
      </w:r>
    </w:p>
    <w:p w14:paraId="3AD165D7" w14:textId="1FE58186" w:rsidR="009368DA" w:rsidRDefault="00FD4116" w:rsidP="009368DA">
      <w:pPr>
        <w:rPr>
          <w:rFonts w:ascii="Arial" w:hAnsi="Arial" w:cs="Arial"/>
          <w:sz w:val="24"/>
          <w:szCs w:val="24"/>
        </w:rPr>
      </w:pPr>
      <w:r>
        <w:rPr>
          <w:rFonts w:ascii="Arial" w:hAnsi="Arial" w:cs="Arial"/>
          <w:sz w:val="24"/>
          <w:szCs w:val="24"/>
        </w:rPr>
        <w:t>This clause</w:t>
      </w:r>
      <w:r w:rsidR="002D41CD">
        <w:rPr>
          <w:rFonts w:ascii="Arial" w:hAnsi="Arial" w:cs="Arial"/>
          <w:sz w:val="24"/>
          <w:szCs w:val="24"/>
        </w:rPr>
        <w:t xml:space="preserve"> is a formal provision clarifying </w:t>
      </w:r>
      <w:r>
        <w:rPr>
          <w:rFonts w:ascii="Arial" w:hAnsi="Arial" w:cs="Arial"/>
          <w:sz w:val="24"/>
          <w:szCs w:val="24"/>
        </w:rPr>
        <w:t xml:space="preserve">that the dictionary at the end of the Act is part of the Act.  </w:t>
      </w:r>
    </w:p>
    <w:p w14:paraId="3A3F0377" w14:textId="68D70A6E" w:rsidR="00FD4116" w:rsidRDefault="00FD4116" w:rsidP="00FD4116">
      <w:pPr>
        <w:pStyle w:val="Heading3"/>
      </w:pPr>
      <w:r w:rsidRPr="00ED3B77">
        <w:t xml:space="preserve">Clause </w:t>
      </w:r>
      <w:r>
        <w:t>4</w:t>
      </w:r>
      <w:r w:rsidRPr="00ED3B77">
        <w:tab/>
      </w:r>
      <w:r>
        <w:t>Notes</w:t>
      </w:r>
    </w:p>
    <w:p w14:paraId="1CB81D31" w14:textId="223F8B96" w:rsidR="00FD4116" w:rsidRPr="00FD4116" w:rsidRDefault="00FD4116" w:rsidP="00FD4116">
      <w:pPr>
        <w:rPr>
          <w:rFonts w:ascii="Arial" w:hAnsi="Arial" w:cs="Arial"/>
          <w:sz w:val="24"/>
          <w:szCs w:val="24"/>
        </w:rPr>
      </w:pPr>
      <w:r w:rsidRPr="00FD4116">
        <w:rPr>
          <w:rFonts w:ascii="Arial" w:hAnsi="Arial" w:cs="Arial"/>
          <w:sz w:val="24"/>
          <w:szCs w:val="24"/>
        </w:rPr>
        <w:t>This clause is a formal provision clarifying that notes included in the Act are not part of the Act.</w:t>
      </w:r>
    </w:p>
    <w:p w14:paraId="1E74AD1F" w14:textId="1333C029" w:rsidR="00FD4116" w:rsidRDefault="00FD4116" w:rsidP="00FD4116">
      <w:pPr>
        <w:pStyle w:val="Heading3"/>
      </w:pPr>
      <w:r w:rsidRPr="00ED3B77">
        <w:t xml:space="preserve">Clause </w:t>
      </w:r>
      <w:r>
        <w:t>5</w:t>
      </w:r>
      <w:r w:rsidRPr="00ED3B77">
        <w:tab/>
      </w:r>
      <w:r>
        <w:t>Offences against Act</w:t>
      </w:r>
      <w:r w:rsidRPr="00FD4116">
        <w:t>—</w:t>
      </w:r>
      <w:r>
        <w:t>application of Criminal Code etc</w:t>
      </w:r>
    </w:p>
    <w:p w14:paraId="57956BC6" w14:textId="5C0EF582" w:rsidR="008378E2" w:rsidRPr="00FD4116" w:rsidRDefault="008378E2" w:rsidP="008378E2">
      <w:pPr>
        <w:rPr>
          <w:rFonts w:ascii="Arial" w:hAnsi="Arial" w:cs="Arial"/>
          <w:sz w:val="24"/>
          <w:szCs w:val="24"/>
        </w:rPr>
      </w:pPr>
      <w:r w:rsidRPr="00FD4116">
        <w:rPr>
          <w:rFonts w:ascii="Arial" w:hAnsi="Arial" w:cs="Arial"/>
          <w:sz w:val="24"/>
          <w:szCs w:val="24"/>
        </w:rPr>
        <w:t xml:space="preserve">This clause is a formal provision </w:t>
      </w:r>
      <w:r>
        <w:rPr>
          <w:rFonts w:ascii="Arial" w:hAnsi="Arial" w:cs="Arial"/>
          <w:sz w:val="24"/>
          <w:szCs w:val="24"/>
        </w:rPr>
        <w:t xml:space="preserve">that provides that </w:t>
      </w:r>
      <w:r w:rsidR="00381E75">
        <w:rPr>
          <w:rFonts w:ascii="Arial" w:hAnsi="Arial" w:cs="Arial"/>
          <w:sz w:val="24"/>
          <w:szCs w:val="24"/>
        </w:rPr>
        <w:t>other legislation applies in relation to offences against this Act</w:t>
      </w:r>
      <w:r w:rsidRPr="00FD4116">
        <w:rPr>
          <w:rFonts w:ascii="Arial" w:hAnsi="Arial" w:cs="Arial"/>
          <w:sz w:val="24"/>
          <w:szCs w:val="24"/>
        </w:rPr>
        <w:t>.</w:t>
      </w:r>
    </w:p>
    <w:p w14:paraId="7D223D46" w14:textId="5B6139CB" w:rsidR="00FD4116" w:rsidRDefault="00FD4116" w:rsidP="00FD4116">
      <w:pPr>
        <w:pStyle w:val="Heading3"/>
      </w:pPr>
      <w:r w:rsidRPr="00ED3B77">
        <w:t xml:space="preserve">Clause </w:t>
      </w:r>
      <w:r w:rsidR="00381E75">
        <w:t>6</w:t>
      </w:r>
      <w:r w:rsidRPr="00ED3B77">
        <w:tab/>
      </w:r>
      <w:r w:rsidR="00381E75">
        <w:t>Objects of Act</w:t>
      </w:r>
    </w:p>
    <w:p w14:paraId="3BF2F80A" w14:textId="3BED8160" w:rsidR="00381E75" w:rsidRDefault="00381E75" w:rsidP="00381E75">
      <w:pPr>
        <w:rPr>
          <w:rFonts w:ascii="Arial" w:hAnsi="Arial" w:cs="Arial"/>
          <w:sz w:val="24"/>
          <w:szCs w:val="24"/>
        </w:rPr>
      </w:pPr>
      <w:r w:rsidRPr="00381E75">
        <w:rPr>
          <w:rFonts w:ascii="Arial" w:hAnsi="Arial" w:cs="Arial"/>
          <w:sz w:val="24"/>
          <w:szCs w:val="24"/>
        </w:rPr>
        <w:t xml:space="preserve">This clause provides </w:t>
      </w:r>
      <w:r w:rsidR="002D41CD">
        <w:rPr>
          <w:rFonts w:ascii="Arial" w:hAnsi="Arial" w:cs="Arial"/>
          <w:sz w:val="24"/>
          <w:szCs w:val="24"/>
        </w:rPr>
        <w:t>that</w:t>
      </w:r>
      <w:r w:rsidRPr="00381E75">
        <w:rPr>
          <w:rFonts w:ascii="Arial" w:hAnsi="Arial" w:cs="Arial"/>
          <w:sz w:val="24"/>
          <w:szCs w:val="24"/>
        </w:rPr>
        <w:t xml:space="preserve"> the objects of the Ac</w:t>
      </w:r>
      <w:r w:rsidR="00916500">
        <w:rPr>
          <w:rFonts w:ascii="Arial" w:hAnsi="Arial" w:cs="Arial"/>
          <w:sz w:val="24"/>
          <w:szCs w:val="24"/>
        </w:rPr>
        <w:t>t</w:t>
      </w:r>
      <w:r w:rsidR="002D41CD">
        <w:rPr>
          <w:rFonts w:ascii="Arial" w:hAnsi="Arial" w:cs="Arial"/>
          <w:sz w:val="24"/>
          <w:szCs w:val="24"/>
        </w:rPr>
        <w:t xml:space="preserve"> </w:t>
      </w:r>
      <w:r w:rsidRPr="00381E75">
        <w:rPr>
          <w:rFonts w:ascii="Arial" w:hAnsi="Arial" w:cs="Arial"/>
          <w:sz w:val="24"/>
          <w:szCs w:val="24"/>
        </w:rPr>
        <w:t>are</w:t>
      </w:r>
      <w:r w:rsidR="00916500">
        <w:rPr>
          <w:rFonts w:ascii="Arial" w:hAnsi="Arial" w:cs="Arial"/>
          <w:sz w:val="24"/>
          <w:szCs w:val="24"/>
        </w:rPr>
        <w:t>:</w:t>
      </w:r>
      <w:r w:rsidRPr="00381E75">
        <w:rPr>
          <w:rFonts w:ascii="Arial" w:hAnsi="Arial" w:cs="Arial"/>
          <w:sz w:val="24"/>
          <w:szCs w:val="24"/>
        </w:rPr>
        <w:t xml:space="preserve"> </w:t>
      </w:r>
      <w:r w:rsidR="002D41CD">
        <w:rPr>
          <w:rFonts w:ascii="Arial" w:hAnsi="Arial" w:cs="Arial"/>
          <w:sz w:val="24"/>
          <w:szCs w:val="24"/>
        </w:rPr>
        <w:t xml:space="preserve">to </w:t>
      </w:r>
      <w:r w:rsidRPr="00381E75">
        <w:rPr>
          <w:rFonts w:ascii="Arial" w:hAnsi="Arial" w:cs="Arial"/>
          <w:sz w:val="24"/>
          <w:szCs w:val="24"/>
        </w:rPr>
        <w:t>affirm that all people have characteristics of sexuality and gender identity, and that no combination of those characteristics constitutes a disorder, disease, illness, deficiency, disability or shortcoming</w:t>
      </w:r>
      <w:r w:rsidR="00916500">
        <w:rPr>
          <w:rFonts w:ascii="Arial" w:hAnsi="Arial" w:cs="Arial"/>
          <w:sz w:val="24"/>
          <w:szCs w:val="24"/>
        </w:rPr>
        <w:t>; and</w:t>
      </w:r>
      <w:r w:rsidR="002D41CD">
        <w:rPr>
          <w:rFonts w:ascii="Arial" w:hAnsi="Arial" w:cs="Arial"/>
          <w:sz w:val="24"/>
          <w:szCs w:val="24"/>
        </w:rPr>
        <w:t xml:space="preserve"> to</w:t>
      </w:r>
      <w:r w:rsidR="00916500">
        <w:rPr>
          <w:rFonts w:ascii="Arial" w:hAnsi="Arial" w:cs="Arial"/>
          <w:sz w:val="24"/>
          <w:szCs w:val="24"/>
        </w:rPr>
        <w:t xml:space="preserve"> </w:t>
      </w:r>
      <w:r w:rsidRPr="00381E75">
        <w:rPr>
          <w:rFonts w:ascii="Arial" w:hAnsi="Arial" w:cs="Arial"/>
          <w:sz w:val="24"/>
          <w:szCs w:val="24"/>
        </w:rPr>
        <w:t xml:space="preserve">recognise and prevent harm caused by sexuality and gender identity conversion practices. </w:t>
      </w:r>
    </w:p>
    <w:p w14:paraId="218903D6" w14:textId="4BEE494D" w:rsidR="002D41CD" w:rsidRDefault="002D41CD" w:rsidP="00381E75">
      <w:pPr>
        <w:rPr>
          <w:rFonts w:ascii="Arial" w:hAnsi="Arial" w:cs="Arial"/>
          <w:sz w:val="24"/>
          <w:szCs w:val="24"/>
        </w:rPr>
      </w:pPr>
      <w:r>
        <w:rPr>
          <w:rFonts w:ascii="Arial" w:hAnsi="Arial" w:cs="Arial"/>
          <w:sz w:val="24"/>
          <w:szCs w:val="24"/>
        </w:rPr>
        <w:t>The Act recognises that individuals are whole and unbroken regardless of their sexuality and gender identity and does not seek to make anyone be a particular way. The Act seeks to prevent the harm caused by practices which aim to change an individual’s sexuality or gender identity.</w:t>
      </w:r>
    </w:p>
    <w:p w14:paraId="0F7EE42B" w14:textId="35CDB760" w:rsidR="00427538" w:rsidRPr="00427538" w:rsidRDefault="00427538" w:rsidP="00381E75">
      <w:pPr>
        <w:rPr>
          <w:rFonts w:ascii="Arial" w:hAnsi="Arial" w:cs="Arial"/>
          <w:sz w:val="24"/>
          <w:szCs w:val="24"/>
        </w:rPr>
      </w:pPr>
      <w:r>
        <w:rPr>
          <w:rFonts w:ascii="Arial" w:hAnsi="Arial" w:cs="Arial"/>
          <w:sz w:val="24"/>
          <w:szCs w:val="24"/>
        </w:rPr>
        <w:t xml:space="preserve">This clause also includes a note to clarify that a person may make a complaint to the human rights commission about sexuality and gender identity conversion practices under section 43 of the </w:t>
      </w:r>
      <w:r>
        <w:rPr>
          <w:rFonts w:ascii="Arial" w:hAnsi="Arial" w:cs="Arial"/>
          <w:i/>
          <w:iCs/>
          <w:sz w:val="24"/>
          <w:szCs w:val="24"/>
        </w:rPr>
        <w:t>Human Rights Commission Act 2005</w:t>
      </w:r>
      <w:r>
        <w:rPr>
          <w:rFonts w:ascii="Arial" w:hAnsi="Arial" w:cs="Arial"/>
          <w:sz w:val="24"/>
          <w:szCs w:val="24"/>
        </w:rPr>
        <w:t>.</w:t>
      </w:r>
    </w:p>
    <w:p w14:paraId="1F49735E" w14:textId="3CD4F963" w:rsidR="00381E75" w:rsidRPr="00381E75" w:rsidRDefault="00381E75" w:rsidP="00381E75">
      <w:pPr>
        <w:pStyle w:val="Heading3"/>
      </w:pPr>
      <w:r>
        <w:lastRenderedPageBreak/>
        <w:t>Part 2</w:t>
      </w:r>
      <w:r>
        <w:tab/>
      </w:r>
      <w:r>
        <w:tab/>
        <w:t>Sexuality and gender identity conversion practices</w:t>
      </w:r>
    </w:p>
    <w:p w14:paraId="25959D6B" w14:textId="1AA059B2" w:rsidR="00FD4116" w:rsidRDefault="00FD4116" w:rsidP="00FD4116">
      <w:pPr>
        <w:pStyle w:val="Heading3"/>
        <w:rPr>
          <w:i/>
          <w:iCs/>
        </w:rPr>
      </w:pPr>
      <w:r w:rsidRPr="00ED3B77">
        <w:t xml:space="preserve">Clause </w:t>
      </w:r>
      <w:r w:rsidR="001D03C8">
        <w:t>7</w:t>
      </w:r>
      <w:r w:rsidRPr="00ED3B77">
        <w:tab/>
      </w:r>
      <w:r w:rsidR="001D03C8">
        <w:t xml:space="preserve">Meaning of </w:t>
      </w:r>
      <w:r w:rsidR="001D03C8">
        <w:rPr>
          <w:i/>
          <w:iCs/>
        </w:rPr>
        <w:t>sexuality or gender identity conversion practice</w:t>
      </w:r>
    </w:p>
    <w:p w14:paraId="0963B61A" w14:textId="26827BA6" w:rsidR="00916500" w:rsidRDefault="00916500" w:rsidP="00916500">
      <w:pPr>
        <w:rPr>
          <w:rFonts w:ascii="Arial" w:hAnsi="Arial" w:cs="Arial"/>
          <w:sz w:val="24"/>
          <w:szCs w:val="24"/>
        </w:rPr>
      </w:pPr>
      <w:r w:rsidRPr="00916500">
        <w:rPr>
          <w:rFonts w:ascii="Arial" w:hAnsi="Arial" w:cs="Arial"/>
          <w:sz w:val="24"/>
          <w:szCs w:val="24"/>
        </w:rPr>
        <w:t xml:space="preserve">This clause </w:t>
      </w:r>
      <w:r>
        <w:rPr>
          <w:rFonts w:ascii="Arial" w:hAnsi="Arial" w:cs="Arial"/>
          <w:sz w:val="24"/>
          <w:szCs w:val="24"/>
        </w:rPr>
        <w:t>defines ‘sexuality or gender identity conversion practice’ to mean ‘a treatment or other practice the purpose</w:t>
      </w:r>
      <w:r w:rsidR="007275EB">
        <w:rPr>
          <w:rFonts w:ascii="Arial" w:hAnsi="Arial" w:cs="Arial"/>
          <w:sz w:val="24"/>
          <w:szCs w:val="24"/>
        </w:rPr>
        <w:t>, or purported purpose,</w:t>
      </w:r>
      <w:r>
        <w:rPr>
          <w:rFonts w:ascii="Arial" w:hAnsi="Arial" w:cs="Arial"/>
          <w:sz w:val="24"/>
          <w:szCs w:val="24"/>
        </w:rPr>
        <w:t xml:space="preserve"> of which is to change a person’s sexuality or gender identity’. </w:t>
      </w:r>
    </w:p>
    <w:p w14:paraId="149DBC56" w14:textId="6A4D1459" w:rsidR="00916500" w:rsidRDefault="00916500" w:rsidP="00916500">
      <w:pPr>
        <w:rPr>
          <w:rFonts w:ascii="Arial" w:hAnsi="Arial" w:cs="Arial"/>
          <w:sz w:val="24"/>
          <w:szCs w:val="24"/>
        </w:rPr>
      </w:pPr>
      <w:r>
        <w:rPr>
          <w:rFonts w:ascii="Arial" w:hAnsi="Arial" w:cs="Arial"/>
          <w:sz w:val="24"/>
          <w:szCs w:val="24"/>
        </w:rPr>
        <w:t>The clause outlines practices that are not sexuality or gender identity conversion practices. A sexuality or gender identity practice does not include a practice</w:t>
      </w:r>
      <w:r w:rsidR="00980107">
        <w:rPr>
          <w:rFonts w:ascii="Arial" w:hAnsi="Arial" w:cs="Arial"/>
          <w:sz w:val="24"/>
          <w:szCs w:val="24"/>
        </w:rPr>
        <w:t xml:space="preserve"> the purpose of which is to</w:t>
      </w:r>
      <w:r>
        <w:rPr>
          <w:rFonts w:ascii="Arial" w:hAnsi="Arial" w:cs="Arial"/>
          <w:sz w:val="24"/>
          <w:szCs w:val="24"/>
        </w:rPr>
        <w:t xml:space="preserve">: assist a person who is undergoing </w:t>
      </w:r>
      <w:r w:rsidR="00073A71">
        <w:rPr>
          <w:rFonts w:ascii="Arial" w:hAnsi="Arial" w:cs="Arial"/>
          <w:sz w:val="24"/>
          <w:szCs w:val="24"/>
        </w:rPr>
        <w:t xml:space="preserve">or considering undergoing, </w:t>
      </w:r>
      <w:r>
        <w:rPr>
          <w:rFonts w:ascii="Arial" w:hAnsi="Arial" w:cs="Arial"/>
          <w:sz w:val="24"/>
          <w:szCs w:val="24"/>
        </w:rPr>
        <w:t>a gender transition;</w:t>
      </w:r>
      <w:r w:rsidR="00073A71">
        <w:rPr>
          <w:rFonts w:ascii="Arial" w:hAnsi="Arial" w:cs="Arial"/>
          <w:sz w:val="24"/>
          <w:szCs w:val="24"/>
        </w:rPr>
        <w:t xml:space="preserve"> </w:t>
      </w:r>
      <w:r>
        <w:rPr>
          <w:rFonts w:ascii="Arial" w:hAnsi="Arial" w:cs="Arial"/>
          <w:sz w:val="24"/>
          <w:szCs w:val="24"/>
        </w:rPr>
        <w:t xml:space="preserve">assist a person to express their gender identity; provide acceptance, support or understanding of a person; or facilitate a person’s coping skills, social support or identity exploration and development. </w:t>
      </w:r>
    </w:p>
    <w:p w14:paraId="74FD871F" w14:textId="76CE65C5" w:rsidR="007275EB" w:rsidRDefault="007275EB" w:rsidP="00916500">
      <w:pPr>
        <w:rPr>
          <w:rFonts w:ascii="Arial" w:hAnsi="Arial" w:cs="Arial"/>
          <w:sz w:val="24"/>
          <w:szCs w:val="24"/>
        </w:rPr>
      </w:pPr>
      <w:r>
        <w:rPr>
          <w:rFonts w:ascii="Arial" w:hAnsi="Arial" w:cs="Arial"/>
          <w:sz w:val="24"/>
          <w:szCs w:val="24"/>
        </w:rPr>
        <w:t xml:space="preserve">Examples include </w:t>
      </w:r>
      <w:r w:rsidRPr="007275EB">
        <w:rPr>
          <w:rFonts w:ascii="Arial" w:hAnsi="Arial" w:cs="Arial"/>
          <w:sz w:val="24"/>
          <w:szCs w:val="24"/>
        </w:rPr>
        <w:t>diagnosis and assessment of a person with gender dysphoria or gender nonconforming behaviour or identity</w:t>
      </w:r>
      <w:r>
        <w:rPr>
          <w:rFonts w:ascii="Arial" w:hAnsi="Arial" w:cs="Arial"/>
          <w:sz w:val="24"/>
          <w:szCs w:val="24"/>
        </w:rPr>
        <w:t xml:space="preserve">; </w:t>
      </w:r>
      <w:r w:rsidRPr="007275EB">
        <w:rPr>
          <w:rFonts w:ascii="Arial" w:hAnsi="Arial" w:cs="Arial"/>
          <w:sz w:val="24"/>
          <w:szCs w:val="24"/>
        </w:rPr>
        <w:t>support for a person with social adjustments related to gender dysphoria</w:t>
      </w:r>
      <w:r>
        <w:rPr>
          <w:rFonts w:ascii="Arial" w:hAnsi="Arial" w:cs="Arial"/>
          <w:sz w:val="24"/>
          <w:szCs w:val="24"/>
        </w:rPr>
        <w:t xml:space="preserve">; </w:t>
      </w:r>
      <w:r w:rsidRPr="007275EB">
        <w:rPr>
          <w:rFonts w:ascii="Arial" w:hAnsi="Arial" w:cs="Arial"/>
          <w:sz w:val="24"/>
          <w:szCs w:val="24"/>
        </w:rPr>
        <w:t>gender-affirming hormone treatment</w:t>
      </w:r>
      <w:r>
        <w:rPr>
          <w:rFonts w:ascii="Arial" w:hAnsi="Arial" w:cs="Arial"/>
          <w:sz w:val="24"/>
          <w:szCs w:val="24"/>
        </w:rPr>
        <w:t xml:space="preserve">; and </w:t>
      </w:r>
      <w:r w:rsidRPr="007275EB">
        <w:rPr>
          <w:rFonts w:ascii="Arial" w:hAnsi="Arial" w:cs="Arial"/>
          <w:sz w:val="24"/>
          <w:szCs w:val="24"/>
        </w:rPr>
        <w:t>other gender transition services, for example, speech pathology services for a transgender or gender-diverse person who wishes to alter their voice and communication to better align with their gender identity</w:t>
      </w:r>
      <w:r>
        <w:rPr>
          <w:rFonts w:ascii="Arial" w:hAnsi="Arial" w:cs="Arial"/>
          <w:sz w:val="24"/>
          <w:szCs w:val="24"/>
        </w:rPr>
        <w:t>.</w:t>
      </w:r>
    </w:p>
    <w:p w14:paraId="745B9049" w14:textId="657B7978" w:rsidR="00FE7785" w:rsidRDefault="00FE7785" w:rsidP="00916500">
      <w:pPr>
        <w:rPr>
          <w:rFonts w:ascii="Arial" w:hAnsi="Arial" w:cs="Arial"/>
          <w:sz w:val="24"/>
          <w:szCs w:val="24"/>
        </w:rPr>
      </w:pPr>
      <w:r>
        <w:rPr>
          <w:rFonts w:ascii="Arial" w:hAnsi="Arial" w:cs="Arial"/>
          <w:sz w:val="24"/>
          <w:szCs w:val="24"/>
        </w:rPr>
        <w:t>The clause further provides that a sexuality or gender identity conversion practice does not include a practice by a health service provider that, in the provider’s reasonable professional judgement, is necessary to provide a health service in a manner that is safe and appropriate, or comply with the provider’s legal or professional obligations.</w:t>
      </w:r>
    </w:p>
    <w:p w14:paraId="0030A159" w14:textId="7407F696" w:rsidR="00FE7785" w:rsidRDefault="00FE7785" w:rsidP="00916500">
      <w:pPr>
        <w:rPr>
          <w:rFonts w:ascii="Arial" w:hAnsi="Arial" w:cs="Arial"/>
          <w:sz w:val="24"/>
          <w:szCs w:val="24"/>
        </w:rPr>
      </w:pPr>
      <w:r>
        <w:rPr>
          <w:rFonts w:ascii="Arial" w:hAnsi="Arial" w:cs="Arial"/>
          <w:sz w:val="24"/>
          <w:szCs w:val="24"/>
        </w:rPr>
        <w:t xml:space="preserve">A ‘health service’ and ‘health service provider’ is defined in sections 5 and 7 of the </w:t>
      </w:r>
      <w:r>
        <w:rPr>
          <w:rFonts w:ascii="Arial" w:hAnsi="Arial" w:cs="Arial"/>
          <w:i/>
          <w:iCs/>
          <w:sz w:val="24"/>
          <w:szCs w:val="24"/>
        </w:rPr>
        <w:t>Health Act 1993</w:t>
      </w:r>
      <w:r>
        <w:rPr>
          <w:rFonts w:ascii="Arial" w:hAnsi="Arial" w:cs="Arial"/>
          <w:sz w:val="24"/>
          <w:szCs w:val="24"/>
        </w:rPr>
        <w:t xml:space="preserve"> respectively. </w:t>
      </w:r>
    </w:p>
    <w:p w14:paraId="07E4738E" w14:textId="03958DAD" w:rsidR="00433266" w:rsidRDefault="00433266" w:rsidP="00916500">
      <w:pPr>
        <w:rPr>
          <w:rFonts w:ascii="Arial" w:hAnsi="Arial" w:cs="Arial"/>
          <w:sz w:val="24"/>
          <w:szCs w:val="24"/>
        </w:rPr>
      </w:pPr>
      <w:r>
        <w:rPr>
          <w:rFonts w:ascii="Arial" w:hAnsi="Arial" w:cs="Arial"/>
          <w:sz w:val="24"/>
          <w:szCs w:val="24"/>
        </w:rPr>
        <w:t>The intent of this definition is to cover practices performed in formal and informal environments. The definition provides for targeted exceptions to ensure that practices which operate to affirm and support individuals to make their own choices in a safe way can continue</w:t>
      </w:r>
      <w:r w:rsidR="003A09FB">
        <w:rPr>
          <w:rFonts w:ascii="Arial" w:hAnsi="Arial" w:cs="Arial"/>
          <w:sz w:val="24"/>
          <w:szCs w:val="24"/>
        </w:rPr>
        <w:t xml:space="preserve"> while also ensuring that religious organisations can continue to teach the tenets of their faith</w:t>
      </w:r>
      <w:r>
        <w:rPr>
          <w:rFonts w:ascii="Arial" w:hAnsi="Arial" w:cs="Arial"/>
          <w:sz w:val="24"/>
          <w:szCs w:val="24"/>
        </w:rPr>
        <w:t xml:space="preserve">. </w:t>
      </w:r>
    </w:p>
    <w:p w14:paraId="77C4D66D" w14:textId="27D188CE" w:rsidR="00FD4116" w:rsidRDefault="00FD4116" w:rsidP="00FD4116">
      <w:pPr>
        <w:pStyle w:val="Heading3"/>
      </w:pPr>
      <w:r w:rsidRPr="00ED3B77">
        <w:t xml:space="preserve">Clause </w:t>
      </w:r>
      <w:r w:rsidR="001D03C8">
        <w:t>8</w:t>
      </w:r>
      <w:r w:rsidRPr="00ED3B77">
        <w:tab/>
      </w:r>
      <w:r w:rsidR="001D03C8">
        <w:t>Offence</w:t>
      </w:r>
      <w:r w:rsidR="001D03C8" w:rsidRPr="00FD4116">
        <w:t>—</w:t>
      </w:r>
      <w:r w:rsidR="00D82267">
        <w:t>performing conversion practice on protected person</w:t>
      </w:r>
    </w:p>
    <w:p w14:paraId="28CC2406" w14:textId="7581DE05" w:rsidR="00FE7785" w:rsidRDefault="00FE7785" w:rsidP="00FE7785">
      <w:pPr>
        <w:rPr>
          <w:rFonts w:ascii="Arial" w:hAnsi="Arial" w:cs="Arial"/>
          <w:sz w:val="24"/>
          <w:szCs w:val="24"/>
        </w:rPr>
      </w:pPr>
      <w:r w:rsidRPr="00FE7785">
        <w:rPr>
          <w:rFonts w:ascii="Arial" w:hAnsi="Arial" w:cs="Arial"/>
          <w:sz w:val="24"/>
          <w:szCs w:val="24"/>
        </w:rPr>
        <w:t xml:space="preserve">This clause </w:t>
      </w:r>
      <w:r>
        <w:rPr>
          <w:rFonts w:ascii="Arial" w:hAnsi="Arial" w:cs="Arial"/>
          <w:sz w:val="24"/>
          <w:szCs w:val="24"/>
        </w:rPr>
        <w:t>provides that a person commits an offence if the person performs a sexuality or gender identity conversion practice on another person (the recipient) and the recipient is a protected person.</w:t>
      </w:r>
    </w:p>
    <w:p w14:paraId="122F619A" w14:textId="51D29058" w:rsidR="00EB5F18" w:rsidRDefault="00EB5F18" w:rsidP="00FE7785">
      <w:pPr>
        <w:rPr>
          <w:rFonts w:ascii="Arial" w:hAnsi="Arial" w:cs="Arial"/>
          <w:sz w:val="24"/>
          <w:szCs w:val="24"/>
        </w:rPr>
      </w:pPr>
      <w:r w:rsidRPr="00980107">
        <w:rPr>
          <w:rFonts w:ascii="Arial" w:hAnsi="Arial" w:cs="Arial"/>
          <w:sz w:val="24"/>
          <w:szCs w:val="24"/>
        </w:rPr>
        <w:t xml:space="preserve">A protected person is defined in the dictionary to mean a child, or </w:t>
      </w:r>
      <w:r w:rsidR="00980107">
        <w:rPr>
          <w:rFonts w:ascii="Arial" w:hAnsi="Arial" w:cs="Arial"/>
          <w:sz w:val="24"/>
          <w:szCs w:val="24"/>
        </w:rPr>
        <w:t xml:space="preserve">a person who has impaired decision-making </w:t>
      </w:r>
      <w:r w:rsidR="00073A71">
        <w:rPr>
          <w:rFonts w:ascii="Arial" w:hAnsi="Arial" w:cs="Arial"/>
          <w:sz w:val="24"/>
          <w:szCs w:val="24"/>
        </w:rPr>
        <w:t xml:space="preserve">ability </w:t>
      </w:r>
      <w:r w:rsidR="00980107">
        <w:rPr>
          <w:rFonts w:ascii="Arial" w:hAnsi="Arial" w:cs="Arial"/>
          <w:sz w:val="24"/>
          <w:szCs w:val="24"/>
        </w:rPr>
        <w:t>in relation to a matter relating to the person’s health or welfare</w:t>
      </w:r>
      <w:r w:rsidRPr="00980107">
        <w:rPr>
          <w:rFonts w:ascii="Arial" w:hAnsi="Arial" w:cs="Arial"/>
          <w:sz w:val="24"/>
          <w:szCs w:val="24"/>
        </w:rPr>
        <w:t>.</w:t>
      </w:r>
    </w:p>
    <w:p w14:paraId="5DCCC232" w14:textId="29042354" w:rsidR="00FE7785" w:rsidRDefault="00FE7785" w:rsidP="00FE7785">
      <w:pPr>
        <w:rPr>
          <w:rFonts w:ascii="Arial" w:hAnsi="Arial" w:cs="Arial"/>
          <w:sz w:val="24"/>
          <w:szCs w:val="24"/>
        </w:rPr>
      </w:pPr>
      <w:r>
        <w:rPr>
          <w:rFonts w:ascii="Arial" w:hAnsi="Arial" w:cs="Arial"/>
          <w:sz w:val="24"/>
          <w:szCs w:val="24"/>
        </w:rPr>
        <w:lastRenderedPageBreak/>
        <w:t>It is an offence whether or not the recipient</w:t>
      </w:r>
      <w:r w:rsidR="00EB5F18">
        <w:rPr>
          <w:rFonts w:ascii="Arial" w:hAnsi="Arial" w:cs="Arial"/>
          <w:sz w:val="24"/>
          <w:szCs w:val="24"/>
        </w:rPr>
        <w:t>,</w:t>
      </w:r>
      <w:r>
        <w:rPr>
          <w:rFonts w:ascii="Arial" w:hAnsi="Arial" w:cs="Arial"/>
          <w:sz w:val="24"/>
          <w:szCs w:val="24"/>
        </w:rPr>
        <w:t xml:space="preserve"> or a parent or guardian of the recipient, consented to the practice.</w:t>
      </w:r>
    </w:p>
    <w:p w14:paraId="4C6B9F36" w14:textId="1ECC160C" w:rsidR="00807EEF" w:rsidRDefault="00FE7785" w:rsidP="00807EEF">
      <w:pPr>
        <w:rPr>
          <w:rFonts w:ascii="Arial" w:hAnsi="Arial" w:cs="Arial"/>
          <w:sz w:val="24"/>
          <w:szCs w:val="24"/>
        </w:rPr>
      </w:pPr>
      <w:r>
        <w:rPr>
          <w:rFonts w:ascii="Arial" w:hAnsi="Arial" w:cs="Arial"/>
          <w:sz w:val="24"/>
          <w:szCs w:val="24"/>
        </w:rPr>
        <w:t>The maximum penalty for the offence is 150 penalty units</w:t>
      </w:r>
      <w:r w:rsidR="00807EEF">
        <w:rPr>
          <w:rFonts w:ascii="Arial" w:hAnsi="Arial" w:cs="Arial"/>
          <w:sz w:val="24"/>
          <w:szCs w:val="24"/>
        </w:rPr>
        <w:t xml:space="preserve"> (currently $24,000)</w:t>
      </w:r>
      <w:r>
        <w:rPr>
          <w:rFonts w:ascii="Arial" w:hAnsi="Arial" w:cs="Arial"/>
          <w:sz w:val="24"/>
          <w:szCs w:val="24"/>
        </w:rPr>
        <w:t>, imprisonment for 12 months, or both.</w:t>
      </w:r>
    </w:p>
    <w:p w14:paraId="16769D9C" w14:textId="618CABD2" w:rsidR="00EB5F18" w:rsidRDefault="00EB5F18" w:rsidP="00807EEF">
      <w:pPr>
        <w:rPr>
          <w:rFonts w:ascii="Arial" w:hAnsi="Arial" w:cs="Arial"/>
          <w:iCs/>
          <w:sz w:val="24"/>
          <w:szCs w:val="24"/>
        </w:rPr>
      </w:pPr>
      <w:r>
        <w:rPr>
          <w:rFonts w:ascii="Arial" w:hAnsi="Arial" w:cs="Arial"/>
          <w:sz w:val="24"/>
          <w:szCs w:val="24"/>
        </w:rPr>
        <w:t xml:space="preserve">The intent of this provision is to provide for a criminal offence in recognition of the particular </w:t>
      </w:r>
      <w:r w:rsidR="006E7E5E">
        <w:rPr>
          <w:rFonts w:ascii="Arial" w:hAnsi="Arial" w:cs="Arial"/>
          <w:sz w:val="24"/>
          <w:szCs w:val="24"/>
        </w:rPr>
        <w:t xml:space="preserve">vulnerability </w:t>
      </w:r>
      <w:r w:rsidR="00433266">
        <w:rPr>
          <w:rFonts w:ascii="Arial" w:hAnsi="Arial" w:cs="Arial"/>
          <w:sz w:val="24"/>
          <w:szCs w:val="24"/>
        </w:rPr>
        <w:t>of protected persons to conversion practices.</w:t>
      </w:r>
    </w:p>
    <w:p w14:paraId="55631B84" w14:textId="63A085E4" w:rsidR="00FD4116" w:rsidRDefault="00FD4116" w:rsidP="001D03C8">
      <w:pPr>
        <w:pStyle w:val="Heading3"/>
        <w:ind w:left="1440" w:hanging="1440"/>
      </w:pPr>
      <w:r w:rsidRPr="00ED3B77">
        <w:t xml:space="preserve">Clause </w:t>
      </w:r>
      <w:r w:rsidR="001D03C8">
        <w:t>9</w:t>
      </w:r>
      <w:r w:rsidRPr="00ED3B77">
        <w:tab/>
      </w:r>
      <w:r w:rsidR="001D03C8">
        <w:t>Offence</w:t>
      </w:r>
      <w:r w:rsidR="001D03C8" w:rsidRPr="00FD4116">
        <w:t>—</w:t>
      </w:r>
      <w:r w:rsidR="00D82267">
        <w:t>removing</w:t>
      </w:r>
      <w:r w:rsidR="001D03C8">
        <w:t xml:space="preserve"> protected person from ACT for conversion practice</w:t>
      </w:r>
    </w:p>
    <w:p w14:paraId="107A0E3B" w14:textId="77777777" w:rsidR="00807EEF" w:rsidRDefault="00807EEF" w:rsidP="00807EEF">
      <w:pPr>
        <w:rPr>
          <w:rFonts w:ascii="Arial" w:hAnsi="Arial" w:cs="Arial"/>
          <w:sz w:val="24"/>
          <w:szCs w:val="24"/>
        </w:rPr>
      </w:pPr>
      <w:r w:rsidRPr="00807EEF">
        <w:rPr>
          <w:rFonts w:ascii="Arial" w:hAnsi="Arial" w:cs="Arial"/>
          <w:sz w:val="24"/>
          <w:szCs w:val="24"/>
        </w:rPr>
        <w:t>This clause</w:t>
      </w:r>
      <w:r>
        <w:rPr>
          <w:rFonts w:ascii="Arial" w:hAnsi="Arial" w:cs="Arial"/>
          <w:sz w:val="24"/>
          <w:szCs w:val="24"/>
        </w:rPr>
        <w:t xml:space="preserve"> provides that a person commits an offence if the person removes another person (the recipient) from the ACT, the recipient is a protected person, and the removal is for the purpose of a sexuality or gender identity conversion practice being performed on the recipient. </w:t>
      </w:r>
    </w:p>
    <w:p w14:paraId="3580B058" w14:textId="04AF5E36" w:rsidR="00807EEF" w:rsidRDefault="00807EEF" w:rsidP="00807EEF">
      <w:pPr>
        <w:rPr>
          <w:rFonts w:ascii="Arial" w:hAnsi="Arial" w:cs="Arial"/>
          <w:sz w:val="24"/>
          <w:szCs w:val="24"/>
        </w:rPr>
      </w:pPr>
      <w:r>
        <w:rPr>
          <w:rFonts w:ascii="Arial" w:hAnsi="Arial" w:cs="Arial"/>
          <w:sz w:val="24"/>
          <w:szCs w:val="24"/>
        </w:rPr>
        <w:t xml:space="preserve">The maximum penalty for the offence is 150 penalty units (currently $24,000), </w:t>
      </w:r>
      <w:r w:rsidRPr="00807EEF">
        <w:rPr>
          <w:rFonts w:ascii="Arial" w:hAnsi="Arial" w:cs="Arial"/>
          <w:sz w:val="24"/>
          <w:szCs w:val="24"/>
        </w:rPr>
        <w:t>imprisonment for 12 months, or both.</w:t>
      </w:r>
    </w:p>
    <w:p w14:paraId="56BDEF25" w14:textId="2E7F7D9A" w:rsidR="00EB5F18" w:rsidRPr="00807EEF" w:rsidRDefault="00433266" w:rsidP="00807EEF">
      <w:pPr>
        <w:rPr>
          <w:rFonts w:ascii="Arial" w:hAnsi="Arial" w:cs="Arial"/>
          <w:sz w:val="24"/>
          <w:szCs w:val="24"/>
        </w:rPr>
      </w:pPr>
      <w:r>
        <w:rPr>
          <w:rFonts w:ascii="Arial" w:hAnsi="Arial" w:cs="Arial"/>
          <w:sz w:val="24"/>
          <w:szCs w:val="24"/>
        </w:rPr>
        <w:t>The intent of this provision is to provide</w:t>
      </w:r>
      <w:r w:rsidR="00EB5F18">
        <w:rPr>
          <w:rFonts w:ascii="Arial" w:hAnsi="Arial" w:cs="Arial"/>
          <w:sz w:val="24"/>
          <w:szCs w:val="24"/>
        </w:rPr>
        <w:t xml:space="preserve"> for a criminal offence </w:t>
      </w:r>
      <w:r w:rsidR="00642B0C">
        <w:rPr>
          <w:rFonts w:ascii="Arial" w:hAnsi="Arial" w:cs="Arial"/>
          <w:sz w:val="24"/>
          <w:szCs w:val="24"/>
        </w:rPr>
        <w:t xml:space="preserve">in recognition of the particular vulnerability of protected persons </w:t>
      </w:r>
      <w:r w:rsidR="006E7E5E">
        <w:rPr>
          <w:rFonts w:ascii="Arial" w:hAnsi="Arial" w:cs="Arial"/>
          <w:sz w:val="24"/>
          <w:szCs w:val="24"/>
        </w:rPr>
        <w:t>being removed from the ACT for</w:t>
      </w:r>
      <w:r w:rsidR="00642B0C">
        <w:rPr>
          <w:rFonts w:ascii="Arial" w:hAnsi="Arial" w:cs="Arial"/>
          <w:sz w:val="24"/>
          <w:szCs w:val="24"/>
        </w:rPr>
        <w:t xml:space="preserve"> conversion practices. </w:t>
      </w:r>
      <w:r w:rsidR="00EB5F18">
        <w:rPr>
          <w:rFonts w:ascii="Arial" w:hAnsi="Arial" w:cs="Arial"/>
          <w:sz w:val="24"/>
          <w:szCs w:val="24"/>
        </w:rPr>
        <w:t xml:space="preserve"> </w:t>
      </w:r>
    </w:p>
    <w:p w14:paraId="5BD48C06" w14:textId="6D311EDE" w:rsidR="001D03C8" w:rsidRDefault="001D03C8" w:rsidP="00807EEF">
      <w:pPr>
        <w:pStyle w:val="Heading3"/>
      </w:pPr>
      <w:r>
        <w:t>Part 3</w:t>
      </w:r>
      <w:r>
        <w:tab/>
      </w:r>
      <w:r>
        <w:tab/>
        <w:t>Review of Act</w:t>
      </w:r>
    </w:p>
    <w:p w14:paraId="1B56AF6B" w14:textId="1316C9B0" w:rsidR="001D03C8" w:rsidRDefault="001D03C8" w:rsidP="001D03C8">
      <w:pPr>
        <w:pStyle w:val="Heading3"/>
      </w:pPr>
      <w:r w:rsidRPr="00ED3B77">
        <w:t xml:space="preserve">Clause </w:t>
      </w:r>
      <w:r>
        <w:t>10</w:t>
      </w:r>
      <w:r w:rsidRPr="00ED3B77">
        <w:tab/>
      </w:r>
      <w:r>
        <w:t>Review of Act</w:t>
      </w:r>
    </w:p>
    <w:p w14:paraId="6C440DB2" w14:textId="2684FBAD" w:rsidR="00642B0C" w:rsidRDefault="00642B0C" w:rsidP="00642B0C">
      <w:pPr>
        <w:rPr>
          <w:rFonts w:ascii="Arial" w:hAnsi="Arial" w:cs="Arial"/>
          <w:sz w:val="24"/>
          <w:szCs w:val="24"/>
        </w:rPr>
      </w:pPr>
      <w:r>
        <w:rPr>
          <w:rFonts w:ascii="Arial" w:hAnsi="Arial" w:cs="Arial"/>
          <w:sz w:val="24"/>
          <w:szCs w:val="24"/>
        </w:rPr>
        <w:t xml:space="preserve">This clause provides that the Minister must review the operation of this Act and amendments made to other territory laws under this Act, and present a report of the review to the Legislative Assembly as soon as practicable after the end of the Act’s </w:t>
      </w:r>
      <w:r w:rsidR="00073A71">
        <w:rPr>
          <w:rFonts w:ascii="Arial" w:hAnsi="Arial" w:cs="Arial"/>
          <w:sz w:val="24"/>
          <w:szCs w:val="24"/>
        </w:rPr>
        <w:t>second</w:t>
      </w:r>
      <w:r w:rsidR="00980107">
        <w:rPr>
          <w:rFonts w:ascii="Arial" w:hAnsi="Arial" w:cs="Arial"/>
          <w:sz w:val="24"/>
          <w:szCs w:val="24"/>
        </w:rPr>
        <w:t xml:space="preserve"> </w:t>
      </w:r>
      <w:r>
        <w:rPr>
          <w:rFonts w:ascii="Arial" w:hAnsi="Arial" w:cs="Arial"/>
          <w:sz w:val="24"/>
          <w:szCs w:val="24"/>
        </w:rPr>
        <w:t>year of operation.</w:t>
      </w:r>
    </w:p>
    <w:p w14:paraId="191681FA" w14:textId="75929C7A" w:rsidR="00433266" w:rsidRPr="00642B0C" w:rsidRDefault="00433266" w:rsidP="00642B0C">
      <w:pPr>
        <w:rPr>
          <w:rFonts w:ascii="Arial" w:hAnsi="Arial" w:cs="Arial"/>
          <w:sz w:val="24"/>
          <w:szCs w:val="24"/>
        </w:rPr>
      </w:pPr>
      <w:r>
        <w:rPr>
          <w:rFonts w:ascii="Arial" w:hAnsi="Arial" w:cs="Arial"/>
          <w:sz w:val="24"/>
          <w:szCs w:val="24"/>
        </w:rPr>
        <w:t>The intent of this provision is to ensure that the legislation is operating appropriately and there is transparent review.</w:t>
      </w:r>
    </w:p>
    <w:p w14:paraId="040CA0BE" w14:textId="24585919" w:rsidR="001D03C8" w:rsidRDefault="001D03C8" w:rsidP="001D03C8">
      <w:pPr>
        <w:pStyle w:val="Heading3"/>
      </w:pPr>
      <w:r>
        <w:t>Part 4</w:t>
      </w:r>
      <w:r>
        <w:tab/>
      </w:r>
      <w:r>
        <w:tab/>
        <w:t>Consequential amendments</w:t>
      </w:r>
    </w:p>
    <w:p w14:paraId="0DDDAACF" w14:textId="3086DA16" w:rsidR="001D03C8" w:rsidRDefault="001D03C8" w:rsidP="001D03C8">
      <w:pPr>
        <w:pStyle w:val="Heading3"/>
      </w:pPr>
      <w:r w:rsidRPr="006757D1">
        <w:t>Clause 1</w:t>
      </w:r>
      <w:r w:rsidR="00AD2933" w:rsidRPr="006757D1">
        <w:t>1</w:t>
      </w:r>
      <w:r w:rsidRPr="006757D1">
        <w:tab/>
      </w:r>
      <w:r w:rsidR="00642B0C" w:rsidRPr="006757D1">
        <w:t>Legislation</w:t>
      </w:r>
      <w:r w:rsidR="00642B0C">
        <w:t xml:space="preserve"> amended</w:t>
      </w:r>
      <w:r w:rsidR="00642B0C" w:rsidRPr="00FD4116">
        <w:t>—</w:t>
      </w:r>
      <w:r w:rsidR="00642B0C">
        <w:t>sch 1</w:t>
      </w:r>
    </w:p>
    <w:p w14:paraId="7F0CB530" w14:textId="734C673E" w:rsidR="00642B0C" w:rsidRDefault="00642B0C" w:rsidP="00642B0C">
      <w:pPr>
        <w:rPr>
          <w:rFonts w:ascii="Arial" w:hAnsi="Arial" w:cs="Arial"/>
          <w:sz w:val="24"/>
          <w:szCs w:val="24"/>
        </w:rPr>
      </w:pPr>
      <w:r>
        <w:rPr>
          <w:rFonts w:ascii="Arial" w:hAnsi="Arial" w:cs="Arial"/>
          <w:sz w:val="24"/>
          <w:szCs w:val="24"/>
        </w:rPr>
        <w:t>This clause provides that the Act amends the legislation mentioned in schedule 1.</w:t>
      </w:r>
    </w:p>
    <w:p w14:paraId="16371F4A" w14:textId="56B7E3DA" w:rsidR="00BB281F" w:rsidRDefault="00BB281F" w:rsidP="00B25B1A">
      <w:pPr>
        <w:pStyle w:val="Heading3"/>
        <w:ind w:left="1440" w:hanging="1440"/>
      </w:pPr>
      <w:r w:rsidRPr="00705EE3">
        <w:t>Schedule 1</w:t>
      </w:r>
      <w:r w:rsidRPr="00705EE3">
        <w:tab/>
      </w:r>
      <w:r w:rsidR="00980107">
        <w:t>Human Rights Commission Act 2005</w:t>
      </w:r>
      <w:r w:rsidR="00B25B1A" w:rsidRPr="00FD4116">
        <w:t>—</w:t>
      </w:r>
      <w:r w:rsidR="00B25B1A">
        <w:t>Consequential amendments</w:t>
      </w:r>
      <w:r w:rsidRPr="00705EE3">
        <w:t xml:space="preserve"> </w:t>
      </w:r>
    </w:p>
    <w:p w14:paraId="3E7AF8E1" w14:textId="1B68D102" w:rsidR="00BB281F" w:rsidRDefault="00BB281F" w:rsidP="00BB281F">
      <w:pPr>
        <w:rPr>
          <w:rFonts w:ascii="Arial" w:hAnsi="Arial" w:cs="Arial"/>
          <w:b/>
          <w:bCs/>
          <w:sz w:val="24"/>
          <w:szCs w:val="24"/>
        </w:rPr>
      </w:pPr>
      <w:r w:rsidRPr="00A23626">
        <w:rPr>
          <w:rFonts w:ascii="Arial" w:hAnsi="Arial" w:cs="Arial"/>
          <w:b/>
          <w:bCs/>
          <w:sz w:val="24"/>
          <w:szCs w:val="24"/>
        </w:rPr>
        <w:t xml:space="preserve">Amendment </w:t>
      </w:r>
      <w:r>
        <w:rPr>
          <w:rFonts w:ascii="Arial" w:hAnsi="Arial" w:cs="Arial"/>
          <w:b/>
          <w:bCs/>
          <w:sz w:val="24"/>
          <w:szCs w:val="24"/>
        </w:rPr>
        <w:t>[</w:t>
      </w:r>
      <w:r w:rsidRPr="00A23626">
        <w:rPr>
          <w:rFonts w:ascii="Arial" w:hAnsi="Arial" w:cs="Arial"/>
          <w:b/>
          <w:bCs/>
          <w:sz w:val="24"/>
          <w:szCs w:val="24"/>
        </w:rPr>
        <w:t>1.1</w:t>
      </w:r>
      <w:r>
        <w:rPr>
          <w:rFonts w:ascii="Arial" w:hAnsi="Arial" w:cs="Arial"/>
          <w:b/>
          <w:bCs/>
          <w:sz w:val="24"/>
          <w:szCs w:val="24"/>
        </w:rPr>
        <w:t>] – New section 21</w:t>
      </w:r>
      <w:r w:rsidR="00AD2933">
        <w:rPr>
          <w:rFonts w:ascii="Arial" w:hAnsi="Arial" w:cs="Arial"/>
          <w:b/>
          <w:bCs/>
          <w:sz w:val="24"/>
          <w:szCs w:val="24"/>
        </w:rPr>
        <w:t>(1)</w:t>
      </w:r>
      <w:r>
        <w:rPr>
          <w:rFonts w:ascii="Arial" w:hAnsi="Arial" w:cs="Arial"/>
          <w:b/>
          <w:bCs/>
          <w:sz w:val="24"/>
          <w:szCs w:val="24"/>
        </w:rPr>
        <w:t>(c)(v</w:t>
      </w:r>
      <w:r w:rsidR="003A09FB">
        <w:rPr>
          <w:rFonts w:ascii="Arial" w:hAnsi="Arial" w:cs="Arial"/>
          <w:b/>
          <w:bCs/>
          <w:sz w:val="24"/>
          <w:szCs w:val="24"/>
        </w:rPr>
        <w:t>i</w:t>
      </w:r>
      <w:r>
        <w:rPr>
          <w:rFonts w:ascii="Arial" w:hAnsi="Arial" w:cs="Arial"/>
          <w:b/>
          <w:bCs/>
          <w:sz w:val="24"/>
          <w:szCs w:val="24"/>
        </w:rPr>
        <w:t>)</w:t>
      </w:r>
    </w:p>
    <w:p w14:paraId="0EAAA828" w14:textId="36FE8C2E" w:rsidR="00BB281F" w:rsidRDefault="00BB281F" w:rsidP="00BB281F">
      <w:pPr>
        <w:rPr>
          <w:rFonts w:ascii="Arial" w:hAnsi="Arial" w:cs="Arial"/>
          <w:sz w:val="24"/>
          <w:szCs w:val="24"/>
        </w:rPr>
      </w:pPr>
      <w:r>
        <w:rPr>
          <w:rFonts w:ascii="Arial" w:hAnsi="Arial" w:cs="Arial"/>
          <w:sz w:val="24"/>
          <w:szCs w:val="24"/>
        </w:rPr>
        <w:t>This clause inserts new section 21</w:t>
      </w:r>
      <w:r w:rsidR="00AD2933">
        <w:rPr>
          <w:rFonts w:ascii="Arial" w:hAnsi="Arial" w:cs="Arial"/>
          <w:sz w:val="24"/>
          <w:szCs w:val="24"/>
        </w:rPr>
        <w:t>(1)</w:t>
      </w:r>
      <w:r>
        <w:rPr>
          <w:rFonts w:ascii="Arial" w:hAnsi="Arial" w:cs="Arial"/>
          <w:sz w:val="24"/>
          <w:szCs w:val="24"/>
        </w:rPr>
        <w:t>(c)(v</w:t>
      </w:r>
      <w:r w:rsidR="003A09FB">
        <w:rPr>
          <w:rFonts w:ascii="Arial" w:hAnsi="Arial" w:cs="Arial"/>
          <w:sz w:val="24"/>
          <w:szCs w:val="24"/>
        </w:rPr>
        <w:t>i</w:t>
      </w:r>
      <w:r>
        <w:rPr>
          <w:rFonts w:ascii="Arial" w:hAnsi="Arial" w:cs="Arial"/>
          <w:sz w:val="24"/>
          <w:szCs w:val="24"/>
        </w:rPr>
        <w:t xml:space="preserve">) which includes dealing with ‘a conversion practice complaint’ within the disability and community services commissioner’s functions.  </w:t>
      </w:r>
    </w:p>
    <w:p w14:paraId="38033C58" w14:textId="5321964B" w:rsidR="00BB281F" w:rsidRDefault="00BB281F" w:rsidP="00BB281F">
      <w:pPr>
        <w:rPr>
          <w:rFonts w:ascii="Arial" w:hAnsi="Arial" w:cs="Arial"/>
          <w:b/>
          <w:bCs/>
          <w:sz w:val="24"/>
          <w:szCs w:val="24"/>
        </w:rPr>
      </w:pPr>
      <w:r w:rsidRPr="00A23626">
        <w:rPr>
          <w:rFonts w:ascii="Arial" w:hAnsi="Arial" w:cs="Arial"/>
          <w:b/>
          <w:bCs/>
          <w:sz w:val="24"/>
          <w:szCs w:val="24"/>
        </w:rPr>
        <w:lastRenderedPageBreak/>
        <w:t xml:space="preserve">Amendment </w:t>
      </w:r>
      <w:r>
        <w:rPr>
          <w:rFonts w:ascii="Arial" w:hAnsi="Arial" w:cs="Arial"/>
          <w:b/>
          <w:bCs/>
          <w:sz w:val="24"/>
          <w:szCs w:val="24"/>
        </w:rPr>
        <w:t>[</w:t>
      </w:r>
      <w:r w:rsidRPr="00A23626">
        <w:rPr>
          <w:rFonts w:ascii="Arial" w:hAnsi="Arial" w:cs="Arial"/>
          <w:b/>
          <w:bCs/>
          <w:sz w:val="24"/>
          <w:szCs w:val="24"/>
        </w:rPr>
        <w:t>1.</w:t>
      </w:r>
      <w:r w:rsidR="00427538">
        <w:rPr>
          <w:rFonts w:ascii="Arial" w:hAnsi="Arial" w:cs="Arial"/>
          <w:b/>
          <w:bCs/>
          <w:sz w:val="24"/>
          <w:szCs w:val="24"/>
        </w:rPr>
        <w:t>2</w:t>
      </w:r>
      <w:r>
        <w:rPr>
          <w:rFonts w:ascii="Arial" w:hAnsi="Arial" w:cs="Arial"/>
          <w:b/>
          <w:bCs/>
          <w:sz w:val="24"/>
          <w:szCs w:val="24"/>
        </w:rPr>
        <w:t>] – New section 42(1)(</w:t>
      </w:r>
      <w:r w:rsidR="00427538">
        <w:rPr>
          <w:rFonts w:ascii="Arial" w:hAnsi="Arial" w:cs="Arial"/>
          <w:b/>
          <w:bCs/>
          <w:sz w:val="24"/>
          <w:szCs w:val="24"/>
        </w:rPr>
        <w:t>ec</w:t>
      </w:r>
      <w:r>
        <w:rPr>
          <w:rFonts w:ascii="Arial" w:hAnsi="Arial" w:cs="Arial"/>
          <w:b/>
          <w:bCs/>
          <w:sz w:val="24"/>
          <w:szCs w:val="24"/>
        </w:rPr>
        <w:t>)</w:t>
      </w:r>
    </w:p>
    <w:p w14:paraId="6F2ED4E8" w14:textId="4A8FA4E5" w:rsidR="00BB281F" w:rsidRPr="006757D1" w:rsidRDefault="00BB281F" w:rsidP="00BB281F">
      <w:pPr>
        <w:rPr>
          <w:rFonts w:ascii="Arial" w:hAnsi="Arial" w:cs="Arial"/>
          <w:sz w:val="24"/>
          <w:szCs w:val="24"/>
        </w:rPr>
      </w:pPr>
      <w:r w:rsidRPr="009905BA">
        <w:rPr>
          <w:rFonts w:ascii="Arial" w:hAnsi="Arial" w:cs="Arial"/>
          <w:sz w:val="24"/>
          <w:szCs w:val="24"/>
        </w:rPr>
        <w:t>This clause inserts new section 42(1)(</w:t>
      </w:r>
      <w:r w:rsidR="00427538" w:rsidRPr="009905BA">
        <w:rPr>
          <w:rFonts w:ascii="Arial" w:hAnsi="Arial" w:cs="Arial"/>
          <w:sz w:val="24"/>
          <w:szCs w:val="24"/>
        </w:rPr>
        <w:t>e</w:t>
      </w:r>
      <w:r w:rsidR="00427538">
        <w:rPr>
          <w:rFonts w:ascii="Arial" w:hAnsi="Arial" w:cs="Arial"/>
          <w:sz w:val="24"/>
          <w:szCs w:val="24"/>
        </w:rPr>
        <w:t>c</w:t>
      </w:r>
      <w:r w:rsidRPr="009905BA">
        <w:rPr>
          <w:rFonts w:ascii="Arial" w:hAnsi="Arial" w:cs="Arial"/>
          <w:sz w:val="24"/>
          <w:szCs w:val="24"/>
        </w:rPr>
        <w:t xml:space="preserve">) </w:t>
      </w:r>
      <w:r>
        <w:rPr>
          <w:rFonts w:ascii="Arial" w:hAnsi="Arial" w:cs="Arial"/>
          <w:sz w:val="24"/>
          <w:szCs w:val="24"/>
        </w:rPr>
        <w:t xml:space="preserve">which </w:t>
      </w:r>
      <w:r w:rsidRPr="006757D1">
        <w:rPr>
          <w:rFonts w:ascii="Arial" w:hAnsi="Arial" w:cs="Arial"/>
          <w:sz w:val="24"/>
          <w:szCs w:val="24"/>
        </w:rPr>
        <w:t xml:space="preserve">includes ‘a conversion practice complaint’ within the list of complaints that may be made under the </w:t>
      </w:r>
      <w:r w:rsidRPr="006757D1">
        <w:rPr>
          <w:rFonts w:ascii="Arial" w:hAnsi="Arial" w:cs="Arial"/>
          <w:i/>
          <w:iCs/>
          <w:sz w:val="24"/>
          <w:szCs w:val="24"/>
        </w:rPr>
        <w:t>Human Rights Commission Act 2005</w:t>
      </w:r>
      <w:r w:rsidRPr="006757D1">
        <w:rPr>
          <w:rFonts w:ascii="Arial" w:hAnsi="Arial" w:cs="Arial"/>
          <w:sz w:val="24"/>
          <w:szCs w:val="24"/>
        </w:rPr>
        <w:t xml:space="preserve">. </w:t>
      </w:r>
    </w:p>
    <w:p w14:paraId="5F301E06" w14:textId="03B5C361" w:rsidR="00BB281F" w:rsidRPr="006757D1" w:rsidRDefault="00BB281F" w:rsidP="00BB281F">
      <w:pPr>
        <w:rPr>
          <w:rFonts w:ascii="Arial" w:hAnsi="Arial" w:cs="Arial"/>
          <w:b/>
          <w:bCs/>
          <w:sz w:val="24"/>
          <w:szCs w:val="24"/>
        </w:rPr>
      </w:pPr>
      <w:r w:rsidRPr="006757D1">
        <w:rPr>
          <w:rFonts w:ascii="Arial" w:hAnsi="Arial" w:cs="Arial"/>
          <w:b/>
          <w:bCs/>
          <w:sz w:val="24"/>
          <w:szCs w:val="24"/>
        </w:rPr>
        <w:t>Amendment [1.</w:t>
      </w:r>
      <w:r w:rsidR="00427538">
        <w:rPr>
          <w:rFonts w:ascii="Arial" w:hAnsi="Arial" w:cs="Arial"/>
          <w:b/>
          <w:bCs/>
          <w:sz w:val="24"/>
          <w:szCs w:val="24"/>
        </w:rPr>
        <w:t>3</w:t>
      </w:r>
      <w:r w:rsidRPr="006757D1">
        <w:rPr>
          <w:rFonts w:ascii="Arial" w:hAnsi="Arial" w:cs="Arial"/>
          <w:b/>
          <w:bCs/>
          <w:sz w:val="24"/>
          <w:szCs w:val="24"/>
        </w:rPr>
        <w:t xml:space="preserve">] – Commission’s obligation to be prompt and efficient </w:t>
      </w:r>
    </w:p>
    <w:p w14:paraId="53FCC0EB" w14:textId="5B79BF27" w:rsidR="00BB281F" w:rsidRPr="006757D1" w:rsidRDefault="00BB281F" w:rsidP="00BB281F">
      <w:pPr>
        <w:rPr>
          <w:rFonts w:ascii="Arial" w:hAnsi="Arial" w:cs="Arial"/>
          <w:b/>
          <w:bCs/>
          <w:sz w:val="24"/>
          <w:szCs w:val="24"/>
        </w:rPr>
      </w:pPr>
      <w:r w:rsidRPr="006757D1">
        <w:rPr>
          <w:rFonts w:ascii="Arial" w:hAnsi="Arial" w:cs="Arial"/>
          <w:b/>
          <w:bCs/>
          <w:sz w:val="24"/>
          <w:szCs w:val="24"/>
        </w:rPr>
        <w:t xml:space="preserve">New </w:t>
      </w:r>
      <w:r w:rsidR="00AD2933" w:rsidRPr="006757D1">
        <w:rPr>
          <w:rFonts w:ascii="Arial" w:hAnsi="Arial" w:cs="Arial"/>
          <w:b/>
          <w:bCs/>
          <w:sz w:val="24"/>
          <w:szCs w:val="24"/>
        </w:rPr>
        <w:t>s</w:t>
      </w:r>
      <w:r w:rsidRPr="006757D1">
        <w:rPr>
          <w:rFonts w:ascii="Arial" w:hAnsi="Arial" w:cs="Arial"/>
          <w:b/>
          <w:bCs/>
          <w:sz w:val="24"/>
          <w:szCs w:val="24"/>
        </w:rPr>
        <w:t>ection 45(2)(e</w:t>
      </w:r>
      <w:r w:rsidR="00F36E73">
        <w:rPr>
          <w:rFonts w:ascii="Arial" w:hAnsi="Arial" w:cs="Arial"/>
          <w:b/>
          <w:bCs/>
          <w:sz w:val="24"/>
          <w:szCs w:val="24"/>
        </w:rPr>
        <w:t>b</w:t>
      </w:r>
      <w:r w:rsidRPr="006757D1">
        <w:rPr>
          <w:rFonts w:ascii="Arial" w:hAnsi="Arial" w:cs="Arial"/>
          <w:b/>
          <w:bCs/>
          <w:sz w:val="24"/>
          <w:szCs w:val="24"/>
        </w:rPr>
        <w:t xml:space="preserve">) </w:t>
      </w:r>
    </w:p>
    <w:p w14:paraId="2281D110" w14:textId="2FAC7A83" w:rsidR="00BB281F" w:rsidRPr="006757D1" w:rsidRDefault="00BB281F" w:rsidP="00BB281F">
      <w:pPr>
        <w:rPr>
          <w:rFonts w:ascii="Arial" w:hAnsi="Arial" w:cs="Arial"/>
          <w:sz w:val="24"/>
          <w:szCs w:val="24"/>
        </w:rPr>
      </w:pPr>
      <w:r w:rsidRPr="006757D1">
        <w:rPr>
          <w:rFonts w:ascii="Arial" w:hAnsi="Arial" w:cs="Arial"/>
          <w:sz w:val="24"/>
          <w:szCs w:val="24"/>
        </w:rPr>
        <w:t xml:space="preserve">Section 45 of the </w:t>
      </w:r>
      <w:r w:rsidRPr="006757D1">
        <w:rPr>
          <w:rFonts w:ascii="Arial" w:hAnsi="Arial" w:cs="Arial"/>
          <w:i/>
          <w:iCs/>
          <w:sz w:val="24"/>
          <w:szCs w:val="24"/>
        </w:rPr>
        <w:t xml:space="preserve">Human Rights Commission Act 2005 </w:t>
      </w:r>
      <w:r w:rsidRPr="006757D1">
        <w:rPr>
          <w:rFonts w:ascii="Arial" w:hAnsi="Arial" w:cs="Arial"/>
          <w:sz w:val="24"/>
          <w:szCs w:val="24"/>
        </w:rPr>
        <w:t xml:space="preserve">sets out the Commission’s obligations for dealing with complaints in a prompt and efficient manner.  </w:t>
      </w:r>
    </w:p>
    <w:p w14:paraId="693E168C" w14:textId="68A728C9" w:rsidR="00BB281F" w:rsidRDefault="00BB281F" w:rsidP="00BB281F">
      <w:pPr>
        <w:rPr>
          <w:rFonts w:ascii="Arial" w:hAnsi="Arial" w:cs="Arial"/>
          <w:sz w:val="24"/>
          <w:szCs w:val="24"/>
        </w:rPr>
      </w:pPr>
      <w:r w:rsidRPr="006757D1">
        <w:rPr>
          <w:rFonts w:ascii="Arial" w:hAnsi="Arial" w:cs="Arial"/>
          <w:sz w:val="24"/>
          <w:szCs w:val="24"/>
        </w:rPr>
        <w:t>This new clause 45(2)(e</w:t>
      </w:r>
      <w:r w:rsidR="00F36E73">
        <w:rPr>
          <w:rFonts w:ascii="Arial" w:hAnsi="Arial" w:cs="Arial"/>
          <w:sz w:val="24"/>
          <w:szCs w:val="24"/>
        </w:rPr>
        <w:t>b</w:t>
      </w:r>
      <w:r w:rsidRPr="006757D1">
        <w:rPr>
          <w:rFonts w:ascii="Arial" w:hAnsi="Arial" w:cs="Arial"/>
          <w:sz w:val="24"/>
          <w:szCs w:val="24"/>
        </w:rPr>
        <w:t>) provides that if the commission is dealing with a conversion practice complaint and it decides not to refer the complaint for conciliation that it must tell the complaint in writing that the complaint will not be referred for conciliation and include a conversion practice referral statement with</w:t>
      </w:r>
      <w:r>
        <w:rPr>
          <w:rFonts w:ascii="Arial" w:hAnsi="Arial" w:cs="Arial"/>
          <w:sz w:val="24"/>
          <w:szCs w:val="24"/>
        </w:rPr>
        <w:t xml:space="preserve"> the notice. </w:t>
      </w:r>
    </w:p>
    <w:p w14:paraId="4BFB270C" w14:textId="6F152013" w:rsidR="00BB281F" w:rsidRDefault="00BB281F" w:rsidP="00BB281F">
      <w:pPr>
        <w:rPr>
          <w:rFonts w:ascii="Arial" w:hAnsi="Arial" w:cs="Arial"/>
          <w:b/>
          <w:bCs/>
          <w:sz w:val="24"/>
          <w:szCs w:val="24"/>
        </w:rPr>
      </w:pPr>
      <w:r w:rsidRPr="00A23626">
        <w:rPr>
          <w:rFonts w:ascii="Arial" w:hAnsi="Arial" w:cs="Arial"/>
          <w:b/>
          <w:bCs/>
          <w:sz w:val="24"/>
          <w:szCs w:val="24"/>
        </w:rPr>
        <w:t xml:space="preserve">Amendment </w:t>
      </w:r>
      <w:r>
        <w:rPr>
          <w:rFonts w:ascii="Arial" w:hAnsi="Arial" w:cs="Arial"/>
          <w:b/>
          <w:bCs/>
          <w:sz w:val="24"/>
          <w:szCs w:val="24"/>
        </w:rPr>
        <w:t>[</w:t>
      </w:r>
      <w:r w:rsidRPr="00A23626">
        <w:rPr>
          <w:rFonts w:ascii="Arial" w:hAnsi="Arial" w:cs="Arial"/>
          <w:b/>
          <w:bCs/>
          <w:sz w:val="24"/>
          <w:szCs w:val="24"/>
        </w:rPr>
        <w:t>1.</w:t>
      </w:r>
      <w:r w:rsidR="00EE5C53">
        <w:rPr>
          <w:rFonts w:ascii="Arial" w:hAnsi="Arial" w:cs="Arial"/>
          <w:b/>
          <w:bCs/>
          <w:sz w:val="24"/>
          <w:szCs w:val="24"/>
        </w:rPr>
        <w:t>4</w:t>
      </w:r>
      <w:r>
        <w:rPr>
          <w:rFonts w:ascii="Arial" w:hAnsi="Arial" w:cs="Arial"/>
          <w:b/>
          <w:bCs/>
          <w:sz w:val="24"/>
          <w:szCs w:val="24"/>
        </w:rPr>
        <w:t>] – New division 4.</w:t>
      </w:r>
      <w:r w:rsidR="00EE5C53">
        <w:rPr>
          <w:rFonts w:ascii="Arial" w:hAnsi="Arial" w:cs="Arial"/>
          <w:b/>
          <w:bCs/>
          <w:sz w:val="24"/>
          <w:szCs w:val="24"/>
        </w:rPr>
        <w:t>2</w:t>
      </w:r>
      <w:r w:rsidR="00F36E73">
        <w:rPr>
          <w:rFonts w:ascii="Arial" w:hAnsi="Arial" w:cs="Arial"/>
          <w:b/>
          <w:bCs/>
          <w:sz w:val="24"/>
          <w:szCs w:val="24"/>
        </w:rPr>
        <w:t>D</w:t>
      </w:r>
    </w:p>
    <w:p w14:paraId="7D15C62E" w14:textId="4AA1B894" w:rsidR="00BB281F" w:rsidRDefault="00BB281F" w:rsidP="00BB281F">
      <w:pPr>
        <w:ind w:left="720" w:hanging="720"/>
        <w:rPr>
          <w:rFonts w:ascii="Arial" w:hAnsi="Arial" w:cs="Arial"/>
          <w:sz w:val="24"/>
          <w:szCs w:val="24"/>
        </w:rPr>
      </w:pPr>
      <w:r>
        <w:rPr>
          <w:rFonts w:ascii="Arial" w:hAnsi="Arial" w:cs="Arial"/>
          <w:sz w:val="24"/>
          <w:szCs w:val="24"/>
        </w:rPr>
        <w:t>This clause inserts new division 4.2</w:t>
      </w:r>
      <w:r w:rsidR="00F36E73">
        <w:rPr>
          <w:rFonts w:ascii="Arial" w:hAnsi="Arial" w:cs="Arial"/>
          <w:sz w:val="24"/>
          <w:szCs w:val="24"/>
        </w:rPr>
        <w:t>D</w:t>
      </w:r>
      <w:r>
        <w:rPr>
          <w:rFonts w:ascii="Arial" w:hAnsi="Arial" w:cs="Arial"/>
          <w:sz w:val="24"/>
          <w:szCs w:val="24"/>
        </w:rPr>
        <w:t xml:space="preserve"> (Conversion practice complaints to ACAT).</w:t>
      </w:r>
    </w:p>
    <w:p w14:paraId="4760D636" w14:textId="78DA6297" w:rsidR="00BB281F" w:rsidRDefault="00BB281F" w:rsidP="00BB281F">
      <w:pPr>
        <w:rPr>
          <w:rFonts w:ascii="Arial" w:hAnsi="Arial" w:cs="Arial"/>
          <w:sz w:val="24"/>
          <w:szCs w:val="24"/>
        </w:rPr>
      </w:pPr>
      <w:r>
        <w:rPr>
          <w:rFonts w:ascii="Arial" w:hAnsi="Arial" w:cs="Arial"/>
          <w:sz w:val="24"/>
          <w:szCs w:val="24"/>
        </w:rPr>
        <w:t>This includes new sections 53</w:t>
      </w:r>
      <w:r w:rsidR="00F36E73">
        <w:rPr>
          <w:rFonts w:ascii="Arial" w:hAnsi="Arial" w:cs="Arial"/>
          <w:sz w:val="24"/>
          <w:szCs w:val="24"/>
        </w:rPr>
        <w:t>Z</w:t>
      </w:r>
      <w:r>
        <w:rPr>
          <w:rFonts w:ascii="Arial" w:hAnsi="Arial" w:cs="Arial"/>
          <w:sz w:val="24"/>
          <w:szCs w:val="24"/>
        </w:rPr>
        <w:t xml:space="preserve"> (</w:t>
      </w:r>
      <w:r w:rsidR="00EE5C53">
        <w:rPr>
          <w:rFonts w:ascii="Arial" w:hAnsi="Arial" w:cs="Arial"/>
          <w:sz w:val="24"/>
          <w:szCs w:val="24"/>
        </w:rPr>
        <w:t xml:space="preserve">Meaning of </w:t>
      </w:r>
      <w:r w:rsidR="00EE5C53">
        <w:rPr>
          <w:rFonts w:ascii="Arial" w:hAnsi="Arial" w:cs="Arial"/>
          <w:i/>
          <w:iCs/>
          <w:sz w:val="24"/>
          <w:szCs w:val="24"/>
        </w:rPr>
        <w:t>person complained about</w:t>
      </w:r>
      <w:r>
        <w:rPr>
          <w:rFonts w:ascii="Arial" w:hAnsi="Arial" w:cs="Arial"/>
          <w:sz w:val="24"/>
          <w:szCs w:val="24"/>
        </w:rPr>
        <w:t>),</w:t>
      </w:r>
      <w:r w:rsidR="00EE5C53">
        <w:rPr>
          <w:rFonts w:ascii="Arial" w:hAnsi="Arial" w:cs="Arial"/>
          <w:sz w:val="24"/>
          <w:szCs w:val="24"/>
        </w:rPr>
        <w:t> </w:t>
      </w:r>
      <w:r>
        <w:rPr>
          <w:rFonts w:ascii="Arial" w:hAnsi="Arial" w:cs="Arial"/>
          <w:sz w:val="24"/>
          <w:szCs w:val="24"/>
        </w:rPr>
        <w:t>5</w:t>
      </w:r>
      <w:r w:rsidR="00F36E73">
        <w:rPr>
          <w:rFonts w:ascii="Arial" w:hAnsi="Arial" w:cs="Arial"/>
          <w:sz w:val="24"/>
          <w:szCs w:val="24"/>
        </w:rPr>
        <w:t>ZA</w:t>
      </w:r>
      <w:r>
        <w:rPr>
          <w:rFonts w:ascii="Arial" w:hAnsi="Arial" w:cs="Arial"/>
          <w:sz w:val="24"/>
          <w:szCs w:val="24"/>
        </w:rPr>
        <w:t xml:space="preserve"> (Conversion practices complaints – referral), 53</w:t>
      </w:r>
      <w:r w:rsidR="00F36E73">
        <w:rPr>
          <w:rFonts w:ascii="Arial" w:hAnsi="Arial" w:cs="Arial"/>
          <w:sz w:val="24"/>
          <w:szCs w:val="24"/>
        </w:rPr>
        <w:t>ZB</w:t>
      </w:r>
      <w:r>
        <w:rPr>
          <w:rFonts w:ascii="Arial" w:hAnsi="Arial" w:cs="Arial"/>
          <w:sz w:val="24"/>
          <w:szCs w:val="24"/>
        </w:rPr>
        <w:t xml:space="preserve"> (Conversion practices complaints – late application in exceptional circumstances), 53</w:t>
      </w:r>
      <w:r w:rsidR="00F36E73">
        <w:rPr>
          <w:rFonts w:ascii="Arial" w:hAnsi="Arial" w:cs="Arial"/>
          <w:sz w:val="24"/>
          <w:szCs w:val="24"/>
        </w:rPr>
        <w:t>ZC</w:t>
      </w:r>
      <w:r>
        <w:rPr>
          <w:rFonts w:ascii="Arial" w:hAnsi="Arial" w:cs="Arial"/>
          <w:sz w:val="24"/>
          <w:szCs w:val="24"/>
        </w:rPr>
        <w:t xml:space="preserve"> (Conversion practices complaints – parties to ACAT proceeding), 53</w:t>
      </w:r>
      <w:r w:rsidR="00F36E73">
        <w:rPr>
          <w:rFonts w:ascii="Arial" w:hAnsi="Arial" w:cs="Arial"/>
          <w:sz w:val="24"/>
          <w:szCs w:val="24"/>
        </w:rPr>
        <w:t>ZD</w:t>
      </w:r>
      <w:r>
        <w:rPr>
          <w:rFonts w:ascii="Arial" w:hAnsi="Arial" w:cs="Arial"/>
          <w:sz w:val="24"/>
          <w:szCs w:val="24"/>
        </w:rPr>
        <w:t xml:space="preserve"> (Conversion practices complaints – commission to give information etc to ACAT), 53</w:t>
      </w:r>
      <w:r w:rsidR="00F36E73">
        <w:rPr>
          <w:rFonts w:ascii="Arial" w:hAnsi="Arial" w:cs="Arial"/>
          <w:sz w:val="24"/>
          <w:szCs w:val="24"/>
        </w:rPr>
        <w:t>ZE</w:t>
      </w:r>
      <w:r>
        <w:rPr>
          <w:rFonts w:ascii="Arial" w:hAnsi="Arial" w:cs="Arial"/>
          <w:sz w:val="24"/>
          <w:szCs w:val="24"/>
        </w:rPr>
        <w:t xml:space="preserve"> (Conversion practices complaints – ACAT orders), 53</w:t>
      </w:r>
      <w:r w:rsidR="00D82267">
        <w:rPr>
          <w:rFonts w:ascii="Arial" w:hAnsi="Arial" w:cs="Arial"/>
          <w:sz w:val="24"/>
          <w:szCs w:val="24"/>
        </w:rPr>
        <w:t>ZF</w:t>
      </w:r>
      <w:r>
        <w:rPr>
          <w:rFonts w:ascii="Arial" w:hAnsi="Arial" w:cs="Arial"/>
          <w:sz w:val="24"/>
          <w:szCs w:val="24"/>
        </w:rPr>
        <w:t xml:space="preserve"> (Conversion practices complaints – no monetary limit on jurisdiction of ACAT). </w:t>
      </w:r>
    </w:p>
    <w:p w14:paraId="54AB0EEF" w14:textId="6D052780" w:rsidR="00630BB5" w:rsidRDefault="00EA1BBB" w:rsidP="00630BB5">
      <w:pPr>
        <w:rPr>
          <w:rFonts w:ascii="Arial" w:hAnsi="Arial" w:cs="Arial"/>
          <w:b/>
          <w:bCs/>
          <w:sz w:val="24"/>
          <w:szCs w:val="24"/>
        </w:rPr>
      </w:pPr>
      <w:r>
        <w:rPr>
          <w:rFonts w:ascii="Arial" w:hAnsi="Arial" w:cs="Arial"/>
          <w:b/>
          <w:bCs/>
          <w:sz w:val="24"/>
          <w:szCs w:val="24"/>
        </w:rPr>
        <w:t xml:space="preserve">Section </w:t>
      </w:r>
      <w:r w:rsidR="00BB281F" w:rsidRPr="006D19AC">
        <w:rPr>
          <w:rFonts w:ascii="Arial" w:hAnsi="Arial" w:cs="Arial"/>
          <w:b/>
          <w:bCs/>
          <w:sz w:val="24"/>
          <w:szCs w:val="24"/>
        </w:rPr>
        <w:t>53</w:t>
      </w:r>
      <w:r w:rsidR="00F36E73">
        <w:rPr>
          <w:rFonts w:ascii="Arial" w:hAnsi="Arial" w:cs="Arial"/>
          <w:b/>
          <w:bCs/>
          <w:sz w:val="24"/>
          <w:szCs w:val="24"/>
        </w:rPr>
        <w:t>Z</w:t>
      </w:r>
      <w:r w:rsidR="00BB281F" w:rsidRPr="006D19AC">
        <w:rPr>
          <w:rFonts w:ascii="Arial" w:hAnsi="Arial" w:cs="Arial"/>
          <w:b/>
          <w:bCs/>
          <w:sz w:val="24"/>
          <w:szCs w:val="24"/>
        </w:rPr>
        <w:t xml:space="preserve"> </w:t>
      </w:r>
      <w:r w:rsidR="00EE5C53">
        <w:rPr>
          <w:rFonts w:ascii="Arial" w:hAnsi="Arial" w:cs="Arial"/>
          <w:b/>
          <w:bCs/>
          <w:sz w:val="24"/>
          <w:szCs w:val="24"/>
        </w:rPr>
        <w:t xml:space="preserve">Meaning of </w:t>
      </w:r>
      <w:r w:rsidR="00EE5C53">
        <w:rPr>
          <w:rFonts w:ascii="Arial" w:hAnsi="Arial" w:cs="Arial"/>
          <w:b/>
          <w:bCs/>
          <w:i/>
          <w:iCs/>
          <w:sz w:val="24"/>
          <w:szCs w:val="24"/>
        </w:rPr>
        <w:t>person complained about</w:t>
      </w:r>
      <w:r w:rsidR="00BB281F" w:rsidRPr="006D19AC">
        <w:rPr>
          <w:rFonts w:ascii="Arial" w:hAnsi="Arial" w:cs="Arial"/>
          <w:b/>
          <w:bCs/>
          <w:sz w:val="24"/>
          <w:szCs w:val="24"/>
        </w:rPr>
        <w:t>—div 4.2</w:t>
      </w:r>
      <w:r w:rsidR="00F36E73">
        <w:rPr>
          <w:rFonts w:ascii="Arial" w:hAnsi="Arial" w:cs="Arial"/>
          <w:b/>
          <w:bCs/>
          <w:sz w:val="24"/>
          <w:szCs w:val="24"/>
        </w:rPr>
        <w:t>D</w:t>
      </w:r>
    </w:p>
    <w:p w14:paraId="6FCE9365" w14:textId="37542E35" w:rsidR="00630BB5" w:rsidRPr="00630BB5" w:rsidRDefault="00630BB5" w:rsidP="00630BB5">
      <w:pPr>
        <w:rPr>
          <w:rFonts w:ascii="Arial" w:hAnsi="Arial" w:cs="Arial"/>
          <w:sz w:val="24"/>
          <w:szCs w:val="24"/>
        </w:rPr>
      </w:pPr>
      <w:r w:rsidRPr="00630BB5">
        <w:rPr>
          <w:rFonts w:ascii="Arial" w:hAnsi="Arial" w:cs="Arial"/>
          <w:sz w:val="24"/>
          <w:szCs w:val="24"/>
        </w:rPr>
        <w:t>This new section 53</w:t>
      </w:r>
      <w:r w:rsidR="00F36E73">
        <w:rPr>
          <w:rFonts w:ascii="Arial" w:hAnsi="Arial" w:cs="Arial"/>
          <w:sz w:val="24"/>
          <w:szCs w:val="24"/>
        </w:rPr>
        <w:t>Z</w:t>
      </w:r>
      <w:r w:rsidRPr="00630BB5">
        <w:rPr>
          <w:rFonts w:ascii="Arial" w:hAnsi="Arial" w:cs="Arial"/>
          <w:sz w:val="24"/>
          <w:szCs w:val="24"/>
        </w:rPr>
        <w:t xml:space="preserve"> </w:t>
      </w:r>
      <w:r>
        <w:rPr>
          <w:rFonts w:ascii="Arial" w:hAnsi="Arial" w:cs="Arial"/>
          <w:sz w:val="24"/>
          <w:szCs w:val="24"/>
        </w:rPr>
        <w:t>provides that in this division 4.2</w:t>
      </w:r>
      <w:r w:rsidR="00F36E73">
        <w:rPr>
          <w:rFonts w:ascii="Arial" w:hAnsi="Arial" w:cs="Arial"/>
          <w:sz w:val="24"/>
          <w:szCs w:val="24"/>
        </w:rPr>
        <w:t>D</w:t>
      </w:r>
      <w:r>
        <w:rPr>
          <w:rFonts w:ascii="Arial" w:hAnsi="Arial" w:cs="Arial"/>
          <w:sz w:val="24"/>
          <w:szCs w:val="24"/>
        </w:rPr>
        <w:t xml:space="preserve"> that </w:t>
      </w:r>
      <w:r w:rsidRPr="00630BB5">
        <w:rPr>
          <w:rFonts w:ascii="Arial" w:hAnsi="Arial" w:cs="Arial"/>
          <w:b/>
          <w:bCs/>
          <w:i/>
          <w:iCs/>
          <w:sz w:val="24"/>
          <w:szCs w:val="24"/>
        </w:rPr>
        <w:t>person complain</w:t>
      </w:r>
      <w:r w:rsidR="0000792B">
        <w:rPr>
          <w:rFonts w:ascii="Arial" w:hAnsi="Arial" w:cs="Arial"/>
          <w:b/>
          <w:bCs/>
          <w:i/>
          <w:iCs/>
          <w:sz w:val="24"/>
          <w:szCs w:val="24"/>
        </w:rPr>
        <w:t>ed</w:t>
      </w:r>
      <w:r w:rsidRPr="00630BB5">
        <w:rPr>
          <w:rFonts w:ascii="Arial" w:hAnsi="Arial" w:cs="Arial"/>
          <w:b/>
          <w:bCs/>
          <w:i/>
          <w:iCs/>
          <w:sz w:val="24"/>
          <w:szCs w:val="24"/>
        </w:rPr>
        <w:t xml:space="preserve"> about</w:t>
      </w:r>
      <w:r w:rsidRPr="00630BB5">
        <w:rPr>
          <w:rFonts w:ascii="Arial" w:hAnsi="Arial" w:cs="Arial"/>
          <w:sz w:val="24"/>
          <w:szCs w:val="24"/>
        </w:rPr>
        <w:t xml:space="preserve"> </w:t>
      </w:r>
      <w:r>
        <w:rPr>
          <w:rFonts w:ascii="Arial" w:hAnsi="Arial" w:cs="Arial"/>
          <w:sz w:val="24"/>
          <w:szCs w:val="24"/>
        </w:rPr>
        <w:t xml:space="preserve">means the provider of a sexuality or gender identity conversion practice. </w:t>
      </w:r>
    </w:p>
    <w:p w14:paraId="2846059E" w14:textId="337D769B" w:rsidR="00BB281F" w:rsidRDefault="00EA1BBB" w:rsidP="00630BB5">
      <w:pPr>
        <w:rPr>
          <w:rFonts w:ascii="Arial" w:hAnsi="Arial" w:cs="Arial"/>
          <w:b/>
          <w:bCs/>
          <w:sz w:val="24"/>
          <w:szCs w:val="24"/>
        </w:rPr>
      </w:pPr>
      <w:r>
        <w:rPr>
          <w:rFonts w:ascii="Arial" w:hAnsi="Arial" w:cs="Arial"/>
          <w:b/>
          <w:bCs/>
          <w:sz w:val="24"/>
          <w:szCs w:val="24"/>
        </w:rPr>
        <w:t xml:space="preserve">Section </w:t>
      </w:r>
      <w:r w:rsidR="00BB281F" w:rsidRPr="006D19AC">
        <w:rPr>
          <w:rFonts w:ascii="Arial" w:hAnsi="Arial" w:cs="Arial"/>
          <w:b/>
          <w:bCs/>
          <w:sz w:val="24"/>
          <w:szCs w:val="24"/>
        </w:rPr>
        <w:t>53</w:t>
      </w:r>
      <w:r w:rsidR="00F36E73">
        <w:rPr>
          <w:rFonts w:ascii="Arial" w:hAnsi="Arial" w:cs="Arial"/>
          <w:b/>
          <w:bCs/>
          <w:sz w:val="24"/>
          <w:szCs w:val="24"/>
        </w:rPr>
        <w:t>ZA</w:t>
      </w:r>
      <w:r w:rsidR="00BB281F" w:rsidRPr="006D19AC">
        <w:rPr>
          <w:rFonts w:ascii="Arial" w:hAnsi="Arial" w:cs="Arial"/>
          <w:b/>
          <w:bCs/>
          <w:sz w:val="24"/>
          <w:szCs w:val="24"/>
        </w:rPr>
        <w:t xml:space="preserve"> Conversion practice complaints—referral</w:t>
      </w:r>
    </w:p>
    <w:p w14:paraId="0F55A2A8" w14:textId="6F3BF07F" w:rsidR="00630BB5" w:rsidRPr="000516D8" w:rsidRDefault="00630BB5" w:rsidP="00630BB5">
      <w:pPr>
        <w:rPr>
          <w:rFonts w:ascii="Arial" w:hAnsi="Arial" w:cs="Arial"/>
          <w:sz w:val="24"/>
          <w:szCs w:val="24"/>
        </w:rPr>
      </w:pPr>
      <w:r w:rsidRPr="000516D8">
        <w:rPr>
          <w:rFonts w:ascii="Arial" w:hAnsi="Arial" w:cs="Arial"/>
          <w:sz w:val="24"/>
          <w:szCs w:val="24"/>
        </w:rPr>
        <w:t>This new section 53</w:t>
      </w:r>
      <w:r w:rsidR="00F36E73">
        <w:rPr>
          <w:rFonts w:ascii="Arial" w:hAnsi="Arial" w:cs="Arial"/>
          <w:sz w:val="24"/>
          <w:szCs w:val="24"/>
        </w:rPr>
        <w:t>ZA</w:t>
      </w:r>
      <w:r w:rsidRPr="000516D8">
        <w:rPr>
          <w:rFonts w:ascii="Arial" w:hAnsi="Arial" w:cs="Arial"/>
          <w:sz w:val="24"/>
          <w:szCs w:val="24"/>
        </w:rPr>
        <w:t xml:space="preserve"> provides for referral </w:t>
      </w:r>
      <w:r w:rsidR="000516D8">
        <w:rPr>
          <w:rFonts w:ascii="Arial" w:hAnsi="Arial" w:cs="Arial"/>
          <w:sz w:val="24"/>
          <w:szCs w:val="24"/>
        </w:rPr>
        <w:t xml:space="preserve">of a conversion practice complaint </w:t>
      </w:r>
      <w:r w:rsidR="00EA1BBB">
        <w:rPr>
          <w:rFonts w:ascii="Arial" w:hAnsi="Arial" w:cs="Arial"/>
          <w:sz w:val="24"/>
          <w:szCs w:val="24"/>
        </w:rPr>
        <w:t>t</w:t>
      </w:r>
      <w:r w:rsidRPr="000516D8">
        <w:rPr>
          <w:rFonts w:ascii="Arial" w:hAnsi="Arial" w:cs="Arial"/>
          <w:sz w:val="24"/>
          <w:szCs w:val="24"/>
        </w:rPr>
        <w:t xml:space="preserve">o </w:t>
      </w:r>
      <w:r w:rsidR="005F5C73">
        <w:rPr>
          <w:rFonts w:ascii="Arial" w:hAnsi="Arial" w:cs="Arial"/>
          <w:sz w:val="24"/>
          <w:szCs w:val="24"/>
        </w:rPr>
        <w:t xml:space="preserve">the </w:t>
      </w:r>
      <w:r w:rsidRPr="000516D8">
        <w:rPr>
          <w:rFonts w:ascii="Arial" w:hAnsi="Arial" w:cs="Arial"/>
          <w:sz w:val="24"/>
          <w:szCs w:val="24"/>
        </w:rPr>
        <w:t xml:space="preserve">ACAT. </w:t>
      </w:r>
    </w:p>
    <w:p w14:paraId="0B8031F2" w14:textId="6260685A" w:rsidR="000516D8" w:rsidRDefault="0082032F" w:rsidP="00630BB5">
      <w:pPr>
        <w:rPr>
          <w:rFonts w:ascii="Arial" w:hAnsi="Arial" w:cs="Arial"/>
          <w:sz w:val="24"/>
          <w:szCs w:val="24"/>
        </w:rPr>
      </w:pPr>
      <w:r>
        <w:rPr>
          <w:rFonts w:ascii="Arial" w:hAnsi="Arial" w:cs="Arial"/>
          <w:sz w:val="24"/>
          <w:szCs w:val="24"/>
        </w:rPr>
        <w:t>Subsection (1) provides that t</w:t>
      </w:r>
      <w:r w:rsidR="00EA1BBB">
        <w:rPr>
          <w:rFonts w:ascii="Arial" w:hAnsi="Arial" w:cs="Arial"/>
          <w:sz w:val="24"/>
          <w:szCs w:val="24"/>
        </w:rPr>
        <w:t>his</w:t>
      </w:r>
      <w:r w:rsidR="00630BB5">
        <w:rPr>
          <w:rFonts w:ascii="Arial" w:hAnsi="Arial" w:cs="Arial"/>
          <w:sz w:val="24"/>
          <w:szCs w:val="24"/>
        </w:rPr>
        <w:t xml:space="preserve"> section applies if</w:t>
      </w:r>
      <w:r w:rsidR="000516D8">
        <w:rPr>
          <w:rFonts w:ascii="Arial" w:hAnsi="Arial" w:cs="Arial"/>
          <w:sz w:val="24"/>
          <w:szCs w:val="24"/>
        </w:rPr>
        <w:t xml:space="preserve"> – </w:t>
      </w:r>
    </w:p>
    <w:p w14:paraId="04FCF767" w14:textId="05302D37" w:rsidR="000516D8" w:rsidRDefault="00630BB5" w:rsidP="000516D8">
      <w:pPr>
        <w:pStyle w:val="ListParagraph"/>
        <w:numPr>
          <w:ilvl w:val="0"/>
          <w:numId w:val="5"/>
        </w:numPr>
        <w:rPr>
          <w:rFonts w:ascii="Arial" w:hAnsi="Arial" w:cs="Arial"/>
          <w:sz w:val="24"/>
          <w:szCs w:val="24"/>
        </w:rPr>
      </w:pPr>
      <w:r w:rsidRPr="000516D8">
        <w:rPr>
          <w:rFonts w:ascii="Arial" w:hAnsi="Arial" w:cs="Arial"/>
          <w:sz w:val="24"/>
          <w:szCs w:val="24"/>
        </w:rPr>
        <w:t>either</w:t>
      </w:r>
      <w:r w:rsidR="000516D8" w:rsidRPr="000516D8">
        <w:rPr>
          <w:rFonts w:ascii="Arial" w:hAnsi="Arial" w:cs="Arial"/>
          <w:sz w:val="24"/>
          <w:szCs w:val="24"/>
        </w:rPr>
        <w:t xml:space="preserve"> </w:t>
      </w:r>
      <w:r w:rsidR="005F5C73">
        <w:rPr>
          <w:rFonts w:ascii="Arial" w:hAnsi="Arial" w:cs="Arial"/>
          <w:sz w:val="24"/>
          <w:szCs w:val="24"/>
        </w:rPr>
        <w:t>–</w:t>
      </w:r>
    </w:p>
    <w:p w14:paraId="33D137DB" w14:textId="69863052" w:rsidR="000516D8" w:rsidRPr="000516D8" w:rsidRDefault="00630BB5" w:rsidP="000516D8">
      <w:pPr>
        <w:pStyle w:val="ListParagraph"/>
        <w:numPr>
          <w:ilvl w:val="0"/>
          <w:numId w:val="6"/>
        </w:numPr>
        <w:rPr>
          <w:rFonts w:ascii="Arial" w:hAnsi="Arial" w:cs="Arial"/>
          <w:sz w:val="24"/>
          <w:szCs w:val="24"/>
        </w:rPr>
      </w:pPr>
      <w:r w:rsidRPr="000516D8">
        <w:rPr>
          <w:rFonts w:ascii="Arial" w:hAnsi="Arial" w:cs="Arial"/>
          <w:sz w:val="24"/>
          <w:szCs w:val="24"/>
        </w:rPr>
        <w:t>a complainant is given a conversion practice referral statement under section 45(2)(e</w:t>
      </w:r>
      <w:r w:rsidR="00F36E73">
        <w:rPr>
          <w:rFonts w:ascii="Arial" w:hAnsi="Arial" w:cs="Arial"/>
          <w:sz w:val="24"/>
          <w:szCs w:val="24"/>
        </w:rPr>
        <w:t>b</w:t>
      </w:r>
      <w:r w:rsidRPr="000516D8">
        <w:rPr>
          <w:rFonts w:ascii="Arial" w:hAnsi="Arial" w:cs="Arial"/>
          <w:sz w:val="24"/>
          <w:szCs w:val="24"/>
        </w:rPr>
        <w:t xml:space="preserve">); or </w:t>
      </w:r>
    </w:p>
    <w:p w14:paraId="6CBB11DE" w14:textId="5BF8A11D" w:rsidR="000516D8" w:rsidRDefault="00630BB5" w:rsidP="000516D8">
      <w:pPr>
        <w:pStyle w:val="ListParagraph"/>
        <w:numPr>
          <w:ilvl w:val="0"/>
          <w:numId w:val="6"/>
        </w:numPr>
        <w:rPr>
          <w:rFonts w:ascii="Arial" w:hAnsi="Arial" w:cs="Arial"/>
          <w:sz w:val="24"/>
          <w:szCs w:val="24"/>
        </w:rPr>
      </w:pPr>
      <w:r w:rsidRPr="000516D8">
        <w:rPr>
          <w:rFonts w:ascii="Arial" w:hAnsi="Arial" w:cs="Arial"/>
          <w:sz w:val="24"/>
          <w:szCs w:val="24"/>
        </w:rPr>
        <w:t>a statement under section 82</w:t>
      </w:r>
      <w:r w:rsidR="00F36E73">
        <w:rPr>
          <w:rFonts w:ascii="Arial" w:hAnsi="Arial" w:cs="Arial"/>
          <w:sz w:val="24"/>
          <w:szCs w:val="24"/>
        </w:rPr>
        <w:t>C</w:t>
      </w:r>
      <w:r w:rsidRPr="000516D8">
        <w:rPr>
          <w:rFonts w:ascii="Arial" w:hAnsi="Arial" w:cs="Arial"/>
          <w:sz w:val="24"/>
          <w:szCs w:val="24"/>
        </w:rPr>
        <w:t xml:space="preserve">(1) is included in a final report in relation to a complaint; and </w:t>
      </w:r>
    </w:p>
    <w:p w14:paraId="0FBB2AA8" w14:textId="413058D9" w:rsidR="00630BB5" w:rsidRPr="000516D8" w:rsidRDefault="00630BB5" w:rsidP="000516D8">
      <w:pPr>
        <w:pStyle w:val="ListParagraph"/>
        <w:numPr>
          <w:ilvl w:val="0"/>
          <w:numId w:val="5"/>
        </w:numPr>
        <w:rPr>
          <w:rFonts w:ascii="Arial" w:hAnsi="Arial" w:cs="Arial"/>
          <w:sz w:val="24"/>
          <w:szCs w:val="24"/>
        </w:rPr>
      </w:pPr>
      <w:r w:rsidRPr="000516D8">
        <w:rPr>
          <w:rFonts w:ascii="Arial" w:hAnsi="Arial" w:cs="Arial"/>
          <w:sz w:val="24"/>
          <w:szCs w:val="24"/>
        </w:rPr>
        <w:t xml:space="preserve">within 60 days after the day the statement is given, the complainant requires the commission to refer the complaint to the ACAT. </w:t>
      </w:r>
    </w:p>
    <w:p w14:paraId="6F166818" w14:textId="64827AE2" w:rsidR="00630BB5" w:rsidRPr="00630BB5" w:rsidRDefault="00C0353D" w:rsidP="00630BB5">
      <w:pPr>
        <w:rPr>
          <w:rFonts w:ascii="Arial" w:hAnsi="Arial" w:cs="Arial"/>
          <w:sz w:val="24"/>
          <w:szCs w:val="24"/>
        </w:rPr>
      </w:pPr>
      <w:r>
        <w:rPr>
          <w:rFonts w:ascii="Arial" w:hAnsi="Arial" w:cs="Arial"/>
          <w:sz w:val="24"/>
          <w:szCs w:val="24"/>
        </w:rPr>
        <w:lastRenderedPageBreak/>
        <w:br/>
      </w:r>
      <w:r w:rsidR="0082032F">
        <w:rPr>
          <w:rFonts w:ascii="Arial" w:hAnsi="Arial" w:cs="Arial"/>
          <w:sz w:val="24"/>
          <w:szCs w:val="24"/>
        </w:rPr>
        <w:t xml:space="preserve">Subsection (2) provides that </w:t>
      </w:r>
      <w:r w:rsidR="00630BB5">
        <w:rPr>
          <w:rFonts w:ascii="Arial" w:hAnsi="Arial" w:cs="Arial"/>
          <w:sz w:val="24"/>
          <w:szCs w:val="24"/>
        </w:rPr>
        <w:t xml:space="preserve">the commission must (a) refer the complaint to the ACAT; and (b) tell the complainant and the person complained about, in writing, about the referral. </w:t>
      </w:r>
    </w:p>
    <w:p w14:paraId="3F8D072E" w14:textId="74C45031" w:rsidR="00BB281F" w:rsidRDefault="006757D1" w:rsidP="00BB281F">
      <w:pPr>
        <w:autoSpaceDE w:val="0"/>
        <w:autoSpaceDN w:val="0"/>
        <w:adjustRightInd w:val="0"/>
        <w:spacing w:after="0" w:line="240" w:lineRule="auto"/>
        <w:rPr>
          <w:rFonts w:ascii="Arial" w:hAnsi="Arial" w:cs="Arial"/>
          <w:sz w:val="24"/>
          <w:szCs w:val="24"/>
        </w:rPr>
      </w:pPr>
      <w:r w:rsidRPr="006757D1">
        <w:rPr>
          <w:rFonts w:ascii="Arial" w:hAnsi="Arial" w:cs="Arial"/>
          <w:sz w:val="24"/>
          <w:szCs w:val="24"/>
        </w:rPr>
        <w:t xml:space="preserve">This new subsection(2) includes a note that </w:t>
      </w:r>
      <w:r w:rsidR="0082032F" w:rsidRPr="006757D1">
        <w:rPr>
          <w:rFonts w:ascii="Arial" w:hAnsi="Arial" w:cs="Arial"/>
          <w:sz w:val="24"/>
          <w:szCs w:val="24"/>
        </w:rPr>
        <w:t xml:space="preserve"> the </w:t>
      </w:r>
      <w:r w:rsidR="00BB281F" w:rsidRPr="006757D1">
        <w:rPr>
          <w:rFonts w:ascii="Arial" w:hAnsi="Arial" w:cs="Arial"/>
          <w:sz w:val="24"/>
          <w:szCs w:val="24"/>
        </w:rPr>
        <w:t>commission must also close the complaint (see s 78 (2) (d)).</w:t>
      </w:r>
    </w:p>
    <w:p w14:paraId="20593566" w14:textId="77777777" w:rsidR="00BB281F" w:rsidRPr="005F5C73" w:rsidRDefault="00BB281F" w:rsidP="00BB281F">
      <w:pPr>
        <w:autoSpaceDE w:val="0"/>
        <w:autoSpaceDN w:val="0"/>
        <w:adjustRightInd w:val="0"/>
        <w:spacing w:after="0" w:line="240" w:lineRule="auto"/>
        <w:rPr>
          <w:rFonts w:ascii="Arial" w:hAnsi="Arial" w:cs="Arial"/>
          <w:b/>
          <w:bCs/>
          <w:sz w:val="24"/>
          <w:szCs w:val="24"/>
        </w:rPr>
      </w:pPr>
    </w:p>
    <w:p w14:paraId="19623AB0" w14:textId="6C49C1E1" w:rsidR="00BB281F" w:rsidRDefault="00EA1BBB" w:rsidP="00BB281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Section </w:t>
      </w:r>
      <w:r w:rsidR="00BB281F" w:rsidRPr="006D19AC">
        <w:rPr>
          <w:rFonts w:ascii="Arial" w:hAnsi="Arial" w:cs="Arial"/>
          <w:b/>
          <w:bCs/>
          <w:sz w:val="24"/>
          <w:szCs w:val="24"/>
        </w:rPr>
        <w:t>53</w:t>
      </w:r>
      <w:r w:rsidR="00F36E73">
        <w:rPr>
          <w:rFonts w:ascii="Arial" w:hAnsi="Arial" w:cs="Arial"/>
          <w:b/>
          <w:bCs/>
          <w:sz w:val="24"/>
          <w:szCs w:val="24"/>
        </w:rPr>
        <w:t>ZB</w:t>
      </w:r>
      <w:r w:rsidR="00BB281F" w:rsidRPr="006D19AC">
        <w:rPr>
          <w:rFonts w:ascii="Arial" w:hAnsi="Arial" w:cs="Arial"/>
          <w:b/>
          <w:bCs/>
          <w:sz w:val="24"/>
          <w:szCs w:val="24"/>
        </w:rPr>
        <w:t xml:space="preserve"> Conversion practice complaints—late application in exceptional circumstances</w:t>
      </w:r>
    </w:p>
    <w:p w14:paraId="0EAB62CC" w14:textId="315942BD" w:rsidR="005F5C73" w:rsidRDefault="005F5C73" w:rsidP="00BB281F">
      <w:pPr>
        <w:autoSpaceDE w:val="0"/>
        <w:autoSpaceDN w:val="0"/>
        <w:adjustRightInd w:val="0"/>
        <w:spacing w:after="0" w:line="240" w:lineRule="auto"/>
        <w:rPr>
          <w:rFonts w:ascii="Arial" w:hAnsi="Arial" w:cs="Arial"/>
          <w:b/>
          <w:bCs/>
          <w:sz w:val="24"/>
          <w:szCs w:val="24"/>
        </w:rPr>
      </w:pPr>
    </w:p>
    <w:p w14:paraId="5D6E6F65" w14:textId="649FC79A" w:rsidR="009C2023" w:rsidRDefault="009C2023" w:rsidP="00BB281F">
      <w:pPr>
        <w:autoSpaceDE w:val="0"/>
        <w:autoSpaceDN w:val="0"/>
        <w:adjustRightInd w:val="0"/>
        <w:spacing w:after="0" w:line="240" w:lineRule="auto"/>
        <w:rPr>
          <w:rFonts w:ascii="Arial" w:hAnsi="Arial" w:cs="Arial"/>
          <w:sz w:val="24"/>
          <w:szCs w:val="24"/>
        </w:rPr>
      </w:pPr>
      <w:r w:rsidRPr="009C2023">
        <w:rPr>
          <w:rFonts w:ascii="Arial" w:hAnsi="Arial" w:cs="Arial"/>
          <w:sz w:val="24"/>
          <w:szCs w:val="24"/>
        </w:rPr>
        <w:t>This new section 53</w:t>
      </w:r>
      <w:r w:rsidR="00F36E73">
        <w:rPr>
          <w:rFonts w:ascii="Arial" w:hAnsi="Arial" w:cs="Arial"/>
          <w:sz w:val="24"/>
          <w:szCs w:val="24"/>
        </w:rPr>
        <w:t>ZB</w:t>
      </w:r>
      <w:r w:rsidRPr="009C2023">
        <w:rPr>
          <w:rFonts w:ascii="Arial" w:hAnsi="Arial" w:cs="Arial"/>
          <w:sz w:val="24"/>
          <w:szCs w:val="24"/>
        </w:rPr>
        <w:t xml:space="preserve"> provides for late application to ACAT in respect of conversion practice complaints in exceptional circumstances.</w:t>
      </w:r>
    </w:p>
    <w:p w14:paraId="55218F1D" w14:textId="77777777" w:rsidR="009C2023" w:rsidRDefault="009C2023" w:rsidP="00BB281F">
      <w:pPr>
        <w:autoSpaceDE w:val="0"/>
        <w:autoSpaceDN w:val="0"/>
        <w:adjustRightInd w:val="0"/>
        <w:spacing w:after="0" w:line="240" w:lineRule="auto"/>
        <w:rPr>
          <w:rFonts w:ascii="Arial" w:hAnsi="Arial" w:cs="Arial"/>
          <w:sz w:val="24"/>
          <w:szCs w:val="24"/>
        </w:rPr>
      </w:pPr>
    </w:p>
    <w:p w14:paraId="7A2D75C0" w14:textId="0167BF62" w:rsidR="009C2023" w:rsidRDefault="0082032F" w:rsidP="00BB281F">
      <w:pPr>
        <w:autoSpaceDE w:val="0"/>
        <w:autoSpaceDN w:val="0"/>
        <w:adjustRightInd w:val="0"/>
        <w:spacing w:after="0" w:line="240" w:lineRule="auto"/>
        <w:rPr>
          <w:rFonts w:ascii="Arial" w:hAnsi="Arial" w:cs="Arial"/>
          <w:sz w:val="24"/>
          <w:szCs w:val="24"/>
        </w:rPr>
      </w:pPr>
      <w:r>
        <w:rPr>
          <w:rFonts w:ascii="Arial" w:hAnsi="Arial" w:cs="Arial"/>
          <w:sz w:val="24"/>
          <w:szCs w:val="24"/>
        </w:rPr>
        <w:t>Subsection (1) provides that t</w:t>
      </w:r>
      <w:r w:rsidR="00AD5DD6">
        <w:rPr>
          <w:rFonts w:ascii="Arial" w:hAnsi="Arial" w:cs="Arial"/>
          <w:sz w:val="24"/>
          <w:szCs w:val="24"/>
        </w:rPr>
        <w:t xml:space="preserve">his </w:t>
      </w:r>
      <w:r w:rsidR="009C2023">
        <w:rPr>
          <w:rFonts w:ascii="Arial" w:hAnsi="Arial" w:cs="Arial"/>
          <w:sz w:val="24"/>
          <w:szCs w:val="24"/>
        </w:rPr>
        <w:t xml:space="preserve">section applies if: </w:t>
      </w:r>
    </w:p>
    <w:p w14:paraId="48620D2C" w14:textId="3F64EA6E" w:rsidR="009C2023" w:rsidRDefault="009C2023" w:rsidP="009C2023">
      <w:pPr>
        <w:pStyle w:val="ListParagraph"/>
        <w:numPr>
          <w:ilvl w:val="0"/>
          <w:numId w:val="7"/>
        </w:numPr>
        <w:autoSpaceDE w:val="0"/>
        <w:autoSpaceDN w:val="0"/>
        <w:adjustRightInd w:val="0"/>
        <w:rPr>
          <w:rFonts w:ascii="Arial" w:hAnsi="Arial" w:cs="Arial"/>
          <w:sz w:val="24"/>
          <w:szCs w:val="24"/>
        </w:rPr>
      </w:pPr>
      <w:r>
        <w:rPr>
          <w:rFonts w:ascii="Arial" w:hAnsi="Arial" w:cs="Arial"/>
          <w:sz w:val="24"/>
          <w:szCs w:val="24"/>
        </w:rPr>
        <w:t>a complainant has been given a statement under section 45(2)(e</w:t>
      </w:r>
      <w:r w:rsidR="00F36E73">
        <w:rPr>
          <w:rFonts w:ascii="Arial" w:hAnsi="Arial" w:cs="Arial"/>
          <w:sz w:val="24"/>
          <w:szCs w:val="24"/>
        </w:rPr>
        <w:t>b</w:t>
      </w:r>
      <w:r>
        <w:rPr>
          <w:rFonts w:ascii="Arial" w:hAnsi="Arial" w:cs="Arial"/>
          <w:sz w:val="24"/>
          <w:szCs w:val="24"/>
        </w:rPr>
        <w:t>) or section 82</w:t>
      </w:r>
      <w:r w:rsidR="00F36E73">
        <w:rPr>
          <w:rFonts w:ascii="Arial" w:hAnsi="Arial" w:cs="Arial"/>
          <w:sz w:val="24"/>
          <w:szCs w:val="24"/>
        </w:rPr>
        <w:t>C</w:t>
      </w:r>
      <w:r>
        <w:rPr>
          <w:rFonts w:ascii="Arial" w:hAnsi="Arial" w:cs="Arial"/>
          <w:sz w:val="24"/>
          <w:szCs w:val="24"/>
        </w:rPr>
        <w:t xml:space="preserve">(1); and </w:t>
      </w:r>
    </w:p>
    <w:p w14:paraId="62C9ADBB" w14:textId="38A74ECB" w:rsidR="009C2023" w:rsidRDefault="00AD5DD6" w:rsidP="009C2023">
      <w:pPr>
        <w:pStyle w:val="ListParagraph"/>
        <w:numPr>
          <w:ilvl w:val="0"/>
          <w:numId w:val="7"/>
        </w:numPr>
        <w:autoSpaceDE w:val="0"/>
        <w:autoSpaceDN w:val="0"/>
        <w:adjustRightInd w:val="0"/>
        <w:rPr>
          <w:rFonts w:ascii="Arial" w:hAnsi="Arial" w:cs="Arial"/>
          <w:sz w:val="24"/>
          <w:szCs w:val="24"/>
        </w:rPr>
      </w:pPr>
      <w:r>
        <w:rPr>
          <w:rFonts w:ascii="Arial" w:hAnsi="Arial" w:cs="Arial"/>
          <w:sz w:val="24"/>
          <w:szCs w:val="24"/>
        </w:rPr>
        <w:t>t</w:t>
      </w:r>
      <w:r w:rsidR="009C2023">
        <w:rPr>
          <w:rFonts w:ascii="Arial" w:hAnsi="Arial" w:cs="Arial"/>
          <w:sz w:val="24"/>
          <w:szCs w:val="24"/>
        </w:rPr>
        <w:t xml:space="preserve">he complainant has not required the commission to refer the complaint to the ACAT within 60 days after the day the statement is given to the complainant. </w:t>
      </w:r>
    </w:p>
    <w:p w14:paraId="2A2731D2" w14:textId="77777777" w:rsidR="00AD5DD6" w:rsidRDefault="00AD5DD6" w:rsidP="00AD5DD6">
      <w:pPr>
        <w:pStyle w:val="ListParagraph"/>
        <w:autoSpaceDE w:val="0"/>
        <w:autoSpaceDN w:val="0"/>
        <w:adjustRightInd w:val="0"/>
        <w:rPr>
          <w:rFonts w:ascii="Arial" w:hAnsi="Arial" w:cs="Arial"/>
          <w:sz w:val="24"/>
          <w:szCs w:val="24"/>
        </w:rPr>
      </w:pPr>
    </w:p>
    <w:p w14:paraId="197BA0EB" w14:textId="6F375BC1" w:rsidR="009C2023" w:rsidRDefault="0082032F" w:rsidP="009C2023">
      <w:pPr>
        <w:autoSpaceDE w:val="0"/>
        <w:autoSpaceDN w:val="0"/>
        <w:adjustRightInd w:val="0"/>
        <w:rPr>
          <w:rFonts w:ascii="Arial" w:hAnsi="Arial" w:cs="Arial"/>
          <w:sz w:val="24"/>
          <w:szCs w:val="24"/>
        </w:rPr>
      </w:pPr>
      <w:r>
        <w:rPr>
          <w:rFonts w:ascii="Arial" w:hAnsi="Arial" w:cs="Arial"/>
          <w:sz w:val="24"/>
          <w:szCs w:val="24"/>
        </w:rPr>
        <w:t>Subsection (2) provides that the</w:t>
      </w:r>
      <w:r w:rsidR="009C2023">
        <w:rPr>
          <w:rFonts w:ascii="Arial" w:hAnsi="Arial" w:cs="Arial"/>
          <w:sz w:val="24"/>
          <w:szCs w:val="24"/>
        </w:rPr>
        <w:t xml:space="preserve"> complainant may apply to the ACAT for the complaint to be heard by the ACAT</w:t>
      </w:r>
      <w:r>
        <w:rPr>
          <w:rFonts w:ascii="Arial" w:hAnsi="Arial" w:cs="Arial"/>
          <w:sz w:val="24"/>
          <w:szCs w:val="24"/>
        </w:rPr>
        <w:t xml:space="preserve">. </w:t>
      </w:r>
    </w:p>
    <w:p w14:paraId="05377996" w14:textId="7588CE86" w:rsidR="009C2023" w:rsidRDefault="0082032F" w:rsidP="009C2023">
      <w:pPr>
        <w:autoSpaceDE w:val="0"/>
        <w:autoSpaceDN w:val="0"/>
        <w:adjustRightInd w:val="0"/>
        <w:rPr>
          <w:rFonts w:ascii="Arial" w:hAnsi="Arial" w:cs="Arial"/>
          <w:sz w:val="24"/>
          <w:szCs w:val="24"/>
        </w:rPr>
      </w:pPr>
      <w:r>
        <w:rPr>
          <w:rFonts w:ascii="Arial" w:hAnsi="Arial" w:cs="Arial"/>
          <w:sz w:val="24"/>
          <w:szCs w:val="24"/>
        </w:rPr>
        <w:t>Subsection (3) provides that t</w:t>
      </w:r>
      <w:r w:rsidR="00AD5DD6">
        <w:rPr>
          <w:rFonts w:ascii="Arial" w:hAnsi="Arial" w:cs="Arial"/>
          <w:sz w:val="24"/>
          <w:szCs w:val="24"/>
        </w:rPr>
        <w:t>he</w:t>
      </w:r>
      <w:r w:rsidR="009C2023">
        <w:rPr>
          <w:rFonts w:ascii="Arial" w:hAnsi="Arial" w:cs="Arial"/>
          <w:sz w:val="24"/>
          <w:szCs w:val="24"/>
        </w:rPr>
        <w:t xml:space="preserve"> ACAT may grant the application only if satisfied on reasonable grounds that exceptional circumstances prevented the complainant from requiring the complaint to be referred to the ACAT within the 60-day period</w:t>
      </w:r>
      <w:r>
        <w:rPr>
          <w:rFonts w:ascii="Arial" w:hAnsi="Arial" w:cs="Arial"/>
          <w:sz w:val="24"/>
          <w:szCs w:val="24"/>
        </w:rPr>
        <w:t xml:space="preserve">. </w:t>
      </w:r>
    </w:p>
    <w:p w14:paraId="6789D870" w14:textId="0539C250" w:rsidR="00BB281F" w:rsidRPr="006D19AC" w:rsidRDefault="0082032F" w:rsidP="009C2023">
      <w:pPr>
        <w:autoSpaceDE w:val="0"/>
        <w:autoSpaceDN w:val="0"/>
        <w:adjustRightInd w:val="0"/>
        <w:rPr>
          <w:rFonts w:ascii="Arial" w:hAnsi="Arial" w:cs="Arial"/>
          <w:sz w:val="24"/>
          <w:szCs w:val="24"/>
        </w:rPr>
      </w:pPr>
      <w:r>
        <w:rPr>
          <w:rFonts w:ascii="Arial" w:hAnsi="Arial" w:cs="Arial"/>
          <w:sz w:val="24"/>
          <w:szCs w:val="24"/>
        </w:rPr>
        <w:t>Subsection (4) provides that i</w:t>
      </w:r>
      <w:r w:rsidR="00AD5DD6">
        <w:rPr>
          <w:rFonts w:ascii="Arial" w:hAnsi="Arial" w:cs="Arial"/>
          <w:sz w:val="24"/>
          <w:szCs w:val="24"/>
        </w:rPr>
        <w:t>f</w:t>
      </w:r>
      <w:r w:rsidR="00BB281F" w:rsidRPr="006D19AC">
        <w:rPr>
          <w:rFonts w:ascii="Arial" w:hAnsi="Arial" w:cs="Arial"/>
          <w:sz w:val="24"/>
          <w:szCs w:val="24"/>
        </w:rPr>
        <w:t xml:space="preserve"> the ACAT grants the application, the complaint is, for this Act, taken to have been referred to the ACAT</w:t>
      </w:r>
      <w:r>
        <w:rPr>
          <w:rFonts w:ascii="Arial" w:hAnsi="Arial" w:cs="Arial"/>
          <w:sz w:val="24"/>
          <w:szCs w:val="24"/>
        </w:rPr>
        <w:t xml:space="preserve">. </w:t>
      </w:r>
    </w:p>
    <w:p w14:paraId="147DC961" w14:textId="1D82521C" w:rsidR="00BB281F" w:rsidRDefault="00EA1BBB" w:rsidP="00BB281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Section </w:t>
      </w:r>
      <w:r w:rsidR="00BB281F" w:rsidRPr="006D19AC">
        <w:rPr>
          <w:rFonts w:ascii="Arial" w:hAnsi="Arial" w:cs="Arial"/>
          <w:b/>
          <w:bCs/>
          <w:sz w:val="24"/>
          <w:szCs w:val="24"/>
        </w:rPr>
        <w:t>53</w:t>
      </w:r>
      <w:r w:rsidR="00F36E73">
        <w:rPr>
          <w:rFonts w:ascii="Arial" w:hAnsi="Arial" w:cs="Arial"/>
          <w:b/>
          <w:bCs/>
          <w:sz w:val="24"/>
          <w:szCs w:val="24"/>
        </w:rPr>
        <w:t>ZC</w:t>
      </w:r>
      <w:r w:rsidR="00BB281F" w:rsidRPr="006D19AC">
        <w:rPr>
          <w:rFonts w:ascii="Arial" w:hAnsi="Arial" w:cs="Arial"/>
          <w:b/>
          <w:bCs/>
          <w:sz w:val="24"/>
          <w:szCs w:val="24"/>
        </w:rPr>
        <w:t xml:space="preserve"> Conversion practice complaints—parties to ACAT proceeding</w:t>
      </w:r>
    </w:p>
    <w:p w14:paraId="7B793C7B" w14:textId="77777777" w:rsidR="00876DBD" w:rsidRPr="006D19AC" w:rsidRDefault="00876DBD" w:rsidP="00BB281F">
      <w:pPr>
        <w:autoSpaceDE w:val="0"/>
        <w:autoSpaceDN w:val="0"/>
        <w:adjustRightInd w:val="0"/>
        <w:spacing w:after="0" w:line="240" w:lineRule="auto"/>
        <w:rPr>
          <w:rFonts w:ascii="Arial" w:hAnsi="Arial" w:cs="Arial"/>
          <w:b/>
          <w:bCs/>
          <w:sz w:val="24"/>
          <w:szCs w:val="24"/>
        </w:rPr>
      </w:pPr>
    </w:p>
    <w:p w14:paraId="38A34BD5" w14:textId="2B94AEFA" w:rsidR="00BB281F" w:rsidRDefault="006E599D" w:rsidP="00BB281F">
      <w:pPr>
        <w:autoSpaceDE w:val="0"/>
        <w:autoSpaceDN w:val="0"/>
        <w:adjustRightInd w:val="0"/>
        <w:spacing w:after="0" w:line="240" w:lineRule="auto"/>
        <w:rPr>
          <w:rFonts w:ascii="Arial" w:hAnsi="Arial" w:cs="Arial"/>
          <w:sz w:val="24"/>
          <w:szCs w:val="24"/>
        </w:rPr>
      </w:pPr>
      <w:r>
        <w:rPr>
          <w:rFonts w:ascii="Arial" w:hAnsi="Arial" w:cs="Arial"/>
          <w:sz w:val="24"/>
          <w:szCs w:val="24"/>
        </w:rPr>
        <w:t>This new section 53</w:t>
      </w:r>
      <w:r w:rsidR="00F36E73">
        <w:rPr>
          <w:rFonts w:ascii="Arial" w:hAnsi="Arial" w:cs="Arial"/>
          <w:sz w:val="24"/>
          <w:szCs w:val="24"/>
        </w:rPr>
        <w:t>ZC</w:t>
      </w:r>
      <w:r>
        <w:rPr>
          <w:rFonts w:ascii="Arial" w:hAnsi="Arial" w:cs="Arial"/>
          <w:sz w:val="24"/>
          <w:szCs w:val="24"/>
        </w:rPr>
        <w:t xml:space="preserve"> specifies the parties to a complaint referred to the ACAT under this division include (a) the complainant; (b) the person complained about; (c) if, on application by the commission, the ACAT joins the commission as a party to the complaint – the commission. </w:t>
      </w:r>
    </w:p>
    <w:p w14:paraId="38227693" w14:textId="77777777" w:rsidR="006E599D" w:rsidRDefault="006E599D" w:rsidP="00BB281F">
      <w:pPr>
        <w:autoSpaceDE w:val="0"/>
        <w:autoSpaceDN w:val="0"/>
        <w:adjustRightInd w:val="0"/>
        <w:spacing w:after="0" w:line="240" w:lineRule="auto"/>
        <w:rPr>
          <w:rFonts w:ascii="Arial" w:hAnsi="Arial" w:cs="Arial"/>
          <w:b/>
          <w:bCs/>
          <w:sz w:val="24"/>
          <w:szCs w:val="24"/>
        </w:rPr>
      </w:pPr>
    </w:p>
    <w:p w14:paraId="393337B6" w14:textId="02096625" w:rsidR="00BB281F" w:rsidRPr="006D19AC" w:rsidRDefault="00EA1BBB" w:rsidP="00BB281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Section </w:t>
      </w:r>
      <w:r w:rsidR="00BB281F" w:rsidRPr="006D19AC">
        <w:rPr>
          <w:rFonts w:ascii="Arial" w:hAnsi="Arial" w:cs="Arial"/>
          <w:b/>
          <w:bCs/>
          <w:sz w:val="24"/>
          <w:szCs w:val="24"/>
        </w:rPr>
        <w:t>53</w:t>
      </w:r>
      <w:r w:rsidR="00F36E73">
        <w:rPr>
          <w:rFonts w:ascii="Arial" w:hAnsi="Arial" w:cs="Arial"/>
          <w:b/>
          <w:bCs/>
          <w:sz w:val="24"/>
          <w:szCs w:val="24"/>
        </w:rPr>
        <w:t>ZD</w:t>
      </w:r>
      <w:r w:rsidR="00BB281F" w:rsidRPr="006D19AC">
        <w:rPr>
          <w:rFonts w:ascii="Arial" w:hAnsi="Arial" w:cs="Arial"/>
          <w:b/>
          <w:bCs/>
          <w:sz w:val="24"/>
          <w:szCs w:val="24"/>
        </w:rPr>
        <w:t xml:space="preserve"> Conversion practice complaints—commission to give information etc to ACAT</w:t>
      </w:r>
    </w:p>
    <w:p w14:paraId="634CFDFF" w14:textId="124EC699" w:rsidR="00CC5C17" w:rsidRDefault="00CC5C17" w:rsidP="00BB281F">
      <w:pPr>
        <w:autoSpaceDE w:val="0"/>
        <w:autoSpaceDN w:val="0"/>
        <w:adjustRightInd w:val="0"/>
        <w:spacing w:after="0" w:line="240" w:lineRule="auto"/>
        <w:rPr>
          <w:rFonts w:ascii="Arial" w:hAnsi="Arial" w:cs="Arial"/>
          <w:sz w:val="24"/>
          <w:szCs w:val="24"/>
        </w:rPr>
      </w:pPr>
    </w:p>
    <w:p w14:paraId="732585C4" w14:textId="3DA04B32" w:rsidR="00CC5C17" w:rsidRDefault="00CC5C17" w:rsidP="00BB281F">
      <w:pPr>
        <w:autoSpaceDE w:val="0"/>
        <w:autoSpaceDN w:val="0"/>
        <w:adjustRightInd w:val="0"/>
        <w:spacing w:after="0" w:line="240" w:lineRule="auto"/>
        <w:rPr>
          <w:rFonts w:ascii="Arial" w:hAnsi="Arial" w:cs="Arial"/>
          <w:sz w:val="24"/>
          <w:szCs w:val="24"/>
        </w:rPr>
      </w:pPr>
      <w:r>
        <w:rPr>
          <w:rFonts w:ascii="Arial" w:hAnsi="Arial" w:cs="Arial"/>
          <w:sz w:val="24"/>
          <w:szCs w:val="24"/>
        </w:rPr>
        <w:t>This new section 53</w:t>
      </w:r>
      <w:r w:rsidR="00F36E73">
        <w:rPr>
          <w:rFonts w:ascii="Arial" w:hAnsi="Arial" w:cs="Arial"/>
          <w:sz w:val="24"/>
          <w:szCs w:val="24"/>
        </w:rPr>
        <w:t>ZD</w:t>
      </w:r>
      <w:r>
        <w:rPr>
          <w:rFonts w:ascii="Arial" w:hAnsi="Arial" w:cs="Arial"/>
          <w:sz w:val="24"/>
          <w:szCs w:val="24"/>
        </w:rPr>
        <w:t xml:space="preserve"> provides that the commission must give the ACAT (if asked by it) any information or copies of documents in relation to a complaint referred to the ACAT under this division, other than – </w:t>
      </w:r>
    </w:p>
    <w:p w14:paraId="4E373483" w14:textId="364E01B3" w:rsidR="00CC5C17" w:rsidRDefault="00CC5C17" w:rsidP="00CC5C17">
      <w:pPr>
        <w:pStyle w:val="ListParagraph"/>
        <w:numPr>
          <w:ilvl w:val="0"/>
          <w:numId w:val="8"/>
        </w:numPr>
        <w:autoSpaceDE w:val="0"/>
        <w:autoSpaceDN w:val="0"/>
        <w:adjustRightInd w:val="0"/>
        <w:rPr>
          <w:rFonts w:ascii="Arial" w:hAnsi="Arial" w:cs="Arial"/>
          <w:sz w:val="24"/>
          <w:szCs w:val="24"/>
        </w:rPr>
      </w:pPr>
      <w:r>
        <w:rPr>
          <w:rFonts w:ascii="Arial" w:hAnsi="Arial" w:cs="Arial"/>
          <w:sz w:val="24"/>
          <w:szCs w:val="24"/>
        </w:rPr>
        <w:t xml:space="preserve">a communication or document to which section 66 (Admissibility of evidence) applies; or </w:t>
      </w:r>
    </w:p>
    <w:p w14:paraId="69A3FC87" w14:textId="5B66D380" w:rsidR="00CC5C17" w:rsidRDefault="00CC5C17" w:rsidP="00CC5C17">
      <w:pPr>
        <w:pStyle w:val="ListParagraph"/>
        <w:numPr>
          <w:ilvl w:val="0"/>
          <w:numId w:val="8"/>
        </w:numPr>
        <w:autoSpaceDE w:val="0"/>
        <w:autoSpaceDN w:val="0"/>
        <w:adjustRightInd w:val="0"/>
        <w:rPr>
          <w:rFonts w:ascii="Arial" w:hAnsi="Arial" w:cs="Arial"/>
          <w:sz w:val="24"/>
          <w:szCs w:val="24"/>
        </w:rPr>
      </w:pPr>
      <w:r>
        <w:rPr>
          <w:rFonts w:ascii="Arial" w:hAnsi="Arial" w:cs="Arial"/>
          <w:sz w:val="24"/>
          <w:szCs w:val="24"/>
        </w:rPr>
        <w:t xml:space="preserve">information, a document or something else relevant to a consideration in relation to complaint given to the commission under section 73 (Power to ask for information, documents and other things); or </w:t>
      </w:r>
    </w:p>
    <w:p w14:paraId="4EB41BAE" w14:textId="144CA51C" w:rsidR="00CC5C17" w:rsidRPr="00CC5C17" w:rsidRDefault="00CC5C17" w:rsidP="00CC5C17">
      <w:pPr>
        <w:pStyle w:val="ListParagraph"/>
        <w:numPr>
          <w:ilvl w:val="0"/>
          <w:numId w:val="8"/>
        </w:numPr>
        <w:autoSpaceDE w:val="0"/>
        <w:autoSpaceDN w:val="0"/>
        <w:adjustRightInd w:val="0"/>
        <w:rPr>
          <w:rFonts w:ascii="Arial" w:hAnsi="Arial" w:cs="Arial"/>
          <w:sz w:val="24"/>
          <w:szCs w:val="24"/>
        </w:rPr>
      </w:pPr>
      <w:r>
        <w:rPr>
          <w:rFonts w:ascii="Arial" w:hAnsi="Arial" w:cs="Arial"/>
          <w:sz w:val="24"/>
          <w:szCs w:val="24"/>
        </w:rPr>
        <w:t xml:space="preserve">information given to the commission under section 74 (Requiring attendance etc). </w:t>
      </w:r>
    </w:p>
    <w:p w14:paraId="57E572A0" w14:textId="77777777" w:rsidR="00BB281F" w:rsidRPr="006D19AC" w:rsidRDefault="00BB281F" w:rsidP="00BB281F">
      <w:pPr>
        <w:autoSpaceDE w:val="0"/>
        <w:autoSpaceDN w:val="0"/>
        <w:adjustRightInd w:val="0"/>
        <w:spacing w:after="0" w:line="240" w:lineRule="auto"/>
        <w:ind w:firstLine="720"/>
        <w:rPr>
          <w:rFonts w:ascii="Arial" w:hAnsi="Arial" w:cs="Arial"/>
          <w:sz w:val="24"/>
          <w:szCs w:val="24"/>
        </w:rPr>
      </w:pPr>
    </w:p>
    <w:p w14:paraId="186B3C8B" w14:textId="49718805" w:rsidR="00BB281F" w:rsidRPr="006D19AC" w:rsidRDefault="00EA1BBB" w:rsidP="00BB281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Section </w:t>
      </w:r>
      <w:r w:rsidR="00BB281F" w:rsidRPr="006D19AC">
        <w:rPr>
          <w:rFonts w:ascii="Arial" w:hAnsi="Arial" w:cs="Arial"/>
          <w:b/>
          <w:bCs/>
          <w:sz w:val="24"/>
          <w:szCs w:val="24"/>
        </w:rPr>
        <w:t>53</w:t>
      </w:r>
      <w:r w:rsidR="00F36E73">
        <w:rPr>
          <w:rFonts w:ascii="Arial" w:hAnsi="Arial" w:cs="Arial"/>
          <w:b/>
          <w:bCs/>
          <w:sz w:val="24"/>
          <w:szCs w:val="24"/>
        </w:rPr>
        <w:t>ZE</w:t>
      </w:r>
      <w:r w:rsidR="00BB281F" w:rsidRPr="006D19AC">
        <w:rPr>
          <w:rFonts w:ascii="Arial" w:hAnsi="Arial" w:cs="Arial"/>
          <w:b/>
          <w:bCs/>
          <w:sz w:val="24"/>
          <w:szCs w:val="24"/>
        </w:rPr>
        <w:t xml:space="preserve"> Conversion practice complaints—ACAT orders</w:t>
      </w:r>
    </w:p>
    <w:p w14:paraId="0B3981CF" w14:textId="237C03E8" w:rsidR="00175FC0" w:rsidRDefault="00175FC0" w:rsidP="00BB281F">
      <w:pPr>
        <w:autoSpaceDE w:val="0"/>
        <w:autoSpaceDN w:val="0"/>
        <w:adjustRightInd w:val="0"/>
        <w:spacing w:after="0" w:line="240" w:lineRule="auto"/>
        <w:rPr>
          <w:rFonts w:ascii="Arial" w:hAnsi="Arial" w:cs="Arial"/>
          <w:sz w:val="24"/>
          <w:szCs w:val="24"/>
        </w:rPr>
      </w:pPr>
      <w:r>
        <w:rPr>
          <w:rFonts w:ascii="Arial" w:hAnsi="Arial" w:cs="Arial"/>
          <w:sz w:val="24"/>
          <w:szCs w:val="24"/>
        </w:rPr>
        <w:t>This new section 53</w:t>
      </w:r>
      <w:r w:rsidR="00F36E73">
        <w:rPr>
          <w:rFonts w:ascii="Arial" w:hAnsi="Arial" w:cs="Arial"/>
          <w:sz w:val="24"/>
          <w:szCs w:val="24"/>
        </w:rPr>
        <w:t>ZE</w:t>
      </w:r>
      <w:r>
        <w:rPr>
          <w:rFonts w:ascii="Arial" w:hAnsi="Arial" w:cs="Arial"/>
          <w:sz w:val="24"/>
          <w:szCs w:val="24"/>
        </w:rPr>
        <w:t xml:space="preserve"> outlines the orders that </w:t>
      </w:r>
      <w:r w:rsidR="005421C7">
        <w:rPr>
          <w:rFonts w:ascii="Arial" w:hAnsi="Arial" w:cs="Arial"/>
          <w:sz w:val="24"/>
          <w:szCs w:val="24"/>
        </w:rPr>
        <w:t xml:space="preserve">the </w:t>
      </w:r>
      <w:r>
        <w:rPr>
          <w:rFonts w:ascii="Arial" w:hAnsi="Arial" w:cs="Arial"/>
          <w:sz w:val="24"/>
          <w:szCs w:val="24"/>
        </w:rPr>
        <w:t xml:space="preserve">ACAT may make in respect of conversion practice complaints and what ACAT </w:t>
      </w:r>
      <w:r w:rsidR="005421C7">
        <w:rPr>
          <w:rFonts w:ascii="Arial" w:hAnsi="Arial" w:cs="Arial"/>
          <w:sz w:val="24"/>
          <w:szCs w:val="24"/>
        </w:rPr>
        <w:t xml:space="preserve">is to consider </w:t>
      </w:r>
      <w:r w:rsidR="00874557">
        <w:rPr>
          <w:rFonts w:ascii="Arial" w:hAnsi="Arial" w:cs="Arial"/>
          <w:sz w:val="24"/>
          <w:szCs w:val="24"/>
        </w:rPr>
        <w:t>in</w:t>
      </w:r>
      <w:r>
        <w:rPr>
          <w:rFonts w:ascii="Arial" w:hAnsi="Arial" w:cs="Arial"/>
          <w:sz w:val="24"/>
          <w:szCs w:val="24"/>
        </w:rPr>
        <w:t xml:space="preserve"> making such orders.</w:t>
      </w:r>
    </w:p>
    <w:p w14:paraId="7A48E4B0" w14:textId="77777777" w:rsidR="00175FC0" w:rsidRDefault="00175FC0" w:rsidP="00BB281F">
      <w:pPr>
        <w:autoSpaceDE w:val="0"/>
        <w:autoSpaceDN w:val="0"/>
        <w:adjustRightInd w:val="0"/>
        <w:spacing w:after="0" w:line="240" w:lineRule="auto"/>
        <w:rPr>
          <w:rFonts w:ascii="Arial" w:hAnsi="Arial" w:cs="Arial"/>
          <w:sz w:val="24"/>
          <w:szCs w:val="24"/>
        </w:rPr>
      </w:pPr>
    </w:p>
    <w:p w14:paraId="6C93DA1F" w14:textId="1AF71A09" w:rsidR="00175FC0" w:rsidRDefault="00175FC0" w:rsidP="00BB281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Subsection (1) provides that this section applies if – </w:t>
      </w:r>
    </w:p>
    <w:p w14:paraId="23678B7A" w14:textId="77777777" w:rsidR="00175FC0" w:rsidRDefault="00175FC0" w:rsidP="00175FC0">
      <w:pPr>
        <w:pStyle w:val="ListParagraph"/>
        <w:numPr>
          <w:ilvl w:val="0"/>
          <w:numId w:val="9"/>
        </w:numPr>
        <w:autoSpaceDE w:val="0"/>
        <w:autoSpaceDN w:val="0"/>
        <w:adjustRightInd w:val="0"/>
        <w:rPr>
          <w:rFonts w:ascii="Arial" w:hAnsi="Arial" w:cs="Arial"/>
          <w:sz w:val="24"/>
          <w:szCs w:val="24"/>
        </w:rPr>
      </w:pPr>
      <w:r>
        <w:rPr>
          <w:rFonts w:ascii="Arial" w:hAnsi="Arial" w:cs="Arial"/>
          <w:sz w:val="24"/>
          <w:szCs w:val="24"/>
        </w:rPr>
        <w:t xml:space="preserve">the commission refers a complaint to the ACAT under this division; and </w:t>
      </w:r>
    </w:p>
    <w:p w14:paraId="5856BE30" w14:textId="67AE97D2" w:rsidR="00175FC0" w:rsidRDefault="00175FC0" w:rsidP="00175FC0">
      <w:pPr>
        <w:pStyle w:val="ListParagraph"/>
        <w:numPr>
          <w:ilvl w:val="0"/>
          <w:numId w:val="9"/>
        </w:numPr>
        <w:autoSpaceDE w:val="0"/>
        <w:autoSpaceDN w:val="0"/>
        <w:adjustRightInd w:val="0"/>
        <w:rPr>
          <w:rFonts w:ascii="Arial" w:hAnsi="Arial" w:cs="Arial"/>
          <w:sz w:val="24"/>
          <w:szCs w:val="24"/>
        </w:rPr>
      </w:pPr>
      <w:r>
        <w:rPr>
          <w:rFonts w:ascii="Arial" w:hAnsi="Arial" w:cs="Arial"/>
          <w:sz w:val="24"/>
          <w:szCs w:val="24"/>
        </w:rPr>
        <w:t xml:space="preserve">the ACAT is satisfied that the person complained about engaged in a harmful </w:t>
      </w:r>
      <w:r w:rsidR="00F36E73">
        <w:rPr>
          <w:rFonts w:ascii="Arial" w:hAnsi="Arial" w:cs="Arial"/>
          <w:sz w:val="24"/>
          <w:szCs w:val="24"/>
        </w:rPr>
        <w:t>practice</w:t>
      </w:r>
      <w:r>
        <w:rPr>
          <w:rFonts w:ascii="Arial" w:hAnsi="Arial" w:cs="Arial"/>
          <w:sz w:val="24"/>
          <w:szCs w:val="24"/>
        </w:rPr>
        <w:t xml:space="preserve">. </w:t>
      </w:r>
    </w:p>
    <w:p w14:paraId="53FBFF92" w14:textId="77777777" w:rsidR="00175FC0" w:rsidRDefault="00175FC0" w:rsidP="00175FC0">
      <w:pPr>
        <w:autoSpaceDE w:val="0"/>
        <w:autoSpaceDN w:val="0"/>
        <w:adjustRightInd w:val="0"/>
        <w:rPr>
          <w:rFonts w:ascii="Arial" w:hAnsi="Arial" w:cs="Arial"/>
          <w:sz w:val="24"/>
          <w:szCs w:val="24"/>
        </w:rPr>
      </w:pPr>
      <w:r>
        <w:rPr>
          <w:rFonts w:ascii="Arial" w:hAnsi="Arial" w:cs="Arial"/>
          <w:sz w:val="24"/>
          <w:szCs w:val="24"/>
        </w:rPr>
        <w:t xml:space="preserve">Subsection (2) provides that the ACAT may make 1 or more of the following orders: </w:t>
      </w:r>
    </w:p>
    <w:p w14:paraId="4C48D8D5" w14:textId="30034A80" w:rsidR="00175FC0" w:rsidRDefault="00175FC0" w:rsidP="00175FC0">
      <w:pPr>
        <w:pStyle w:val="ListParagraph"/>
        <w:numPr>
          <w:ilvl w:val="0"/>
          <w:numId w:val="10"/>
        </w:numPr>
        <w:autoSpaceDE w:val="0"/>
        <w:autoSpaceDN w:val="0"/>
        <w:adjustRightInd w:val="0"/>
        <w:rPr>
          <w:rFonts w:ascii="Arial" w:hAnsi="Arial" w:cs="Arial"/>
          <w:sz w:val="24"/>
          <w:szCs w:val="24"/>
        </w:rPr>
      </w:pPr>
      <w:r>
        <w:rPr>
          <w:rFonts w:ascii="Arial" w:hAnsi="Arial" w:cs="Arial"/>
          <w:sz w:val="24"/>
          <w:szCs w:val="24"/>
        </w:rPr>
        <w:t xml:space="preserve">that the person complained about not repeat or continue the harmful </w:t>
      </w:r>
      <w:r w:rsidR="00F36E73">
        <w:rPr>
          <w:rFonts w:ascii="Arial" w:hAnsi="Arial" w:cs="Arial"/>
          <w:sz w:val="24"/>
          <w:szCs w:val="24"/>
        </w:rPr>
        <w:t>practice</w:t>
      </w:r>
      <w:r>
        <w:rPr>
          <w:rFonts w:ascii="Arial" w:hAnsi="Arial" w:cs="Arial"/>
          <w:sz w:val="24"/>
          <w:szCs w:val="24"/>
        </w:rPr>
        <w:t xml:space="preserve">; </w:t>
      </w:r>
    </w:p>
    <w:p w14:paraId="7ACD141B" w14:textId="094DE9F8" w:rsidR="00175FC0" w:rsidRDefault="00175FC0" w:rsidP="00175FC0">
      <w:pPr>
        <w:pStyle w:val="ListParagraph"/>
        <w:numPr>
          <w:ilvl w:val="0"/>
          <w:numId w:val="10"/>
        </w:numPr>
        <w:autoSpaceDE w:val="0"/>
        <w:autoSpaceDN w:val="0"/>
        <w:adjustRightInd w:val="0"/>
        <w:rPr>
          <w:rFonts w:ascii="Arial" w:hAnsi="Arial" w:cs="Arial"/>
          <w:sz w:val="24"/>
          <w:szCs w:val="24"/>
        </w:rPr>
      </w:pPr>
      <w:r>
        <w:rPr>
          <w:rFonts w:ascii="Arial" w:hAnsi="Arial" w:cs="Arial"/>
          <w:sz w:val="24"/>
          <w:szCs w:val="24"/>
        </w:rPr>
        <w:t xml:space="preserve">that the person complaint about perform a stated reasonable act to redress any loss or damage suffered by a person because of the harmful </w:t>
      </w:r>
      <w:r w:rsidR="00F36E73">
        <w:rPr>
          <w:rFonts w:ascii="Arial" w:hAnsi="Arial" w:cs="Arial"/>
          <w:sz w:val="24"/>
          <w:szCs w:val="24"/>
        </w:rPr>
        <w:t>practice</w:t>
      </w:r>
      <w:r>
        <w:rPr>
          <w:rFonts w:ascii="Arial" w:hAnsi="Arial" w:cs="Arial"/>
          <w:sz w:val="24"/>
          <w:szCs w:val="24"/>
        </w:rPr>
        <w:t xml:space="preserve">; </w:t>
      </w:r>
    </w:p>
    <w:p w14:paraId="138490C7" w14:textId="0D157DED" w:rsidR="00175FC0" w:rsidRDefault="00175FC0" w:rsidP="00175FC0">
      <w:pPr>
        <w:pStyle w:val="ListParagraph"/>
        <w:numPr>
          <w:ilvl w:val="0"/>
          <w:numId w:val="10"/>
        </w:numPr>
        <w:autoSpaceDE w:val="0"/>
        <w:autoSpaceDN w:val="0"/>
        <w:adjustRightInd w:val="0"/>
        <w:rPr>
          <w:rFonts w:ascii="Arial" w:hAnsi="Arial" w:cs="Arial"/>
          <w:sz w:val="24"/>
          <w:szCs w:val="24"/>
        </w:rPr>
      </w:pPr>
      <w:r>
        <w:rPr>
          <w:rFonts w:ascii="Arial" w:hAnsi="Arial" w:cs="Arial"/>
          <w:sz w:val="24"/>
          <w:szCs w:val="24"/>
        </w:rPr>
        <w:t xml:space="preserve">unless the complaint has been dealt with as a representative complaint – that the person complained about pay to a person a stated amount by the way of compensation for any loss or damage suffered by the person because of the harmful </w:t>
      </w:r>
      <w:r w:rsidR="00F36E73">
        <w:rPr>
          <w:rFonts w:ascii="Arial" w:hAnsi="Arial" w:cs="Arial"/>
          <w:sz w:val="24"/>
          <w:szCs w:val="24"/>
        </w:rPr>
        <w:t>practice</w:t>
      </w:r>
      <w:r>
        <w:rPr>
          <w:rFonts w:ascii="Arial" w:hAnsi="Arial" w:cs="Arial"/>
          <w:sz w:val="24"/>
          <w:szCs w:val="24"/>
        </w:rPr>
        <w:t xml:space="preserve">; and </w:t>
      </w:r>
    </w:p>
    <w:p w14:paraId="4C17447B" w14:textId="0B57763D" w:rsidR="00175FC0" w:rsidRDefault="00175FC0" w:rsidP="00175FC0">
      <w:pPr>
        <w:pStyle w:val="ListParagraph"/>
        <w:numPr>
          <w:ilvl w:val="0"/>
          <w:numId w:val="10"/>
        </w:numPr>
        <w:autoSpaceDE w:val="0"/>
        <w:autoSpaceDN w:val="0"/>
        <w:adjustRightInd w:val="0"/>
        <w:rPr>
          <w:rFonts w:ascii="Arial" w:hAnsi="Arial" w:cs="Arial"/>
          <w:sz w:val="24"/>
          <w:szCs w:val="24"/>
        </w:rPr>
      </w:pPr>
      <w:r>
        <w:rPr>
          <w:rFonts w:ascii="Arial" w:hAnsi="Arial" w:cs="Arial"/>
          <w:sz w:val="24"/>
          <w:szCs w:val="24"/>
        </w:rPr>
        <w:t xml:space="preserve">any other order the ACAT considers appropriate. </w:t>
      </w:r>
    </w:p>
    <w:p w14:paraId="3BB64C96" w14:textId="77777777" w:rsidR="005421C7" w:rsidRDefault="005421C7" w:rsidP="00175FC0">
      <w:pPr>
        <w:autoSpaceDE w:val="0"/>
        <w:autoSpaceDN w:val="0"/>
        <w:adjustRightInd w:val="0"/>
        <w:rPr>
          <w:rFonts w:ascii="Arial" w:hAnsi="Arial" w:cs="Arial"/>
          <w:sz w:val="24"/>
          <w:szCs w:val="24"/>
        </w:rPr>
      </w:pPr>
    </w:p>
    <w:p w14:paraId="160B3249" w14:textId="13B07508" w:rsidR="00175FC0" w:rsidRDefault="00795518" w:rsidP="00175FC0">
      <w:pPr>
        <w:autoSpaceDE w:val="0"/>
        <w:autoSpaceDN w:val="0"/>
        <w:adjustRightInd w:val="0"/>
        <w:rPr>
          <w:rFonts w:ascii="Arial" w:hAnsi="Arial" w:cs="Arial"/>
          <w:sz w:val="24"/>
          <w:szCs w:val="24"/>
        </w:rPr>
      </w:pPr>
      <w:r>
        <w:rPr>
          <w:rFonts w:ascii="Arial" w:hAnsi="Arial" w:cs="Arial"/>
          <w:sz w:val="24"/>
          <w:szCs w:val="24"/>
        </w:rPr>
        <w:t>Subsection</w:t>
      </w:r>
      <w:r w:rsidR="00175FC0">
        <w:rPr>
          <w:rFonts w:ascii="Arial" w:hAnsi="Arial" w:cs="Arial"/>
          <w:sz w:val="24"/>
          <w:szCs w:val="24"/>
        </w:rPr>
        <w:t xml:space="preserve"> (3) provides in making </w:t>
      </w:r>
      <w:r w:rsidR="00ED2B4D">
        <w:rPr>
          <w:rFonts w:ascii="Arial" w:hAnsi="Arial" w:cs="Arial"/>
          <w:sz w:val="24"/>
          <w:szCs w:val="24"/>
        </w:rPr>
        <w:t>a</w:t>
      </w:r>
      <w:r w:rsidR="00175FC0">
        <w:rPr>
          <w:rFonts w:ascii="Arial" w:hAnsi="Arial" w:cs="Arial"/>
          <w:sz w:val="24"/>
          <w:szCs w:val="24"/>
        </w:rPr>
        <w:t xml:space="preserve">n order under subsection (2)(c), the ACAT – </w:t>
      </w:r>
    </w:p>
    <w:p w14:paraId="0F057567" w14:textId="070EC997" w:rsidR="00175FC0" w:rsidRDefault="00175FC0" w:rsidP="00175FC0">
      <w:pPr>
        <w:pStyle w:val="ListParagraph"/>
        <w:numPr>
          <w:ilvl w:val="0"/>
          <w:numId w:val="11"/>
        </w:numPr>
        <w:autoSpaceDE w:val="0"/>
        <w:autoSpaceDN w:val="0"/>
        <w:adjustRightInd w:val="0"/>
        <w:rPr>
          <w:rFonts w:ascii="Arial" w:hAnsi="Arial" w:cs="Arial"/>
          <w:sz w:val="24"/>
          <w:szCs w:val="24"/>
        </w:rPr>
      </w:pPr>
      <w:r>
        <w:rPr>
          <w:rFonts w:ascii="Arial" w:hAnsi="Arial" w:cs="Arial"/>
          <w:sz w:val="24"/>
          <w:szCs w:val="24"/>
        </w:rPr>
        <w:t xml:space="preserve">must consider </w:t>
      </w:r>
      <w:r w:rsidR="00795518">
        <w:rPr>
          <w:rFonts w:ascii="Arial" w:hAnsi="Arial" w:cs="Arial"/>
          <w:sz w:val="24"/>
          <w:szCs w:val="24"/>
        </w:rPr>
        <w:t xml:space="preserve">– </w:t>
      </w:r>
    </w:p>
    <w:p w14:paraId="04753742" w14:textId="6D05293D" w:rsidR="00BB281F" w:rsidRDefault="00BB281F" w:rsidP="00795518">
      <w:pPr>
        <w:pStyle w:val="ListParagraph"/>
        <w:numPr>
          <w:ilvl w:val="0"/>
          <w:numId w:val="13"/>
        </w:numPr>
        <w:rPr>
          <w:rFonts w:ascii="Arial" w:hAnsi="Arial" w:cs="Arial"/>
          <w:sz w:val="24"/>
          <w:szCs w:val="24"/>
        </w:rPr>
      </w:pPr>
      <w:r w:rsidRPr="00795518">
        <w:rPr>
          <w:rFonts w:ascii="Arial" w:hAnsi="Arial" w:cs="Arial"/>
          <w:sz w:val="24"/>
          <w:szCs w:val="24"/>
        </w:rPr>
        <w:t xml:space="preserve">the inherent dignity of all people and the impact of the sexuality or gender </w:t>
      </w:r>
      <w:r w:rsidR="00795518">
        <w:rPr>
          <w:rFonts w:ascii="Arial" w:hAnsi="Arial" w:cs="Arial"/>
          <w:sz w:val="24"/>
          <w:szCs w:val="24"/>
        </w:rPr>
        <w:t xml:space="preserve">identity </w:t>
      </w:r>
      <w:r w:rsidRPr="00795518">
        <w:rPr>
          <w:rFonts w:ascii="Arial" w:hAnsi="Arial" w:cs="Arial"/>
          <w:sz w:val="24"/>
          <w:szCs w:val="24"/>
        </w:rPr>
        <w:t>conversion practice on the person’s dignity; and</w:t>
      </w:r>
    </w:p>
    <w:p w14:paraId="4246E075" w14:textId="0171A5F4" w:rsidR="00F36E73" w:rsidRDefault="00BB281F" w:rsidP="00795518">
      <w:pPr>
        <w:pStyle w:val="ListParagraph"/>
        <w:numPr>
          <w:ilvl w:val="0"/>
          <w:numId w:val="13"/>
        </w:numPr>
        <w:rPr>
          <w:rFonts w:ascii="Arial" w:hAnsi="Arial" w:cs="Arial"/>
          <w:sz w:val="24"/>
          <w:szCs w:val="24"/>
        </w:rPr>
      </w:pPr>
      <w:r w:rsidRPr="00795518">
        <w:rPr>
          <w:rFonts w:ascii="Arial" w:hAnsi="Arial" w:cs="Arial"/>
          <w:sz w:val="24"/>
          <w:szCs w:val="24"/>
        </w:rPr>
        <w:t xml:space="preserve">the nature of the sexuality or gender </w:t>
      </w:r>
      <w:r w:rsidR="00795518">
        <w:rPr>
          <w:rFonts w:ascii="Arial" w:hAnsi="Arial" w:cs="Arial"/>
          <w:sz w:val="24"/>
          <w:szCs w:val="24"/>
        </w:rPr>
        <w:t xml:space="preserve">identity </w:t>
      </w:r>
      <w:r w:rsidRPr="00795518">
        <w:rPr>
          <w:rFonts w:ascii="Arial" w:hAnsi="Arial" w:cs="Arial"/>
          <w:sz w:val="24"/>
          <w:szCs w:val="24"/>
        </w:rPr>
        <w:t xml:space="preserve">conversion practice; </w:t>
      </w:r>
      <w:r w:rsidR="00EE5C53">
        <w:rPr>
          <w:rFonts w:ascii="Arial" w:hAnsi="Arial" w:cs="Arial"/>
          <w:sz w:val="24"/>
          <w:szCs w:val="24"/>
        </w:rPr>
        <w:t>and</w:t>
      </w:r>
    </w:p>
    <w:p w14:paraId="61ECC074" w14:textId="6F9BC8C6" w:rsidR="00BB281F" w:rsidRDefault="00BB281F" w:rsidP="00795518">
      <w:pPr>
        <w:pStyle w:val="ListParagraph"/>
        <w:numPr>
          <w:ilvl w:val="0"/>
          <w:numId w:val="13"/>
        </w:numPr>
        <w:rPr>
          <w:rFonts w:ascii="Arial" w:hAnsi="Arial" w:cs="Arial"/>
          <w:sz w:val="24"/>
          <w:szCs w:val="24"/>
        </w:rPr>
      </w:pPr>
      <w:r w:rsidRPr="00795518">
        <w:rPr>
          <w:rFonts w:ascii="Arial" w:hAnsi="Arial" w:cs="Arial"/>
          <w:sz w:val="24"/>
          <w:szCs w:val="24"/>
        </w:rPr>
        <w:t>any mitigating factors; and</w:t>
      </w:r>
    </w:p>
    <w:p w14:paraId="52A01322" w14:textId="3D02856B" w:rsidR="00BB281F" w:rsidRDefault="00BB281F" w:rsidP="00795518">
      <w:pPr>
        <w:pStyle w:val="ListParagraph"/>
        <w:numPr>
          <w:ilvl w:val="0"/>
          <w:numId w:val="11"/>
        </w:numPr>
        <w:autoSpaceDE w:val="0"/>
        <w:autoSpaceDN w:val="0"/>
        <w:adjustRightInd w:val="0"/>
        <w:rPr>
          <w:rFonts w:ascii="Arial" w:hAnsi="Arial" w:cs="Arial"/>
          <w:sz w:val="24"/>
          <w:szCs w:val="24"/>
        </w:rPr>
      </w:pPr>
      <w:r w:rsidRPr="006D19AC">
        <w:rPr>
          <w:rFonts w:ascii="Arial" w:hAnsi="Arial" w:cs="Arial"/>
          <w:sz w:val="24"/>
          <w:szCs w:val="24"/>
        </w:rPr>
        <w:t>may consider any other matter the ACAT considers relevant.</w:t>
      </w:r>
    </w:p>
    <w:p w14:paraId="620AD5E4" w14:textId="77777777" w:rsidR="00BB281F" w:rsidRPr="006D19AC" w:rsidRDefault="00BB281F" w:rsidP="00BB281F">
      <w:pPr>
        <w:autoSpaceDE w:val="0"/>
        <w:autoSpaceDN w:val="0"/>
        <w:adjustRightInd w:val="0"/>
        <w:spacing w:after="0" w:line="240" w:lineRule="auto"/>
        <w:ind w:firstLine="720"/>
        <w:rPr>
          <w:rFonts w:ascii="Arial" w:hAnsi="Arial" w:cs="Arial"/>
          <w:sz w:val="24"/>
          <w:szCs w:val="24"/>
        </w:rPr>
      </w:pPr>
    </w:p>
    <w:p w14:paraId="1777D02D" w14:textId="5328D024" w:rsidR="00ED2B4D" w:rsidRPr="00ED2B4D" w:rsidRDefault="00ED2B4D" w:rsidP="00BB281F">
      <w:pPr>
        <w:autoSpaceDE w:val="0"/>
        <w:autoSpaceDN w:val="0"/>
        <w:adjustRightInd w:val="0"/>
        <w:spacing w:after="0" w:line="240" w:lineRule="auto"/>
        <w:rPr>
          <w:rFonts w:ascii="Arial" w:hAnsi="Arial" w:cs="Arial"/>
          <w:sz w:val="24"/>
          <w:szCs w:val="24"/>
        </w:rPr>
      </w:pPr>
      <w:r w:rsidRPr="00ED2B4D">
        <w:rPr>
          <w:rFonts w:ascii="Arial" w:hAnsi="Arial" w:cs="Arial"/>
          <w:sz w:val="24"/>
          <w:szCs w:val="24"/>
        </w:rPr>
        <w:t xml:space="preserve">Subsection (3) provides examples for para (a)(i) – impact of sexuality or gender identity conversion practice and para (a)(iii) mitigating factors. </w:t>
      </w:r>
    </w:p>
    <w:p w14:paraId="43EBF616" w14:textId="77777777" w:rsidR="00ED2B4D" w:rsidRDefault="00ED2B4D" w:rsidP="00BB281F">
      <w:pPr>
        <w:autoSpaceDE w:val="0"/>
        <w:autoSpaceDN w:val="0"/>
        <w:adjustRightInd w:val="0"/>
        <w:spacing w:after="0" w:line="240" w:lineRule="auto"/>
        <w:rPr>
          <w:rFonts w:ascii="Arial" w:hAnsi="Arial" w:cs="Arial"/>
          <w:b/>
          <w:bCs/>
          <w:sz w:val="24"/>
          <w:szCs w:val="24"/>
        </w:rPr>
      </w:pPr>
    </w:p>
    <w:p w14:paraId="54BC8429" w14:textId="62209819" w:rsidR="00BB281F" w:rsidRPr="00A716E5" w:rsidRDefault="00BB281F" w:rsidP="00B51F69">
      <w:pPr>
        <w:pStyle w:val="ListParagraph"/>
        <w:autoSpaceDE w:val="0"/>
        <w:autoSpaceDN w:val="0"/>
        <w:adjustRightInd w:val="0"/>
        <w:rPr>
          <w:rFonts w:ascii="Arial" w:hAnsi="Arial" w:cs="Arial"/>
          <w:b/>
          <w:bCs/>
          <w:sz w:val="24"/>
          <w:szCs w:val="24"/>
        </w:rPr>
      </w:pPr>
      <w:r w:rsidRPr="00A716E5">
        <w:rPr>
          <w:rFonts w:ascii="Arial" w:hAnsi="Arial" w:cs="Arial"/>
          <w:b/>
          <w:bCs/>
          <w:sz w:val="24"/>
          <w:szCs w:val="24"/>
        </w:rPr>
        <w:t xml:space="preserve">Examples—par (a) (i)—impact of sexuality or gender </w:t>
      </w:r>
      <w:r w:rsidR="005421C7" w:rsidRPr="00A716E5">
        <w:rPr>
          <w:rFonts w:ascii="Arial" w:hAnsi="Arial" w:cs="Arial"/>
          <w:b/>
          <w:bCs/>
          <w:sz w:val="24"/>
          <w:szCs w:val="24"/>
        </w:rPr>
        <w:t xml:space="preserve">identity </w:t>
      </w:r>
      <w:r w:rsidRPr="00A716E5">
        <w:rPr>
          <w:rFonts w:ascii="Arial" w:hAnsi="Arial" w:cs="Arial"/>
          <w:b/>
          <w:bCs/>
          <w:sz w:val="24"/>
          <w:szCs w:val="24"/>
        </w:rPr>
        <w:t>conversion practice</w:t>
      </w:r>
    </w:p>
    <w:p w14:paraId="5F270E28" w14:textId="23CF46FA" w:rsidR="00BB281F" w:rsidRDefault="00BB281F" w:rsidP="00A716E5">
      <w:pPr>
        <w:pStyle w:val="ListParagraph"/>
        <w:autoSpaceDE w:val="0"/>
        <w:autoSpaceDN w:val="0"/>
        <w:adjustRightInd w:val="0"/>
        <w:rPr>
          <w:rFonts w:ascii="Arial" w:hAnsi="Arial" w:cs="Arial"/>
          <w:sz w:val="24"/>
          <w:szCs w:val="24"/>
        </w:rPr>
      </w:pPr>
      <w:r w:rsidRPr="00A716E5">
        <w:rPr>
          <w:rFonts w:ascii="Arial" w:hAnsi="Arial" w:cs="Arial"/>
          <w:sz w:val="24"/>
          <w:szCs w:val="24"/>
        </w:rPr>
        <w:t>distress, humiliation, loss of self-esteem, loss of enjoyment of life</w:t>
      </w:r>
    </w:p>
    <w:p w14:paraId="61E2B5BE" w14:textId="77777777" w:rsidR="00B51F69" w:rsidRPr="00A716E5" w:rsidRDefault="00B51F69" w:rsidP="00A716E5">
      <w:pPr>
        <w:pStyle w:val="ListParagraph"/>
        <w:autoSpaceDE w:val="0"/>
        <w:autoSpaceDN w:val="0"/>
        <w:adjustRightInd w:val="0"/>
        <w:rPr>
          <w:rFonts w:ascii="Arial" w:hAnsi="Arial" w:cs="Arial"/>
          <w:sz w:val="24"/>
          <w:szCs w:val="24"/>
        </w:rPr>
      </w:pPr>
    </w:p>
    <w:p w14:paraId="7856F8A2" w14:textId="77777777" w:rsidR="00BB281F" w:rsidRPr="00A716E5" w:rsidRDefault="00BB281F" w:rsidP="00B51F69">
      <w:pPr>
        <w:pStyle w:val="ListParagraph"/>
        <w:autoSpaceDE w:val="0"/>
        <w:autoSpaceDN w:val="0"/>
        <w:adjustRightInd w:val="0"/>
        <w:rPr>
          <w:rFonts w:ascii="Arial" w:hAnsi="Arial" w:cs="Arial"/>
          <w:b/>
          <w:bCs/>
          <w:sz w:val="24"/>
          <w:szCs w:val="24"/>
        </w:rPr>
      </w:pPr>
      <w:r w:rsidRPr="00A716E5">
        <w:rPr>
          <w:rFonts w:ascii="Arial" w:hAnsi="Arial" w:cs="Arial"/>
          <w:b/>
          <w:bCs/>
          <w:sz w:val="24"/>
          <w:szCs w:val="24"/>
        </w:rPr>
        <w:t xml:space="preserve">Examples—par (a) (iii) </w:t>
      </w:r>
    </w:p>
    <w:p w14:paraId="3B8D5277" w14:textId="77777777" w:rsidR="00BB281F" w:rsidRPr="00A716E5" w:rsidRDefault="00BB281F" w:rsidP="00A716E5">
      <w:pPr>
        <w:pStyle w:val="ListParagraph"/>
        <w:autoSpaceDE w:val="0"/>
        <w:autoSpaceDN w:val="0"/>
        <w:adjustRightInd w:val="0"/>
        <w:rPr>
          <w:rFonts w:ascii="Arial" w:hAnsi="Arial" w:cs="Arial"/>
          <w:sz w:val="24"/>
          <w:szCs w:val="24"/>
        </w:rPr>
      </w:pPr>
      <w:r w:rsidRPr="00A716E5">
        <w:rPr>
          <w:rFonts w:ascii="Arial" w:hAnsi="Arial" w:cs="Arial"/>
          <w:sz w:val="24"/>
          <w:szCs w:val="24"/>
        </w:rPr>
        <w:t>a public apology</w:t>
      </w:r>
    </w:p>
    <w:p w14:paraId="37A1838F" w14:textId="2C52E1CE" w:rsidR="00BB281F" w:rsidRDefault="00BB281F" w:rsidP="00BB281F">
      <w:pPr>
        <w:autoSpaceDE w:val="0"/>
        <w:autoSpaceDN w:val="0"/>
        <w:adjustRightInd w:val="0"/>
        <w:spacing w:after="0" w:line="240" w:lineRule="auto"/>
        <w:rPr>
          <w:rFonts w:ascii="Arial" w:hAnsi="Arial" w:cs="Arial"/>
          <w:sz w:val="24"/>
          <w:szCs w:val="24"/>
        </w:rPr>
      </w:pPr>
    </w:p>
    <w:p w14:paraId="02AD67E4" w14:textId="0CFE364A" w:rsidR="005421C7" w:rsidRDefault="005421C7" w:rsidP="00BB281F">
      <w:pPr>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Subsection (4) provides </w:t>
      </w:r>
      <w:r w:rsidR="00ED2B4D">
        <w:rPr>
          <w:rFonts w:ascii="Arial" w:hAnsi="Arial" w:cs="Arial"/>
          <w:sz w:val="24"/>
          <w:szCs w:val="24"/>
        </w:rPr>
        <w:t xml:space="preserve">a definition </w:t>
      </w:r>
      <w:r w:rsidR="00B51F69">
        <w:rPr>
          <w:rFonts w:ascii="Arial" w:hAnsi="Arial" w:cs="Arial"/>
          <w:sz w:val="24"/>
          <w:szCs w:val="24"/>
        </w:rPr>
        <w:t>of</w:t>
      </w:r>
      <w:r w:rsidR="00ED2B4D">
        <w:rPr>
          <w:rFonts w:ascii="Arial" w:hAnsi="Arial" w:cs="Arial"/>
          <w:sz w:val="24"/>
          <w:szCs w:val="24"/>
        </w:rPr>
        <w:t xml:space="preserve"> </w:t>
      </w:r>
      <w:r w:rsidRPr="00ED2B4D">
        <w:rPr>
          <w:rFonts w:ascii="Arial" w:hAnsi="Arial" w:cs="Arial"/>
          <w:b/>
          <w:bCs/>
          <w:i/>
          <w:iCs/>
          <w:sz w:val="24"/>
          <w:szCs w:val="24"/>
        </w:rPr>
        <w:t xml:space="preserve">harmful </w:t>
      </w:r>
      <w:r w:rsidR="00F36E73">
        <w:rPr>
          <w:rFonts w:ascii="Arial" w:hAnsi="Arial" w:cs="Arial"/>
          <w:b/>
          <w:bCs/>
          <w:i/>
          <w:iCs/>
          <w:sz w:val="24"/>
          <w:szCs w:val="24"/>
        </w:rPr>
        <w:t>practice</w:t>
      </w:r>
      <w:r w:rsidR="00F36E73">
        <w:rPr>
          <w:rFonts w:ascii="Arial" w:hAnsi="Arial" w:cs="Arial"/>
          <w:i/>
          <w:iCs/>
          <w:sz w:val="24"/>
          <w:szCs w:val="24"/>
        </w:rPr>
        <w:t xml:space="preserve"> </w:t>
      </w:r>
      <w:r>
        <w:rPr>
          <w:rFonts w:ascii="Arial" w:hAnsi="Arial" w:cs="Arial"/>
          <w:i/>
          <w:iCs/>
          <w:sz w:val="24"/>
          <w:szCs w:val="24"/>
        </w:rPr>
        <w:t xml:space="preserve">and </w:t>
      </w:r>
      <w:r w:rsidRPr="00ED2B4D">
        <w:rPr>
          <w:rFonts w:ascii="Arial" w:hAnsi="Arial" w:cs="Arial"/>
          <w:b/>
          <w:bCs/>
          <w:i/>
          <w:iCs/>
          <w:sz w:val="24"/>
          <w:szCs w:val="24"/>
        </w:rPr>
        <w:t>representative complaint</w:t>
      </w:r>
      <w:r w:rsidR="00ED2B4D">
        <w:rPr>
          <w:rFonts w:ascii="Arial" w:hAnsi="Arial" w:cs="Arial"/>
          <w:b/>
          <w:bCs/>
          <w:i/>
          <w:iCs/>
          <w:sz w:val="24"/>
          <w:szCs w:val="24"/>
        </w:rPr>
        <w:t xml:space="preserve"> </w:t>
      </w:r>
      <w:r w:rsidR="00ED2B4D">
        <w:rPr>
          <w:rFonts w:ascii="Arial" w:hAnsi="Arial" w:cs="Arial"/>
          <w:sz w:val="24"/>
          <w:szCs w:val="24"/>
        </w:rPr>
        <w:t>in this section</w:t>
      </w:r>
      <w:r w:rsidRPr="00ED2B4D">
        <w:rPr>
          <w:rFonts w:ascii="Arial" w:hAnsi="Arial" w:cs="Arial"/>
          <w:b/>
          <w:bCs/>
          <w:i/>
          <w:iCs/>
          <w:sz w:val="24"/>
          <w:szCs w:val="24"/>
        </w:rPr>
        <w:t xml:space="preserve">. </w:t>
      </w:r>
    </w:p>
    <w:p w14:paraId="7BEA3C8F" w14:textId="642238CD" w:rsidR="00ED2B4D" w:rsidRDefault="00ED2B4D" w:rsidP="00BB281F">
      <w:pPr>
        <w:autoSpaceDE w:val="0"/>
        <w:autoSpaceDN w:val="0"/>
        <w:adjustRightInd w:val="0"/>
        <w:spacing w:after="0" w:line="240" w:lineRule="auto"/>
        <w:rPr>
          <w:rFonts w:ascii="Arial" w:hAnsi="Arial" w:cs="Arial"/>
          <w:b/>
          <w:bCs/>
          <w:sz w:val="24"/>
          <w:szCs w:val="24"/>
        </w:rPr>
      </w:pPr>
    </w:p>
    <w:p w14:paraId="0FE9FE3F" w14:textId="715A3A2E" w:rsidR="00ED2B4D" w:rsidRPr="00B51F69" w:rsidRDefault="00ED2B4D" w:rsidP="00BB281F">
      <w:pPr>
        <w:autoSpaceDE w:val="0"/>
        <w:autoSpaceDN w:val="0"/>
        <w:adjustRightInd w:val="0"/>
        <w:spacing w:after="0" w:line="240" w:lineRule="auto"/>
        <w:rPr>
          <w:rFonts w:ascii="Arial" w:hAnsi="Arial" w:cs="Arial"/>
          <w:sz w:val="24"/>
          <w:szCs w:val="24"/>
        </w:rPr>
      </w:pPr>
      <w:r w:rsidRPr="00B51F69">
        <w:rPr>
          <w:rFonts w:ascii="Arial" w:hAnsi="Arial" w:cs="Arial"/>
          <w:sz w:val="24"/>
          <w:szCs w:val="24"/>
        </w:rPr>
        <w:t xml:space="preserve">The definition: </w:t>
      </w:r>
    </w:p>
    <w:p w14:paraId="44B34460" w14:textId="77777777" w:rsidR="005421C7" w:rsidRPr="006D19AC" w:rsidRDefault="005421C7" w:rsidP="00BB281F">
      <w:pPr>
        <w:autoSpaceDE w:val="0"/>
        <w:autoSpaceDN w:val="0"/>
        <w:adjustRightInd w:val="0"/>
        <w:spacing w:after="0" w:line="240" w:lineRule="auto"/>
        <w:rPr>
          <w:rFonts w:ascii="Arial" w:hAnsi="Arial" w:cs="Arial"/>
          <w:sz w:val="24"/>
          <w:szCs w:val="24"/>
        </w:rPr>
      </w:pPr>
    </w:p>
    <w:p w14:paraId="027C8558" w14:textId="0EA0D9F9" w:rsidR="00BB281F" w:rsidRPr="00ED2B4D" w:rsidRDefault="00BB281F" w:rsidP="00B51F69">
      <w:pPr>
        <w:autoSpaceDE w:val="0"/>
        <w:autoSpaceDN w:val="0"/>
        <w:adjustRightInd w:val="0"/>
        <w:spacing w:after="0" w:line="240" w:lineRule="auto"/>
        <w:ind w:firstLine="720"/>
        <w:rPr>
          <w:rFonts w:ascii="Arial" w:hAnsi="Arial" w:cs="Arial"/>
          <w:sz w:val="24"/>
          <w:szCs w:val="24"/>
        </w:rPr>
      </w:pPr>
      <w:r w:rsidRPr="00ED2B4D">
        <w:rPr>
          <w:rFonts w:ascii="Arial" w:hAnsi="Arial" w:cs="Arial"/>
          <w:b/>
          <w:bCs/>
          <w:i/>
          <w:iCs/>
          <w:sz w:val="24"/>
          <w:szCs w:val="24"/>
        </w:rPr>
        <w:t xml:space="preserve">harmful </w:t>
      </w:r>
      <w:r w:rsidR="00F36E73">
        <w:rPr>
          <w:rFonts w:ascii="Arial" w:hAnsi="Arial" w:cs="Arial"/>
          <w:b/>
          <w:bCs/>
          <w:i/>
          <w:iCs/>
          <w:sz w:val="24"/>
          <w:szCs w:val="24"/>
        </w:rPr>
        <w:t>practice</w:t>
      </w:r>
      <w:r w:rsidR="00D82267">
        <w:rPr>
          <w:rFonts w:ascii="Arial" w:hAnsi="Arial" w:cs="Arial"/>
          <w:sz w:val="24"/>
          <w:szCs w:val="24"/>
        </w:rPr>
        <w:t xml:space="preserve"> </w:t>
      </w:r>
      <w:r w:rsidR="00F36E73">
        <w:rPr>
          <w:rFonts w:ascii="Arial" w:hAnsi="Arial" w:cs="Arial"/>
          <w:sz w:val="24"/>
          <w:szCs w:val="24"/>
        </w:rPr>
        <w:t>means a sexuality or gender identity conversion practice that caused, or is likely to cause, harm to a person or otherwise has adversely affected, or it likely to adversely affect, a person’s rights, interests or welfare.</w:t>
      </w:r>
    </w:p>
    <w:p w14:paraId="7E142C0D" w14:textId="77777777" w:rsidR="00BB281F" w:rsidRPr="00ED2B4D" w:rsidRDefault="00BB281F" w:rsidP="00BB281F">
      <w:pPr>
        <w:autoSpaceDE w:val="0"/>
        <w:autoSpaceDN w:val="0"/>
        <w:adjustRightInd w:val="0"/>
        <w:spacing w:after="0" w:line="240" w:lineRule="auto"/>
        <w:rPr>
          <w:rFonts w:ascii="Arial" w:hAnsi="Arial" w:cs="Arial"/>
          <w:sz w:val="24"/>
          <w:szCs w:val="24"/>
        </w:rPr>
      </w:pPr>
    </w:p>
    <w:p w14:paraId="66EAD992" w14:textId="77777777" w:rsidR="00BB281F" w:rsidRPr="00ED2B4D" w:rsidRDefault="00BB281F" w:rsidP="00B51F69">
      <w:pPr>
        <w:autoSpaceDE w:val="0"/>
        <w:autoSpaceDN w:val="0"/>
        <w:adjustRightInd w:val="0"/>
        <w:spacing w:after="0" w:line="240" w:lineRule="auto"/>
        <w:ind w:left="720"/>
        <w:rPr>
          <w:rFonts w:ascii="Arial" w:hAnsi="Arial" w:cs="Arial"/>
          <w:sz w:val="24"/>
          <w:szCs w:val="24"/>
        </w:rPr>
      </w:pPr>
      <w:r w:rsidRPr="00ED2B4D">
        <w:rPr>
          <w:rFonts w:ascii="Arial" w:hAnsi="Arial" w:cs="Arial"/>
          <w:b/>
          <w:bCs/>
          <w:i/>
          <w:iCs/>
          <w:sz w:val="24"/>
          <w:szCs w:val="24"/>
        </w:rPr>
        <w:t xml:space="preserve">representative complaint </w:t>
      </w:r>
      <w:r w:rsidRPr="00ED2B4D">
        <w:rPr>
          <w:rFonts w:ascii="Arial" w:hAnsi="Arial" w:cs="Arial"/>
          <w:sz w:val="24"/>
          <w:szCs w:val="24"/>
        </w:rPr>
        <w:t>means a complaint that is dealt with by the commission as a representative complaint under section 71.</w:t>
      </w:r>
    </w:p>
    <w:p w14:paraId="5AA9A7B4" w14:textId="77777777" w:rsidR="00BB281F" w:rsidRPr="006D19AC" w:rsidRDefault="00BB281F" w:rsidP="00BB281F">
      <w:pPr>
        <w:autoSpaceDE w:val="0"/>
        <w:autoSpaceDN w:val="0"/>
        <w:adjustRightInd w:val="0"/>
        <w:spacing w:after="0" w:line="240" w:lineRule="auto"/>
        <w:rPr>
          <w:rFonts w:ascii="Arial" w:hAnsi="Arial" w:cs="Arial"/>
          <w:b/>
          <w:bCs/>
          <w:sz w:val="24"/>
          <w:szCs w:val="24"/>
        </w:rPr>
      </w:pPr>
    </w:p>
    <w:p w14:paraId="78310A2B" w14:textId="4BD6DEED" w:rsidR="00ED2B4D" w:rsidRDefault="00EA1BBB" w:rsidP="00ED2B4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Section </w:t>
      </w:r>
      <w:r w:rsidR="00BB281F" w:rsidRPr="006D19AC">
        <w:rPr>
          <w:rFonts w:ascii="Arial" w:hAnsi="Arial" w:cs="Arial"/>
          <w:b/>
          <w:bCs/>
          <w:sz w:val="24"/>
          <w:szCs w:val="24"/>
        </w:rPr>
        <w:t>53</w:t>
      </w:r>
      <w:r w:rsidR="00D82267">
        <w:rPr>
          <w:rFonts w:ascii="Arial" w:hAnsi="Arial" w:cs="Arial"/>
          <w:b/>
          <w:bCs/>
          <w:sz w:val="24"/>
          <w:szCs w:val="24"/>
        </w:rPr>
        <w:t>ZF</w:t>
      </w:r>
      <w:r w:rsidR="00BB281F" w:rsidRPr="006D19AC">
        <w:rPr>
          <w:rFonts w:ascii="Arial" w:hAnsi="Arial" w:cs="Arial"/>
          <w:b/>
          <w:bCs/>
          <w:sz w:val="24"/>
          <w:szCs w:val="24"/>
        </w:rPr>
        <w:t xml:space="preserve"> Conversion practice complaints—no monetary limit on jurisdiction of ACAT</w:t>
      </w:r>
    </w:p>
    <w:p w14:paraId="04EA6E17" w14:textId="77777777" w:rsidR="0085408D" w:rsidRDefault="0085408D" w:rsidP="00ED2B4D">
      <w:pPr>
        <w:autoSpaceDE w:val="0"/>
        <w:autoSpaceDN w:val="0"/>
        <w:adjustRightInd w:val="0"/>
        <w:spacing w:after="0" w:line="240" w:lineRule="auto"/>
        <w:rPr>
          <w:rFonts w:ascii="Arial" w:hAnsi="Arial" w:cs="Arial"/>
          <w:sz w:val="24"/>
          <w:szCs w:val="24"/>
        </w:rPr>
      </w:pPr>
    </w:p>
    <w:p w14:paraId="1A1F26FC" w14:textId="132170A0" w:rsidR="00ED2B4D" w:rsidRPr="00ED2B4D" w:rsidRDefault="00ED2B4D" w:rsidP="00ED2B4D">
      <w:pPr>
        <w:autoSpaceDE w:val="0"/>
        <w:autoSpaceDN w:val="0"/>
        <w:adjustRightInd w:val="0"/>
        <w:spacing w:after="0" w:line="240" w:lineRule="auto"/>
        <w:rPr>
          <w:rFonts w:ascii="Arial" w:hAnsi="Arial" w:cs="Arial"/>
          <w:sz w:val="24"/>
          <w:szCs w:val="24"/>
        </w:rPr>
      </w:pPr>
      <w:r w:rsidRPr="00ED2B4D">
        <w:rPr>
          <w:rFonts w:ascii="Arial" w:hAnsi="Arial" w:cs="Arial"/>
          <w:sz w:val="24"/>
          <w:szCs w:val="24"/>
        </w:rPr>
        <w:t>This new section 53</w:t>
      </w:r>
      <w:r w:rsidR="00D82267">
        <w:rPr>
          <w:rFonts w:ascii="Arial" w:hAnsi="Arial" w:cs="Arial"/>
          <w:sz w:val="24"/>
          <w:szCs w:val="24"/>
        </w:rPr>
        <w:t>ZF</w:t>
      </w:r>
      <w:r w:rsidRPr="00ED2B4D">
        <w:rPr>
          <w:rFonts w:ascii="Arial" w:hAnsi="Arial" w:cs="Arial"/>
          <w:sz w:val="24"/>
          <w:szCs w:val="24"/>
        </w:rPr>
        <w:t xml:space="preserve"> provides</w:t>
      </w:r>
      <w:r>
        <w:rPr>
          <w:rFonts w:ascii="Arial" w:hAnsi="Arial" w:cs="Arial"/>
          <w:sz w:val="24"/>
          <w:szCs w:val="24"/>
        </w:rPr>
        <w:t xml:space="preserve"> that the ACAT is not, in exercising the jurisdiction conferred on it by this division, limited in the amount of money that it may order to be paid. </w:t>
      </w:r>
      <w:r w:rsidR="00D82267">
        <w:rPr>
          <w:rFonts w:ascii="Arial" w:hAnsi="Arial" w:cs="Arial"/>
          <w:sz w:val="24"/>
          <w:szCs w:val="24"/>
        </w:rPr>
        <w:br/>
      </w:r>
    </w:p>
    <w:p w14:paraId="17816A1F" w14:textId="6E8A09B2" w:rsidR="00BB281F" w:rsidRDefault="00BB281F" w:rsidP="00BB281F">
      <w:pPr>
        <w:rPr>
          <w:rFonts w:ascii="Arial" w:hAnsi="Arial" w:cs="Arial"/>
          <w:b/>
          <w:bCs/>
          <w:sz w:val="24"/>
          <w:szCs w:val="24"/>
        </w:rPr>
      </w:pPr>
      <w:r w:rsidRPr="00A23626">
        <w:rPr>
          <w:rFonts w:ascii="Arial" w:hAnsi="Arial" w:cs="Arial"/>
          <w:b/>
          <w:bCs/>
          <w:sz w:val="24"/>
          <w:szCs w:val="24"/>
        </w:rPr>
        <w:t xml:space="preserve">Amendment </w:t>
      </w:r>
      <w:r>
        <w:rPr>
          <w:rFonts w:ascii="Arial" w:hAnsi="Arial" w:cs="Arial"/>
          <w:b/>
          <w:bCs/>
          <w:sz w:val="24"/>
          <w:szCs w:val="24"/>
        </w:rPr>
        <w:t>[</w:t>
      </w:r>
      <w:r w:rsidRPr="00A23626">
        <w:rPr>
          <w:rFonts w:ascii="Arial" w:hAnsi="Arial" w:cs="Arial"/>
          <w:b/>
          <w:bCs/>
          <w:sz w:val="24"/>
          <w:szCs w:val="24"/>
        </w:rPr>
        <w:t>1.</w:t>
      </w:r>
      <w:r w:rsidR="00EE5C53">
        <w:rPr>
          <w:rFonts w:ascii="Arial" w:hAnsi="Arial" w:cs="Arial"/>
          <w:b/>
          <w:bCs/>
          <w:sz w:val="24"/>
          <w:szCs w:val="24"/>
        </w:rPr>
        <w:t>5</w:t>
      </w:r>
      <w:r>
        <w:rPr>
          <w:rFonts w:ascii="Arial" w:hAnsi="Arial" w:cs="Arial"/>
          <w:b/>
          <w:bCs/>
          <w:sz w:val="24"/>
          <w:szCs w:val="24"/>
        </w:rPr>
        <w:t>] – Section 62(3)(b)</w:t>
      </w:r>
    </w:p>
    <w:p w14:paraId="5AD0D7D0" w14:textId="364CFBCA" w:rsidR="00BB281F" w:rsidRDefault="00BB281F" w:rsidP="00BB281F">
      <w:pPr>
        <w:rPr>
          <w:rFonts w:ascii="Arial" w:hAnsi="Arial" w:cs="Arial"/>
          <w:sz w:val="24"/>
          <w:szCs w:val="24"/>
        </w:rPr>
      </w:pPr>
      <w:r w:rsidRPr="002213AA">
        <w:rPr>
          <w:rFonts w:ascii="Arial" w:hAnsi="Arial" w:cs="Arial"/>
          <w:sz w:val="24"/>
          <w:szCs w:val="24"/>
        </w:rPr>
        <w:t xml:space="preserve">This clause omits ‘or retirement </w:t>
      </w:r>
      <w:r w:rsidR="00D82267">
        <w:rPr>
          <w:rFonts w:ascii="Arial" w:hAnsi="Arial" w:cs="Arial"/>
          <w:sz w:val="24"/>
          <w:szCs w:val="24"/>
        </w:rPr>
        <w:t xml:space="preserve">village </w:t>
      </w:r>
      <w:r w:rsidRPr="002213AA">
        <w:rPr>
          <w:rFonts w:ascii="Arial" w:hAnsi="Arial" w:cs="Arial"/>
          <w:sz w:val="24"/>
          <w:szCs w:val="24"/>
        </w:rPr>
        <w:t xml:space="preserve">complaint’ from section 62(3)(b) and substitutes it with ‘, retirement village complaint or a conversion practice complaint’. </w:t>
      </w:r>
    </w:p>
    <w:p w14:paraId="18F43B61" w14:textId="1D031E69" w:rsidR="00BB281F" w:rsidRDefault="006920DA" w:rsidP="00BB281F">
      <w:pPr>
        <w:rPr>
          <w:rFonts w:ascii="Arial" w:hAnsi="Arial" w:cs="Arial"/>
          <w:sz w:val="24"/>
          <w:szCs w:val="24"/>
        </w:rPr>
      </w:pPr>
      <w:r>
        <w:rPr>
          <w:rFonts w:ascii="Arial" w:hAnsi="Arial" w:cs="Arial"/>
          <w:sz w:val="24"/>
          <w:szCs w:val="24"/>
        </w:rPr>
        <w:t xml:space="preserve">This section will now </w:t>
      </w:r>
      <w:r w:rsidR="00BB281F">
        <w:rPr>
          <w:rFonts w:ascii="Arial" w:hAnsi="Arial" w:cs="Arial"/>
          <w:sz w:val="24"/>
          <w:szCs w:val="24"/>
        </w:rPr>
        <w:t xml:space="preserve">provide that where a complaint has been resolved by conciliation that the commission must: </w:t>
      </w:r>
    </w:p>
    <w:p w14:paraId="6C96B288" w14:textId="77777777" w:rsidR="00BB281F" w:rsidRDefault="00BB281F" w:rsidP="00BB281F">
      <w:pPr>
        <w:pStyle w:val="ListParagraph"/>
        <w:numPr>
          <w:ilvl w:val="0"/>
          <w:numId w:val="4"/>
        </w:numPr>
        <w:spacing w:after="160" w:line="259" w:lineRule="auto"/>
        <w:contextualSpacing/>
        <w:rPr>
          <w:rFonts w:ascii="Arial" w:hAnsi="Arial" w:cs="Arial"/>
          <w:sz w:val="24"/>
          <w:szCs w:val="24"/>
        </w:rPr>
      </w:pPr>
      <w:r w:rsidRPr="002213AA">
        <w:rPr>
          <w:rFonts w:ascii="Arial" w:hAnsi="Arial" w:cs="Arial"/>
          <w:sz w:val="24"/>
          <w:szCs w:val="24"/>
        </w:rPr>
        <w:t>give each party a copy of the conciliation agreement</w:t>
      </w:r>
      <w:r>
        <w:rPr>
          <w:rFonts w:ascii="Arial" w:hAnsi="Arial" w:cs="Arial"/>
          <w:sz w:val="24"/>
          <w:szCs w:val="24"/>
        </w:rPr>
        <w:t xml:space="preserve">; and </w:t>
      </w:r>
    </w:p>
    <w:p w14:paraId="6C4BF162" w14:textId="77777777" w:rsidR="00BB281F" w:rsidRPr="006757D1" w:rsidRDefault="00BB281F" w:rsidP="00BB281F">
      <w:pPr>
        <w:pStyle w:val="ListParagraph"/>
        <w:numPr>
          <w:ilvl w:val="0"/>
          <w:numId w:val="4"/>
        </w:numPr>
        <w:spacing w:after="160" w:line="259" w:lineRule="auto"/>
        <w:contextualSpacing/>
        <w:rPr>
          <w:rFonts w:ascii="Arial" w:hAnsi="Arial" w:cs="Arial"/>
          <w:sz w:val="24"/>
          <w:szCs w:val="24"/>
        </w:rPr>
      </w:pPr>
      <w:r w:rsidRPr="002213AA">
        <w:rPr>
          <w:rFonts w:ascii="Arial" w:hAnsi="Arial" w:cs="Arial"/>
          <w:sz w:val="24"/>
          <w:szCs w:val="24"/>
        </w:rPr>
        <w:t xml:space="preserve">if the complaint is a discrimination </w:t>
      </w:r>
      <w:r w:rsidRPr="006757D1">
        <w:rPr>
          <w:rFonts w:ascii="Arial" w:hAnsi="Arial" w:cs="Arial"/>
          <w:sz w:val="24"/>
          <w:szCs w:val="24"/>
        </w:rPr>
        <w:t xml:space="preserve">complaint, retirement village complaint or a conversion practice complaint – give the agreement to the ACAT. </w:t>
      </w:r>
    </w:p>
    <w:p w14:paraId="38781EAF" w14:textId="2A0E8DE8" w:rsidR="00BB281F" w:rsidRDefault="00BB281F" w:rsidP="00BB281F">
      <w:pPr>
        <w:rPr>
          <w:rFonts w:ascii="Arial" w:hAnsi="Arial" w:cs="Arial"/>
          <w:sz w:val="24"/>
          <w:szCs w:val="24"/>
        </w:rPr>
      </w:pPr>
      <w:r w:rsidRPr="006757D1">
        <w:rPr>
          <w:rFonts w:ascii="Arial" w:hAnsi="Arial" w:cs="Arial"/>
          <w:sz w:val="24"/>
          <w:szCs w:val="24"/>
        </w:rPr>
        <w:t xml:space="preserve">Note: The ACAT may make an order in accordance with a conciliation agreement for a complaint (see </w:t>
      </w:r>
      <w:r w:rsidRPr="006757D1">
        <w:rPr>
          <w:rFonts w:ascii="Arial" w:hAnsi="Arial" w:cs="Arial"/>
          <w:i/>
          <w:iCs/>
          <w:sz w:val="24"/>
          <w:szCs w:val="24"/>
        </w:rPr>
        <w:t>ACT Civil and Administrative Tribunal Act 2008</w:t>
      </w:r>
      <w:r w:rsidRPr="006757D1">
        <w:rPr>
          <w:rFonts w:ascii="Arial" w:hAnsi="Arial" w:cs="Arial"/>
          <w:sz w:val="24"/>
          <w:szCs w:val="24"/>
        </w:rPr>
        <w:t>, s 55A).</w:t>
      </w:r>
      <w:r>
        <w:rPr>
          <w:rFonts w:ascii="Arial" w:hAnsi="Arial" w:cs="Arial"/>
          <w:sz w:val="24"/>
          <w:szCs w:val="24"/>
        </w:rPr>
        <w:t xml:space="preserve"> </w:t>
      </w:r>
    </w:p>
    <w:p w14:paraId="6641D400" w14:textId="40A2E5CE" w:rsidR="00BB281F" w:rsidRDefault="00BB281F" w:rsidP="00BB281F">
      <w:pPr>
        <w:rPr>
          <w:rFonts w:ascii="Arial" w:hAnsi="Arial" w:cs="Arial"/>
          <w:b/>
          <w:bCs/>
          <w:sz w:val="24"/>
          <w:szCs w:val="24"/>
        </w:rPr>
      </w:pPr>
      <w:r w:rsidRPr="00A23626">
        <w:rPr>
          <w:rFonts w:ascii="Arial" w:hAnsi="Arial" w:cs="Arial"/>
          <w:b/>
          <w:bCs/>
          <w:sz w:val="24"/>
          <w:szCs w:val="24"/>
        </w:rPr>
        <w:t xml:space="preserve">Amendment </w:t>
      </w:r>
      <w:r>
        <w:rPr>
          <w:rFonts w:ascii="Arial" w:hAnsi="Arial" w:cs="Arial"/>
          <w:b/>
          <w:bCs/>
          <w:sz w:val="24"/>
          <w:szCs w:val="24"/>
        </w:rPr>
        <w:t>[</w:t>
      </w:r>
      <w:r w:rsidRPr="00A23626">
        <w:rPr>
          <w:rFonts w:ascii="Arial" w:hAnsi="Arial" w:cs="Arial"/>
          <w:b/>
          <w:bCs/>
          <w:sz w:val="24"/>
          <w:szCs w:val="24"/>
        </w:rPr>
        <w:t>1.</w:t>
      </w:r>
      <w:r w:rsidR="00EE5C53">
        <w:rPr>
          <w:rFonts w:ascii="Arial" w:hAnsi="Arial" w:cs="Arial"/>
          <w:b/>
          <w:bCs/>
          <w:sz w:val="24"/>
          <w:szCs w:val="24"/>
        </w:rPr>
        <w:t>6</w:t>
      </w:r>
      <w:r>
        <w:rPr>
          <w:rFonts w:ascii="Arial" w:hAnsi="Arial" w:cs="Arial"/>
          <w:b/>
          <w:bCs/>
          <w:sz w:val="24"/>
          <w:szCs w:val="24"/>
        </w:rPr>
        <w:t>] – Section 78(2)(d)</w:t>
      </w:r>
    </w:p>
    <w:p w14:paraId="69634EB1" w14:textId="08D392C8" w:rsidR="00BB281F" w:rsidRDefault="00BB281F" w:rsidP="00BB281F">
      <w:pPr>
        <w:autoSpaceDE w:val="0"/>
        <w:autoSpaceDN w:val="0"/>
        <w:adjustRightInd w:val="0"/>
        <w:spacing w:after="0" w:line="240" w:lineRule="auto"/>
        <w:rPr>
          <w:rFonts w:ascii="Arial" w:hAnsi="Arial" w:cs="Arial"/>
          <w:sz w:val="24"/>
          <w:szCs w:val="24"/>
        </w:rPr>
      </w:pPr>
      <w:r w:rsidRPr="00B8019E">
        <w:rPr>
          <w:rFonts w:ascii="Arial" w:hAnsi="Arial" w:cs="Arial"/>
          <w:sz w:val="24"/>
          <w:szCs w:val="24"/>
        </w:rPr>
        <w:t xml:space="preserve">This clause </w:t>
      </w:r>
      <w:r>
        <w:rPr>
          <w:rFonts w:ascii="Arial" w:hAnsi="Arial" w:cs="Arial"/>
          <w:sz w:val="24"/>
          <w:szCs w:val="24"/>
        </w:rPr>
        <w:t xml:space="preserve">omits ‘or retirement </w:t>
      </w:r>
      <w:r w:rsidR="00D82267">
        <w:rPr>
          <w:rFonts w:ascii="Arial" w:hAnsi="Arial" w:cs="Arial"/>
          <w:sz w:val="24"/>
          <w:szCs w:val="24"/>
        </w:rPr>
        <w:t xml:space="preserve">village </w:t>
      </w:r>
      <w:r>
        <w:rPr>
          <w:rFonts w:ascii="Arial" w:hAnsi="Arial" w:cs="Arial"/>
          <w:sz w:val="24"/>
          <w:szCs w:val="24"/>
        </w:rPr>
        <w:t xml:space="preserve">complaint’ from section 78(2)(d) and substitutes it with ‘, retirement village complaint or a conversion practice complaint’. </w:t>
      </w:r>
    </w:p>
    <w:p w14:paraId="21CEDD2E" w14:textId="77777777" w:rsidR="00BB281F" w:rsidRDefault="00BB281F" w:rsidP="00BB281F">
      <w:pPr>
        <w:autoSpaceDE w:val="0"/>
        <w:autoSpaceDN w:val="0"/>
        <w:adjustRightInd w:val="0"/>
        <w:spacing w:after="0" w:line="240" w:lineRule="auto"/>
        <w:rPr>
          <w:rFonts w:ascii="Arial" w:hAnsi="Arial" w:cs="Arial"/>
          <w:sz w:val="24"/>
          <w:szCs w:val="24"/>
        </w:rPr>
      </w:pPr>
    </w:p>
    <w:p w14:paraId="1807F160" w14:textId="77777777" w:rsidR="00BB281F" w:rsidRDefault="00BB281F" w:rsidP="00BB281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Section 78(2)(d) will now provide that the commission must close a complaint made to it if the complaint is a discrimination complaint, retirement village complaint or a conversion practice complaint that has been referred to the ACAT. </w:t>
      </w:r>
    </w:p>
    <w:p w14:paraId="037E23F3" w14:textId="4456D84B" w:rsidR="00BB281F" w:rsidRDefault="00BB281F" w:rsidP="00BB281F">
      <w:pPr>
        <w:rPr>
          <w:rFonts w:ascii="Arial" w:hAnsi="Arial" w:cs="Arial"/>
          <w:b/>
          <w:bCs/>
          <w:sz w:val="24"/>
          <w:szCs w:val="24"/>
        </w:rPr>
      </w:pPr>
      <w:r w:rsidRPr="00A23626">
        <w:rPr>
          <w:rFonts w:ascii="Arial" w:hAnsi="Arial" w:cs="Arial"/>
          <w:b/>
          <w:bCs/>
          <w:sz w:val="24"/>
          <w:szCs w:val="24"/>
        </w:rPr>
        <w:t xml:space="preserve">Amendment </w:t>
      </w:r>
      <w:r>
        <w:rPr>
          <w:rFonts w:ascii="Arial" w:hAnsi="Arial" w:cs="Arial"/>
          <w:b/>
          <w:bCs/>
          <w:sz w:val="24"/>
          <w:szCs w:val="24"/>
        </w:rPr>
        <w:t>[</w:t>
      </w:r>
      <w:r w:rsidRPr="00A23626">
        <w:rPr>
          <w:rFonts w:ascii="Arial" w:hAnsi="Arial" w:cs="Arial"/>
          <w:b/>
          <w:bCs/>
          <w:sz w:val="24"/>
          <w:szCs w:val="24"/>
        </w:rPr>
        <w:t>1.</w:t>
      </w:r>
      <w:r w:rsidR="00EE5C53">
        <w:rPr>
          <w:rFonts w:ascii="Arial" w:hAnsi="Arial" w:cs="Arial"/>
          <w:b/>
          <w:bCs/>
          <w:sz w:val="24"/>
          <w:szCs w:val="24"/>
        </w:rPr>
        <w:t>7</w:t>
      </w:r>
      <w:r>
        <w:rPr>
          <w:rFonts w:ascii="Arial" w:hAnsi="Arial" w:cs="Arial"/>
          <w:b/>
          <w:bCs/>
          <w:sz w:val="24"/>
          <w:szCs w:val="24"/>
        </w:rPr>
        <w:t>]</w:t>
      </w:r>
      <w:r w:rsidRPr="00A23626">
        <w:rPr>
          <w:rFonts w:ascii="Arial" w:hAnsi="Arial" w:cs="Arial"/>
          <w:b/>
          <w:bCs/>
          <w:sz w:val="24"/>
          <w:szCs w:val="24"/>
        </w:rPr>
        <w:t xml:space="preserve"> </w:t>
      </w:r>
      <w:r>
        <w:rPr>
          <w:rFonts w:ascii="Arial" w:hAnsi="Arial" w:cs="Arial"/>
          <w:b/>
          <w:bCs/>
          <w:sz w:val="24"/>
          <w:szCs w:val="24"/>
        </w:rPr>
        <w:t>– New section 82</w:t>
      </w:r>
      <w:r w:rsidR="00D82267">
        <w:rPr>
          <w:rFonts w:ascii="Arial" w:hAnsi="Arial" w:cs="Arial"/>
          <w:b/>
          <w:bCs/>
          <w:sz w:val="24"/>
          <w:szCs w:val="24"/>
        </w:rPr>
        <w:t>C</w:t>
      </w:r>
      <w:r>
        <w:rPr>
          <w:rFonts w:ascii="Arial" w:hAnsi="Arial" w:cs="Arial"/>
          <w:b/>
          <w:bCs/>
          <w:sz w:val="24"/>
          <w:szCs w:val="24"/>
        </w:rPr>
        <w:t xml:space="preserve"> </w:t>
      </w:r>
    </w:p>
    <w:p w14:paraId="1935CD56" w14:textId="77777777" w:rsidR="00BB281F" w:rsidRPr="00143CFC" w:rsidRDefault="00BB281F" w:rsidP="00BB281F">
      <w:pPr>
        <w:rPr>
          <w:rFonts w:ascii="Arial" w:hAnsi="Arial" w:cs="Arial"/>
          <w:sz w:val="28"/>
          <w:szCs w:val="28"/>
        </w:rPr>
      </w:pPr>
      <w:r w:rsidRPr="00143CFC">
        <w:rPr>
          <w:rFonts w:ascii="Arial" w:hAnsi="Arial" w:cs="Arial"/>
          <w:sz w:val="24"/>
          <w:szCs w:val="24"/>
        </w:rPr>
        <w:t xml:space="preserve">Section 80 of the Act </w:t>
      </w:r>
      <w:r>
        <w:rPr>
          <w:rFonts w:ascii="Arial" w:hAnsi="Arial" w:cs="Arial"/>
          <w:sz w:val="24"/>
          <w:szCs w:val="24"/>
        </w:rPr>
        <w:t xml:space="preserve">(How complaints are closed) provides </w:t>
      </w:r>
      <w:r w:rsidRPr="00143CFC">
        <w:rPr>
          <w:rFonts w:ascii="Arial" w:hAnsi="Arial" w:cs="Arial"/>
          <w:sz w:val="24"/>
          <w:szCs w:val="24"/>
        </w:rPr>
        <w:t xml:space="preserve">that the commission closes a complaint by giving a written report (the </w:t>
      </w:r>
      <w:r w:rsidRPr="00143CFC">
        <w:rPr>
          <w:rFonts w:ascii="Arial" w:hAnsi="Arial" w:cs="Arial"/>
          <w:b/>
          <w:bCs/>
          <w:i/>
          <w:iCs/>
          <w:sz w:val="24"/>
          <w:szCs w:val="24"/>
        </w:rPr>
        <w:t>final report</w:t>
      </w:r>
      <w:r w:rsidRPr="00143CFC">
        <w:rPr>
          <w:rFonts w:ascii="Arial" w:hAnsi="Arial" w:cs="Arial"/>
          <w:sz w:val="24"/>
          <w:szCs w:val="24"/>
        </w:rPr>
        <w:t xml:space="preserve">) to (a) the complainant; and (b) the person complained about; and </w:t>
      </w:r>
      <w:r>
        <w:rPr>
          <w:rFonts w:ascii="Arial" w:hAnsi="Arial" w:cs="Arial"/>
          <w:sz w:val="24"/>
          <w:szCs w:val="24"/>
        </w:rPr>
        <w:t xml:space="preserve">(c) if the complaint was referred to the commission by (i) a national board established under the Health Practitioner Regulation National Law (ACT), section 31 – the national board; or (ii) the veterinary practitioners board – the board. </w:t>
      </w:r>
    </w:p>
    <w:p w14:paraId="40132E97" w14:textId="12508B3B" w:rsidR="00BB281F" w:rsidRDefault="00BB281F" w:rsidP="00BB281F">
      <w:pPr>
        <w:rPr>
          <w:rFonts w:ascii="Arial" w:hAnsi="Arial" w:cs="Arial"/>
          <w:sz w:val="24"/>
          <w:szCs w:val="24"/>
        </w:rPr>
      </w:pPr>
      <w:r w:rsidRPr="00DB7743">
        <w:rPr>
          <w:rFonts w:ascii="Arial" w:hAnsi="Arial" w:cs="Arial"/>
          <w:sz w:val="24"/>
          <w:szCs w:val="24"/>
        </w:rPr>
        <w:t>This clause inserts new section 82</w:t>
      </w:r>
      <w:r w:rsidR="00D82267">
        <w:rPr>
          <w:rFonts w:ascii="Arial" w:hAnsi="Arial" w:cs="Arial"/>
          <w:sz w:val="24"/>
          <w:szCs w:val="24"/>
        </w:rPr>
        <w:t>C</w:t>
      </w:r>
      <w:r>
        <w:rPr>
          <w:rFonts w:ascii="Arial" w:hAnsi="Arial" w:cs="Arial"/>
          <w:sz w:val="24"/>
          <w:szCs w:val="24"/>
        </w:rPr>
        <w:t xml:space="preserve"> </w:t>
      </w:r>
      <w:r w:rsidR="00C0353D">
        <w:rPr>
          <w:rFonts w:ascii="Arial" w:hAnsi="Arial" w:cs="Arial"/>
          <w:sz w:val="24"/>
          <w:szCs w:val="24"/>
        </w:rPr>
        <w:t>(Closing conversion practice complaints)</w:t>
      </w:r>
      <w:r>
        <w:rPr>
          <w:rFonts w:ascii="Arial" w:hAnsi="Arial" w:cs="Arial"/>
          <w:sz w:val="24"/>
          <w:szCs w:val="24"/>
        </w:rPr>
        <w:t>. Subsection</w:t>
      </w:r>
      <w:r w:rsidR="00C0353D">
        <w:rPr>
          <w:rFonts w:ascii="Arial" w:hAnsi="Arial" w:cs="Arial"/>
          <w:sz w:val="24"/>
          <w:szCs w:val="24"/>
        </w:rPr>
        <w:t> </w:t>
      </w:r>
      <w:r>
        <w:rPr>
          <w:rFonts w:ascii="Arial" w:hAnsi="Arial" w:cs="Arial"/>
          <w:sz w:val="24"/>
          <w:szCs w:val="24"/>
        </w:rPr>
        <w:t>82</w:t>
      </w:r>
      <w:r w:rsidR="00D82267">
        <w:rPr>
          <w:rFonts w:ascii="Arial" w:hAnsi="Arial" w:cs="Arial"/>
          <w:sz w:val="24"/>
          <w:szCs w:val="24"/>
        </w:rPr>
        <w:t>C</w:t>
      </w:r>
      <w:r>
        <w:rPr>
          <w:rFonts w:ascii="Arial" w:hAnsi="Arial" w:cs="Arial"/>
          <w:sz w:val="24"/>
          <w:szCs w:val="24"/>
        </w:rPr>
        <w:t xml:space="preserve">(1) </w:t>
      </w:r>
      <w:r w:rsidRPr="00DB7743">
        <w:rPr>
          <w:rFonts w:ascii="Arial" w:hAnsi="Arial" w:cs="Arial"/>
          <w:sz w:val="24"/>
          <w:szCs w:val="24"/>
        </w:rPr>
        <w:t xml:space="preserve">provides that a final report in respect of a conversion practice complaint must include a conversion practice referral statement. </w:t>
      </w:r>
      <w:r w:rsidR="004928BA">
        <w:rPr>
          <w:rFonts w:ascii="Arial" w:hAnsi="Arial" w:cs="Arial"/>
          <w:sz w:val="24"/>
          <w:szCs w:val="24"/>
        </w:rPr>
        <w:t>However,</w:t>
      </w:r>
      <w:r>
        <w:rPr>
          <w:rFonts w:ascii="Arial" w:hAnsi="Arial" w:cs="Arial"/>
          <w:sz w:val="24"/>
          <w:szCs w:val="24"/>
        </w:rPr>
        <w:t xml:space="preserve"> subsection</w:t>
      </w:r>
      <w:r w:rsidR="00C0353D">
        <w:rPr>
          <w:rFonts w:ascii="Arial" w:hAnsi="Arial" w:cs="Arial"/>
          <w:sz w:val="24"/>
          <w:szCs w:val="24"/>
        </w:rPr>
        <w:t> </w:t>
      </w:r>
      <w:r>
        <w:rPr>
          <w:rFonts w:ascii="Arial" w:hAnsi="Arial" w:cs="Arial"/>
          <w:sz w:val="24"/>
          <w:szCs w:val="24"/>
        </w:rPr>
        <w:t>82</w:t>
      </w:r>
      <w:r w:rsidR="00D82267">
        <w:rPr>
          <w:rFonts w:ascii="Arial" w:hAnsi="Arial" w:cs="Arial"/>
          <w:sz w:val="24"/>
          <w:szCs w:val="24"/>
        </w:rPr>
        <w:t>C</w:t>
      </w:r>
      <w:r>
        <w:rPr>
          <w:rFonts w:ascii="Arial" w:hAnsi="Arial" w:cs="Arial"/>
          <w:sz w:val="24"/>
          <w:szCs w:val="24"/>
        </w:rPr>
        <w:t>(2) provides that subsection 82</w:t>
      </w:r>
      <w:r w:rsidR="00D82267">
        <w:rPr>
          <w:rFonts w:ascii="Arial" w:hAnsi="Arial" w:cs="Arial"/>
          <w:sz w:val="24"/>
          <w:szCs w:val="24"/>
        </w:rPr>
        <w:t>C</w:t>
      </w:r>
      <w:r>
        <w:rPr>
          <w:rFonts w:ascii="Arial" w:hAnsi="Arial" w:cs="Arial"/>
          <w:sz w:val="24"/>
          <w:szCs w:val="24"/>
        </w:rPr>
        <w:t xml:space="preserve">(1) does not apply if (a) the parties to the complaint have made a conciliation agreement in relation to the complaint; or (b) the complainant has withdrawn the complaint. </w:t>
      </w:r>
    </w:p>
    <w:p w14:paraId="3AEF223C" w14:textId="6051AA8F" w:rsidR="00BB281F" w:rsidRPr="00DB7743" w:rsidRDefault="00BB281F" w:rsidP="00BB281F">
      <w:pPr>
        <w:rPr>
          <w:rFonts w:ascii="Arial" w:hAnsi="Arial" w:cs="Arial"/>
          <w:sz w:val="24"/>
          <w:szCs w:val="24"/>
        </w:rPr>
      </w:pPr>
      <w:r>
        <w:rPr>
          <w:rFonts w:ascii="Arial" w:hAnsi="Arial" w:cs="Arial"/>
          <w:sz w:val="24"/>
          <w:szCs w:val="24"/>
        </w:rPr>
        <w:t>Subsection 82</w:t>
      </w:r>
      <w:r w:rsidR="00D82267">
        <w:rPr>
          <w:rFonts w:ascii="Arial" w:hAnsi="Arial" w:cs="Arial"/>
          <w:sz w:val="24"/>
          <w:szCs w:val="24"/>
        </w:rPr>
        <w:t>C</w:t>
      </w:r>
      <w:r>
        <w:rPr>
          <w:rFonts w:ascii="Arial" w:hAnsi="Arial" w:cs="Arial"/>
          <w:sz w:val="24"/>
          <w:szCs w:val="24"/>
        </w:rPr>
        <w:t>(3) provides that this section 82</w:t>
      </w:r>
      <w:r w:rsidR="00D82267">
        <w:rPr>
          <w:rFonts w:ascii="Arial" w:hAnsi="Arial" w:cs="Arial"/>
          <w:sz w:val="24"/>
          <w:szCs w:val="24"/>
        </w:rPr>
        <w:t>C</w:t>
      </w:r>
      <w:r>
        <w:rPr>
          <w:rFonts w:ascii="Arial" w:hAnsi="Arial" w:cs="Arial"/>
          <w:sz w:val="24"/>
          <w:szCs w:val="24"/>
        </w:rPr>
        <w:t xml:space="preserve"> is additional to the other requirements of the </w:t>
      </w:r>
      <w:r>
        <w:rPr>
          <w:rFonts w:ascii="Arial" w:hAnsi="Arial" w:cs="Arial"/>
          <w:i/>
          <w:iCs/>
          <w:sz w:val="24"/>
          <w:szCs w:val="24"/>
        </w:rPr>
        <w:t xml:space="preserve">Human Right Commission Act 2005 </w:t>
      </w:r>
      <w:r>
        <w:rPr>
          <w:rFonts w:ascii="Arial" w:hAnsi="Arial" w:cs="Arial"/>
          <w:sz w:val="24"/>
          <w:szCs w:val="24"/>
        </w:rPr>
        <w:t xml:space="preserve">for a final report. </w:t>
      </w:r>
    </w:p>
    <w:p w14:paraId="0301274D" w14:textId="52B48186" w:rsidR="00BB281F" w:rsidRDefault="00BB281F" w:rsidP="00BB281F">
      <w:pPr>
        <w:rPr>
          <w:rFonts w:ascii="Arial" w:hAnsi="Arial" w:cs="Arial"/>
          <w:b/>
          <w:bCs/>
          <w:sz w:val="24"/>
          <w:szCs w:val="24"/>
        </w:rPr>
      </w:pPr>
      <w:r w:rsidRPr="00A23626">
        <w:rPr>
          <w:rFonts w:ascii="Arial" w:hAnsi="Arial" w:cs="Arial"/>
          <w:b/>
          <w:bCs/>
          <w:sz w:val="24"/>
          <w:szCs w:val="24"/>
        </w:rPr>
        <w:lastRenderedPageBreak/>
        <w:t xml:space="preserve">Amendment </w:t>
      </w:r>
      <w:r>
        <w:rPr>
          <w:rFonts w:ascii="Arial" w:hAnsi="Arial" w:cs="Arial"/>
          <w:b/>
          <w:bCs/>
          <w:sz w:val="24"/>
          <w:szCs w:val="24"/>
        </w:rPr>
        <w:t>[</w:t>
      </w:r>
      <w:r w:rsidRPr="00A23626">
        <w:rPr>
          <w:rFonts w:ascii="Arial" w:hAnsi="Arial" w:cs="Arial"/>
          <w:b/>
          <w:bCs/>
          <w:sz w:val="24"/>
          <w:szCs w:val="24"/>
        </w:rPr>
        <w:t>1.</w:t>
      </w:r>
      <w:r w:rsidR="00EE5C53">
        <w:rPr>
          <w:rFonts w:ascii="Arial" w:hAnsi="Arial" w:cs="Arial"/>
          <w:b/>
          <w:bCs/>
          <w:sz w:val="24"/>
          <w:szCs w:val="24"/>
        </w:rPr>
        <w:t>8</w:t>
      </w:r>
      <w:r>
        <w:rPr>
          <w:rFonts w:ascii="Arial" w:hAnsi="Arial" w:cs="Arial"/>
          <w:b/>
          <w:bCs/>
          <w:sz w:val="24"/>
          <w:szCs w:val="24"/>
        </w:rPr>
        <w:t>]</w:t>
      </w:r>
      <w:r w:rsidRPr="00A23626">
        <w:rPr>
          <w:rFonts w:ascii="Arial" w:hAnsi="Arial" w:cs="Arial"/>
          <w:b/>
          <w:bCs/>
          <w:sz w:val="24"/>
          <w:szCs w:val="24"/>
        </w:rPr>
        <w:t xml:space="preserve"> </w:t>
      </w:r>
      <w:r>
        <w:rPr>
          <w:rFonts w:ascii="Arial" w:hAnsi="Arial" w:cs="Arial"/>
          <w:b/>
          <w:bCs/>
          <w:sz w:val="24"/>
          <w:szCs w:val="24"/>
        </w:rPr>
        <w:t>– New section 88</w:t>
      </w:r>
      <w:r w:rsidR="00D82267">
        <w:rPr>
          <w:rFonts w:ascii="Arial" w:hAnsi="Arial" w:cs="Arial"/>
          <w:b/>
          <w:bCs/>
          <w:sz w:val="24"/>
          <w:szCs w:val="24"/>
        </w:rPr>
        <w:t>C</w:t>
      </w:r>
      <w:r>
        <w:rPr>
          <w:rFonts w:ascii="Arial" w:hAnsi="Arial" w:cs="Arial"/>
          <w:b/>
          <w:bCs/>
          <w:sz w:val="24"/>
          <w:szCs w:val="24"/>
        </w:rPr>
        <w:t xml:space="preserve"> </w:t>
      </w:r>
    </w:p>
    <w:p w14:paraId="5E4D5DBB" w14:textId="4EA0F25B" w:rsidR="00BB281F" w:rsidRDefault="00BB281F" w:rsidP="00BB281F">
      <w:pPr>
        <w:rPr>
          <w:rFonts w:ascii="Arial" w:hAnsi="Arial" w:cs="Arial"/>
          <w:sz w:val="24"/>
          <w:szCs w:val="24"/>
        </w:rPr>
      </w:pPr>
      <w:r w:rsidRPr="0080585F">
        <w:rPr>
          <w:rFonts w:ascii="Arial" w:hAnsi="Arial" w:cs="Arial"/>
          <w:sz w:val="24"/>
          <w:szCs w:val="24"/>
        </w:rPr>
        <w:t xml:space="preserve">This clause </w:t>
      </w:r>
      <w:r>
        <w:rPr>
          <w:rFonts w:ascii="Arial" w:hAnsi="Arial" w:cs="Arial"/>
          <w:sz w:val="24"/>
          <w:szCs w:val="24"/>
        </w:rPr>
        <w:t>inserts new section 88</w:t>
      </w:r>
      <w:r w:rsidR="00D82267">
        <w:rPr>
          <w:rFonts w:ascii="Arial" w:hAnsi="Arial" w:cs="Arial"/>
          <w:sz w:val="24"/>
          <w:szCs w:val="24"/>
        </w:rPr>
        <w:t>C</w:t>
      </w:r>
      <w:r>
        <w:rPr>
          <w:rFonts w:ascii="Arial" w:hAnsi="Arial" w:cs="Arial"/>
          <w:sz w:val="24"/>
          <w:szCs w:val="24"/>
        </w:rPr>
        <w:t xml:space="preserve"> which provides a definition of </w:t>
      </w:r>
      <w:r w:rsidRPr="000E126A">
        <w:rPr>
          <w:rFonts w:ascii="Arial" w:hAnsi="Arial" w:cs="Arial"/>
          <w:b/>
          <w:bCs/>
          <w:i/>
          <w:iCs/>
          <w:sz w:val="24"/>
          <w:szCs w:val="24"/>
        </w:rPr>
        <w:t>conversion practice referral statement</w:t>
      </w:r>
      <w:r>
        <w:rPr>
          <w:rFonts w:ascii="Arial" w:hAnsi="Arial" w:cs="Arial"/>
          <w:sz w:val="24"/>
          <w:szCs w:val="24"/>
        </w:rPr>
        <w:t xml:space="preserve">. </w:t>
      </w:r>
    </w:p>
    <w:p w14:paraId="5911C7F2" w14:textId="77777777" w:rsidR="00BB281F" w:rsidRDefault="00BB281F" w:rsidP="00BB281F">
      <w:pPr>
        <w:rPr>
          <w:rFonts w:ascii="Arial" w:hAnsi="Arial" w:cs="Arial"/>
          <w:sz w:val="24"/>
          <w:szCs w:val="24"/>
        </w:rPr>
      </w:pPr>
      <w:r>
        <w:rPr>
          <w:rFonts w:ascii="Arial" w:hAnsi="Arial" w:cs="Arial"/>
          <w:sz w:val="24"/>
          <w:szCs w:val="24"/>
        </w:rPr>
        <w:t xml:space="preserve">New section 88B provides that a </w:t>
      </w:r>
      <w:r>
        <w:rPr>
          <w:rFonts w:ascii="Arial" w:hAnsi="Arial" w:cs="Arial"/>
          <w:b/>
          <w:bCs/>
          <w:i/>
          <w:iCs/>
          <w:sz w:val="24"/>
          <w:szCs w:val="24"/>
        </w:rPr>
        <w:t xml:space="preserve">conversion practice referral statement </w:t>
      </w:r>
      <w:r>
        <w:rPr>
          <w:rFonts w:ascii="Arial" w:hAnsi="Arial" w:cs="Arial"/>
          <w:sz w:val="24"/>
          <w:szCs w:val="24"/>
        </w:rPr>
        <w:t xml:space="preserve">is a statement in a notice in relation to a conversion practice complaint to the effect that – </w:t>
      </w:r>
    </w:p>
    <w:p w14:paraId="1A3066CF" w14:textId="77777777" w:rsidR="00BB281F" w:rsidRDefault="00BB281F" w:rsidP="00BB281F">
      <w:pPr>
        <w:pStyle w:val="ListParagraph"/>
        <w:numPr>
          <w:ilvl w:val="0"/>
          <w:numId w:val="3"/>
        </w:numPr>
        <w:spacing w:after="160" w:line="259" w:lineRule="auto"/>
        <w:contextualSpacing/>
        <w:rPr>
          <w:rFonts w:ascii="Arial" w:hAnsi="Arial" w:cs="Arial"/>
          <w:sz w:val="24"/>
          <w:szCs w:val="24"/>
        </w:rPr>
      </w:pPr>
      <w:r>
        <w:rPr>
          <w:rFonts w:ascii="Arial" w:hAnsi="Arial" w:cs="Arial"/>
          <w:sz w:val="24"/>
          <w:szCs w:val="24"/>
        </w:rPr>
        <w:t xml:space="preserve">the commission has closed the complaint; and </w:t>
      </w:r>
    </w:p>
    <w:p w14:paraId="4DE4C926" w14:textId="77777777" w:rsidR="00BB281F" w:rsidRDefault="00BB281F" w:rsidP="00BB281F">
      <w:pPr>
        <w:pStyle w:val="ListParagraph"/>
        <w:numPr>
          <w:ilvl w:val="0"/>
          <w:numId w:val="3"/>
        </w:numPr>
        <w:spacing w:after="160" w:line="259" w:lineRule="auto"/>
        <w:contextualSpacing/>
        <w:rPr>
          <w:rFonts w:ascii="Arial" w:hAnsi="Arial" w:cs="Arial"/>
          <w:sz w:val="24"/>
          <w:szCs w:val="24"/>
        </w:rPr>
      </w:pPr>
      <w:r>
        <w:rPr>
          <w:rFonts w:ascii="Arial" w:hAnsi="Arial" w:cs="Arial"/>
          <w:sz w:val="24"/>
          <w:szCs w:val="24"/>
        </w:rPr>
        <w:t>the complainant may ask the commission to refer the complaint to the ACAT within 60 days after the day the notice is given to the complainant; and</w:t>
      </w:r>
    </w:p>
    <w:p w14:paraId="5D058840" w14:textId="0F7E6447" w:rsidR="00BB281F" w:rsidRDefault="00BB281F" w:rsidP="00BB281F">
      <w:pPr>
        <w:pStyle w:val="ListParagraph"/>
        <w:numPr>
          <w:ilvl w:val="0"/>
          <w:numId w:val="3"/>
        </w:numPr>
        <w:spacing w:after="160" w:line="259" w:lineRule="auto"/>
        <w:contextualSpacing/>
        <w:rPr>
          <w:rFonts w:ascii="Arial" w:hAnsi="Arial" w:cs="Arial"/>
          <w:sz w:val="24"/>
          <w:szCs w:val="24"/>
        </w:rPr>
      </w:pPr>
      <w:r>
        <w:rPr>
          <w:rFonts w:ascii="Arial" w:hAnsi="Arial" w:cs="Arial"/>
          <w:sz w:val="24"/>
          <w:szCs w:val="24"/>
        </w:rPr>
        <w:t>after the 60-day period, the complainant may apply to the ACAT under section 53</w:t>
      </w:r>
      <w:r w:rsidR="00D82267">
        <w:rPr>
          <w:rFonts w:ascii="Arial" w:hAnsi="Arial" w:cs="Arial"/>
          <w:sz w:val="24"/>
          <w:szCs w:val="24"/>
        </w:rPr>
        <w:t>ZB</w:t>
      </w:r>
      <w:r>
        <w:rPr>
          <w:rFonts w:ascii="Arial" w:hAnsi="Arial" w:cs="Arial"/>
          <w:sz w:val="24"/>
          <w:szCs w:val="24"/>
        </w:rPr>
        <w:t xml:space="preserve"> (Conversion practice complaints – late application in exceptional circumstances) for the complaint to be heard. </w:t>
      </w:r>
    </w:p>
    <w:p w14:paraId="3848EA19" w14:textId="71D9C812" w:rsidR="00BB281F" w:rsidRDefault="00BB281F" w:rsidP="00BB281F">
      <w:pPr>
        <w:rPr>
          <w:rFonts w:ascii="Arial" w:hAnsi="Arial" w:cs="Arial"/>
          <w:sz w:val="24"/>
          <w:szCs w:val="24"/>
        </w:rPr>
      </w:pPr>
      <w:r>
        <w:rPr>
          <w:rFonts w:ascii="Arial" w:hAnsi="Arial" w:cs="Arial"/>
          <w:sz w:val="24"/>
          <w:szCs w:val="24"/>
        </w:rPr>
        <w:t>New section 88B includes a note that the commission must refer the complaint to the ACAT if the complainant asks it to refer the complaint within the 60-day period (see s</w:t>
      </w:r>
      <w:r w:rsidR="00EE5C53">
        <w:rPr>
          <w:rFonts w:ascii="Arial" w:hAnsi="Arial" w:cs="Arial"/>
          <w:sz w:val="24"/>
          <w:szCs w:val="24"/>
        </w:rPr>
        <w:t>ection </w:t>
      </w:r>
      <w:r>
        <w:rPr>
          <w:rFonts w:ascii="Arial" w:hAnsi="Arial" w:cs="Arial"/>
          <w:sz w:val="24"/>
          <w:szCs w:val="24"/>
        </w:rPr>
        <w:t>53</w:t>
      </w:r>
      <w:r w:rsidR="00D82267">
        <w:rPr>
          <w:rFonts w:ascii="Arial" w:hAnsi="Arial" w:cs="Arial"/>
          <w:sz w:val="24"/>
          <w:szCs w:val="24"/>
        </w:rPr>
        <w:t>ZA</w:t>
      </w:r>
      <w:r>
        <w:rPr>
          <w:rFonts w:ascii="Arial" w:hAnsi="Arial" w:cs="Arial"/>
          <w:sz w:val="24"/>
          <w:szCs w:val="24"/>
        </w:rPr>
        <w:t xml:space="preserve">). </w:t>
      </w:r>
    </w:p>
    <w:p w14:paraId="60499BAB" w14:textId="4ADD44F0" w:rsidR="00BB281F" w:rsidRDefault="00BB281F" w:rsidP="00BB281F">
      <w:pPr>
        <w:rPr>
          <w:rFonts w:ascii="Arial" w:hAnsi="Arial" w:cs="Arial"/>
          <w:b/>
          <w:bCs/>
          <w:sz w:val="24"/>
          <w:szCs w:val="24"/>
        </w:rPr>
      </w:pPr>
      <w:r w:rsidRPr="00A23626">
        <w:rPr>
          <w:rFonts w:ascii="Arial" w:hAnsi="Arial" w:cs="Arial"/>
          <w:b/>
          <w:bCs/>
          <w:sz w:val="24"/>
          <w:szCs w:val="24"/>
        </w:rPr>
        <w:t xml:space="preserve">Amendment </w:t>
      </w:r>
      <w:r>
        <w:rPr>
          <w:rFonts w:ascii="Arial" w:hAnsi="Arial" w:cs="Arial"/>
          <w:b/>
          <w:bCs/>
          <w:sz w:val="24"/>
          <w:szCs w:val="24"/>
        </w:rPr>
        <w:t>[</w:t>
      </w:r>
      <w:r w:rsidRPr="00A23626">
        <w:rPr>
          <w:rFonts w:ascii="Arial" w:hAnsi="Arial" w:cs="Arial"/>
          <w:b/>
          <w:bCs/>
          <w:sz w:val="24"/>
          <w:szCs w:val="24"/>
        </w:rPr>
        <w:t>1.</w:t>
      </w:r>
      <w:r w:rsidR="00EE5C53">
        <w:rPr>
          <w:rFonts w:ascii="Arial" w:hAnsi="Arial" w:cs="Arial"/>
          <w:b/>
          <w:bCs/>
          <w:sz w:val="24"/>
          <w:szCs w:val="24"/>
        </w:rPr>
        <w:t>9</w:t>
      </w:r>
      <w:r>
        <w:rPr>
          <w:rFonts w:ascii="Arial" w:hAnsi="Arial" w:cs="Arial"/>
          <w:b/>
          <w:bCs/>
          <w:sz w:val="24"/>
          <w:szCs w:val="24"/>
        </w:rPr>
        <w:t>]</w:t>
      </w:r>
      <w:r w:rsidRPr="00A23626">
        <w:rPr>
          <w:rFonts w:ascii="Arial" w:hAnsi="Arial" w:cs="Arial"/>
          <w:b/>
          <w:bCs/>
          <w:sz w:val="24"/>
          <w:szCs w:val="24"/>
        </w:rPr>
        <w:t xml:space="preserve"> – Dictionary, new definitions  </w:t>
      </w:r>
    </w:p>
    <w:p w14:paraId="02E5E01E" w14:textId="4747B05E" w:rsidR="00BB281F" w:rsidRDefault="00BB281F" w:rsidP="00BB281F">
      <w:pPr>
        <w:rPr>
          <w:rFonts w:ascii="Arial" w:hAnsi="Arial" w:cs="Arial"/>
          <w:sz w:val="24"/>
          <w:szCs w:val="24"/>
        </w:rPr>
      </w:pPr>
      <w:r w:rsidRPr="00EE21E7">
        <w:rPr>
          <w:rFonts w:ascii="Arial" w:hAnsi="Arial" w:cs="Arial"/>
          <w:sz w:val="24"/>
          <w:szCs w:val="24"/>
        </w:rPr>
        <w:t>This clause inserts</w:t>
      </w:r>
      <w:r>
        <w:rPr>
          <w:rFonts w:ascii="Arial" w:hAnsi="Arial" w:cs="Arial"/>
          <w:sz w:val="24"/>
          <w:szCs w:val="24"/>
        </w:rPr>
        <w:t xml:space="preserve"> definitions for </w:t>
      </w:r>
      <w:r w:rsidR="00EE5C53">
        <w:rPr>
          <w:rFonts w:ascii="Arial" w:hAnsi="Arial" w:cs="Arial"/>
          <w:sz w:val="24"/>
          <w:szCs w:val="24"/>
        </w:rPr>
        <w:t xml:space="preserve">the </w:t>
      </w:r>
      <w:r>
        <w:rPr>
          <w:rFonts w:ascii="Arial" w:hAnsi="Arial" w:cs="Arial"/>
          <w:sz w:val="24"/>
          <w:szCs w:val="24"/>
        </w:rPr>
        <w:t xml:space="preserve">terms </w:t>
      </w:r>
      <w:r w:rsidRPr="000E126A">
        <w:rPr>
          <w:rFonts w:ascii="Arial" w:hAnsi="Arial" w:cs="Arial"/>
          <w:b/>
          <w:bCs/>
          <w:i/>
          <w:iCs/>
          <w:sz w:val="24"/>
          <w:szCs w:val="24"/>
        </w:rPr>
        <w:t>conversion practices complaint</w:t>
      </w:r>
      <w:r w:rsidR="00EE5C53">
        <w:rPr>
          <w:rFonts w:ascii="Arial" w:hAnsi="Arial" w:cs="Arial"/>
          <w:sz w:val="24"/>
          <w:szCs w:val="24"/>
        </w:rPr>
        <w:t xml:space="preserve"> and</w:t>
      </w:r>
      <w:r>
        <w:rPr>
          <w:rFonts w:ascii="Arial" w:hAnsi="Arial" w:cs="Arial"/>
          <w:sz w:val="24"/>
          <w:szCs w:val="24"/>
        </w:rPr>
        <w:t xml:space="preserve"> </w:t>
      </w:r>
      <w:r w:rsidRPr="000E126A">
        <w:rPr>
          <w:rFonts w:ascii="Arial" w:hAnsi="Arial" w:cs="Arial"/>
          <w:b/>
          <w:bCs/>
          <w:i/>
          <w:iCs/>
          <w:sz w:val="24"/>
          <w:szCs w:val="24"/>
        </w:rPr>
        <w:t>conversion practice referral statement</w:t>
      </w:r>
      <w:r>
        <w:rPr>
          <w:rFonts w:ascii="Arial" w:hAnsi="Arial" w:cs="Arial"/>
          <w:sz w:val="24"/>
          <w:szCs w:val="24"/>
        </w:rPr>
        <w:t xml:space="preserve"> in the dictionary of the </w:t>
      </w:r>
      <w:r w:rsidRPr="00F22462">
        <w:rPr>
          <w:rFonts w:ascii="Arial" w:hAnsi="Arial" w:cs="Arial"/>
          <w:i/>
          <w:iCs/>
          <w:sz w:val="24"/>
          <w:szCs w:val="24"/>
        </w:rPr>
        <w:t>Human Rights Commission Act 2005</w:t>
      </w:r>
      <w:r>
        <w:rPr>
          <w:rFonts w:ascii="Arial" w:hAnsi="Arial" w:cs="Arial"/>
          <w:sz w:val="24"/>
          <w:szCs w:val="24"/>
        </w:rPr>
        <w:t xml:space="preserve">.  </w:t>
      </w:r>
    </w:p>
    <w:p w14:paraId="47D38F14" w14:textId="2445EED3" w:rsidR="00BB281F" w:rsidRDefault="00BB281F" w:rsidP="00BB281F">
      <w:pPr>
        <w:rPr>
          <w:rFonts w:ascii="Arial" w:hAnsi="Arial" w:cs="Arial"/>
          <w:sz w:val="24"/>
          <w:szCs w:val="24"/>
        </w:rPr>
      </w:pPr>
      <w:r>
        <w:rPr>
          <w:rFonts w:ascii="Arial" w:hAnsi="Arial" w:cs="Arial"/>
          <w:sz w:val="24"/>
          <w:szCs w:val="24"/>
        </w:rPr>
        <w:t xml:space="preserve">The definitions </w:t>
      </w:r>
      <w:r w:rsidR="00EE5C53">
        <w:rPr>
          <w:rFonts w:ascii="Arial" w:hAnsi="Arial" w:cs="Arial"/>
          <w:sz w:val="24"/>
          <w:szCs w:val="24"/>
        </w:rPr>
        <w:t>are</w:t>
      </w:r>
      <w:r>
        <w:rPr>
          <w:rFonts w:ascii="Arial" w:hAnsi="Arial" w:cs="Arial"/>
          <w:sz w:val="24"/>
          <w:szCs w:val="24"/>
        </w:rPr>
        <w:t xml:space="preserve">: </w:t>
      </w:r>
    </w:p>
    <w:p w14:paraId="1A24C43E" w14:textId="404819DF" w:rsidR="00BB281F" w:rsidRPr="00B8019E" w:rsidRDefault="00BB281F" w:rsidP="00BB281F">
      <w:pPr>
        <w:autoSpaceDE w:val="0"/>
        <w:autoSpaceDN w:val="0"/>
        <w:adjustRightInd w:val="0"/>
        <w:spacing w:after="0" w:line="240" w:lineRule="auto"/>
        <w:rPr>
          <w:rFonts w:ascii="Arial" w:hAnsi="Arial" w:cs="Arial"/>
          <w:sz w:val="24"/>
          <w:szCs w:val="24"/>
        </w:rPr>
      </w:pPr>
      <w:r w:rsidRPr="00B8019E">
        <w:rPr>
          <w:rFonts w:ascii="Arial" w:hAnsi="Arial" w:cs="Arial"/>
          <w:b/>
          <w:bCs/>
          <w:i/>
          <w:iCs/>
          <w:sz w:val="24"/>
          <w:szCs w:val="24"/>
        </w:rPr>
        <w:t xml:space="preserve">conversion practice complaint </w:t>
      </w:r>
      <w:r w:rsidRPr="00B8019E">
        <w:rPr>
          <w:rFonts w:ascii="Arial" w:hAnsi="Arial" w:cs="Arial"/>
          <w:sz w:val="24"/>
          <w:szCs w:val="24"/>
        </w:rPr>
        <w:t xml:space="preserve">means a complaint about a sexuality or gender identity </w:t>
      </w:r>
      <w:r w:rsidR="00D82267">
        <w:rPr>
          <w:rFonts w:ascii="Arial" w:hAnsi="Arial" w:cs="Arial"/>
          <w:sz w:val="24"/>
          <w:szCs w:val="24"/>
        </w:rPr>
        <w:t xml:space="preserve">conversion </w:t>
      </w:r>
      <w:r w:rsidRPr="00B8019E">
        <w:rPr>
          <w:rFonts w:ascii="Arial" w:hAnsi="Arial" w:cs="Arial"/>
          <w:sz w:val="24"/>
          <w:szCs w:val="24"/>
        </w:rPr>
        <w:t>practice that may be made, or is made, under section 4</w:t>
      </w:r>
      <w:r w:rsidR="00EE5C53">
        <w:rPr>
          <w:rFonts w:ascii="Arial" w:hAnsi="Arial" w:cs="Arial"/>
          <w:sz w:val="24"/>
          <w:szCs w:val="24"/>
        </w:rPr>
        <w:t>3</w:t>
      </w:r>
      <w:r w:rsidRPr="00B8019E">
        <w:rPr>
          <w:rFonts w:ascii="Arial" w:hAnsi="Arial" w:cs="Arial"/>
          <w:sz w:val="24"/>
          <w:szCs w:val="24"/>
        </w:rPr>
        <w:t>.</w:t>
      </w:r>
    </w:p>
    <w:p w14:paraId="0F893E11" w14:textId="77777777" w:rsidR="00BB281F" w:rsidRPr="00B8019E" w:rsidRDefault="00BB281F" w:rsidP="00BB281F">
      <w:pPr>
        <w:autoSpaceDE w:val="0"/>
        <w:autoSpaceDN w:val="0"/>
        <w:adjustRightInd w:val="0"/>
        <w:spacing w:after="0" w:line="240" w:lineRule="auto"/>
        <w:rPr>
          <w:rFonts w:ascii="Arial" w:hAnsi="Arial" w:cs="Arial"/>
          <w:sz w:val="24"/>
          <w:szCs w:val="24"/>
        </w:rPr>
      </w:pPr>
    </w:p>
    <w:p w14:paraId="1F1EC6DA" w14:textId="082BF726" w:rsidR="00BB281F" w:rsidRPr="00B8019E" w:rsidRDefault="00BB281F" w:rsidP="00BB281F">
      <w:pPr>
        <w:autoSpaceDE w:val="0"/>
        <w:autoSpaceDN w:val="0"/>
        <w:adjustRightInd w:val="0"/>
        <w:spacing w:after="0" w:line="240" w:lineRule="auto"/>
        <w:rPr>
          <w:rFonts w:ascii="Arial" w:hAnsi="Arial" w:cs="Arial"/>
          <w:sz w:val="24"/>
          <w:szCs w:val="24"/>
        </w:rPr>
      </w:pPr>
      <w:r w:rsidRPr="00B8019E">
        <w:rPr>
          <w:rFonts w:ascii="Arial" w:hAnsi="Arial" w:cs="Arial"/>
          <w:b/>
          <w:bCs/>
          <w:i/>
          <w:iCs/>
          <w:sz w:val="24"/>
          <w:szCs w:val="24"/>
        </w:rPr>
        <w:t>conversion practice referral statement</w:t>
      </w:r>
      <w:r w:rsidRPr="00B8019E">
        <w:rPr>
          <w:rFonts w:ascii="Arial" w:hAnsi="Arial" w:cs="Arial"/>
          <w:sz w:val="24"/>
          <w:szCs w:val="24"/>
        </w:rPr>
        <w:t>—see section 88</w:t>
      </w:r>
      <w:r w:rsidR="00D82267">
        <w:rPr>
          <w:rFonts w:ascii="Arial" w:hAnsi="Arial" w:cs="Arial"/>
          <w:sz w:val="24"/>
          <w:szCs w:val="24"/>
        </w:rPr>
        <w:t>C</w:t>
      </w:r>
      <w:r w:rsidRPr="00B8019E">
        <w:rPr>
          <w:rFonts w:ascii="Arial" w:hAnsi="Arial" w:cs="Arial"/>
          <w:sz w:val="24"/>
          <w:szCs w:val="24"/>
        </w:rPr>
        <w:t>.</w:t>
      </w:r>
    </w:p>
    <w:p w14:paraId="6D9B932E" w14:textId="77777777" w:rsidR="00BB281F" w:rsidRPr="00B8019E" w:rsidRDefault="00BB281F" w:rsidP="00BB281F">
      <w:pPr>
        <w:autoSpaceDE w:val="0"/>
        <w:autoSpaceDN w:val="0"/>
        <w:adjustRightInd w:val="0"/>
        <w:spacing w:after="0" w:line="240" w:lineRule="auto"/>
        <w:rPr>
          <w:rFonts w:ascii="Arial" w:hAnsi="Arial" w:cs="Arial"/>
          <w:sz w:val="24"/>
          <w:szCs w:val="24"/>
        </w:rPr>
      </w:pPr>
    </w:p>
    <w:p w14:paraId="7114B0BF" w14:textId="0CC8D683" w:rsidR="00D82267" w:rsidRPr="00656483" w:rsidRDefault="00D82267" w:rsidP="00BB281F">
      <w:pPr>
        <w:rPr>
          <w:rFonts w:ascii="Arial" w:hAnsi="Arial" w:cs="Arial"/>
          <w:b/>
          <w:bCs/>
          <w:sz w:val="24"/>
          <w:szCs w:val="24"/>
        </w:rPr>
      </w:pPr>
      <w:r w:rsidRPr="00656483">
        <w:rPr>
          <w:rFonts w:ascii="Arial" w:hAnsi="Arial" w:cs="Arial"/>
          <w:b/>
          <w:bCs/>
          <w:sz w:val="24"/>
          <w:szCs w:val="24"/>
        </w:rPr>
        <w:t>Amendment [1.1</w:t>
      </w:r>
      <w:r w:rsidR="00EE5C53">
        <w:rPr>
          <w:rFonts w:ascii="Arial" w:hAnsi="Arial" w:cs="Arial"/>
          <w:b/>
          <w:bCs/>
          <w:sz w:val="24"/>
          <w:szCs w:val="24"/>
        </w:rPr>
        <w:t>0</w:t>
      </w:r>
      <w:r w:rsidRPr="00656483">
        <w:rPr>
          <w:rFonts w:ascii="Arial" w:hAnsi="Arial" w:cs="Arial"/>
          <w:b/>
          <w:bCs/>
          <w:sz w:val="24"/>
          <w:szCs w:val="24"/>
        </w:rPr>
        <w:t xml:space="preserve">] – Dictionary, definition of </w:t>
      </w:r>
      <w:r w:rsidRPr="00656483">
        <w:rPr>
          <w:rFonts w:ascii="Arial" w:hAnsi="Arial" w:cs="Arial"/>
          <w:b/>
          <w:bCs/>
          <w:i/>
          <w:iCs/>
          <w:sz w:val="24"/>
          <w:szCs w:val="24"/>
        </w:rPr>
        <w:t xml:space="preserve">person complained about, </w:t>
      </w:r>
      <w:r w:rsidRPr="00656483">
        <w:rPr>
          <w:rFonts w:ascii="Arial" w:hAnsi="Arial" w:cs="Arial"/>
          <w:b/>
          <w:bCs/>
          <w:sz w:val="24"/>
          <w:szCs w:val="24"/>
        </w:rPr>
        <w:t>new paragraph (c)</w:t>
      </w:r>
    </w:p>
    <w:p w14:paraId="09F90480" w14:textId="3BDB07B2" w:rsidR="00D82267" w:rsidRPr="00B8019E" w:rsidRDefault="00D82267" w:rsidP="00D8226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This clause inserts a new paragraph (c) in the definition for </w:t>
      </w:r>
      <w:r w:rsidRPr="00B8019E">
        <w:rPr>
          <w:rFonts w:ascii="Arial" w:hAnsi="Arial" w:cs="Arial"/>
          <w:b/>
          <w:bCs/>
          <w:i/>
          <w:iCs/>
          <w:sz w:val="24"/>
          <w:szCs w:val="24"/>
        </w:rPr>
        <w:t>person complained about</w:t>
      </w:r>
      <w:r w:rsidR="00EE5C53">
        <w:rPr>
          <w:rFonts w:ascii="Arial" w:hAnsi="Arial" w:cs="Arial"/>
          <w:sz w:val="24"/>
          <w:szCs w:val="24"/>
        </w:rPr>
        <w:t xml:space="preserve"> </w:t>
      </w:r>
      <w:r w:rsidRPr="00B8019E">
        <w:rPr>
          <w:rFonts w:ascii="Arial" w:hAnsi="Arial" w:cs="Arial"/>
          <w:sz w:val="24"/>
          <w:szCs w:val="24"/>
        </w:rPr>
        <w:t>for division 4.2</w:t>
      </w:r>
      <w:r>
        <w:rPr>
          <w:rFonts w:ascii="Arial" w:hAnsi="Arial" w:cs="Arial"/>
          <w:sz w:val="24"/>
          <w:szCs w:val="24"/>
        </w:rPr>
        <w:t>D</w:t>
      </w:r>
      <w:r w:rsidRPr="00B8019E">
        <w:rPr>
          <w:rFonts w:ascii="Arial" w:hAnsi="Arial" w:cs="Arial"/>
          <w:sz w:val="24"/>
          <w:szCs w:val="24"/>
        </w:rPr>
        <w:t xml:space="preserve"> (Conversion practice complaints to ACAT)—see section</w:t>
      </w:r>
      <w:r w:rsidR="00EE5C53">
        <w:rPr>
          <w:rFonts w:ascii="Arial" w:hAnsi="Arial" w:cs="Arial"/>
          <w:sz w:val="24"/>
          <w:szCs w:val="24"/>
        </w:rPr>
        <w:t> </w:t>
      </w:r>
      <w:r w:rsidRPr="00B8019E">
        <w:rPr>
          <w:rFonts w:ascii="Arial" w:hAnsi="Arial" w:cs="Arial"/>
          <w:sz w:val="24"/>
          <w:szCs w:val="24"/>
        </w:rPr>
        <w:t>53</w:t>
      </w:r>
      <w:r>
        <w:rPr>
          <w:rFonts w:ascii="Arial" w:hAnsi="Arial" w:cs="Arial"/>
          <w:sz w:val="24"/>
          <w:szCs w:val="24"/>
        </w:rPr>
        <w:t>Z</w:t>
      </w:r>
      <w:r w:rsidRPr="00B8019E">
        <w:rPr>
          <w:rFonts w:ascii="Arial" w:hAnsi="Arial" w:cs="Arial"/>
          <w:sz w:val="24"/>
          <w:szCs w:val="24"/>
        </w:rPr>
        <w:t>.</w:t>
      </w:r>
    </w:p>
    <w:p w14:paraId="059FFC84" w14:textId="77777777" w:rsidR="00EE5C53" w:rsidRDefault="00EE5C53" w:rsidP="00BB281F">
      <w:pPr>
        <w:rPr>
          <w:rFonts w:ascii="Arial" w:hAnsi="Arial" w:cs="Arial"/>
          <w:sz w:val="24"/>
          <w:szCs w:val="24"/>
        </w:rPr>
      </w:pPr>
    </w:p>
    <w:p w14:paraId="30F31E38" w14:textId="74CD5E1A" w:rsidR="00EE5C53" w:rsidRPr="00B0459A" w:rsidRDefault="00EE5C53" w:rsidP="00BB281F">
      <w:pPr>
        <w:rPr>
          <w:rFonts w:ascii="Arial" w:hAnsi="Arial" w:cs="Arial"/>
          <w:b/>
          <w:bCs/>
          <w:sz w:val="24"/>
          <w:szCs w:val="24"/>
        </w:rPr>
      </w:pPr>
      <w:r w:rsidRPr="00B0459A">
        <w:rPr>
          <w:rFonts w:ascii="Arial" w:hAnsi="Arial" w:cs="Arial"/>
          <w:b/>
          <w:bCs/>
          <w:sz w:val="24"/>
          <w:szCs w:val="24"/>
        </w:rPr>
        <w:t xml:space="preserve">Amendment [1.11] – New definition of </w:t>
      </w:r>
      <w:r w:rsidRPr="00B0459A">
        <w:rPr>
          <w:rFonts w:ascii="Arial" w:hAnsi="Arial" w:cs="Arial"/>
          <w:b/>
          <w:bCs/>
          <w:i/>
          <w:iCs/>
          <w:sz w:val="24"/>
          <w:szCs w:val="24"/>
        </w:rPr>
        <w:t>sexuality or gender identity conversion practice</w:t>
      </w:r>
    </w:p>
    <w:p w14:paraId="1D3BB9CE" w14:textId="4C478EE4" w:rsidR="00EE5C53" w:rsidRDefault="00EE5C53" w:rsidP="00EE5C53">
      <w:pPr>
        <w:rPr>
          <w:rFonts w:ascii="Arial" w:hAnsi="Arial" w:cs="Arial"/>
          <w:sz w:val="24"/>
          <w:szCs w:val="24"/>
        </w:rPr>
      </w:pPr>
      <w:r>
        <w:rPr>
          <w:rFonts w:ascii="Arial" w:hAnsi="Arial" w:cs="Arial"/>
          <w:sz w:val="24"/>
          <w:szCs w:val="24"/>
        </w:rPr>
        <w:t xml:space="preserve">This clause inserts a new definition of </w:t>
      </w:r>
      <w:r w:rsidRPr="00B8019E">
        <w:rPr>
          <w:rFonts w:ascii="Arial" w:hAnsi="Arial" w:cs="Arial"/>
          <w:b/>
          <w:bCs/>
          <w:i/>
          <w:iCs/>
          <w:sz w:val="24"/>
          <w:szCs w:val="24"/>
        </w:rPr>
        <w:t>sexuality or gender identity conversion practice</w:t>
      </w:r>
      <w:r w:rsidRPr="00B8019E">
        <w:rPr>
          <w:rFonts w:ascii="Arial" w:hAnsi="Arial" w:cs="Arial"/>
          <w:sz w:val="24"/>
          <w:szCs w:val="24"/>
        </w:rPr>
        <w:t xml:space="preserve">—see the </w:t>
      </w:r>
      <w:r w:rsidRPr="00B8019E">
        <w:rPr>
          <w:rFonts w:ascii="Arial" w:hAnsi="Arial" w:cs="Arial"/>
          <w:i/>
          <w:iCs/>
          <w:sz w:val="24"/>
          <w:szCs w:val="24"/>
        </w:rPr>
        <w:t>Sexuality and Gender Identity Conversion Practice</w:t>
      </w:r>
      <w:r>
        <w:rPr>
          <w:rFonts w:ascii="Arial" w:hAnsi="Arial" w:cs="Arial"/>
          <w:i/>
          <w:iCs/>
          <w:sz w:val="24"/>
          <w:szCs w:val="24"/>
        </w:rPr>
        <w:t>s</w:t>
      </w:r>
      <w:r w:rsidRPr="00B8019E">
        <w:rPr>
          <w:rFonts w:ascii="Arial" w:hAnsi="Arial" w:cs="Arial"/>
          <w:i/>
          <w:iCs/>
          <w:sz w:val="24"/>
          <w:szCs w:val="24"/>
        </w:rPr>
        <w:t xml:space="preserve"> Act 2020</w:t>
      </w:r>
      <w:r>
        <w:rPr>
          <w:rFonts w:ascii="Arial" w:hAnsi="Arial" w:cs="Arial"/>
          <w:sz w:val="24"/>
          <w:szCs w:val="24"/>
        </w:rPr>
        <w:t>, section 7.</w:t>
      </w:r>
    </w:p>
    <w:p w14:paraId="254B5AC3" w14:textId="05327A1C" w:rsidR="00BB281F" w:rsidRPr="00F22462" w:rsidRDefault="00BB281F" w:rsidP="00BB281F">
      <w:pPr>
        <w:pStyle w:val="Heading3"/>
      </w:pPr>
      <w:r w:rsidRPr="006757D1">
        <w:lastRenderedPageBreak/>
        <w:t>Dictionary</w:t>
      </w:r>
      <w:r w:rsidRPr="00F22462">
        <w:t xml:space="preserve"> </w:t>
      </w:r>
    </w:p>
    <w:p w14:paraId="56E5BEC2" w14:textId="77777777" w:rsidR="00BB281F" w:rsidRPr="00F22462" w:rsidRDefault="00BB281F" w:rsidP="00BB281F">
      <w:pPr>
        <w:rPr>
          <w:rFonts w:ascii="Arial" w:hAnsi="Arial" w:cs="Arial"/>
          <w:b/>
          <w:bCs/>
          <w:sz w:val="24"/>
          <w:szCs w:val="24"/>
        </w:rPr>
      </w:pPr>
      <w:r w:rsidRPr="00EE21E7">
        <w:rPr>
          <w:rFonts w:ascii="Arial" w:hAnsi="Arial" w:cs="Arial"/>
          <w:sz w:val="24"/>
          <w:szCs w:val="24"/>
        </w:rPr>
        <w:t>This clause inserts</w:t>
      </w:r>
      <w:r>
        <w:rPr>
          <w:rFonts w:ascii="Arial" w:hAnsi="Arial" w:cs="Arial"/>
          <w:sz w:val="24"/>
          <w:szCs w:val="24"/>
        </w:rPr>
        <w:t xml:space="preserve"> the dictionary for this Act. The dictionary includes definitions for terms including </w:t>
      </w:r>
      <w:r>
        <w:rPr>
          <w:rFonts w:ascii="Arial" w:hAnsi="Arial" w:cs="Arial"/>
          <w:b/>
          <w:bCs/>
          <w:i/>
          <w:iCs/>
          <w:sz w:val="24"/>
          <w:szCs w:val="24"/>
        </w:rPr>
        <w:t xml:space="preserve">gender identity, protected person, sexuality, </w:t>
      </w:r>
      <w:r w:rsidRPr="00B0459A">
        <w:rPr>
          <w:rFonts w:ascii="Arial" w:hAnsi="Arial" w:cs="Arial"/>
          <w:sz w:val="24"/>
          <w:szCs w:val="24"/>
        </w:rPr>
        <w:t>and</w:t>
      </w:r>
      <w:r>
        <w:rPr>
          <w:rFonts w:ascii="Arial" w:hAnsi="Arial" w:cs="Arial"/>
          <w:b/>
          <w:bCs/>
          <w:i/>
          <w:iCs/>
          <w:sz w:val="24"/>
          <w:szCs w:val="24"/>
        </w:rPr>
        <w:t xml:space="preserve"> sexuality or gender identity conversion practice. </w:t>
      </w:r>
    </w:p>
    <w:p w14:paraId="46D40319" w14:textId="77777777" w:rsidR="00BB281F" w:rsidRDefault="00BB281F" w:rsidP="00BB281F">
      <w:pPr>
        <w:rPr>
          <w:rFonts w:ascii="Arial" w:hAnsi="Arial" w:cs="Arial"/>
          <w:sz w:val="24"/>
          <w:szCs w:val="24"/>
        </w:rPr>
      </w:pPr>
      <w:r>
        <w:rPr>
          <w:rFonts w:ascii="Arial" w:hAnsi="Arial" w:cs="Arial"/>
          <w:sz w:val="24"/>
          <w:szCs w:val="24"/>
        </w:rPr>
        <w:t xml:space="preserve">The definitions include: </w:t>
      </w:r>
    </w:p>
    <w:p w14:paraId="4E87C221" w14:textId="4C96F9A1" w:rsidR="00BB281F" w:rsidRDefault="00BB281F" w:rsidP="00BB281F">
      <w:pPr>
        <w:autoSpaceDE w:val="0"/>
        <w:autoSpaceDN w:val="0"/>
        <w:adjustRightInd w:val="0"/>
        <w:spacing w:after="0" w:line="240" w:lineRule="auto"/>
        <w:rPr>
          <w:rFonts w:ascii="Arial" w:hAnsi="Arial" w:cs="Arial"/>
          <w:sz w:val="24"/>
          <w:szCs w:val="24"/>
        </w:rPr>
      </w:pPr>
      <w:r w:rsidRPr="00B8019E">
        <w:rPr>
          <w:rFonts w:ascii="Arial" w:hAnsi="Arial" w:cs="Arial"/>
          <w:b/>
          <w:bCs/>
          <w:i/>
          <w:iCs/>
          <w:sz w:val="24"/>
          <w:szCs w:val="24"/>
        </w:rPr>
        <w:t>gender identity</w:t>
      </w:r>
      <w:r w:rsidRPr="00B8019E">
        <w:rPr>
          <w:rFonts w:ascii="Arial" w:hAnsi="Arial" w:cs="Arial"/>
          <w:sz w:val="24"/>
          <w:szCs w:val="24"/>
        </w:rPr>
        <w:t xml:space="preserve">—see the </w:t>
      </w:r>
      <w:r w:rsidRPr="00B8019E">
        <w:rPr>
          <w:rFonts w:ascii="Arial" w:hAnsi="Arial" w:cs="Arial"/>
          <w:i/>
          <w:iCs/>
          <w:sz w:val="24"/>
          <w:szCs w:val="24"/>
        </w:rPr>
        <w:t>Discrimination Act 1991</w:t>
      </w:r>
      <w:r w:rsidRPr="00B8019E">
        <w:rPr>
          <w:rFonts w:ascii="Arial" w:hAnsi="Arial" w:cs="Arial"/>
          <w:sz w:val="24"/>
          <w:szCs w:val="24"/>
        </w:rPr>
        <w:t>, dictionary.</w:t>
      </w:r>
    </w:p>
    <w:p w14:paraId="56F3636A" w14:textId="5239AFC0" w:rsidR="00B25B1A" w:rsidRDefault="00B25B1A" w:rsidP="00BB281F">
      <w:pPr>
        <w:autoSpaceDE w:val="0"/>
        <w:autoSpaceDN w:val="0"/>
        <w:adjustRightInd w:val="0"/>
        <w:spacing w:after="0" w:line="240" w:lineRule="auto"/>
        <w:rPr>
          <w:rFonts w:ascii="Arial" w:hAnsi="Arial" w:cs="Arial"/>
          <w:sz w:val="24"/>
          <w:szCs w:val="24"/>
        </w:rPr>
      </w:pPr>
    </w:p>
    <w:p w14:paraId="0A183537" w14:textId="1CAB3507" w:rsidR="00B25B1A" w:rsidRPr="00B25B1A" w:rsidRDefault="00B25B1A" w:rsidP="00BB281F">
      <w:pPr>
        <w:autoSpaceDE w:val="0"/>
        <w:autoSpaceDN w:val="0"/>
        <w:adjustRightInd w:val="0"/>
        <w:spacing w:after="0" w:line="240" w:lineRule="auto"/>
        <w:rPr>
          <w:rFonts w:ascii="Arial" w:hAnsi="Arial" w:cs="Arial"/>
          <w:sz w:val="24"/>
          <w:szCs w:val="24"/>
        </w:rPr>
      </w:pPr>
      <w:r w:rsidRPr="00073A71">
        <w:rPr>
          <w:rFonts w:ascii="Arial" w:hAnsi="Arial" w:cs="Arial"/>
          <w:b/>
          <w:bCs/>
          <w:i/>
          <w:iCs/>
          <w:sz w:val="24"/>
          <w:szCs w:val="24"/>
        </w:rPr>
        <w:t xml:space="preserve">Impaired decision-making </w:t>
      </w:r>
      <w:r w:rsidR="00426211">
        <w:rPr>
          <w:rFonts w:ascii="Arial" w:hAnsi="Arial" w:cs="Arial"/>
          <w:b/>
          <w:bCs/>
          <w:i/>
          <w:iCs/>
          <w:sz w:val="24"/>
          <w:szCs w:val="24"/>
        </w:rPr>
        <w:t>ability</w:t>
      </w:r>
      <w:r w:rsidRPr="00B8019E">
        <w:rPr>
          <w:rFonts w:ascii="Arial" w:hAnsi="Arial" w:cs="Arial"/>
          <w:sz w:val="24"/>
          <w:szCs w:val="24"/>
        </w:rPr>
        <w:t>—</w:t>
      </w:r>
      <w:r>
        <w:rPr>
          <w:rFonts w:ascii="Arial" w:hAnsi="Arial" w:cs="Arial"/>
          <w:sz w:val="24"/>
          <w:szCs w:val="24"/>
        </w:rPr>
        <w:t xml:space="preserve">see the </w:t>
      </w:r>
      <w:r>
        <w:rPr>
          <w:rFonts w:ascii="Arial" w:hAnsi="Arial" w:cs="Arial"/>
          <w:i/>
          <w:iCs/>
          <w:sz w:val="24"/>
          <w:szCs w:val="24"/>
        </w:rPr>
        <w:t>Guardianship and Management of Property Act 1991</w:t>
      </w:r>
      <w:r>
        <w:rPr>
          <w:rFonts w:ascii="Arial" w:hAnsi="Arial" w:cs="Arial"/>
          <w:sz w:val="24"/>
          <w:szCs w:val="24"/>
        </w:rPr>
        <w:t>, section 5.</w:t>
      </w:r>
    </w:p>
    <w:p w14:paraId="492F42FB" w14:textId="77777777" w:rsidR="00BB281F" w:rsidRPr="00B8019E" w:rsidRDefault="00BB281F" w:rsidP="00BB281F">
      <w:pPr>
        <w:autoSpaceDE w:val="0"/>
        <w:autoSpaceDN w:val="0"/>
        <w:adjustRightInd w:val="0"/>
        <w:spacing w:after="0" w:line="240" w:lineRule="auto"/>
        <w:rPr>
          <w:rFonts w:ascii="Arial" w:hAnsi="Arial" w:cs="Arial"/>
          <w:sz w:val="24"/>
          <w:szCs w:val="24"/>
        </w:rPr>
      </w:pPr>
    </w:p>
    <w:p w14:paraId="35296C9A" w14:textId="77777777" w:rsidR="00BB281F" w:rsidRPr="00B8019E" w:rsidRDefault="00BB281F" w:rsidP="00BB281F">
      <w:pPr>
        <w:autoSpaceDE w:val="0"/>
        <w:autoSpaceDN w:val="0"/>
        <w:adjustRightInd w:val="0"/>
        <w:spacing w:after="0" w:line="240" w:lineRule="auto"/>
        <w:rPr>
          <w:rFonts w:ascii="Arial" w:hAnsi="Arial" w:cs="Arial"/>
          <w:sz w:val="24"/>
          <w:szCs w:val="24"/>
        </w:rPr>
      </w:pPr>
      <w:r w:rsidRPr="00B8019E">
        <w:rPr>
          <w:rFonts w:ascii="Arial" w:hAnsi="Arial" w:cs="Arial"/>
          <w:b/>
          <w:bCs/>
          <w:i/>
          <w:iCs/>
          <w:sz w:val="24"/>
          <w:szCs w:val="24"/>
        </w:rPr>
        <w:t xml:space="preserve">protected person </w:t>
      </w:r>
      <w:r w:rsidRPr="00B8019E">
        <w:rPr>
          <w:rFonts w:ascii="Arial" w:hAnsi="Arial" w:cs="Arial"/>
          <w:sz w:val="24"/>
          <w:szCs w:val="24"/>
        </w:rPr>
        <w:t>means—</w:t>
      </w:r>
    </w:p>
    <w:p w14:paraId="11382C7C" w14:textId="77777777" w:rsidR="00BB281F" w:rsidRPr="00B8019E" w:rsidRDefault="00BB281F" w:rsidP="00BB281F">
      <w:pPr>
        <w:autoSpaceDE w:val="0"/>
        <w:autoSpaceDN w:val="0"/>
        <w:adjustRightInd w:val="0"/>
        <w:spacing w:after="0" w:line="240" w:lineRule="auto"/>
        <w:rPr>
          <w:rFonts w:ascii="Arial" w:hAnsi="Arial" w:cs="Arial"/>
          <w:sz w:val="24"/>
          <w:szCs w:val="24"/>
        </w:rPr>
      </w:pPr>
      <w:r w:rsidRPr="00B8019E">
        <w:rPr>
          <w:rFonts w:ascii="Arial" w:hAnsi="Arial" w:cs="Arial"/>
          <w:sz w:val="24"/>
          <w:szCs w:val="24"/>
        </w:rPr>
        <w:t>(a) a child; or</w:t>
      </w:r>
    </w:p>
    <w:p w14:paraId="330F5109" w14:textId="6B74FE3B" w:rsidR="00BB281F" w:rsidRDefault="00BB281F" w:rsidP="00BB281F">
      <w:pPr>
        <w:autoSpaceDE w:val="0"/>
        <w:autoSpaceDN w:val="0"/>
        <w:adjustRightInd w:val="0"/>
        <w:spacing w:after="0" w:line="240" w:lineRule="auto"/>
        <w:rPr>
          <w:rFonts w:ascii="Arial" w:hAnsi="Arial" w:cs="Arial"/>
          <w:sz w:val="24"/>
          <w:szCs w:val="24"/>
        </w:rPr>
      </w:pPr>
      <w:r w:rsidRPr="00B8019E">
        <w:rPr>
          <w:rFonts w:ascii="Arial" w:hAnsi="Arial" w:cs="Arial"/>
          <w:sz w:val="24"/>
          <w:szCs w:val="24"/>
        </w:rPr>
        <w:t xml:space="preserve">(b) </w:t>
      </w:r>
      <w:r w:rsidR="00B25B1A">
        <w:rPr>
          <w:rFonts w:ascii="Arial" w:hAnsi="Arial" w:cs="Arial"/>
          <w:sz w:val="24"/>
          <w:szCs w:val="24"/>
        </w:rPr>
        <w:t>a person who has impaired decision-making</w:t>
      </w:r>
      <w:r w:rsidR="00073A71">
        <w:rPr>
          <w:rFonts w:ascii="Arial" w:hAnsi="Arial" w:cs="Arial"/>
          <w:sz w:val="24"/>
          <w:szCs w:val="24"/>
        </w:rPr>
        <w:t xml:space="preserve"> ability</w:t>
      </w:r>
      <w:r w:rsidR="00B25B1A">
        <w:rPr>
          <w:rFonts w:ascii="Arial" w:hAnsi="Arial" w:cs="Arial"/>
          <w:sz w:val="24"/>
          <w:szCs w:val="24"/>
        </w:rPr>
        <w:t xml:space="preserve"> in relation to a matter relating to the person’s health or welfare.</w:t>
      </w:r>
    </w:p>
    <w:p w14:paraId="6DA4A4C0" w14:textId="77777777" w:rsidR="00BB281F" w:rsidRPr="00B8019E" w:rsidRDefault="00BB281F" w:rsidP="00BB281F">
      <w:pPr>
        <w:autoSpaceDE w:val="0"/>
        <w:autoSpaceDN w:val="0"/>
        <w:adjustRightInd w:val="0"/>
        <w:spacing w:after="0" w:line="240" w:lineRule="auto"/>
        <w:rPr>
          <w:rFonts w:ascii="Arial" w:hAnsi="Arial" w:cs="Arial"/>
          <w:sz w:val="24"/>
          <w:szCs w:val="24"/>
        </w:rPr>
      </w:pPr>
    </w:p>
    <w:p w14:paraId="60515BD3" w14:textId="77777777" w:rsidR="00BB281F" w:rsidRDefault="00BB281F" w:rsidP="00BB281F">
      <w:pPr>
        <w:autoSpaceDE w:val="0"/>
        <w:autoSpaceDN w:val="0"/>
        <w:adjustRightInd w:val="0"/>
        <w:spacing w:after="0" w:line="240" w:lineRule="auto"/>
        <w:rPr>
          <w:rFonts w:ascii="Arial" w:hAnsi="Arial" w:cs="Arial"/>
          <w:sz w:val="24"/>
          <w:szCs w:val="24"/>
        </w:rPr>
      </w:pPr>
      <w:r w:rsidRPr="00B8019E">
        <w:rPr>
          <w:rFonts w:ascii="Arial" w:hAnsi="Arial" w:cs="Arial"/>
          <w:b/>
          <w:bCs/>
          <w:i/>
          <w:iCs/>
          <w:sz w:val="24"/>
          <w:szCs w:val="24"/>
        </w:rPr>
        <w:t>sexuality</w:t>
      </w:r>
      <w:r w:rsidRPr="00B8019E">
        <w:rPr>
          <w:rFonts w:ascii="Arial" w:hAnsi="Arial" w:cs="Arial"/>
          <w:sz w:val="24"/>
          <w:szCs w:val="24"/>
        </w:rPr>
        <w:t xml:space="preserve">—see the </w:t>
      </w:r>
      <w:r w:rsidRPr="00B8019E">
        <w:rPr>
          <w:rFonts w:ascii="Arial" w:hAnsi="Arial" w:cs="Arial"/>
          <w:i/>
          <w:iCs/>
          <w:sz w:val="24"/>
          <w:szCs w:val="24"/>
        </w:rPr>
        <w:t>Discrimination Act 1991</w:t>
      </w:r>
      <w:r w:rsidRPr="00B8019E">
        <w:rPr>
          <w:rFonts w:ascii="Arial" w:hAnsi="Arial" w:cs="Arial"/>
          <w:sz w:val="24"/>
          <w:szCs w:val="24"/>
        </w:rPr>
        <w:t>, dictionary.</w:t>
      </w:r>
    </w:p>
    <w:p w14:paraId="2C3C9415" w14:textId="77777777" w:rsidR="00BB281F" w:rsidRPr="00B8019E" w:rsidRDefault="00BB281F" w:rsidP="00BB281F">
      <w:pPr>
        <w:autoSpaceDE w:val="0"/>
        <w:autoSpaceDN w:val="0"/>
        <w:adjustRightInd w:val="0"/>
        <w:spacing w:after="0" w:line="240" w:lineRule="auto"/>
        <w:rPr>
          <w:rFonts w:ascii="Arial" w:hAnsi="Arial" w:cs="Arial"/>
          <w:sz w:val="24"/>
          <w:szCs w:val="24"/>
        </w:rPr>
      </w:pPr>
    </w:p>
    <w:p w14:paraId="6C5ED9FD" w14:textId="5AB04AB1" w:rsidR="001D03C8" w:rsidRPr="001D03C8" w:rsidRDefault="00BB281F" w:rsidP="001D03C8">
      <w:r w:rsidRPr="00B8019E">
        <w:rPr>
          <w:rFonts w:ascii="Arial" w:hAnsi="Arial" w:cs="Arial"/>
          <w:b/>
          <w:bCs/>
          <w:i/>
          <w:iCs/>
          <w:sz w:val="24"/>
          <w:szCs w:val="24"/>
        </w:rPr>
        <w:t>sexuality or gender identity conversion practice</w:t>
      </w:r>
      <w:r w:rsidRPr="00B8019E">
        <w:rPr>
          <w:rFonts w:ascii="Arial" w:hAnsi="Arial" w:cs="Arial"/>
          <w:sz w:val="24"/>
          <w:szCs w:val="24"/>
        </w:rPr>
        <w:t>—see section 7.</w:t>
      </w:r>
    </w:p>
    <w:p w14:paraId="0E3CCA11" w14:textId="77777777" w:rsidR="009368DA" w:rsidRPr="004923C1" w:rsidRDefault="009368DA" w:rsidP="009368DA">
      <w:pPr>
        <w:rPr>
          <w:rFonts w:ascii="Arial" w:hAnsi="Arial" w:cs="Arial"/>
          <w:sz w:val="24"/>
          <w:szCs w:val="24"/>
        </w:rPr>
      </w:pPr>
    </w:p>
    <w:bookmarkEnd w:id="0"/>
    <w:p w14:paraId="7E20FA38" w14:textId="77777777" w:rsidR="00D7062D" w:rsidRPr="009368DA" w:rsidRDefault="00D7062D" w:rsidP="009368DA"/>
    <w:sectPr w:rsidR="00D7062D" w:rsidRPr="009368DA" w:rsidSect="00F41A2F">
      <w:headerReference w:type="even" r:id="rId15"/>
      <w:headerReference w:type="default" r:id="rId16"/>
      <w:footerReference w:type="default" r:id="rId17"/>
      <w:headerReference w:type="first" r:id="rId18"/>
      <w:footerReference w:type="first" r:id="rId19"/>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0278D" w14:textId="77777777" w:rsidR="00F252C7" w:rsidRDefault="00F252C7">
      <w:pPr>
        <w:spacing w:after="0" w:line="240" w:lineRule="auto"/>
      </w:pPr>
      <w:r>
        <w:separator/>
      </w:r>
    </w:p>
  </w:endnote>
  <w:endnote w:type="continuationSeparator" w:id="0">
    <w:p w14:paraId="36FB2CF8" w14:textId="77777777" w:rsidR="00F252C7" w:rsidRDefault="00F252C7">
      <w:pPr>
        <w:spacing w:after="0" w:line="240" w:lineRule="auto"/>
      </w:pPr>
      <w:r>
        <w:continuationSeparator/>
      </w:r>
    </w:p>
  </w:endnote>
  <w:endnote w:type="continuationNotice" w:id="1">
    <w:p w14:paraId="57C16285" w14:textId="77777777" w:rsidR="00F252C7" w:rsidRDefault="00F252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00BEB" w14:textId="77777777" w:rsidR="00191491" w:rsidRDefault="00191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E282A" w14:textId="18FBA02B" w:rsidR="00191491" w:rsidRPr="00096DC3" w:rsidRDefault="00096DC3" w:rsidP="00096DC3">
    <w:pPr>
      <w:pStyle w:val="Footer"/>
      <w:jc w:val="center"/>
      <w:rPr>
        <w:rFonts w:cs="Arial"/>
        <w:sz w:val="14"/>
      </w:rPr>
    </w:pPr>
    <w:r w:rsidRPr="00096DC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0E09" w14:textId="77777777" w:rsidR="00630BB5" w:rsidRDefault="00630BB5">
    <w:pPr>
      <w:pStyle w:val="Footer"/>
      <w:jc w:val="right"/>
    </w:pPr>
  </w:p>
  <w:p w14:paraId="04B947C4" w14:textId="77777777" w:rsidR="00630BB5" w:rsidRPr="00DC5912" w:rsidRDefault="00630BB5"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7F91" w14:textId="0E417E95" w:rsidR="00630BB5" w:rsidRDefault="00630BB5" w:rsidP="0093795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01A1C4C4" w14:textId="3606543E" w:rsidR="00096DC3" w:rsidRPr="00096DC3" w:rsidRDefault="00096DC3" w:rsidP="00096DC3">
    <w:pPr>
      <w:pStyle w:val="Footer"/>
      <w:spacing w:before="60" w:line="240" w:lineRule="auto"/>
      <w:jc w:val="center"/>
      <w:rPr>
        <w:rFonts w:cs="Arial"/>
        <w:sz w:val="14"/>
      </w:rPr>
    </w:pPr>
    <w:r w:rsidRPr="00096DC3">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03286" w14:textId="1EB770A1" w:rsidR="005A67CD" w:rsidRDefault="00630BB5" w:rsidP="00191491">
    <w:pPr>
      <w:pStyle w:val="Header"/>
      <w:jc w:val="right"/>
      <w:rPr>
        <w:color w:val="FF0000"/>
        <w:sz w:val="22"/>
        <w:szCs w:val="22"/>
      </w:rPr>
    </w:pPr>
    <w:r>
      <w:fldChar w:fldCharType="begin"/>
    </w:r>
    <w:r>
      <w:instrText xml:space="preserve"> PAGE   \* MERGEFORMAT </w:instrText>
    </w:r>
    <w:r>
      <w:fldChar w:fldCharType="separate"/>
    </w:r>
    <w:r>
      <w:rPr>
        <w:noProof/>
      </w:rPr>
      <w:t>1</w:t>
    </w:r>
    <w:r>
      <w:fldChar w:fldCharType="end"/>
    </w:r>
    <w:r w:rsidR="00191491">
      <w:t xml:space="preserve"> </w:t>
    </w:r>
  </w:p>
  <w:p w14:paraId="0BE375DD" w14:textId="083C597B" w:rsidR="00630BB5" w:rsidRPr="00096DC3" w:rsidRDefault="00096DC3" w:rsidP="00096DC3">
    <w:pPr>
      <w:pStyle w:val="Footer"/>
      <w:jc w:val="center"/>
      <w:rPr>
        <w:rFonts w:cs="Arial"/>
        <w:sz w:val="14"/>
      </w:rPr>
    </w:pPr>
    <w:r w:rsidRPr="00096DC3">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66E8E" w14:textId="77777777" w:rsidR="00F252C7" w:rsidRDefault="00F252C7">
      <w:pPr>
        <w:spacing w:after="0" w:line="240" w:lineRule="auto"/>
      </w:pPr>
      <w:r>
        <w:separator/>
      </w:r>
    </w:p>
  </w:footnote>
  <w:footnote w:type="continuationSeparator" w:id="0">
    <w:p w14:paraId="52CA835C" w14:textId="77777777" w:rsidR="00F252C7" w:rsidRDefault="00F252C7">
      <w:pPr>
        <w:spacing w:after="0" w:line="240" w:lineRule="auto"/>
      </w:pPr>
      <w:r>
        <w:continuationSeparator/>
      </w:r>
    </w:p>
  </w:footnote>
  <w:footnote w:type="continuationNotice" w:id="1">
    <w:p w14:paraId="2A7CB931" w14:textId="77777777" w:rsidR="00F252C7" w:rsidRDefault="00F252C7">
      <w:pPr>
        <w:spacing w:after="0" w:line="240" w:lineRule="auto"/>
      </w:pPr>
    </w:p>
  </w:footnote>
  <w:footnote w:id="2">
    <w:p w14:paraId="2F4EC066" w14:textId="77777777" w:rsidR="00630BB5" w:rsidRPr="00C372DC" w:rsidRDefault="00630BB5" w:rsidP="009368DA">
      <w:pPr>
        <w:pStyle w:val="FootnoteText"/>
        <w:rPr>
          <w:lang w:val="en-AU"/>
        </w:rPr>
      </w:pPr>
      <w:r>
        <w:rPr>
          <w:rStyle w:val="FootnoteReference"/>
        </w:rPr>
        <w:footnoteRef/>
      </w:r>
      <w:r>
        <w:t xml:space="preserve"> La Trobe University, Gay &amp; Lesbian Health Victorians &amp; the Human Rights Law Centre, </w:t>
      </w:r>
      <w:hyperlink r:id="rId1" w:history="1">
        <w:r w:rsidRPr="00A872E3">
          <w:rPr>
            <w:rStyle w:val="Hyperlink"/>
            <w:i/>
            <w:iCs/>
          </w:rPr>
          <w:t>Preventing Harm, Promoting Justice: Responding to LGBT conversion therapy in Australia</w:t>
        </w:r>
      </w:hyperlink>
      <w:r w:rsidRPr="00CE5F27">
        <w:rPr>
          <w:i/>
          <w:iCs/>
        </w:rPr>
        <w:t xml:space="preserve"> </w:t>
      </w:r>
      <w:r w:rsidRPr="00CE5F27">
        <w:t xml:space="preserve">(2018) </w:t>
      </w:r>
      <w:r>
        <w:t xml:space="preserve">pp 27, 31-36. </w:t>
      </w:r>
    </w:p>
  </w:footnote>
  <w:footnote w:id="3">
    <w:p w14:paraId="7B37DB06" w14:textId="77777777" w:rsidR="00630BB5" w:rsidRPr="00E9655B" w:rsidRDefault="00630BB5" w:rsidP="009368DA">
      <w:pPr>
        <w:pStyle w:val="FootnoteText"/>
        <w:rPr>
          <w:lang w:val="en-AU"/>
        </w:rPr>
      </w:pPr>
      <w:r>
        <w:rPr>
          <w:rStyle w:val="FootnoteReference"/>
        </w:rPr>
        <w:footnoteRef/>
      </w:r>
      <w:r>
        <w:t xml:space="preserve"> </w:t>
      </w:r>
      <w:r>
        <w:rPr>
          <w:lang w:val="en-AU"/>
        </w:rPr>
        <w:t xml:space="preserve">Australian Medical Association (2002) </w:t>
      </w:r>
      <w:r>
        <w:rPr>
          <w:i/>
          <w:iCs/>
          <w:lang w:val="en-AU"/>
        </w:rPr>
        <w:t xml:space="preserve">AMA Position Statement: Sexual Diversity and Gender Identity, </w:t>
      </w:r>
      <w:r>
        <w:rPr>
          <w:lang w:val="en-AU"/>
        </w:rPr>
        <w:t xml:space="preserve">[6.10]; Australian Psychological Society (2015) </w:t>
      </w:r>
      <w:r>
        <w:rPr>
          <w:i/>
          <w:iCs/>
          <w:lang w:val="en-AU"/>
        </w:rPr>
        <w:t xml:space="preserve">APS Position Statement on Psychological Practices that attempt to change Sexual Orientation; </w:t>
      </w:r>
      <w:r>
        <w:rPr>
          <w:lang w:val="en-AU"/>
        </w:rPr>
        <w:t xml:space="preserve">Psychology and Counselling Federation of Australia (2018) </w:t>
      </w:r>
      <w:r>
        <w:rPr>
          <w:i/>
          <w:iCs/>
          <w:lang w:val="en-AU"/>
        </w:rPr>
        <w:t xml:space="preserve">Scope of Practice for Registered Counsellors, </w:t>
      </w:r>
      <w:r>
        <w:rPr>
          <w:lang w:val="en-AU"/>
        </w:rPr>
        <w:t xml:space="preserve">p20; Royal Australian and New Zealand College of Psychiatrists (2019) </w:t>
      </w:r>
      <w:r>
        <w:rPr>
          <w:i/>
          <w:iCs/>
          <w:lang w:val="en-AU"/>
        </w:rPr>
        <w:t xml:space="preserve">Sexual orientation change efforts: Position Statement </w:t>
      </w:r>
      <w:r w:rsidRPr="00BA1D27">
        <w:rPr>
          <w:lang w:val="en-AU"/>
        </w:rPr>
        <w:t>60</w:t>
      </w:r>
      <w:r>
        <w:rPr>
          <w:lang w:val="en-AU"/>
        </w:rPr>
        <w:t xml:space="preserve">; </w:t>
      </w:r>
      <w:r>
        <w:t xml:space="preserve">Royal Australian and New Zealand College of Psychiatrists Victoria Branch, </w:t>
      </w:r>
      <w:r>
        <w:rPr>
          <w:i/>
          <w:iCs/>
        </w:rPr>
        <w:t xml:space="preserve">Submission – Legislative options to implement a ban of conversion practices </w:t>
      </w:r>
      <w:r>
        <w:t xml:space="preserve">(November 2019) </w:t>
      </w:r>
      <w:hyperlink r:id="rId2" w:history="1">
        <w:r w:rsidRPr="00663A3C">
          <w:rPr>
            <w:rStyle w:val="Hyperlink"/>
          </w:rPr>
          <w:t>https://www.ranzcp.org/files/resources/submissions/deparetment-of-justice-and-community-safety-legisl.aspx</w:t>
        </w:r>
      </w:hyperlink>
    </w:p>
  </w:footnote>
  <w:footnote w:id="4">
    <w:p w14:paraId="28DA6A72" w14:textId="77777777" w:rsidR="00630BB5" w:rsidRDefault="00630BB5" w:rsidP="009368DA">
      <w:pPr>
        <w:pStyle w:val="FootnoteText"/>
      </w:pPr>
      <w:r>
        <w:rPr>
          <w:rStyle w:val="FootnoteReference"/>
        </w:rPr>
        <w:footnoteRef/>
      </w:r>
      <w:r>
        <w:t xml:space="preserve"> </w:t>
      </w:r>
      <w:r w:rsidRPr="00D84206">
        <w:rPr>
          <w:rFonts w:eastAsiaTheme="minorHAnsi"/>
          <w:i/>
          <w:sz w:val="22"/>
          <w:szCs w:val="22"/>
        </w:rPr>
        <w:t>Eweida and ors v United Kingdom</w:t>
      </w:r>
      <w:r w:rsidRPr="00D84206">
        <w:rPr>
          <w:rFonts w:eastAsiaTheme="minorHAnsi"/>
          <w:sz w:val="22"/>
          <w:szCs w:val="22"/>
        </w:rPr>
        <w:t>, nos. 48420/10, 59842/10, 51671/10 and 36516/10, ECHR 15 January 2013, 30</w:t>
      </w:r>
      <w:r>
        <w:rPr>
          <w:rFonts w:eastAsiaTheme="minorHAnsi"/>
          <w:sz w:val="22"/>
          <w:szCs w:val="22"/>
        </w:rPr>
        <w:t>.</w:t>
      </w:r>
    </w:p>
  </w:footnote>
  <w:footnote w:id="5">
    <w:p w14:paraId="5E32553A" w14:textId="77777777" w:rsidR="00630BB5" w:rsidRDefault="00630BB5" w:rsidP="009368DA">
      <w:pPr>
        <w:pStyle w:val="FootnoteText"/>
      </w:pPr>
      <w:r>
        <w:rPr>
          <w:rStyle w:val="FootnoteReference"/>
        </w:rPr>
        <w:footnoteRef/>
      </w:r>
      <w:r>
        <w:t xml:space="preserve"> I</w:t>
      </w:r>
      <w:r w:rsidRPr="00D84206">
        <w:rPr>
          <w:rFonts w:eastAsiaTheme="minorHAnsi"/>
          <w:sz w:val="22"/>
          <w:szCs w:val="22"/>
        </w:rPr>
        <w:t>bid</w:t>
      </w:r>
      <w:r>
        <w:rPr>
          <w:rFonts w:eastAsiaTheme="minorHAnsi"/>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963D1" w14:textId="77777777" w:rsidR="00191491" w:rsidRDefault="00191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94AAC" w14:textId="77777777" w:rsidR="00191491" w:rsidRDefault="001914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FB556" w14:textId="77777777" w:rsidR="00191491" w:rsidRDefault="001914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F9A9F" w14:textId="0B48043D" w:rsidR="00630BB5" w:rsidRDefault="00630B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20D70" w14:textId="64D74A23" w:rsidR="00630BB5" w:rsidRDefault="00630BB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33D85" w14:textId="15B50281" w:rsidR="005A67CD" w:rsidRPr="00191491" w:rsidRDefault="005A67CD" w:rsidP="00191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E60"/>
    <w:multiLevelType w:val="hybridMultilevel"/>
    <w:tmpl w:val="12629900"/>
    <w:lvl w:ilvl="0" w:tplc="B164C5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E04E69"/>
    <w:multiLevelType w:val="hybridMultilevel"/>
    <w:tmpl w:val="5D70027A"/>
    <w:lvl w:ilvl="0" w:tplc="6E3A426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93672A"/>
    <w:multiLevelType w:val="hybridMultilevel"/>
    <w:tmpl w:val="71AA1E8A"/>
    <w:lvl w:ilvl="0" w:tplc="7D048D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48620D"/>
    <w:multiLevelType w:val="hybridMultilevel"/>
    <w:tmpl w:val="CB5E8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5E6188"/>
    <w:multiLevelType w:val="hybridMultilevel"/>
    <w:tmpl w:val="0DB4F4A0"/>
    <w:lvl w:ilvl="0" w:tplc="5FAA6338">
      <w:start w:val="1"/>
      <w:numFmt w:val="lowerRoman"/>
      <w:lvlText w:val="(%1)"/>
      <w:lvlJc w:val="left"/>
      <w:pPr>
        <w:ind w:left="1080" w:hanging="360"/>
      </w:pPr>
      <w:rPr>
        <w:rFonts w:ascii="Arial" w:eastAsia="Times New Roman" w:hAnsi="Arial"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C2A7716"/>
    <w:multiLevelType w:val="hybridMultilevel"/>
    <w:tmpl w:val="6C6269BA"/>
    <w:lvl w:ilvl="0" w:tplc="2ADA4E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3D48ED"/>
    <w:multiLevelType w:val="hybridMultilevel"/>
    <w:tmpl w:val="1DBAB3A2"/>
    <w:lvl w:ilvl="0" w:tplc="637E3D7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42E4A96"/>
    <w:multiLevelType w:val="hybridMultilevel"/>
    <w:tmpl w:val="153E2A94"/>
    <w:lvl w:ilvl="0" w:tplc="77F453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EE4544"/>
    <w:multiLevelType w:val="hybridMultilevel"/>
    <w:tmpl w:val="7BD0715C"/>
    <w:lvl w:ilvl="0" w:tplc="64A6BFE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E850923"/>
    <w:multiLevelType w:val="hybridMultilevel"/>
    <w:tmpl w:val="0DB4F4A0"/>
    <w:lvl w:ilvl="0" w:tplc="5FAA6338">
      <w:start w:val="1"/>
      <w:numFmt w:val="lowerRoman"/>
      <w:lvlText w:val="(%1)"/>
      <w:lvlJc w:val="left"/>
      <w:pPr>
        <w:ind w:left="1080" w:hanging="360"/>
      </w:pPr>
      <w:rPr>
        <w:rFonts w:ascii="Arial" w:eastAsia="Times New Roman" w:hAnsi="Arial"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5BF50568"/>
    <w:multiLevelType w:val="hybridMultilevel"/>
    <w:tmpl w:val="13283B0E"/>
    <w:lvl w:ilvl="0" w:tplc="BD42FD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2"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7E4C006B"/>
    <w:multiLevelType w:val="hybridMultilevel"/>
    <w:tmpl w:val="ADCCE71E"/>
    <w:lvl w:ilvl="0" w:tplc="31D8A5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2"/>
  </w:num>
  <w:num w:numId="3">
    <w:abstractNumId w:val="0"/>
  </w:num>
  <w:num w:numId="4">
    <w:abstractNumId w:val="5"/>
  </w:num>
  <w:num w:numId="5">
    <w:abstractNumId w:val="1"/>
  </w:num>
  <w:num w:numId="6">
    <w:abstractNumId w:val="4"/>
  </w:num>
  <w:num w:numId="7">
    <w:abstractNumId w:val="2"/>
  </w:num>
  <w:num w:numId="8">
    <w:abstractNumId w:val="7"/>
  </w:num>
  <w:num w:numId="9">
    <w:abstractNumId w:val="10"/>
  </w:num>
  <w:num w:numId="10">
    <w:abstractNumId w:val="13"/>
  </w:num>
  <w:num w:numId="11">
    <w:abstractNumId w:val="8"/>
  </w:num>
  <w:num w:numId="12">
    <w:abstractNumId w:val="6"/>
  </w:num>
  <w:num w:numId="13">
    <w:abstractNumId w:val="9"/>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2B"/>
    <w:rsid w:val="00007947"/>
    <w:rsid w:val="00007998"/>
    <w:rsid w:val="00007EB9"/>
    <w:rsid w:val="000108BE"/>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A83"/>
    <w:rsid w:val="00042C2E"/>
    <w:rsid w:val="00043A31"/>
    <w:rsid w:val="00045364"/>
    <w:rsid w:val="000457F3"/>
    <w:rsid w:val="00045C05"/>
    <w:rsid w:val="00045FC1"/>
    <w:rsid w:val="00046070"/>
    <w:rsid w:val="0004697F"/>
    <w:rsid w:val="00046E05"/>
    <w:rsid w:val="00047D5D"/>
    <w:rsid w:val="00050021"/>
    <w:rsid w:val="0005013E"/>
    <w:rsid w:val="000501B6"/>
    <w:rsid w:val="000503A9"/>
    <w:rsid w:val="00050B04"/>
    <w:rsid w:val="000516D8"/>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D41"/>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656"/>
    <w:rsid w:val="000717EE"/>
    <w:rsid w:val="00071883"/>
    <w:rsid w:val="00072D58"/>
    <w:rsid w:val="00072EA8"/>
    <w:rsid w:val="0007375C"/>
    <w:rsid w:val="00073760"/>
    <w:rsid w:val="00073A1C"/>
    <w:rsid w:val="00073A71"/>
    <w:rsid w:val="00074ACD"/>
    <w:rsid w:val="00076249"/>
    <w:rsid w:val="000762EC"/>
    <w:rsid w:val="00076783"/>
    <w:rsid w:val="00077549"/>
    <w:rsid w:val="00077D2E"/>
    <w:rsid w:val="00077D6A"/>
    <w:rsid w:val="000814F8"/>
    <w:rsid w:val="00081B40"/>
    <w:rsid w:val="00081E18"/>
    <w:rsid w:val="00083D69"/>
    <w:rsid w:val="000842CF"/>
    <w:rsid w:val="0008433C"/>
    <w:rsid w:val="000851B2"/>
    <w:rsid w:val="000851B9"/>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DC3"/>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0803"/>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78"/>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07B06"/>
    <w:rsid w:val="001101D7"/>
    <w:rsid w:val="00110892"/>
    <w:rsid w:val="00110938"/>
    <w:rsid w:val="001112B8"/>
    <w:rsid w:val="00111686"/>
    <w:rsid w:val="00111A76"/>
    <w:rsid w:val="001129DB"/>
    <w:rsid w:val="00112C4D"/>
    <w:rsid w:val="00113678"/>
    <w:rsid w:val="00113692"/>
    <w:rsid w:val="00113AB4"/>
    <w:rsid w:val="00114280"/>
    <w:rsid w:val="001144E0"/>
    <w:rsid w:val="00114BD7"/>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46E3"/>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5FC0"/>
    <w:rsid w:val="0017626F"/>
    <w:rsid w:val="001773B7"/>
    <w:rsid w:val="00177EEA"/>
    <w:rsid w:val="00180319"/>
    <w:rsid w:val="00180A76"/>
    <w:rsid w:val="00181F6C"/>
    <w:rsid w:val="00182173"/>
    <w:rsid w:val="00182FD5"/>
    <w:rsid w:val="001834A4"/>
    <w:rsid w:val="00183532"/>
    <w:rsid w:val="00183AD3"/>
    <w:rsid w:val="00183CBC"/>
    <w:rsid w:val="00183D5B"/>
    <w:rsid w:val="00183FD9"/>
    <w:rsid w:val="00184BEC"/>
    <w:rsid w:val="00184BED"/>
    <w:rsid w:val="00184CD2"/>
    <w:rsid w:val="00185271"/>
    <w:rsid w:val="00185708"/>
    <w:rsid w:val="00186CF6"/>
    <w:rsid w:val="00190048"/>
    <w:rsid w:val="001909E6"/>
    <w:rsid w:val="0019122A"/>
    <w:rsid w:val="00191491"/>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3C8"/>
    <w:rsid w:val="001D0F73"/>
    <w:rsid w:val="001D22AD"/>
    <w:rsid w:val="001D25BC"/>
    <w:rsid w:val="001D27E5"/>
    <w:rsid w:val="001D2A06"/>
    <w:rsid w:val="001D4C4A"/>
    <w:rsid w:val="001D4CA4"/>
    <w:rsid w:val="001D5235"/>
    <w:rsid w:val="001D5596"/>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56A"/>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254"/>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318"/>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5013"/>
    <w:rsid w:val="00256826"/>
    <w:rsid w:val="00256C1E"/>
    <w:rsid w:val="00257DA0"/>
    <w:rsid w:val="00261E42"/>
    <w:rsid w:val="00262B78"/>
    <w:rsid w:val="0026333E"/>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5D5F"/>
    <w:rsid w:val="00296566"/>
    <w:rsid w:val="0029681B"/>
    <w:rsid w:val="002974AE"/>
    <w:rsid w:val="00297813"/>
    <w:rsid w:val="00297A3D"/>
    <w:rsid w:val="002A011B"/>
    <w:rsid w:val="002A0ADA"/>
    <w:rsid w:val="002A11EA"/>
    <w:rsid w:val="002A1375"/>
    <w:rsid w:val="002A1957"/>
    <w:rsid w:val="002A1CEE"/>
    <w:rsid w:val="002A203B"/>
    <w:rsid w:val="002A32E0"/>
    <w:rsid w:val="002A35FE"/>
    <w:rsid w:val="002A42B9"/>
    <w:rsid w:val="002A50C2"/>
    <w:rsid w:val="002A556A"/>
    <w:rsid w:val="002A58E2"/>
    <w:rsid w:val="002A5D4E"/>
    <w:rsid w:val="002A6E71"/>
    <w:rsid w:val="002A709A"/>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1CD"/>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0799"/>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1D0"/>
    <w:rsid w:val="00307340"/>
    <w:rsid w:val="00307E87"/>
    <w:rsid w:val="00310DE4"/>
    <w:rsid w:val="003119D9"/>
    <w:rsid w:val="003124D6"/>
    <w:rsid w:val="00312B5F"/>
    <w:rsid w:val="00312E3D"/>
    <w:rsid w:val="0031311E"/>
    <w:rsid w:val="0031372C"/>
    <w:rsid w:val="00313B96"/>
    <w:rsid w:val="00314524"/>
    <w:rsid w:val="00314CC2"/>
    <w:rsid w:val="0031545D"/>
    <w:rsid w:val="0031554A"/>
    <w:rsid w:val="00315D92"/>
    <w:rsid w:val="00316F0D"/>
    <w:rsid w:val="003170C9"/>
    <w:rsid w:val="00317753"/>
    <w:rsid w:val="00317ADF"/>
    <w:rsid w:val="003202A0"/>
    <w:rsid w:val="003204A2"/>
    <w:rsid w:val="003206E7"/>
    <w:rsid w:val="0032086E"/>
    <w:rsid w:val="0032088F"/>
    <w:rsid w:val="003213A1"/>
    <w:rsid w:val="00321B8E"/>
    <w:rsid w:val="00322606"/>
    <w:rsid w:val="00322A3D"/>
    <w:rsid w:val="00322A80"/>
    <w:rsid w:val="0032386E"/>
    <w:rsid w:val="00323BA3"/>
    <w:rsid w:val="00323D51"/>
    <w:rsid w:val="0032491B"/>
    <w:rsid w:val="00325E98"/>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0F73"/>
    <w:rsid w:val="0036102E"/>
    <w:rsid w:val="00361309"/>
    <w:rsid w:val="0036130C"/>
    <w:rsid w:val="0036296E"/>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03B"/>
    <w:rsid w:val="00380575"/>
    <w:rsid w:val="00381626"/>
    <w:rsid w:val="00381C38"/>
    <w:rsid w:val="00381D4B"/>
    <w:rsid w:val="00381E75"/>
    <w:rsid w:val="003827A9"/>
    <w:rsid w:val="00382E5F"/>
    <w:rsid w:val="0038423E"/>
    <w:rsid w:val="00384870"/>
    <w:rsid w:val="0038506B"/>
    <w:rsid w:val="003854A9"/>
    <w:rsid w:val="003864A6"/>
    <w:rsid w:val="003868EA"/>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9FB"/>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88E"/>
    <w:rsid w:val="003D4B4B"/>
    <w:rsid w:val="003D580A"/>
    <w:rsid w:val="003D5E14"/>
    <w:rsid w:val="003D6070"/>
    <w:rsid w:val="003D61A1"/>
    <w:rsid w:val="003D628F"/>
    <w:rsid w:val="003D6500"/>
    <w:rsid w:val="003D6A23"/>
    <w:rsid w:val="003D6C8A"/>
    <w:rsid w:val="003D6FAE"/>
    <w:rsid w:val="003D70D2"/>
    <w:rsid w:val="003D7789"/>
    <w:rsid w:val="003D78E2"/>
    <w:rsid w:val="003D7DDF"/>
    <w:rsid w:val="003E0933"/>
    <w:rsid w:val="003E1CBB"/>
    <w:rsid w:val="003E265C"/>
    <w:rsid w:val="003E3B50"/>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49CE"/>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689"/>
    <w:rsid w:val="00420D14"/>
    <w:rsid w:val="00421708"/>
    <w:rsid w:val="004222C1"/>
    <w:rsid w:val="004229E2"/>
    <w:rsid w:val="00422DEA"/>
    <w:rsid w:val="004240EE"/>
    <w:rsid w:val="0042486F"/>
    <w:rsid w:val="00424FBB"/>
    <w:rsid w:val="00425A3E"/>
    <w:rsid w:val="00425A8C"/>
    <w:rsid w:val="00426211"/>
    <w:rsid w:val="00426776"/>
    <w:rsid w:val="004269D7"/>
    <w:rsid w:val="00426E87"/>
    <w:rsid w:val="00427538"/>
    <w:rsid w:val="00427CCB"/>
    <w:rsid w:val="00430308"/>
    <w:rsid w:val="00431900"/>
    <w:rsid w:val="00433266"/>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5D79"/>
    <w:rsid w:val="00456704"/>
    <w:rsid w:val="00456CDA"/>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0FB7"/>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8BA"/>
    <w:rsid w:val="00492B0A"/>
    <w:rsid w:val="00492CF8"/>
    <w:rsid w:val="00492EA6"/>
    <w:rsid w:val="0049372E"/>
    <w:rsid w:val="00493E31"/>
    <w:rsid w:val="004944F0"/>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0C20"/>
    <w:rsid w:val="004F1280"/>
    <w:rsid w:val="004F1F84"/>
    <w:rsid w:val="004F262F"/>
    <w:rsid w:val="004F26DC"/>
    <w:rsid w:val="004F27A6"/>
    <w:rsid w:val="004F3671"/>
    <w:rsid w:val="004F383E"/>
    <w:rsid w:val="004F39DD"/>
    <w:rsid w:val="004F4361"/>
    <w:rsid w:val="004F4775"/>
    <w:rsid w:val="004F6051"/>
    <w:rsid w:val="004F6A1E"/>
    <w:rsid w:val="004F7654"/>
    <w:rsid w:val="004F7747"/>
    <w:rsid w:val="004F7C00"/>
    <w:rsid w:val="004F7EFD"/>
    <w:rsid w:val="00500A09"/>
    <w:rsid w:val="00502582"/>
    <w:rsid w:val="00503607"/>
    <w:rsid w:val="00503903"/>
    <w:rsid w:val="00503AAB"/>
    <w:rsid w:val="00503EE9"/>
    <w:rsid w:val="00503F2D"/>
    <w:rsid w:val="00504BA3"/>
    <w:rsid w:val="00505363"/>
    <w:rsid w:val="0050700F"/>
    <w:rsid w:val="0050724B"/>
    <w:rsid w:val="00507347"/>
    <w:rsid w:val="005073AA"/>
    <w:rsid w:val="00507924"/>
    <w:rsid w:val="005079D6"/>
    <w:rsid w:val="005103B9"/>
    <w:rsid w:val="00510828"/>
    <w:rsid w:val="00511CDA"/>
    <w:rsid w:val="0051243D"/>
    <w:rsid w:val="00512595"/>
    <w:rsid w:val="0051284A"/>
    <w:rsid w:val="00512ED7"/>
    <w:rsid w:val="0051375C"/>
    <w:rsid w:val="005137D2"/>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2FC"/>
    <w:rsid w:val="00530F6B"/>
    <w:rsid w:val="00531A97"/>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0A65"/>
    <w:rsid w:val="00541C26"/>
    <w:rsid w:val="005421C7"/>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3DF"/>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D7C"/>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944"/>
    <w:rsid w:val="005A1E94"/>
    <w:rsid w:val="005A257F"/>
    <w:rsid w:val="005A2794"/>
    <w:rsid w:val="005A2C69"/>
    <w:rsid w:val="005A2CA7"/>
    <w:rsid w:val="005A2FF0"/>
    <w:rsid w:val="005A35BE"/>
    <w:rsid w:val="005A3E76"/>
    <w:rsid w:val="005A471D"/>
    <w:rsid w:val="005A4765"/>
    <w:rsid w:val="005A4A4A"/>
    <w:rsid w:val="005A4D8E"/>
    <w:rsid w:val="005A5845"/>
    <w:rsid w:val="005A5CEE"/>
    <w:rsid w:val="005A5D50"/>
    <w:rsid w:val="005A67CD"/>
    <w:rsid w:val="005A743D"/>
    <w:rsid w:val="005A7945"/>
    <w:rsid w:val="005A7AC7"/>
    <w:rsid w:val="005B0FB6"/>
    <w:rsid w:val="005B23A3"/>
    <w:rsid w:val="005B2C3F"/>
    <w:rsid w:val="005B36E3"/>
    <w:rsid w:val="005B3751"/>
    <w:rsid w:val="005B38F2"/>
    <w:rsid w:val="005B3FCE"/>
    <w:rsid w:val="005B40B2"/>
    <w:rsid w:val="005B452D"/>
    <w:rsid w:val="005B6270"/>
    <w:rsid w:val="005B6457"/>
    <w:rsid w:val="005B6A08"/>
    <w:rsid w:val="005B6C48"/>
    <w:rsid w:val="005B6E2F"/>
    <w:rsid w:val="005B72AE"/>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C73"/>
    <w:rsid w:val="005F5FC5"/>
    <w:rsid w:val="005F61FB"/>
    <w:rsid w:val="005F6620"/>
    <w:rsid w:val="005F72C7"/>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15F7"/>
    <w:rsid w:val="00622225"/>
    <w:rsid w:val="0062300E"/>
    <w:rsid w:val="00623483"/>
    <w:rsid w:val="00623655"/>
    <w:rsid w:val="00623B53"/>
    <w:rsid w:val="00625BC3"/>
    <w:rsid w:val="00625DA8"/>
    <w:rsid w:val="006271A3"/>
    <w:rsid w:val="0062779A"/>
    <w:rsid w:val="00627B4F"/>
    <w:rsid w:val="00630BB5"/>
    <w:rsid w:val="00630E67"/>
    <w:rsid w:val="00631C70"/>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647F"/>
    <w:rsid w:val="006379F9"/>
    <w:rsid w:val="00637A3C"/>
    <w:rsid w:val="00637D52"/>
    <w:rsid w:val="0064002B"/>
    <w:rsid w:val="00640AB5"/>
    <w:rsid w:val="00640F65"/>
    <w:rsid w:val="006411C6"/>
    <w:rsid w:val="00641985"/>
    <w:rsid w:val="00642730"/>
    <w:rsid w:val="00642833"/>
    <w:rsid w:val="00642B0C"/>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483"/>
    <w:rsid w:val="006566FF"/>
    <w:rsid w:val="00657271"/>
    <w:rsid w:val="00660596"/>
    <w:rsid w:val="00660EB1"/>
    <w:rsid w:val="00661098"/>
    <w:rsid w:val="006613E7"/>
    <w:rsid w:val="006614E1"/>
    <w:rsid w:val="00661CAC"/>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4910"/>
    <w:rsid w:val="006757D1"/>
    <w:rsid w:val="0067665D"/>
    <w:rsid w:val="00676836"/>
    <w:rsid w:val="00676F9A"/>
    <w:rsid w:val="006774F3"/>
    <w:rsid w:val="00677558"/>
    <w:rsid w:val="00677612"/>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0DA"/>
    <w:rsid w:val="006926FE"/>
    <w:rsid w:val="00693A5E"/>
    <w:rsid w:val="00693F52"/>
    <w:rsid w:val="00694167"/>
    <w:rsid w:val="006946A9"/>
    <w:rsid w:val="00694B51"/>
    <w:rsid w:val="006955CC"/>
    <w:rsid w:val="0069696D"/>
    <w:rsid w:val="00696A9C"/>
    <w:rsid w:val="006974E5"/>
    <w:rsid w:val="00697825"/>
    <w:rsid w:val="006979ED"/>
    <w:rsid w:val="00697AE0"/>
    <w:rsid w:val="006A04B2"/>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0562"/>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599D"/>
    <w:rsid w:val="006E6256"/>
    <w:rsid w:val="006E69F3"/>
    <w:rsid w:val="006E6A6F"/>
    <w:rsid w:val="006E6C4A"/>
    <w:rsid w:val="006E7344"/>
    <w:rsid w:val="006E74DA"/>
    <w:rsid w:val="006E7B71"/>
    <w:rsid w:val="006E7E5E"/>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9D8"/>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5EB"/>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55"/>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67167"/>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4586"/>
    <w:rsid w:val="00795518"/>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EEA"/>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07EEF"/>
    <w:rsid w:val="00810600"/>
    <w:rsid w:val="00810788"/>
    <w:rsid w:val="00810B50"/>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32F"/>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ED0"/>
    <w:rsid w:val="00834FC9"/>
    <w:rsid w:val="0083502D"/>
    <w:rsid w:val="00835744"/>
    <w:rsid w:val="0083590B"/>
    <w:rsid w:val="00835A11"/>
    <w:rsid w:val="00836082"/>
    <w:rsid w:val="008362E5"/>
    <w:rsid w:val="0083680C"/>
    <w:rsid w:val="00836BB3"/>
    <w:rsid w:val="00836C7D"/>
    <w:rsid w:val="008378E2"/>
    <w:rsid w:val="00840138"/>
    <w:rsid w:val="008405A6"/>
    <w:rsid w:val="0084077D"/>
    <w:rsid w:val="008407BA"/>
    <w:rsid w:val="008408A9"/>
    <w:rsid w:val="00840D66"/>
    <w:rsid w:val="0084179B"/>
    <w:rsid w:val="00841A5A"/>
    <w:rsid w:val="00841FF1"/>
    <w:rsid w:val="0084296A"/>
    <w:rsid w:val="00843710"/>
    <w:rsid w:val="0084396D"/>
    <w:rsid w:val="008439A9"/>
    <w:rsid w:val="00844A1C"/>
    <w:rsid w:val="00844CA2"/>
    <w:rsid w:val="0084501E"/>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408D"/>
    <w:rsid w:val="008553B2"/>
    <w:rsid w:val="00855515"/>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4557"/>
    <w:rsid w:val="00876729"/>
    <w:rsid w:val="00876DBD"/>
    <w:rsid w:val="00876ED7"/>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0B4"/>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223"/>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0A13"/>
    <w:rsid w:val="00911B87"/>
    <w:rsid w:val="009123C3"/>
    <w:rsid w:val="00912445"/>
    <w:rsid w:val="009125F6"/>
    <w:rsid w:val="00912AE3"/>
    <w:rsid w:val="009137CB"/>
    <w:rsid w:val="00913C69"/>
    <w:rsid w:val="009147D6"/>
    <w:rsid w:val="00915159"/>
    <w:rsid w:val="0091545D"/>
    <w:rsid w:val="00915470"/>
    <w:rsid w:val="009158E3"/>
    <w:rsid w:val="00916500"/>
    <w:rsid w:val="00916677"/>
    <w:rsid w:val="0091788D"/>
    <w:rsid w:val="00917CF2"/>
    <w:rsid w:val="00920748"/>
    <w:rsid w:val="009216C1"/>
    <w:rsid w:val="00923485"/>
    <w:rsid w:val="00923B75"/>
    <w:rsid w:val="00923F8C"/>
    <w:rsid w:val="00924911"/>
    <w:rsid w:val="00925DE4"/>
    <w:rsid w:val="00926233"/>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8DA"/>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7DA"/>
    <w:rsid w:val="00945D90"/>
    <w:rsid w:val="0094647A"/>
    <w:rsid w:val="00947472"/>
    <w:rsid w:val="00947F4A"/>
    <w:rsid w:val="00947F5C"/>
    <w:rsid w:val="00950C53"/>
    <w:rsid w:val="00950DB5"/>
    <w:rsid w:val="00950E6E"/>
    <w:rsid w:val="00951013"/>
    <w:rsid w:val="00951511"/>
    <w:rsid w:val="00951A4A"/>
    <w:rsid w:val="00951B14"/>
    <w:rsid w:val="009520FC"/>
    <w:rsid w:val="0095225F"/>
    <w:rsid w:val="0095257B"/>
    <w:rsid w:val="0095335B"/>
    <w:rsid w:val="00953C30"/>
    <w:rsid w:val="009544A5"/>
    <w:rsid w:val="00955182"/>
    <w:rsid w:val="009555AC"/>
    <w:rsid w:val="00955C77"/>
    <w:rsid w:val="00956D7D"/>
    <w:rsid w:val="00957779"/>
    <w:rsid w:val="00960F61"/>
    <w:rsid w:val="00961BF3"/>
    <w:rsid w:val="0096219A"/>
    <w:rsid w:val="00962361"/>
    <w:rsid w:val="009624C0"/>
    <w:rsid w:val="009629AA"/>
    <w:rsid w:val="00962E07"/>
    <w:rsid w:val="00963FAF"/>
    <w:rsid w:val="0096463A"/>
    <w:rsid w:val="0096471F"/>
    <w:rsid w:val="009647FF"/>
    <w:rsid w:val="009650F2"/>
    <w:rsid w:val="00965440"/>
    <w:rsid w:val="00965653"/>
    <w:rsid w:val="00965CED"/>
    <w:rsid w:val="0096715B"/>
    <w:rsid w:val="00967977"/>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6F24"/>
    <w:rsid w:val="00977225"/>
    <w:rsid w:val="00977A65"/>
    <w:rsid w:val="0098001A"/>
    <w:rsid w:val="00980107"/>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2023"/>
    <w:rsid w:val="009C31F9"/>
    <w:rsid w:val="009C381D"/>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72C"/>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2F28"/>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CF5"/>
    <w:rsid w:val="00A53E77"/>
    <w:rsid w:val="00A540C6"/>
    <w:rsid w:val="00A54CF5"/>
    <w:rsid w:val="00A551B1"/>
    <w:rsid w:val="00A56101"/>
    <w:rsid w:val="00A5717D"/>
    <w:rsid w:val="00A57523"/>
    <w:rsid w:val="00A61221"/>
    <w:rsid w:val="00A613DE"/>
    <w:rsid w:val="00A61585"/>
    <w:rsid w:val="00A61699"/>
    <w:rsid w:val="00A61C62"/>
    <w:rsid w:val="00A6333C"/>
    <w:rsid w:val="00A63D59"/>
    <w:rsid w:val="00A63F13"/>
    <w:rsid w:val="00A65D70"/>
    <w:rsid w:val="00A66AE3"/>
    <w:rsid w:val="00A70069"/>
    <w:rsid w:val="00A701DA"/>
    <w:rsid w:val="00A70600"/>
    <w:rsid w:val="00A70A02"/>
    <w:rsid w:val="00A70D26"/>
    <w:rsid w:val="00A716E5"/>
    <w:rsid w:val="00A72444"/>
    <w:rsid w:val="00A724DF"/>
    <w:rsid w:val="00A729F1"/>
    <w:rsid w:val="00A72B2B"/>
    <w:rsid w:val="00A735BB"/>
    <w:rsid w:val="00A73775"/>
    <w:rsid w:val="00A73C3A"/>
    <w:rsid w:val="00A74656"/>
    <w:rsid w:val="00A74A9D"/>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71D"/>
    <w:rsid w:val="00A91F2A"/>
    <w:rsid w:val="00A92561"/>
    <w:rsid w:val="00A927BE"/>
    <w:rsid w:val="00A929ED"/>
    <w:rsid w:val="00A92A86"/>
    <w:rsid w:val="00A942E6"/>
    <w:rsid w:val="00A94502"/>
    <w:rsid w:val="00A94CFA"/>
    <w:rsid w:val="00A9540D"/>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33"/>
    <w:rsid w:val="00AD2985"/>
    <w:rsid w:val="00AD318F"/>
    <w:rsid w:val="00AD4948"/>
    <w:rsid w:val="00AD557B"/>
    <w:rsid w:val="00AD56C0"/>
    <w:rsid w:val="00AD5DD6"/>
    <w:rsid w:val="00AD7416"/>
    <w:rsid w:val="00AD7640"/>
    <w:rsid w:val="00AD76C6"/>
    <w:rsid w:val="00AD7817"/>
    <w:rsid w:val="00AD7E28"/>
    <w:rsid w:val="00AE1450"/>
    <w:rsid w:val="00AE180A"/>
    <w:rsid w:val="00AE1DB7"/>
    <w:rsid w:val="00AE2050"/>
    <w:rsid w:val="00AE2D65"/>
    <w:rsid w:val="00AE4728"/>
    <w:rsid w:val="00AE5435"/>
    <w:rsid w:val="00AE57B4"/>
    <w:rsid w:val="00AE6CA7"/>
    <w:rsid w:val="00AF031C"/>
    <w:rsid w:val="00AF045B"/>
    <w:rsid w:val="00AF05AA"/>
    <w:rsid w:val="00AF06C7"/>
    <w:rsid w:val="00AF1041"/>
    <w:rsid w:val="00AF137B"/>
    <w:rsid w:val="00AF1543"/>
    <w:rsid w:val="00AF1C18"/>
    <w:rsid w:val="00AF211E"/>
    <w:rsid w:val="00AF2AA9"/>
    <w:rsid w:val="00AF2B4B"/>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1EA5"/>
    <w:rsid w:val="00B02596"/>
    <w:rsid w:val="00B02D9C"/>
    <w:rsid w:val="00B03D7F"/>
    <w:rsid w:val="00B03E5E"/>
    <w:rsid w:val="00B03F5D"/>
    <w:rsid w:val="00B04422"/>
    <w:rsid w:val="00B0459A"/>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5B1A"/>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986"/>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1F69"/>
    <w:rsid w:val="00B5237A"/>
    <w:rsid w:val="00B5325E"/>
    <w:rsid w:val="00B53776"/>
    <w:rsid w:val="00B53F69"/>
    <w:rsid w:val="00B540B4"/>
    <w:rsid w:val="00B54DB2"/>
    <w:rsid w:val="00B5547A"/>
    <w:rsid w:val="00B557C1"/>
    <w:rsid w:val="00B563EF"/>
    <w:rsid w:val="00B56578"/>
    <w:rsid w:val="00B5765C"/>
    <w:rsid w:val="00B57F8F"/>
    <w:rsid w:val="00B604EA"/>
    <w:rsid w:val="00B61083"/>
    <w:rsid w:val="00B61837"/>
    <w:rsid w:val="00B619E8"/>
    <w:rsid w:val="00B61B83"/>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778C1"/>
    <w:rsid w:val="00B80361"/>
    <w:rsid w:val="00B8098B"/>
    <w:rsid w:val="00B81B0C"/>
    <w:rsid w:val="00B81D5A"/>
    <w:rsid w:val="00B82AF0"/>
    <w:rsid w:val="00B82FA8"/>
    <w:rsid w:val="00B83E35"/>
    <w:rsid w:val="00B84190"/>
    <w:rsid w:val="00B843B0"/>
    <w:rsid w:val="00B8557F"/>
    <w:rsid w:val="00B857B9"/>
    <w:rsid w:val="00B85C1B"/>
    <w:rsid w:val="00B8633D"/>
    <w:rsid w:val="00B86781"/>
    <w:rsid w:val="00B86E49"/>
    <w:rsid w:val="00B86F1B"/>
    <w:rsid w:val="00B8719A"/>
    <w:rsid w:val="00B9006A"/>
    <w:rsid w:val="00B901C2"/>
    <w:rsid w:val="00B90909"/>
    <w:rsid w:val="00B90D92"/>
    <w:rsid w:val="00B91332"/>
    <w:rsid w:val="00B92184"/>
    <w:rsid w:val="00B92411"/>
    <w:rsid w:val="00B92835"/>
    <w:rsid w:val="00B93224"/>
    <w:rsid w:val="00B94BCE"/>
    <w:rsid w:val="00B94BEC"/>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1F"/>
    <w:rsid w:val="00BB28E7"/>
    <w:rsid w:val="00BB3183"/>
    <w:rsid w:val="00BB3416"/>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1AFA"/>
    <w:rsid w:val="00BE2372"/>
    <w:rsid w:val="00BE268F"/>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61B"/>
    <w:rsid w:val="00BF3E82"/>
    <w:rsid w:val="00BF3F4C"/>
    <w:rsid w:val="00BF4F87"/>
    <w:rsid w:val="00BF5F4B"/>
    <w:rsid w:val="00BF60E7"/>
    <w:rsid w:val="00BF685D"/>
    <w:rsid w:val="00BF7859"/>
    <w:rsid w:val="00BF7F71"/>
    <w:rsid w:val="00C0002F"/>
    <w:rsid w:val="00C000CE"/>
    <w:rsid w:val="00C00AF7"/>
    <w:rsid w:val="00C011A5"/>
    <w:rsid w:val="00C017D1"/>
    <w:rsid w:val="00C0198F"/>
    <w:rsid w:val="00C02CF2"/>
    <w:rsid w:val="00C0353D"/>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4D5"/>
    <w:rsid w:val="00C1276F"/>
    <w:rsid w:val="00C12A6C"/>
    <w:rsid w:val="00C12B07"/>
    <w:rsid w:val="00C12E94"/>
    <w:rsid w:val="00C12EBA"/>
    <w:rsid w:val="00C12FCF"/>
    <w:rsid w:val="00C130C4"/>
    <w:rsid w:val="00C13BF5"/>
    <w:rsid w:val="00C13D17"/>
    <w:rsid w:val="00C142AC"/>
    <w:rsid w:val="00C157D8"/>
    <w:rsid w:val="00C15968"/>
    <w:rsid w:val="00C17179"/>
    <w:rsid w:val="00C1732B"/>
    <w:rsid w:val="00C17422"/>
    <w:rsid w:val="00C17C56"/>
    <w:rsid w:val="00C17D82"/>
    <w:rsid w:val="00C2040D"/>
    <w:rsid w:val="00C20B13"/>
    <w:rsid w:val="00C21160"/>
    <w:rsid w:val="00C211D7"/>
    <w:rsid w:val="00C21360"/>
    <w:rsid w:val="00C22961"/>
    <w:rsid w:val="00C2356C"/>
    <w:rsid w:val="00C236E3"/>
    <w:rsid w:val="00C2491E"/>
    <w:rsid w:val="00C252A5"/>
    <w:rsid w:val="00C25FF9"/>
    <w:rsid w:val="00C26BC5"/>
    <w:rsid w:val="00C27F9A"/>
    <w:rsid w:val="00C3027F"/>
    <w:rsid w:val="00C308EC"/>
    <w:rsid w:val="00C32453"/>
    <w:rsid w:val="00C32513"/>
    <w:rsid w:val="00C325FB"/>
    <w:rsid w:val="00C3367B"/>
    <w:rsid w:val="00C3403D"/>
    <w:rsid w:val="00C342E3"/>
    <w:rsid w:val="00C345AD"/>
    <w:rsid w:val="00C360EC"/>
    <w:rsid w:val="00C36CF5"/>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6C08"/>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93B"/>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81A"/>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5C04"/>
    <w:rsid w:val="00C8642E"/>
    <w:rsid w:val="00C876F8"/>
    <w:rsid w:val="00C90083"/>
    <w:rsid w:val="00C9022E"/>
    <w:rsid w:val="00C90F90"/>
    <w:rsid w:val="00C9145D"/>
    <w:rsid w:val="00C91540"/>
    <w:rsid w:val="00C92701"/>
    <w:rsid w:val="00C92C33"/>
    <w:rsid w:val="00C9327D"/>
    <w:rsid w:val="00C93682"/>
    <w:rsid w:val="00C93E9B"/>
    <w:rsid w:val="00C943E1"/>
    <w:rsid w:val="00C9524F"/>
    <w:rsid w:val="00C964AD"/>
    <w:rsid w:val="00C971AF"/>
    <w:rsid w:val="00C977F8"/>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28F"/>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C17"/>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3C28"/>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182"/>
    <w:rsid w:val="00D013D7"/>
    <w:rsid w:val="00D01708"/>
    <w:rsid w:val="00D01C89"/>
    <w:rsid w:val="00D01DC1"/>
    <w:rsid w:val="00D02199"/>
    <w:rsid w:val="00D02244"/>
    <w:rsid w:val="00D0259D"/>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688C"/>
    <w:rsid w:val="00D16D16"/>
    <w:rsid w:val="00D173D2"/>
    <w:rsid w:val="00D17767"/>
    <w:rsid w:val="00D17ABD"/>
    <w:rsid w:val="00D17B78"/>
    <w:rsid w:val="00D2030E"/>
    <w:rsid w:val="00D2059D"/>
    <w:rsid w:val="00D20ADA"/>
    <w:rsid w:val="00D20E94"/>
    <w:rsid w:val="00D20F3F"/>
    <w:rsid w:val="00D20F55"/>
    <w:rsid w:val="00D219C7"/>
    <w:rsid w:val="00D21C0C"/>
    <w:rsid w:val="00D21D41"/>
    <w:rsid w:val="00D220D8"/>
    <w:rsid w:val="00D22886"/>
    <w:rsid w:val="00D22B69"/>
    <w:rsid w:val="00D22EB3"/>
    <w:rsid w:val="00D22FF5"/>
    <w:rsid w:val="00D235C4"/>
    <w:rsid w:val="00D23817"/>
    <w:rsid w:val="00D23CDD"/>
    <w:rsid w:val="00D23D9C"/>
    <w:rsid w:val="00D246D0"/>
    <w:rsid w:val="00D24AF9"/>
    <w:rsid w:val="00D2505B"/>
    <w:rsid w:val="00D25E16"/>
    <w:rsid w:val="00D2616A"/>
    <w:rsid w:val="00D273C3"/>
    <w:rsid w:val="00D27AA8"/>
    <w:rsid w:val="00D27C83"/>
    <w:rsid w:val="00D302DF"/>
    <w:rsid w:val="00D3034B"/>
    <w:rsid w:val="00D30963"/>
    <w:rsid w:val="00D30ED5"/>
    <w:rsid w:val="00D314A9"/>
    <w:rsid w:val="00D3157F"/>
    <w:rsid w:val="00D31899"/>
    <w:rsid w:val="00D319D2"/>
    <w:rsid w:val="00D31D45"/>
    <w:rsid w:val="00D31DA7"/>
    <w:rsid w:val="00D32ABC"/>
    <w:rsid w:val="00D330DB"/>
    <w:rsid w:val="00D3372F"/>
    <w:rsid w:val="00D33BC8"/>
    <w:rsid w:val="00D346A3"/>
    <w:rsid w:val="00D34B5A"/>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15AF"/>
    <w:rsid w:val="00D521BD"/>
    <w:rsid w:val="00D534CB"/>
    <w:rsid w:val="00D535F1"/>
    <w:rsid w:val="00D53802"/>
    <w:rsid w:val="00D53A67"/>
    <w:rsid w:val="00D54052"/>
    <w:rsid w:val="00D546EF"/>
    <w:rsid w:val="00D5473A"/>
    <w:rsid w:val="00D548D9"/>
    <w:rsid w:val="00D54C43"/>
    <w:rsid w:val="00D54EFF"/>
    <w:rsid w:val="00D5521B"/>
    <w:rsid w:val="00D55614"/>
    <w:rsid w:val="00D57997"/>
    <w:rsid w:val="00D57C41"/>
    <w:rsid w:val="00D57F7C"/>
    <w:rsid w:val="00D57F92"/>
    <w:rsid w:val="00D6122C"/>
    <w:rsid w:val="00D61295"/>
    <w:rsid w:val="00D615A7"/>
    <w:rsid w:val="00D61892"/>
    <w:rsid w:val="00D61E0B"/>
    <w:rsid w:val="00D6332A"/>
    <w:rsid w:val="00D63E03"/>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267"/>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607A"/>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0AFE"/>
    <w:rsid w:val="00DD10F0"/>
    <w:rsid w:val="00DD1817"/>
    <w:rsid w:val="00DD1DC5"/>
    <w:rsid w:val="00DD22C6"/>
    <w:rsid w:val="00DD23F5"/>
    <w:rsid w:val="00DD2E24"/>
    <w:rsid w:val="00DD34BC"/>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36B"/>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5B0"/>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D52"/>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AC7"/>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2A45"/>
    <w:rsid w:val="00E92A56"/>
    <w:rsid w:val="00E93511"/>
    <w:rsid w:val="00E94C96"/>
    <w:rsid w:val="00E954A1"/>
    <w:rsid w:val="00E96263"/>
    <w:rsid w:val="00E96A15"/>
    <w:rsid w:val="00E96B5D"/>
    <w:rsid w:val="00E96D33"/>
    <w:rsid w:val="00E96D75"/>
    <w:rsid w:val="00E96DF9"/>
    <w:rsid w:val="00E96E87"/>
    <w:rsid w:val="00E975A1"/>
    <w:rsid w:val="00E97C7F"/>
    <w:rsid w:val="00EA0274"/>
    <w:rsid w:val="00EA09A2"/>
    <w:rsid w:val="00EA0AB2"/>
    <w:rsid w:val="00EA11B2"/>
    <w:rsid w:val="00EA18FF"/>
    <w:rsid w:val="00EA1A00"/>
    <w:rsid w:val="00EA1BBB"/>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5F18"/>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B4D"/>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0EB5"/>
    <w:rsid w:val="00EE17FE"/>
    <w:rsid w:val="00EE1C1F"/>
    <w:rsid w:val="00EE22C7"/>
    <w:rsid w:val="00EE2A7B"/>
    <w:rsid w:val="00EE4289"/>
    <w:rsid w:val="00EE47D2"/>
    <w:rsid w:val="00EE531D"/>
    <w:rsid w:val="00EE5A8D"/>
    <w:rsid w:val="00EE5C53"/>
    <w:rsid w:val="00EE6409"/>
    <w:rsid w:val="00EE6459"/>
    <w:rsid w:val="00EE6FE4"/>
    <w:rsid w:val="00EE77D6"/>
    <w:rsid w:val="00EF132E"/>
    <w:rsid w:val="00EF136D"/>
    <w:rsid w:val="00EF1554"/>
    <w:rsid w:val="00EF1FEE"/>
    <w:rsid w:val="00EF267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2C7"/>
    <w:rsid w:val="00F25573"/>
    <w:rsid w:val="00F25AFF"/>
    <w:rsid w:val="00F25CCB"/>
    <w:rsid w:val="00F25CED"/>
    <w:rsid w:val="00F2629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6E73"/>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9"/>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68A"/>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006"/>
    <w:rsid w:val="00F9356C"/>
    <w:rsid w:val="00F94265"/>
    <w:rsid w:val="00F94722"/>
    <w:rsid w:val="00F94A15"/>
    <w:rsid w:val="00F95A4B"/>
    <w:rsid w:val="00F97653"/>
    <w:rsid w:val="00F9765C"/>
    <w:rsid w:val="00FA0396"/>
    <w:rsid w:val="00FA1F41"/>
    <w:rsid w:val="00FA20DD"/>
    <w:rsid w:val="00FA2432"/>
    <w:rsid w:val="00FA250D"/>
    <w:rsid w:val="00FA265A"/>
    <w:rsid w:val="00FA2E61"/>
    <w:rsid w:val="00FA3094"/>
    <w:rsid w:val="00FA3846"/>
    <w:rsid w:val="00FA49F3"/>
    <w:rsid w:val="00FA4FD4"/>
    <w:rsid w:val="00FA5431"/>
    <w:rsid w:val="00FA54F3"/>
    <w:rsid w:val="00FA5B57"/>
    <w:rsid w:val="00FA5D38"/>
    <w:rsid w:val="00FA5E5C"/>
    <w:rsid w:val="00FA5F78"/>
    <w:rsid w:val="00FA63D4"/>
    <w:rsid w:val="00FA6493"/>
    <w:rsid w:val="00FA64C1"/>
    <w:rsid w:val="00FA66D0"/>
    <w:rsid w:val="00FA6E6B"/>
    <w:rsid w:val="00FA771C"/>
    <w:rsid w:val="00FA7BF8"/>
    <w:rsid w:val="00FB0CED"/>
    <w:rsid w:val="00FB1751"/>
    <w:rsid w:val="00FB17C3"/>
    <w:rsid w:val="00FB3244"/>
    <w:rsid w:val="00FB361C"/>
    <w:rsid w:val="00FB416D"/>
    <w:rsid w:val="00FB44E9"/>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C85"/>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116"/>
    <w:rsid w:val="00FD462F"/>
    <w:rsid w:val="00FD47E2"/>
    <w:rsid w:val="00FD5125"/>
    <w:rsid w:val="00FD512F"/>
    <w:rsid w:val="00FD5225"/>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785"/>
    <w:rsid w:val="00FE7FD8"/>
    <w:rsid w:val="00FF014A"/>
    <w:rsid w:val="00FF0BFE"/>
    <w:rsid w:val="00FF0E16"/>
    <w:rsid w:val="00FF17FD"/>
    <w:rsid w:val="00FF251E"/>
    <w:rsid w:val="00FF28E1"/>
    <w:rsid w:val="00FF2991"/>
    <w:rsid w:val="00FF2BE2"/>
    <w:rsid w:val="00FF3545"/>
    <w:rsid w:val="00FF3F99"/>
    <w:rsid w:val="00FF54DB"/>
    <w:rsid w:val="00FF6833"/>
    <w:rsid w:val="00FF7171"/>
    <w:rsid w:val="00FF73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semiHidden="1" w:uiPriority="0" w:unhideWhenUsed="1" w:qFormat="1"/>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uiPriority w:val="99"/>
    <w:semiHidden/>
    <w:rsid w:val="008609A8"/>
    <w:rPr>
      <w:rFonts w:cs="Times New Roman"/>
      <w:sz w:val="16"/>
      <w:szCs w:val="16"/>
    </w:rPr>
  </w:style>
  <w:style w:type="paragraph" w:styleId="CommentText">
    <w:name w:val="annotation text"/>
    <w:basedOn w:val="Normal"/>
    <w:link w:val="CommentTextChar"/>
    <w:uiPriority w:val="99"/>
    <w:semiHidden/>
    <w:rsid w:val="008609A8"/>
    <w:rPr>
      <w:sz w:val="20"/>
      <w:szCs w:val="20"/>
    </w:rPr>
  </w:style>
  <w:style w:type="character" w:customStyle="1" w:styleId="CommentTextChar">
    <w:name w:val="Comment Text Char"/>
    <w:basedOn w:val="DefaultParagraphFont"/>
    <w:link w:val="CommentText"/>
    <w:uiPriority w:val="99"/>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aliases w:val="Footnote number,Footnotes refss"/>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9533">
      <w:bodyDiv w:val="1"/>
      <w:marLeft w:val="0"/>
      <w:marRight w:val="0"/>
      <w:marTop w:val="0"/>
      <w:marBottom w:val="0"/>
      <w:divBdr>
        <w:top w:val="none" w:sz="0" w:space="0" w:color="auto"/>
        <w:left w:val="none" w:sz="0" w:space="0" w:color="auto"/>
        <w:bottom w:val="none" w:sz="0" w:space="0" w:color="auto"/>
        <w:right w:val="none" w:sz="0" w:space="0" w:color="auto"/>
      </w:divBdr>
      <w:divsChild>
        <w:div w:id="141313729">
          <w:marLeft w:val="0"/>
          <w:marRight w:val="0"/>
          <w:marTop w:val="0"/>
          <w:marBottom w:val="0"/>
          <w:divBdr>
            <w:top w:val="none" w:sz="0" w:space="0" w:color="auto"/>
            <w:left w:val="none" w:sz="0" w:space="0" w:color="auto"/>
            <w:bottom w:val="none" w:sz="0" w:space="0" w:color="auto"/>
            <w:right w:val="none" w:sz="0" w:space="0" w:color="auto"/>
          </w:divBdr>
        </w:div>
        <w:div w:id="1859154838">
          <w:marLeft w:val="0"/>
          <w:marRight w:val="0"/>
          <w:marTop w:val="0"/>
          <w:marBottom w:val="0"/>
          <w:divBdr>
            <w:top w:val="none" w:sz="0" w:space="0" w:color="auto"/>
            <w:left w:val="none" w:sz="0" w:space="0" w:color="auto"/>
            <w:bottom w:val="none" w:sz="0" w:space="0" w:color="auto"/>
            <w:right w:val="none" w:sz="0" w:space="0" w:color="auto"/>
          </w:divBdr>
        </w:div>
        <w:div w:id="1541627123">
          <w:marLeft w:val="0"/>
          <w:marRight w:val="0"/>
          <w:marTop w:val="0"/>
          <w:marBottom w:val="0"/>
          <w:divBdr>
            <w:top w:val="none" w:sz="0" w:space="0" w:color="auto"/>
            <w:left w:val="none" w:sz="0" w:space="0" w:color="auto"/>
            <w:bottom w:val="none" w:sz="0" w:space="0" w:color="auto"/>
            <w:right w:val="none" w:sz="0" w:space="0" w:color="auto"/>
          </w:divBdr>
        </w:div>
        <w:div w:id="70005964">
          <w:marLeft w:val="0"/>
          <w:marRight w:val="0"/>
          <w:marTop w:val="0"/>
          <w:marBottom w:val="0"/>
          <w:divBdr>
            <w:top w:val="none" w:sz="0" w:space="0" w:color="auto"/>
            <w:left w:val="none" w:sz="0" w:space="0" w:color="auto"/>
            <w:bottom w:val="none" w:sz="0" w:space="0" w:color="auto"/>
            <w:right w:val="none" w:sz="0" w:space="0" w:color="auto"/>
          </w:divBdr>
        </w:div>
        <w:div w:id="234703460">
          <w:marLeft w:val="0"/>
          <w:marRight w:val="0"/>
          <w:marTop w:val="0"/>
          <w:marBottom w:val="0"/>
          <w:divBdr>
            <w:top w:val="none" w:sz="0" w:space="0" w:color="auto"/>
            <w:left w:val="none" w:sz="0" w:space="0" w:color="auto"/>
            <w:bottom w:val="none" w:sz="0" w:space="0" w:color="auto"/>
            <w:right w:val="none" w:sz="0" w:space="0" w:color="auto"/>
          </w:divBdr>
        </w:div>
      </w:divsChild>
    </w:div>
    <w:div w:id="254291742">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948505860">
      <w:bodyDiv w:val="1"/>
      <w:marLeft w:val="0"/>
      <w:marRight w:val="0"/>
      <w:marTop w:val="0"/>
      <w:marBottom w:val="0"/>
      <w:divBdr>
        <w:top w:val="none" w:sz="0" w:space="0" w:color="auto"/>
        <w:left w:val="none" w:sz="0" w:space="0" w:color="auto"/>
        <w:bottom w:val="none" w:sz="0" w:space="0" w:color="auto"/>
        <w:right w:val="none" w:sz="0" w:space="0" w:color="auto"/>
      </w:divBdr>
    </w:div>
    <w:div w:id="975528584">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336112852">
      <w:bodyDiv w:val="1"/>
      <w:marLeft w:val="0"/>
      <w:marRight w:val="0"/>
      <w:marTop w:val="0"/>
      <w:marBottom w:val="0"/>
      <w:divBdr>
        <w:top w:val="none" w:sz="0" w:space="0" w:color="auto"/>
        <w:left w:val="none" w:sz="0" w:space="0" w:color="auto"/>
        <w:bottom w:val="none" w:sz="0" w:space="0" w:color="auto"/>
        <w:right w:val="none" w:sz="0" w:space="0" w:color="auto"/>
      </w:divBdr>
      <w:divsChild>
        <w:div w:id="1755395827">
          <w:marLeft w:val="0"/>
          <w:marRight w:val="0"/>
          <w:marTop w:val="0"/>
          <w:marBottom w:val="0"/>
          <w:divBdr>
            <w:top w:val="none" w:sz="0" w:space="0" w:color="auto"/>
            <w:left w:val="none" w:sz="0" w:space="0" w:color="auto"/>
            <w:bottom w:val="none" w:sz="0" w:space="0" w:color="auto"/>
            <w:right w:val="none" w:sz="0" w:space="0" w:color="auto"/>
          </w:divBdr>
        </w:div>
        <w:div w:id="800346597">
          <w:marLeft w:val="0"/>
          <w:marRight w:val="0"/>
          <w:marTop w:val="0"/>
          <w:marBottom w:val="0"/>
          <w:divBdr>
            <w:top w:val="none" w:sz="0" w:space="0" w:color="auto"/>
            <w:left w:val="none" w:sz="0" w:space="0" w:color="auto"/>
            <w:bottom w:val="none" w:sz="0" w:space="0" w:color="auto"/>
            <w:right w:val="none" w:sz="0" w:space="0" w:color="auto"/>
          </w:divBdr>
        </w:div>
      </w:divsChild>
    </w:div>
    <w:div w:id="1353141364">
      <w:bodyDiv w:val="1"/>
      <w:marLeft w:val="0"/>
      <w:marRight w:val="0"/>
      <w:marTop w:val="0"/>
      <w:marBottom w:val="0"/>
      <w:divBdr>
        <w:top w:val="none" w:sz="0" w:space="0" w:color="auto"/>
        <w:left w:val="none" w:sz="0" w:space="0" w:color="auto"/>
        <w:bottom w:val="none" w:sz="0" w:space="0" w:color="auto"/>
        <w:right w:val="none" w:sz="0" w:space="0" w:color="auto"/>
      </w:divBdr>
    </w:div>
    <w:div w:id="1370493795">
      <w:bodyDiv w:val="1"/>
      <w:marLeft w:val="0"/>
      <w:marRight w:val="0"/>
      <w:marTop w:val="0"/>
      <w:marBottom w:val="0"/>
      <w:divBdr>
        <w:top w:val="none" w:sz="0" w:space="0" w:color="auto"/>
        <w:left w:val="none" w:sz="0" w:space="0" w:color="auto"/>
        <w:bottom w:val="none" w:sz="0" w:space="0" w:color="auto"/>
        <w:right w:val="none" w:sz="0" w:space="0" w:color="auto"/>
      </w:divBdr>
    </w:div>
    <w:div w:id="1645161039">
      <w:bodyDiv w:val="1"/>
      <w:marLeft w:val="0"/>
      <w:marRight w:val="0"/>
      <w:marTop w:val="0"/>
      <w:marBottom w:val="0"/>
      <w:divBdr>
        <w:top w:val="none" w:sz="0" w:space="0" w:color="auto"/>
        <w:left w:val="none" w:sz="0" w:space="0" w:color="auto"/>
        <w:bottom w:val="none" w:sz="0" w:space="0" w:color="auto"/>
        <w:right w:val="none" w:sz="0" w:space="0" w:color="auto"/>
      </w:divBdr>
    </w:div>
    <w:div w:id="1894730056">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ranzcp.org/files/resources/submissions/deparetment-of-justice-and-community-safety-legisl.aspx" TargetMode="External"/><Relationship Id="rId1" Type="http://schemas.openxmlformats.org/officeDocument/2006/relationships/hyperlink" Target="https://www.hrlc.org.au/reports/preventing-ha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F0A66-6F5A-485E-8C60-90B78EAF5892}">
  <ds:schemaRefs>
    <ds:schemaRef ds:uri="http://schemas.openxmlformats.org/officeDocument/2006/bibliography"/>
  </ds:schemaRefs>
</ds:datastoreItem>
</file>

<file path=customXml/itemProps2.xml><?xml version="1.0" encoding="utf-8"?>
<ds:datastoreItem xmlns:ds="http://schemas.openxmlformats.org/officeDocument/2006/customXml" ds:itemID="{36AD8EF2-6317-41FD-99B0-75A928010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6258</Words>
  <Characters>34362</Characters>
  <Application>Microsoft Office Word</Application>
  <DocSecurity>0</DocSecurity>
  <Lines>690</Lines>
  <Paragraphs>245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2020-08-11T05:59:00Z</dcterms:created>
  <dcterms:modified xsi:type="dcterms:W3CDTF">2020-08-11T06:00:00Z</dcterms:modified>
</cp:coreProperties>
</file>