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D1E8A" w14:textId="77777777" w:rsidR="00D46B85" w:rsidRDefault="00D46B85" w:rsidP="00D46B85">
      <w:pPr>
        <w:spacing w:before="120"/>
        <w:rPr>
          <w:rFonts w:ascii="Arial" w:hAnsi="Arial" w:cs="Arial"/>
        </w:rPr>
      </w:pPr>
      <w:bookmarkStart w:id="0" w:name="_Toc44738651"/>
      <w:bookmarkStart w:id="1" w:name="_GoBack"/>
      <w:bookmarkEnd w:id="1"/>
      <w:r>
        <w:rPr>
          <w:rFonts w:ascii="Arial" w:hAnsi="Arial" w:cs="Arial"/>
        </w:rPr>
        <w:t>Australian Capital Territory</w:t>
      </w:r>
    </w:p>
    <w:p w14:paraId="4D494882" w14:textId="723FEC78" w:rsidR="00D46B85" w:rsidRDefault="00D46B85" w:rsidP="00D46B85">
      <w:pPr>
        <w:pStyle w:val="Billname"/>
        <w:spacing w:before="700"/>
      </w:pPr>
      <w:r>
        <w:t>Firearms Amendment Regulation 2020</w:t>
      </w:r>
      <w:r w:rsidR="002B605D">
        <w:t xml:space="preserve"> (No 2)</w:t>
      </w:r>
    </w:p>
    <w:p w14:paraId="0F6F7BCC" w14:textId="10E35350" w:rsidR="00D46B85" w:rsidRDefault="00D46B85" w:rsidP="00D46B85">
      <w:pPr>
        <w:spacing w:before="340"/>
        <w:rPr>
          <w:rFonts w:ascii="Arial" w:hAnsi="Arial" w:cs="Arial"/>
          <w:b/>
          <w:bCs/>
        </w:rPr>
      </w:pPr>
      <w:r>
        <w:rPr>
          <w:rFonts w:ascii="Arial" w:hAnsi="Arial" w:cs="Arial"/>
          <w:b/>
          <w:bCs/>
        </w:rPr>
        <w:t>Subordinate law SL2020–</w:t>
      </w:r>
      <w:r w:rsidR="00A142AE">
        <w:rPr>
          <w:rFonts w:ascii="Arial" w:hAnsi="Arial" w:cs="Arial"/>
          <w:b/>
          <w:bCs/>
        </w:rPr>
        <w:t>30</w:t>
      </w:r>
    </w:p>
    <w:p w14:paraId="42ECE90C" w14:textId="77777777" w:rsidR="00D46B85" w:rsidRDefault="00D46B85" w:rsidP="00D46B85">
      <w:pPr>
        <w:pStyle w:val="madeunder"/>
        <w:spacing w:before="300" w:after="0"/>
      </w:pPr>
      <w:r>
        <w:t xml:space="preserve">made under the  </w:t>
      </w:r>
    </w:p>
    <w:p w14:paraId="15B54415" w14:textId="77777777" w:rsidR="00D46B85" w:rsidRDefault="00D46B85" w:rsidP="00D46B85">
      <w:pPr>
        <w:pStyle w:val="CoverActName"/>
        <w:spacing w:before="320" w:after="0"/>
        <w:rPr>
          <w:rFonts w:cs="Arial"/>
          <w:sz w:val="20"/>
        </w:rPr>
      </w:pPr>
      <w:r>
        <w:rPr>
          <w:rFonts w:cs="Arial"/>
          <w:sz w:val="20"/>
        </w:rPr>
        <w:t>Firearms Act 1996, s 272 (Regulation-making power)</w:t>
      </w:r>
    </w:p>
    <w:p w14:paraId="6601A17C" w14:textId="77777777" w:rsidR="00D46B85" w:rsidRDefault="00D46B85" w:rsidP="00D46B85">
      <w:pPr>
        <w:spacing w:before="360"/>
        <w:ind w:right="565"/>
        <w:rPr>
          <w:rFonts w:ascii="Arial" w:hAnsi="Arial" w:cs="Arial"/>
          <w:b/>
          <w:bCs/>
          <w:sz w:val="28"/>
          <w:szCs w:val="28"/>
        </w:rPr>
      </w:pPr>
      <w:r>
        <w:rPr>
          <w:rFonts w:ascii="Arial" w:hAnsi="Arial" w:cs="Arial"/>
          <w:b/>
          <w:bCs/>
          <w:sz w:val="28"/>
          <w:szCs w:val="28"/>
        </w:rPr>
        <w:t>EXPLANATORY STATEMENT</w:t>
      </w:r>
    </w:p>
    <w:p w14:paraId="2292B548" w14:textId="77777777" w:rsidR="00136775" w:rsidRPr="00136775" w:rsidRDefault="00136775" w:rsidP="00136775"/>
    <w:p w14:paraId="0B2EC856" w14:textId="77777777" w:rsidR="00D46B85" w:rsidRDefault="00D46B85" w:rsidP="00D46B85">
      <w:pPr>
        <w:pStyle w:val="N-line3"/>
        <w:pBdr>
          <w:top w:val="single" w:sz="12" w:space="1" w:color="auto"/>
          <w:bottom w:val="none" w:sz="0" w:space="0" w:color="auto"/>
        </w:pBdr>
      </w:pPr>
    </w:p>
    <w:bookmarkEnd w:id="0"/>
    <w:p w14:paraId="1CC84C48" w14:textId="5338145B" w:rsidR="00D46B85" w:rsidRPr="00580C68" w:rsidRDefault="00D46B85" w:rsidP="00D46B85">
      <w:pPr>
        <w:rPr>
          <w:rFonts w:ascii="Arial" w:hAnsi="Arial" w:cs="Arial"/>
        </w:rPr>
      </w:pPr>
      <w:r w:rsidRPr="00580C68">
        <w:rPr>
          <w:rFonts w:ascii="Arial" w:hAnsi="Arial" w:cs="Arial"/>
        </w:rPr>
        <w:t>The object of this Regulation is to</w:t>
      </w:r>
      <w:r w:rsidR="000F33DF">
        <w:rPr>
          <w:rFonts w:ascii="Arial" w:hAnsi="Arial" w:cs="Arial"/>
        </w:rPr>
        <w:t xml:space="preserve"> temporarily </w:t>
      </w:r>
      <w:r w:rsidR="004435F3">
        <w:rPr>
          <w:rFonts w:ascii="Arial" w:hAnsi="Arial" w:cs="Arial"/>
        </w:rPr>
        <w:t>relieve holders of certain firearms licences from</w:t>
      </w:r>
      <w:r>
        <w:rPr>
          <w:rFonts w:ascii="Arial" w:hAnsi="Arial" w:cs="Arial"/>
        </w:rPr>
        <w:t xml:space="preserve"> requirements</w:t>
      </w:r>
      <w:r w:rsidR="004435F3">
        <w:rPr>
          <w:rFonts w:ascii="Arial" w:hAnsi="Arial" w:cs="Arial"/>
        </w:rPr>
        <w:t xml:space="preserve"> to comply with provisions </w:t>
      </w:r>
      <w:r>
        <w:rPr>
          <w:rFonts w:ascii="Arial" w:hAnsi="Arial" w:cs="Arial"/>
        </w:rPr>
        <w:t>of</w:t>
      </w:r>
      <w:r w:rsidRPr="00580C68">
        <w:rPr>
          <w:rFonts w:ascii="Arial" w:hAnsi="Arial" w:cs="Arial"/>
        </w:rPr>
        <w:t xml:space="preserve"> the </w:t>
      </w:r>
      <w:r w:rsidRPr="00580C68">
        <w:rPr>
          <w:rFonts w:ascii="Arial" w:hAnsi="Arial" w:cs="Arial"/>
          <w:i/>
          <w:iCs/>
        </w:rPr>
        <w:t xml:space="preserve">Firearms </w:t>
      </w:r>
      <w:r>
        <w:rPr>
          <w:rFonts w:ascii="Arial" w:hAnsi="Arial" w:cs="Arial"/>
          <w:i/>
          <w:iCs/>
        </w:rPr>
        <w:t>Regulation 2008</w:t>
      </w:r>
      <w:r w:rsidR="006A1085">
        <w:rPr>
          <w:rFonts w:ascii="Arial" w:hAnsi="Arial" w:cs="Arial"/>
        </w:rPr>
        <w:t xml:space="preserve"> (the Regulation)</w:t>
      </w:r>
      <w:r w:rsidR="000F33DF">
        <w:rPr>
          <w:rFonts w:ascii="Arial" w:hAnsi="Arial" w:cs="Arial"/>
        </w:rPr>
        <w:t xml:space="preserve">, where </w:t>
      </w:r>
      <w:r w:rsidR="00A37536">
        <w:rPr>
          <w:rFonts w:ascii="Arial" w:hAnsi="Arial" w:cs="Arial"/>
        </w:rPr>
        <w:t xml:space="preserve">their </w:t>
      </w:r>
      <w:r w:rsidR="000F33DF">
        <w:rPr>
          <w:rFonts w:ascii="Arial" w:hAnsi="Arial" w:cs="Arial"/>
        </w:rPr>
        <w:t>ability to comply with those requirements is affected by</w:t>
      </w:r>
      <w:r w:rsidRPr="00580C68">
        <w:rPr>
          <w:rFonts w:ascii="Arial" w:hAnsi="Arial" w:cs="Arial"/>
        </w:rPr>
        <w:t xml:space="preserve"> the COVID-19 </w:t>
      </w:r>
      <w:r w:rsidR="000F33DF">
        <w:rPr>
          <w:rFonts w:ascii="Arial" w:hAnsi="Arial" w:cs="Arial"/>
        </w:rPr>
        <w:t>public health emergency.</w:t>
      </w:r>
    </w:p>
    <w:p w14:paraId="4B23331B" w14:textId="77777777" w:rsidR="00D46B85" w:rsidRPr="00580C68" w:rsidRDefault="00D46B85" w:rsidP="00D46B85">
      <w:pPr>
        <w:rPr>
          <w:rFonts w:ascii="Arial" w:hAnsi="Arial" w:cs="Arial"/>
        </w:rPr>
      </w:pPr>
    </w:p>
    <w:p w14:paraId="0CC19E92" w14:textId="7F9170D5" w:rsidR="004435F3" w:rsidRDefault="004435F3" w:rsidP="00D46B85">
      <w:pPr>
        <w:rPr>
          <w:rFonts w:ascii="Arial" w:hAnsi="Arial" w:cs="Arial"/>
        </w:rPr>
      </w:pPr>
      <w:bookmarkStart w:id="2" w:name="_Hlk45834420"/>
      <w:r>
        <w:rPr>
          <w:rFonts w:ascii="Arial" w:hAnsi="Arial" w:cs="Arial"/>
        </w:rPr>
        <w:t xml:space="preserve">Under the </w:t>
      </w:r>
      <w:r w:rsidR="00D46B85" w:rsidRPr="00580C68">
        <w:rPr>
          <w:rFonts w:ascii="Arial" w:hAnsi="Arial" w:cs="Arial"/>
        </w:rPr>
        <w:t>Regulation</w:t>
      </w:r>
      <w:r w:rsidR="00B629DF">
        <w:rPr>
          <w:rFonts w:ascii="Arial" w:hAnsi="Arial" w:cs="Arial"/>
        </w:rPr>
        <w:t>,</w:t>
      </w:r>
      <w:r w:rsidR="006A1085">
        <w:rPr>
          <w:rFonts w:ascii="Arial" w:hAnsi="Arial" w:cs="Arial"/>
        </w:rPr>
        <w:t xml:space="preserve"> </w:t>
      </w:r>
      <w:r w:rsidR="00B629DF">
        <w:rPr>
          <w:rFonts w:ascii="Arial" w:hAnsi="Arial" w:cs="Arial"/>
        </w:rPr>
        <w:t>it is a condition of certain firearm licences</w:t>
      </w:r>
      <w:r w:rsidR="006404FF">
        <w:rPr>
          <w:rFonts w:ascii="Arial" w:hAnsi="Arial" w:cs="Arial"/>
        </w:rPr>
        <w:t xml:space="preserve"> that</w:t>
      </w:r>
      <w:r>
        <w:rPr>
          <w:rFonts w:ascii="Arial" w:hAnsi="Arial" w:cs="Arial"/>
        </w:rPr>
        <w:t>:</w:t>
      </w:r>
    </w:p>
    <w:p w14:paraId="71AF3BF9" w14:textId="77777777" w:rsidR="004435F3" w:rsidRDefault="004435F3" w:rsidP="00D46B85">
      <w:pPr>
        <w:rPr>
          <w:rFonts w:ascii="Arial" w:hAnsi="Arial" w:cs="Arial"/>
        </w:rPr>
      </w:pPr>
    </w:p>
    <w:p w14:paraId="7846429E" w14:textId="29534A00" w:rsidR="00B629DF" w:rsidRDefault="00B629DF" w:rsidP="004435F3">
      <w:pPr>
        <w:pStyle w:val="ListParagraph"/>
        <w:numPr>
          <w:ilvl w:val="0"/>
          <w:numId w:val="15"/>
        </w:numPr>
        <w:rPr>
          <w:rFonts w:ascii="Arial" w:hAnsi="Arial" w:cs="Arial"/>
        </w:rPr>
      </w:pPr>
      <w:r>
        <w:rPr>
          <w:rFonts w:ascii="Arial" w:hAnsi="Arial" w:cs="Arial"/>
        </w:rPr>
        <w:t xml:space="preserve">if the genuine reason for possessing or using a firearm is sport or target shooting, </w:t>
      </w:r>
      <w:r w:rsidR="004435F3">
        <w:rPr>
          <w:rFonts w:ascii="Arial" w:hAnsi="Arial" w:cs="Arial"/>
        </w:rPr>
        <w:t xml:space="preserve">that each year the licensee </w:t>
      </w:r>
      <w:r>
        <w:rPr>
          <w:rFonts w:ascii="Arial" w:hAnsi="Arial" w:cs="Arial"/>
        </w:rPr>
        <w:t>gives a written statement from an approved club, to the Firearms Registrar, stating that the licensee is a financial and active member of the club;</w:t>
      </w:r>
    </w:p>
    <w:p w14:paraId="1EC3680B" w14:textId="77777777" w:rsidR="00B629DF" w:rsidRDefault="00B629DF" w:rsidP="00DB1BF3">
      <w:pPr>
        <w:pStyle w:val="ListParagraph"/>
        <w:ind w:left="790"/>
        <w:rPr>
          <w:rFonts w:ascii="Arial" w:hAnsi="Arial" w:cs="Arial"/>
        </w:rPr>
      </w:pPr>
    </w:p>
    <w:p w14:paraId="18C9BC10" w14:textId="4D63F702" w:rsidR="00935F84" w:rsidRPr="00DB1BF3" w:rsidRDefault="00935F84" w:rsidP="00DB1BF3">
      <w:pPr>
        <w:pStyle w:val="ListParagraph"/>
        <w:numPr>
          <w:ilvl w:val="0"/>
          <w:numId w:val="15"/>
        </w:numPr>
        <w:rPr>
          <w:rFonts w:ascii="Arial" w:hAnsi="Arial" w:cs="Arial"/>
        </w:rPr>
      </w:pPr>
      <w:r w:rsidRPr="00DB1BF3">
        <w:rPr>
          <w:rFonts w:ascii="Arial" w:hAnsi="Arial" w:cs="Arial"/>
        </w:rPr>
        <w:t>the holder of the licence participates in a certain number of shooting activities or competitions within a 12 month or 6 month period</w:t>
      </w:r>
      <w:r w:rsidR="00DD7749" w:rsidRPr="00DB1BF3">
        <w:rPr>
          <w:rFonts w:ascii="Arial" w:hAnsi="Arial" w:cs="Arial"/>
        </w:rPr>
        <w:t>.</w:t>
      </w:r>
    </w:p>
    <w:p w14:paraId="238EAA19" w14:textId="77777777" w:rsidR="00B629DF" w:rsidRPr="00DB1BF3" w:rsidRDefault="00B629DF" w:rsidP="00DB1BF3">
      <w:pPr>
        <w:pStyle w:val="ListParagraph"/>
        <w:rPr>
          <w:rFonts w:ascii="Arial" w:hAnsi="Arial" w:cs="Arial"/>
        </w:rPr>
      </w:pPr>
    </w:p>
    <w:p w14:paraId="74551F98" w14:textId="77F2BA0B" w:rsidR="00B629DF" w:rsidRPr="006A1085" w:rsidRDefault="00B629DF" w:rsidP="00B629DF">
      <w:pPr>
        <w:rPr>
          <w:rFonts w:ascii="Arial" w:hAnsi="Arial" w:cs="Arial"/>
        </w:rPr>
      </w:pPr>
      <w:r>
        <w:rPr>
          <w:rFonts w:ascii="Arial" w:hAnsi="Arial" w:cs="Arial"/>
        </w:rPr>
        <w:t>The COVID-19 public health emergency is anticipated to limit the capacity of firearms licence holders</w:t>
      </w:r>
      <w:r w:rsidR="006404FF">
        <w:rPr>
          <w:rFonts w:ascii="Arial" w:hAnsi="Arial" w:cs="Arial"/>
        </w:rPr>
        <w:t>,</w:t>
      </w:r>
      <w:r w:rsidR="006A1085">
        <w:rPr>
          <w:rFonts w:ascii="Arial" w:hAnsi="Arial" w:cs="Arial"/>
        </w:rPr>
        <w:t xml:space="preserve"> </w:t>
      </w:r>
      <w:r>
        <w:rPr>
          <w:rFonts w:ascii="Arial" w:hAnsi="Arial" w:cs="Arial"/>
        </w:rPr>
        <w:t>to whom th</w:t>
      </w:r>
      <w:r w:rsidR="006404FF">
        <w:rPr>
          <w:rFonts w:ascii="Arial" w:hAnsi="Arial" w:cs="Arial"/>
        </w:rPr>
        <w:t>e</w:t>
      </w:r>
      <w:r>
        <w:rPr>
          <w:rFonts w:ascii="Arial" w:hAnsi="Arial" w:cs="Arial"/>
        </w:rPr>
        <w:t>se requirements apply</w:t>
      </w:r>
      <w:r w:rsidR="006404FF">
        <w:rPr>
          <w:rFonts w:ascii="Arial" w:hAnsi="Arial" w:cs="Arial"/>
        </w:rPr>
        <w:t>,</w:t>
      </w:r>
      <w:r>
        <w:rPr>
          <w:rFonts w:ascii="Arial" w:hAnsi="Arial" w:cs="Arial"/>
        </w:rPr>
        <w:t xml:space="preserve"> to comply</w:t>
      </w:r>
      <w:r w:rsidR="00640A75">
        <w:rPr>
          <w:rFonts w:ascii="Arial" w:hAnsi="Arial" w:cs="Arial"/>
        </w:rPr>
        <w:t xml:space="preserve"> </w:t>
      </w:r>
      <w:r>
        <w:rPr>
          <w:rFonts w:ascii="Arial" w:hAnsi="Arial" w:cs="Arial"/>
        </w:rPr>
        <w:t>due to:</w:t>
      </w:r>
    </w:p>
    <w:p w14:paraId="415C934B" w14:textId="77777777" w:rsidR="004435F3" w:rsidRDefault="004435F3" w:rsidP="00D46B85">
      <w:pPr>
        <w:rPr>
          <w:rFonts w:ascii="Arial" w:hAnsi="Arial" w:cs="Arial"/>
        </w:rPr>
      </w:pPr>
    </w:p>
    <w:p w14:paraId="1035F840" w14:textId="63B02FC2" w:rsidR="00B629DF" w:rsidRDefault="00B629DF" w:rsidP="004435F3">
      <w:pPr>
        <w:pStyle w:val="ListParagraph"/>
        <w:numPr>
          <w:ilvl w:val="0"/>
          <w:numId w:val="14"/>
        </w:numPr>
        <w:rPr>
          <w:rFonts w:ascii="Arial" w:hAnsi="Arial" w:cs="Arial"/>
        </w:rPr>
      </w:pPr>
      <w:r>
        <w:rPr>
          <w:rFonts w:ascii="Arial" w:hAnsi="Arial" w:cs="Arial"/>
        </w:rPr>
        <w:t>restrictions on gatherings affecting the conduct of shooting competitions and other club activities;</w:t>
      </w:r>
    </w:p>
    <w:p w14:paraId="11658633" w14:textId="77777777" w:rsidR="00B629DF" w:rsidRDefault="00B629DF" w:rsidP="004435F3">
      <w:pPr>
        <w:pStyle w:val="ListParagraph"/>
        <w:numPr>
          <w:ilvl w:val="0"/>
          <w:numId w:val="14"/>
        </w:numPr>
        <w:rPr>
          <w:rFonts w:ascii="Arial" w:hAnsi="Arial" w:cs="Arial"/>
        </w:rPr>
      </w:pPr>
      <w:r>
        <w:rPr>
          <w:rFonts w:ascii="Arial" w:hAnsi="Arial" w:cs="Arial"/>
        </w:rPr>
        <w:t>social distancing requirements limiting the number of participants in any competitions and activities which can be conducted;</w:t>
      </w:r>
    </w:p>
    <w:p w14:paraId="206C818E" w14:textId="3CCD0591" w:rsidR="00D46B85" w:rsidRPr="006A1085" w:rsidRDefault="006404FF" w:rsidP="006A1085">
      <w:pPr>
        <w:pStyle w:val="ListParagraph"/>
        <w:numPr>
          <w:ilvl w:val="0"/>
          <w:numId w:val="14"/>
        </w:numPr>
        <w:rPr>
          <w:rFonts w:ascii="Arial" w:hAnsi="Arial" w:cs="Arial"/>
        </w:rPr>
      </w:pPr>
      <w:r>
        <w:rPr>
          <w:rFonts w:ascii="Arial" w:hAnsi="Arial" w:cs="Arial"/>
        </w:rPr>
        <w:t xml:space="preserve">individuals who may be unwilling or unable to participate in relevant activities and competitions due to illness or concerns about their vulnerability in these environments. </w:t>
      </w:r>
      <w:r w:rsidR="00D46B85" w:rsidRPr="006A1085">
        <w:rPr>
          <w:rFonts w:ascii="Arial" w:hAnsi="Arial" w:cs="Arial"/>
        </w:rPr>
        <w:t xml:space="preserve"> </w:t>
      </w:r>
    </w:p>
    <w:p w14:paraId="7DB2E9E4" w14:textId="2941A1D0" w:rsidR="00D46B85" w:rsidRDefault="00D46B85" w:rsidP="00D46B85">
      <w:pPr>
        <w:rPr>
          <w:rFonts w:ascii="Arial" w:hAnsi="Arial" w:cs="Arial"/>
        </w:rPr>
      </w:pPr>
    </w:p>
    <w:p w14:paraId="55E98446" w14:textId="2A65019B" w:rsidR="006404FF" w:rsidRDefault="006404FF" w:rsidP="00D46B85">
      <w:pPr>
        <w:rPr>
          <w:rFonts w:ascii="Arial" w:hAnsi="Arial" w:cs="Arial"/>
        </w:rPr>
      </w:pPr>
      <w:r>
        <w:rPr>
          <w:rFonts w:ascii="Arial" w:hAnsi="Arial" w:cs="Arial"/>
        </w:rPr>
        <w:t>Under the Regulation, it is also a requirement that holders of certain categories of firearm licence</w:t>
      </w:r>
      <w:r w:rsidR="006A1085">
        <w:rPr>
          <w:rFonts w:ascii="Arial" w:hAnsi="Arial" w:cs="Arial"/>
        </w:rPr>
        <w:t>s</w:t>
      </w:r>
      <w:r w:rsidR="00EC4050">
        <w:rPr>
          <w:rFonts w:ascii="Arial" w:hAnsi="Arial" w:cs="Arial"/>
        </w:rPr>
        <w:t>, for business or employment,</w:t>
      </w:r>
      <w:r>
        <w:rPr>
          <w:rFonts w:ascii="Arial" w:hAnsi="Arial" w:cs="Arial"/>
        </w:rPr>
        <w:t xml:space="preserve"> pass an </w:t>
      </w:r>
      <w:r w:rsidR="002A6A7C">
        <w:rPr>
          <w:rFonts w:ascii="Arial" w:hAnsi="Arial" w:cs="Arial"/>
        </w:rPr>
        <w:t xml:space="preserve">annual </w:t>
      </w:r>
      <w:r>
        <w:rPr>
          <w:rFonts w:ascii="Arial" w:hAnsi="Arial" w:cs="Arial"/>
        </w:rPr>
        <w:t xml:space="preserve">examination in the safe handling and use of the firearm, conducted by an authorised instructor.  Corresponding provisions require the registered principal for composite entity licences, for business purposes, to pass an </w:t>
      </w:r>
      <w:r>
        <w:rPr>
          <w:rFonts w:ascii="Arial" w:hAnsi="Arial" w:cs="Arial"/>
        </w:rPr>
        <w:lastRenderedPageBreak/>
        <w:t>annual examination in the safe handling and use of the category of firearm they are licenced to use.</w:t>
      </w:r>
    </w:p>
    <w:p w14:paraId="11E48D63" w14:textId="0810C824" w:rsidR="006404FF" w:rsidRDefault="006404FF" w:rsidP="00D46B85">
      <w:pPr>
        <w:rPr>
          <w:rFonts w:ascii="Arial" w:hAnsi="Arial" w:cs="Arial"/>
        </w:rPr>
      </w:pPr>
    </w:p>
    <w:p w14:paraId="74B70ADA" w14:textId="35D82CBC" w:rsidR="006404FF" w:rsidRPr="00C02033" w:rsidRDefault="006404FF" w:rsidP="006404FF">
      <w:pPr>
        <w:rPr>
          <w:rFonts w:ascii="Arial" w:hAnsi="Arial" w:cs="Arial"/>
        </w:rPr>
      </w:pPr>
      <w:r>
        <w:rPr>
          <w:rFonts w:ascii="Arial" w:hAnsi="Arial" w:cs="Arial"/>
        </w:rPr>
        <w:t>The COVID-19 public health emergency is anticipated to limit the capacity of firearms licence holders,</w:t>
      </w:r>
      <w:r w:rsidR="00640A75">
        <w:rPr>
          <w:rFonts w:ascii="Arial" w:hAnsi="Arial" w:cs="Arial"/>
        </w:rPr>
        <w:t xml:space="preserve"> </w:t>
      </w:r>
      <w:r>
        <w:rPr>
          <w:rFonts w:ascii="Arial" w:hAnsi="Arial" w:cs="Arial"/>
        </w:rPr>
        <w:t>to whom these requirements apply, to comply with those requirements due to:</w:t>
      </w:r>
    </w:p>
    <w:p w14:paraId="2D283C51" w14:textId="77777777" w:rsidR="006404FF" w:rsidRDefault="006404FF" w:rsidP="006404FF">
      <w:pPr>
        <w:rPr>
          <w:rFonts w:ascii="Arial" w:hAnsi="Arial" w:cs="Arial"/>
        </w:rPr>
      </w:pPr>
    </w:p>
    <w:p w14:paraId="120430C3" w14:textId="259F8582" w:rsidR="006404FF" w:rsidRDefault="006404FF" w:rsidP="006404FF">
      <w:pPr>
        <w:pStyle w:val="ListParagraph"/>
        <w:numPr>
          <w:ilvl w:val="0"/>
          <w:numId w:val="14"/>
        </w:numPr>
        <w:rPr>
          <w:rFonts w:ascii="Arial" w:hAnsi="Arial" w:cs="Arial"/>
        </w:rPr>
      </w:pPr>
      <w:r>
        <w:rPr>
          <w:rFonts w:ascii="Arial" w:hAnsi="Arial" w:cs="Arial"/>
        </w:rPr>
        <w:t>social distancing requirements;</w:t>
      </w:r>
    </w:p>
    <w:p w14:paraId="45CF6A67" w14:textId="6DF34361" w:rsidR="006404FF" w:rsidRPr="00C02033" w:rsidRDefault="006404FF" w:rsidP="006404FF">
      <w:pPr>
        <w:pStyle w:val="ListParagraph"/>
        <w:numPr>
          <w:ilvl w:val="0"/>
          <w:numId w:val="14"/>
        </w:numPr>
        <w:rPr>
          <w:rFonts w:ascii="Arial" w:hAnsi="Arial" w:cs="Arial"/>
        </w:rPr>
      </w:pPr>
      <w:r>
        <w:rPr>
          <w:rFonts w:ascii="Arial" w:hAnsi="Arial" w:cs="Arial"/>
        </w:rPr>
        <w:t>individuals who may be unwilling or unable to participate</w:t>
      </w:r>
      <w:r w:rsidR="005E47DE">
        <w:rPr>
          <w:rFonts w:ascii="Arial" w:hAnsi="Arial" w:cs="Arial"/>
        </w:rPr>
        <w:t xml:space="preserve"> in such examinations – both licence holders and authorised examiners - </w:t>
      </w:r>
      <w:r>
        <w:rPr>
          <w:rFonts w:ascii="Arial" w:hAnsi="Arial" w:cs="Arial"/>
        </w:rPr>
        <w:t xml:space="preserve">due to illness or concerns about their vulnerability in these environments. </w:t>
      </w:r>
      <w:r w:rsidRPr="00C02033">
        <w:rPr>
          <w:rFonts w:ascii="Arial" w:hAnsi="Arial" w:cs="Arial"/>
        </w:rPr>
        <w:t xml:space="preserve"> </w:t>
      </w:r>
    </w:p>
    <w:p w14:paraId="73C2E29B" w14:textId="77777777" w:rsidR="006A1085" w:rsidRDefault="006A1085" w:rsidP="005E47DE">
      <w:pPr>
        <w:rPr>
          <w:rFonts w:ascii="Arial" w:hAnsi="Arial" w:cs="Arial"/>
        </w:rPr>
      </w:pPr>
    </w:p>
    <w:p w14:paraId="0FA0F4FA" w14:textId="350F8DE9" w:rsidR="005E47DE" w:rsidRDefault="005E47DE" w:rsidP="005E47DE">
      <w:pPr>
        <w:rPr>
          <w:rFonts w:ascii="Arial" w:hAnsi="Arial" w:cs="Arial"/>
        </w:rPr>
      </w:pPr>
      <w:r>
        <w:rPr>
          <w:rFonts w:ascii="Arial" w:hAnsi="Arial" w:cs="Arial"/>
        </w:rPr>
        <w:t>This Regulation provides that licensees to whom these requirements</w:t>
      </w:r>
      <w:r w:rsidR="00C721AD">
        <w:rPr>
          <w:rFonts w:ascii="Arial" w:hAnsi="Arial" w:cs="Arial"/>
        </w:rPr>
        <w:t xml:space="preserve"> apply</w:t>
      </w:r>
      <w:r>
        <w:rPr>
          <w:rFonts w:ascii="Arial" w:hAnsi="Arial" w:cs="Arial"/>
        </w:rPr>
        <w:t xml:space="preserve"> are taken to have complied if their ability to comply is prevented or restricted by a COVID-19 provision.</w:t>
      </w:r>
    </w:p>
    <w:bookmarkEnd w:id="2"/>
    <w:p w14:paraId="2DE82B83" w14:textId="3EDA1A5B" w:rsidR="005E47DE" w:rsidRDefault="005E47DE" w:rsidP="005E47DE">
      <w:pPr>
        <w:rPr>
          <w:rFonts w:ascii="Arial" w:hAnsi="Arial" w:cs="Arial"/>
        </w:rPr>
      </w:pPr>
    </w:p>
    <w:p w14:paraId="5031DFC3" w14:textId="4295B810" w:rsidR="005E47DE" w:rsidRDefault="005E47DE" w:rsidP="005E47DE">
      <w:pPr>
        <w:rPr>
          <w:rFonts w:ascii="Arial" w:hAnsi="Arial" w:cs="Arial"/>
        </w:rPr>
      </w:pPr>
      <w:r>
        <w:rPr>
          <w:rFonts w:ascii="Arial" w:hAnsi="Arial" w:cs="Arial"/>
        </w:rPr>
        <w:t>In the case of requirements to undertake an annual examination in the safe handling of a firearm, the licensee will only be taken to have complied if the</w:t>
      </w:r>
      <w:r w:rsidR="00EC4050">
        <w:rPr>
          <w:rFonts w:ascii="Arial" w:hAnsi="Arial" w:cs="Arial"/>
        </w:rPr>
        <w:t xml:space="preserve"> relevant compliance period ends during a COVID-19 emergency and the</w:t>
      </w:r>
      <w:r>
        <w:rPr>
          <w:rFonts w:ascii="Arial" w:hAnsi="Arial" w:cs="Arial"/>
        </w:rPr>
        <w:t xml:space="preserve">y comply with the requirement as soon as practicable after the </w:t>
      </w:r>
      <w:r w:rsidR="00EC4050">
        <w:rPr>
          <w:rFonts w:ascii="Arial" w:hAnsi="Arial" w:cs="Arial"/>
        </w:rPr>
        <w:t>emergency ends.</w:t>
      </w:r>
    </w:p>
    <w:p w14:paraId="15A3792E" w14:textId="77777777" w:rsidR="005E47DE" w:rsidRDefault="005E47DE" w:rsidP="005E47DE">
      <w:pPr>
        <w:rPr>
          <w:rFonts w:ascii="Arial" w:hAnsi="Arial" w:cs="Arial"/>
        </w:rPr>
      </w:pPr>
    </w:p>
    <w:p w14:paraId="3A346EB4" w14:textId="7BB29AD0" w:rsidR="00EC4050" w:rsidRDefault="005E47DE" w:rsidP="005E47DE">
      <w:pPr>
        <w:rPr>
          <w:rFonts w:ascii="Arial" w:hAnsi="Arial" w:cs="Arial"/>
        </w:rPr>
      </w:pPr>
      <w:r>
        <w:rPr>
          <w:rFonts w:ascii="Arial" w:hAnsi="Arial" w:cs="Arial"/>
        </w:rPr>
        <w:t xml:space="preserve"> A COVID-19 provision is</w:t>
      </w:r>
      <w:r w:rsidR="006A1085">
        <w:rPr>
          <w:rFonts w:ascii="Arial" w:hAnsi="Arial" w:cs="Arial"/>
        </w:rPr>
        <w:t xml:space="preserve"> </w:t>
      </w:r>
      <w:r w:rsidR="00D46B85" w:rsidRPr="006A1085">
        <w:rPr>
          <w:rFonts w:ascii="Arial" w:hAnsi="Arial" w:cs="Arial"/>
        </w:rPr>
        <w:t>a law of the Commonwealth, or a State or Territory that was made to respond to an emergency declared under a Commonwealth, State or Territory law because of the coronavirus disease 2019</w:t>
      </w:r>
      <w:r>
        <w:rPr>
          <w:rFonts w:ascii="Arial" w:hAnsi="Arial" w:cs="Arial"/>
        </w:rPr>
        <w:t>.</w:t>
      </w:r>
    </w:p>
    <w:p w14:paraId="6A762F16" w14:textId="77777777" w:rsidR="006A1085" w:rsidRDefault="006A1085" w:rsidP="005E47DE">
      <w:pPr>
        <w:rPr>
          <w:rFonts w:ascii="Arial" w:hAnsi="Arial" w:cs="Arial"/>
        </w:rPr>
      </w:pPr>
    </w:p>
    <w:p w14:paraId="4C11B0C6" w14:textId="0DEA2410" w:rsidR="00EC4050" w:rsidRDefault="00EC4050" w:rsidP="005E47DE">
      <w:pPr>
        <w:rPr>
          <w:rFonts w:ascii="Arial" w:hAnsi="Arial" w:cs="Arial"/>
        </w:rPr>
      </w:pPr>
      <w:r>
        <w:rPr>
          <w:rFonts w:ascii="Arial" w:hAnsi="Arial" w:cs="Arial"/>
        </w:rPr>
        <w:t>These amendments recognise the practical implications of the COVID-19 health emergency, including measures to protect health and safety, upon the ability of individuals and organisations to comply with existing regulatory requirements.</w:t>
      </w:r>
    </w:p>
    <w:p w14:paraId="62D7709B" w14:textId="77777777" w:rsidR="00EC4050" w:rsidRDefault="00EC4050" w:rsidP="005E47DE">
      <w:pPr>
        <w:rPr>
          <w:rFonts w:ascii="Arial" w:hAnsi="Arial" w:cs="Arial"/>
        </w:rPr>
      </w:pPr>
    </w:p>
    <w:p w14:paraId="59E40943" w14:textId="078C55F4" w:rsidR="00EC4050" w:rsidRDefault="00EC4050" w:rsidP="006A1085">
      <w:pPr>
        <w:rPr>
          <w:rFonts w:ascii="Arial" w:hAnsi="Arial" w:cs="Arial"/>
        </w:rPr>
      </w:pPr>
      <w:r>
        <w:rPr>
          <w:rFonts w:ascii="Arial" w:hAnsi="Arial" w:cs="Arial"/>
        </w:rPr>
        <w:t xml:space="preserve">They are consistent with similar arrangements put in place in other jurisdictions to address barriers to compliance with </w:t>
      </w:r>
      <w:r w:rsidR="00C721AD">
        <w:rPr>
          <w:rFonts w:ascii="Arial" w:hAnsi="Arial" w:cs="Arial"/>
        </w:rPr>
        <w:t xml:space="preserve">particular </w:t>
      </w:r>
      <w:r>
        <w:rPr>
          <w:rFonts w:ascii="Arial" w:hAnsi="Arial" w:cs="Arial"/>
        </w:rPr>
        <w:t xml:space="preserve">firearms regulations due to COVID-19. </w:t>
      </w:r>
    </w:p>
    <w:p w14:paraId="699A842B" w14:textId="77777777" w:rsidR="00D46B85" w:rsidRDefault="00D46B85" w:rsidP="00D46B85">
      <w:pPr>
        <w:rPr>
          <w:rFonts w:ascii="Arial" w:hAnsi="Arial" w:cs="Arial"/>
        </w:rPr>
      </w:pPr>
    </w:p>
    <w:p w14:paraId="67CD5D94" w14:textId="77777777" w:rsidR="00D46B85" w:rsidRPr="00580C68" w:rsidRDefault="00D46B85" w:rsidP="00D46B85">
      <w:pPr>
        <w:rPr>
          <w:rFonts w:ascii="Arial" w:hAnsi="Arial" w:cs="Arial"/>
        </w:rPr>
      </w:pPr>
      <w:r w:rsidRPr="00580C68">
        <w:rPr>
          <w:rFonts w:ascii="Arial" w:hAnsi="Arial" w:cs="Arial"/>
        </w:rPr>
        <w:t xml:space="preserve">This Regulation is made under </w:t>
      </w:r>
      <w:r w:rsidRPr="00580C68">
        <w:rPr>
          <w:rFonts w:ascii="Arial" w:hAnsi="Arial" w:cs="Arial"/>
          <w:i/>
          <w:iCs/>
        </w:rPr>
        <w:t>the Firearms Act 1996</w:t>
      </w:r>
      <w:r>
        <w:rPr>
          <w:rFonts w:ascii="Arial" w:hAnsi="Arial" w:cs="Arial"/>
        </w:rPr>
        <w:t xml:space="preserve"> under s 272</w:t>
      </w:r>
      <w:r w:rsidRPr="00580C68">
        <w:rPr>
          <w:rFonts w:ascii="Arial" w:hAnsi="Arial" w:cs="Arial"/>
        </w:rPr>
        <w:t xml:space="preserve"> (the regulation-making power)</w:t>
      </w:r>
      <w:r>
        <w:rPr>
          <w:rFonts w:ascii="Arial" w:hAnsi="Arial" w:cs="Arial"/>
        </w:rPr>
        <w:t>.</w:t>
      </w:r>
    </w:p>
    <w:p w14:paraId="4C8BEF8D" w14:textId="77777777" w:rsidR="00D46B85" w:rsidRPr="00580C68" w:rsidRDefault="00D46B85" w:rsidP="00D46B85">
      <w:pPr>
        <w:jc w:val="both"/>
        <w:rPr>
          <w:rFonts w:ascii="Arial" w:hAnsi="Arial" w:cs="Arial"/>
          <w:b/>
          <w:szCs w:val="24"/>
        </w:rPr>
      </w:pPr>
    </w:p>
    <w:p w14:paraId="2F71C692" w14:textId="77777777" w:rsidR="00D46B85" w:rsidRPr="007D580B" w:rsidRDefault="00D46B85" w:rsidP="00D46B85">
      <w:pPr>
        <w:jc w:val="both"/>
        <w:rPr>
          <w:rFonts w:ascii="Arial" w:hAnsi="Arial" w:cs="Arial"/>
          <w:b/>
          <w:szCs w:val="24"/>
        </w:rPr>
      </w:pPr>
      <w:r w:rsidRPr="007D580B">
        <w:rPr>
          <w:rFonts w:ascii="Arial" w:hAnsi="Arial" w:cs="Arial"/>
          <w:b/>
          <w:szCs w:val="24"/>
        </w:rPr>
        <w:t>HUMAN RIGHTS IMPLICATIONS</w:t>
      </w:r>
    </w:p>
    <w:p w14:paraId="3ADB9A6B" w14:textId="77777777" w:rsidR="00D46B85" w:rsidRDefault="00D46B85" w:rsidP="00D46B85">
      <w:pPr>
        <w:jc w:val="both"/>
        <w:rPr>
          <w:rFonts w:ascii="Arial" w:hAnsi="Arial" w:cs="Arial"/>
          <w:szCs w:val="24"/>
          <w:lang w:eastAsia="en-AU"/>
        </w:rPr>
      </w:pPr>
      <w:r w:rsidRPr="007D580B">
        <w:rPr>
          <w:rFonts w:ascii="Arial" w:hAnsi="Arial" w:cs="Arial"/>
          <w:szCs w:val="24"/>
          <w:lang w:eastAsia="en-AU"/>
        </w:rPr>
        <w:t xml:space="preserve">The Regulation does not engage any human rights set out in the </w:t>
      </w:r>
      <w:r w:rsidRPr="007D580B">
        <w:rPr>
          <w:rFonts w:ascii="Arial" w:hAnsi="Arial" w:cs="Arial"/>
          <w:i/>
          <w:szCs w:val="24"/>
          <w:lang w:eastAsia="en-AU"/>
        </w:rPr>
        <w:t>Human</w:t>
      </w:r>
      <w:r>
        <w:rPr>
          <w:rFonts w:ascii="Arial" w:hAnsi="Arial" w:cs="Arial"/>
          <w:i/>
          <w:szCs w:val="24"/>
          <w:lang w:eastAsia="en-AU"/>
        </w:rPr>
        <w:t> </w:t>
      </w:r>
      <w:r w:rsidRPr="007D580B">
        <w:rPr>
          <w:rFonts w:ascii="Arial" w:hAnsi="Arial" w:cs="Arial"/>
          <w:i/>
          <w:szCs w:val="24"/>
          <w:lang w:eastAsia="en-AU"/>
        </w:rPr>
        <w:t>Rights</w:t>
      </w:r>
      <w:r>
        <w:rPr>
          <w:rFonts w:ascii="Arial" w:hAnsi="Arial" w:cs="Arial"/>
          <w:i/>
          <w:szCs w:val="24"/>
          <w:lang w:eastAsia="en-AU"/>
        </w:rPr>
        <w:t> </w:t>
      </w:r>
      <w:r w:rsidRPr="007D580B">
        <w:rPr>
          <w:rFonts w:ascii="Arial" w:hAnsi="Arial" w:cs="Arial"/>
          <w:i/>
          <w:szCs w:val="24"/>
          <w:lang w:eastAsia="en-AU"/>
        </w:rPr>
        <w:t>Act</w:t>
      </w:r>
      <w:r>
        <w:rPr>
          <w:rFonts w:ascii="Arial" w:hAnsi="Arial" w:cs="Arial"/>
          <w:i/>
          <w:szCs w:val="24"/>
          <w:lang w:eastAsia="en-AU"/>
        </w:rPr>
        <w:t> </w:t>
      </w:r>
      <w:r w:rsidRPr="007D580B">
        <w:rPr>
          <w:rFonts w:ascii="Arial" w:hAnsi="Arial" w:cs="Arial"/>
          <w:i/>
          <w:szCs w:val="24"/>
          <w:lang w:eastAsia="en-AU"/>
        </w:rPr>
        <w:t>2004</w:t>
      </w:r>
      <w:r w:rsidRPr="007D580B">
        <w:rPr>
          <w:rFonts w:ascii="Arial" w:hAnsi="Arial" w:cs="Arial"/>
          <w:szCs w:val="24"/>
          <w:lang w:eastAsia="en-AU"/>
        </w:rPr>
        <w:t>.</w:t>
      </w:r>
    </w:p>
    <w:p w14:paraId="15BFCA5F" w14:textId="77777777" w:rsidR="00D46B85" w:rsidRDefault="00D46B85" w:rsidP="00D46B85">
      <w:pPr>
        <w:jc w:val="both"/>
        <w:rPr>
          <w:rFonts w:ascii="Arial" w:hAnsi="Arial" w:cs="Arial"/>
          <w:szCs w:val="24"/>
          <w:lang w:eastAsia="en-AU"/>
        </w:rPr>
      </w:pPr>
    </w:p>
    <w:p w14:paraId="79C36DA2" w14:textId="77777777" w:rsidR="00D46B85" w:rsidRPr="00A216D1" w:rsidRDefault="00D46B85" w:rsidP="00D46B85">
      <w:pPr>
        <w:keepNext/>
        <w:jc w:val="both"/>
        <w:rPr>
          <w:rFonts w:ascii="Arial" w:hAnsi="Arial" w:cs="Arial"/>
          <w:b/>
          <w:szCs w:val="24"/>
        </w:rPr>
      </w:pPr>
      <w:r w:rsidRPr="00A216D1">
        <w:rPr>
          <w:rFonts w:ascii="Arial" w:hAnsi="Arial" w:cs="Arial"/>
          <w:b/>
          <w:szCs w:val="24"/>
        </w:rPr>
        <w:t>REGULATORY IMPACT STATEMENT</w:t>
      </w:r>
    </w:p>
    <w:p w14:paraId="5951D8DC" w14:textId="77777777" w:rsidR="00D46B85" w:rsidRPr="00A216D1" w:rsidRDefault="00D46B85" w:rsidP="00D46B85">
      <w:pPr>
        <w:jc w:val="both"/>
        <w:rPr>
          <w:rFonts w:ascii="Arial" w:hAnsi="Arial" w:cs="Arial"/>
          <w:szCs w:val="24"/>
          <w:lang w:eastAsia="en-AU"/>
        </w:rPr>
      </w:pPr>
      <w:r w:rsidRPr="00A216D1">
        <w:rPr>
          <w:rFonts w:ascii="Arial" w:hAnsi="Arial" w:cs="Arial"/>
          <w:szCs w:val="24"/>
          <w:lang w:eastAsia="en-AU"/>
        </w:rPr>
        <w:t xml:space="preserve">Section 34 of the </w:t>
      </w:r>
      <w:r w:rsidRPr="00A216D1">
        <w:rPr>
          <w:rFonts w:ascii="Arial" w:hAnsi="Arial" w:cs="Arial"/>
          <w:i/>
          <w:szCs w:val="24"/>
          <w:lang w:eastAsia="en-AU"/>
        </w:rPr>
        <w:t>Legislation Act 2001</w:t>
      </w:r>
      <w:r w:rsidRPr="00A216D1">
        <w:rPr>
          <w:rFonts w:ascii="Arial" w:hAnsi="Arial" w:cs="Arial"/>
          <w:szCs w:val="24"/>
          <w:lang w:eastAsia="en-AU"/>
        </w:rPr>
        <w:t xml:space="preserve"> requires the preparation of a Regulatory Impact Statement where a subordinate law is likely to impose appreciable costs on the community, or a part of the community.</w:t>
      </w:r>
      <w:r>
        <w:rPr>
          <w:rFonts w:ascii="Arial" w:hAnsi="Arial" w:cs="Arial"/>
          <w:szCs w:val="24"/>
          <w:lang w:eastAsia="en-AU"/>
        </w:rPr>
        <w:t xml:space="preserve"> Since this regulation does not impose appreciable costs on the community, no such statement is necessary.</w:t>
      </w:r>
    </w:p>
    <w:p w14:paraId="3376FE0B" w14:textId="77777777" w:rsidR="00AE14D7" w:rsidRDefault="00AE14D7">
      <w:pPr>
        <w:rPr>
          <w:rFonts w:ascii="Arial" w:hAnsi="Arial" w:cs="Arial"/>
          <w:b/>
          <w:szCs w:val="24"/>
        </w:rPr>
      </w:pPr>
      <w:r>
        <w:rPr>
          <w:rFonts w:ascii="Arial" w:hAnsi="Arial" w:cs="Arial"/>
          <w:b/>
          <w:szCs w:val="24"/>
        </w:rPr>
        <w:br w:type="page"/>
      </w:r>
    </w:p>
    <w:p w14:paraId="1103E24D" w14:textId="14AC5CF6" w:rsidR="00D46B85" w:rsidRPr="007D580B" w:rsidRDefault="00D46B85" w:rsidP="00D46B85">
      <w:pPr>
        <w:keepNext/>
        <w:jc w:val="both"/>
        <w:rPr>
          <w:rFonts w:ascii="Arial" w:hAnsi="Arial" w:cs="Arial"/>
          <w:szCs w:val="24"/>
        </w:rPr>
      </w:pPr>
      <w:r w:rsidRPr="007D580B">
        <w:rPr>
          <w:rFonts w:ascii="Arial" w:hAnsi="Arial" w:cs="Arial"/>
          <w:b/>
          <w:szCs w:val="24"/>
        </w:rPr>
        <w:lastRenderedPageBreak/>
        <w:t>NOTES</w:t>
      </w:r>
      <w:r>
        <w:rPr>
          <w:rFonts w:ascii="Arial" w:hAnsi="Arial" w:cs="Arial"/>
          <w:b/>
          <w:szCs w:val="24"/>
        </w:rPr>
        <w:t xml:space="preserve"> ON CLAUSES</w:t>
      </w:r>
    </w:p>
    <w:p w14:paraId="5D0D68FB" w14:textId="77777777" w:rsidR="00D46B85" w:rsidRDefault="00D46B85" w:rsidP="00D46B85"/>
    <w:p w14:paraId="66814A2F" w14:textId="77777777" w:rsidR="00D46B85" w:rsidRPr="007D580B" w:rsidRDefault="00D46B85" w:rsidP="00D46B85">
      <w:pPr>
        <w:keepNext/>
        <w:spacing w:after="120"/>
        <w:jc w:val="both"/>
        <w:rPr>
          <w:rFonts w:ascii="Arial" w:hAnsi="Arial" w:cs="Arial"/>
          <w:b/>
          <w:szCs w:val="24"/>
        </w:rPr>
      </w:pPr>
      <w:r w:rsidRPr="007D580B">
        <w:rPr>
          <w:rFonts w:ascii="Arial" w:hAnsi="Arial" w:cs="Arial"/>
          <w:b/>
          <w:szCs w:val="24"/>
        </w:rPr>
        <w:t>Clause 1</w:t>
      </w:r>
      <w:r w:rsidRPr="007D580B">
        <w:rPr>
          <w:rFonts w:ascii="Arial" w:hAnsi="Arial" w:cs="Arial"/>
          <w:b/>
          <w:szCs w:val="24"/>
        </w:rPr>
        <w:tab/>
        <w:t>Name of regulation</w:t>
      </w:r>
    </w:p>
    <w:p w14:paraId="0907E796" w14:textId="5FB6ED2A" w:rsidR="00D46B85" w:rsidRDefault="00D46B85" w:rsidP="00D46B85">
      <w:pPr>
        <w:rPr>
          <w:rFonts w:ascii="Arial" w:hAnsi="Arial" w:cs="Arial"/>
          <w:i/>
          <w:iCs/>
        </w:rPr>
      </w:pPr>
      <w:r>
        <w:rPr>
          <w:rFonts w:ascii="Arial" w:hAnsi="Arial" w:cs="Arial"/>
        </w:rPr>
        <w:t xml:space="preserve">Clause 1 is a formal provision setting out the name of the Regulation as the </w:t>
      </w:r>
      <w:r>
        <w:rPr>
          <w:rFonts w:ascii="Arial" w:hAnsi="Arial" w:cs="Arial"/>
          <w:i/>
          <w:iCs/>
        </w:rPr>
        <w:t xml:space="preserve">Firearms Amendment Regulation 2020 (No </w:t>
      </w:r>
      <w:r w:rsidR="002B605D">
        <w:rPr>
          <w:rFonts w:ascii="Arial" w:hAnsi="Arial" w:cs="Arial"/>
          <w:i/>
          <w:iCs/>
        </w:rPr>
        <w:t>2</w:t>
      </w:r>
      <w:r>
        <w:rPr>
          <w:rFonts w:ascii="Arial" w:hAnsi="Arial" w:cs="Arial"/>
          <w:i/>
          <w:iCs/>
        </w:rPr>
        <w:t>).</w:t>
      </w:r>
    </w:p>
    <w:p w14:paraId="0F4C184C" w14:textId="77777777" w:rsidR="00D46B85" w:rsidRDefault="00D46B85" w:rsidP="00D46B85">
      <w:pPr>
        <w:rPr>
          <w:rFonts w:ascii="Arial" w:hAnsi="Arial" w:cs="Arial"/>
          <w:i/>
          <w:iCs/>
        </w:rPr>
      </w:pPr>
    </w:p>
    <w:p w14:paraId="754CD4ED" w14:textId="77777777" w:rsidR="00D46B85" w:rsidRDefault="00D46B85" w:rsidP="00D46B85">
      <w:pPr>
        <w:rPr>
          <w:rFonts w:ascii="Arial" w:hAnsi="Arial" w:cs="Arial"/>
          <w:b/>
          <w:bCs/>
        </w:rPr>
      </w:pPr>
      <w:r>
        <w:rPr>
          <w:rFonts w:ascii="Arial" w:hAnsi="Arial" w:cs="Arial"/>
          <w:b/>
          <w:bCs/>
        </w:rPr>
        <w:t>Clause 2</w:t>
      </w:r>
      <w:r>
        <w:rPr>
          <w:rFonts w:ascii="Arial" w:hAnsi="Arial" w:cs="Arial"/>
          <w:b/>
          <w:bCs/>
        </w:rPr>
        <w:tab/>
        <w:t>Commencement</w:t>
      </w:r>
    </w:p>
    <w:p w14:paraId="1F918694" w14:textId="77777777" w:rsidR="00D46B85" w:rsidRDefault="00D46B85" w:rsidP="00D46B85">
      <w:pPr>
        <w:rPr>
          <w:rFonts w:ascii="Arial" w:hAnsi="Arial" w:cs="Arial"/>
        </w:rPr>
      </w:pPr>
      <w:r>
        <w:rPr>
          <w:rFonts w:ascii="Arial" w:hAnsi="Arial" w:cs="Arial"/>
        </w:rPr>
        <w:t>Clause 2 provides the commencement date for the Regulation. The regulation commences on the day after its notification day.</w:t>
      </w:r>
    </w:p>
    <w:p w14:paraId="2CE4A69F" w14:textId="77777777" w:rsidR="00D46B85" w:rsidRDefault="00D46B85" w:rsidP="00D46B85">
      <w:pPr>
        <w:rPr>
          <w:rFonts w:ascii="Arial" w:hAnsi="Arial" w:cs="Arial"/>
        </w:rPr>
      </w:pPr>
    </w:p>
    <w:p w14:paraId="5AD8E6D8" w14:textId="77777777" w:rsidR="00D46B85" w:rsidRDefault="00D46B85" w:rsidP="00D46B85">
      <w:pPr>
        <w:rPr>
          <w:rFonts w:ascii="Arial" w:hAnsi="Arial" w:cs="Arial"/>
          <w:b/>
          <w:bCs/>
        </w:rPr>
      </w:pPr>
      <w:r>
        <w:rPr>
          <w:rFonts w:ascii="Arial" w:hAnsi="Arial" w:cs="Arial"/>
          <w:b/>
          <w:bCs/>
        </w:rPr>
        <w:t xml:space="preserve">Clause 3 </w:t>
      </w:r>
      <w:r>
        <w:rPr>
          <w:rFonts w:ascii="Arial" w:hAnsi="Arial" w:cs="Arial"/>
          <w:b/>
          <w:bCs/>
        </w:rPr>
        <w:tab/>
        <w:t xml:space="preserve">Legislation amended </w:t>
      </w:r>
    </w:p>
    <w:p w14:paraId="4E1CD871" w14:textId="77777777" w:rsidR="00D46B85" w:rsidRDefault="00D46B85" w:rsidP="00D46B85">
      <w:pPr>
        <w:rPr>
          <w:rFonts w:ascii="Arial" w:hAnsi="Arial" w:cs="Arial"/>
          <w:i/>
          <w:iCs/>
        </w:rPr>
      </w:pPr>
      <w:r>
        <w:rPr>
          <w:rFonts w:ascii="Arial" w:hAnsi="Arial" w:cs="Arial"/>
        </w:rPr>
        <w:t xml:space="preserve">Clause 3 provides that this regulation amends the </w:t>
      </w:r>
      <w:r>
        <w:rPr>
          <w:rFonts w:ascii="Arial" w:hAnsi="Arial" w:cs="Arial"/>
          <w:i/>
          <w:iCs/>
        </w:rPr>
        <w:t>Firearms Regulation 2008.</w:t>
      </w:r>
    </w:p>
    <w:p w14:paraId="43A83713" w14:textId="77777777" w:rsidR="00D46B85" w:rsidRDefault="00D46B85" w:rsidP="00D46B85">
      <w:pPr>
        <w:rPr>
          <w:rFonts w:ascii="Arial" w:hAnsi="Arial" w:cs="Arial"/>
          <w:i/>
          <w:iCs/>
        </w:rPr>
      </w:pPr>
    </w:p>
    <w:p w14:paraId="2755AD72" w14:textId="77777777" w:rsidR="00D46B85" w:rsidRDefault="00D46B85" w:rsidP="00D46B85">
      <w:pPr>
        <w:rPr>
          <w:rFonts w:ascii="Arial" w:hAnsi="Arial" w:cs="Arial"/>
          <w:b/>
          <w:bCs/>
        </w:rPr>
      </w:pPr>
      <w:r>
        <w:rPr>
          <w:rFonts w:ascii="Arial" w:hAnsi="Arial" w:cs="Arial"/>
          <w:b/>
          <w:bCs/>
        </w:rPr>
        <w:t>Clause 4</w:t>
      </w:r>
      <w:r>
        <w:rPr>
          <w:rFonts w:ascii="Arial" w:hAnsi="Arial" w:cs="Arial"/>
          <w:b/>
          <w:bCs/>
        </w:rPr>
        <w:tab/>
        <w:t>New part 19</w:t>
      </w:r>
    </w:p>
    <w:p w14:paraId="1CEBA437" w14:textId="77777777" w:rsidR="00D46B85" w:rsidRDefault="00D46B85" w:rsidP="00D46B85">
      <w:pPr>
        <w:rPr>
          <w:rFonts w:ascii="Arial" w:hAnsi="Arial" w:cs="Arial"/>
        </w:rPr>
      </w:pPr>
      <w:r>
        <w:rPr>
          <w:rFonts w:ascii="Arial" w:hAnsi="Arial" w:cs="Arial"/>
        </w:rPr>
        <w:t>Clause 4 inserts new part 19 – COVID-19 emergency response.</w:t>
      </w:r>
    </w:p>
    <w:p w14:paraId="1707957E" w14:textId="77777777" w:rsidR="00D46B85" w:rsidRDefault="00D46B85" w:rsidP="00D46B85">
      <w:pPr>
        <w:rPr>
          <w:rFonts w:ascii="Arial" w:hAnsi="Arial" w:cs="Arial"/>
        </w:rPr>
      </w:pPr>
    </w:p>
    <w:p w14:paraId="66D04A46" w14:textId="4997A55A" w:rsidR="00D46B85" w:rsidRDefault="00D46B85" w:rsidP="00D46B85">
      <w:pPr>
        <w:rPr>
          <w:rFonts w:ascii="Arial" w:hAnsi="Arial" w:cs="Arial"/>
        </w:rPr>
      </w:pPr>
      <w:r>
        <w:rPr>
          <w:rFonts w:ascii="Arial" w:hAnsi="Arial" w:cs="Arial"/>
        </w:rPr>
        <w:t>Section 8</w:t>
      </w:r>
      <w:r w:rsidR="00C721AD">
        <w:rPr>
          <w:rFonts w:ascii="Arial" w:hAnsi="Arial" w:cs="Arial"/>
        </w:rPr>
        <w:t>4</w:t>
      </w:r>
      <w:r>
        <w:rPr>
          <w:rFonts w:ascii="Arial" w:hAnsi="Arial" w:cs="Arial"/>
        </w:rPr>
        <w:t xml:space="preserve"> provides definitions for part 19 and defines </w:t>
      </w:r>
      <w:r>
        <w:rPr>
          <w:rFonts w:ascii="Arial" w:hAnsi="Arial" w:cs="Arial"/>
          <w:i/>
          <w:iCs/>
        </w:rPr>
        <w:t xml:space="preserve">COVID-19 emergency </w:t>
      </w:r>
      <w:r>
        <w:rPr>
          <w:rFonts w:ascii="Arial" w:hAnsi="Arial" w:cs="Arial"/>
        </w:rPr>
        <w:t xml:space="preserve">and </w:t>
      </w:r>
      <w:r>
        <w:rPr>
          <w:rFonts w:ascii="Arial" w:hAnsi="Arial" w:cs="Arial"/>
          <w:i/>
          <w:iCs/>
        </w:rPr>
        <w:t>COVID-19 provision.</w:t>
      </w:r>
      <w:r>
        <w:rPr>
          <w:rFonts w:ascii="Arial" w:hAnsi="Arial" w:cs="Arial"/>
          <w:i/>
          <w:iCs/>
        </w:rPr>
        <w:br/>
      </w:r>
      <w:r>
        <w:rPr>
          <w:rFonts w:ascii="Arial" w:hAnsi="Arial" w:cs="Arial"/>
          <w:i/>
          <w:iCs/>
        </w:rPr>
        <w:br/>
        <w:t xml:space="preserve">COVID-19 emergency </w:t>
      </w:r>
      <w:r>
        <w:rPr>
          <w:rFonts w:ascii="Arial" w:hAnsi="Arial" w:cs="Arial"/>
        </w:rPr>
        <w:t xml:space="preserve">means – </w:t>
      </w:r>
    </w:p>
    <w:p w14:paraId="5FBE5F2F" w14:textId="77777777" w:rsidR="00D46B85" w:rsidRDefault="00D46B85" w:rsidP="00D46B85">
      <w:pPr>
        <w:pStyle w:val="ListParagraph"/>
        <w:numPr>
          <w:ilvl w:val="0"/>
          <w:numId w:val="11"/>
        </w:numPr>
        <w:rPr>
          <w:rFonts w:ascii="Arial" w:hAnsi="Arial" w:cs="Arial"/>
        </w:rPr>
      </w:pPr>
      <w:r w:rsidRPr="008C1B25">
        <w:rPr>
          <w:rFonts w:ascii="Arial" w:hAnsi="Arial" w:cs="Arial"/>
        </w:rPr>
        <w:t xml:space="preserve">a state of emergency declared under the </w:t>
      </w:r>
      <w:r w:rsidRPr="00006A03">
        <w:rPr>
          <w:rFonts w:ascii="Arial" w:hAnsi="Arial" w:cs="Arial"/>
          <w:i/>
          <w:iCs/>
        </w:rPr>
        <w:t>Emergencies Act 2004</w:t>
      </w:r>
      <w:r w:rsidRPr="008C1B25">
        <w:rPr>
          <w:rFonts w:ascii="Arial" w:hAnsi="Arial" w:cs="Arial"/>
        </w:rPr>
        <w:t>, section 156 because of the coronavirus disease 2019 (COVID-19); or</w:t>
      </w:r>
    </w:p>
    <w:p w14:paraId="2556734E" w14:textId="77777777" w:rsidR="00D46B85" w:rsidRDefault="00D46B85" w:rsidP="00D46B85">
      <w:pPr>
        <w:pStyle w:val="ListParagraph"/>
        <w:numPr>
          <w:ilvl w:val="0"/>
          <w:numId w:val="11"/>
        </w:numPr>
        <w:rPr>
          <w:rFonts w:ascii="Arial" w:hAnsi="Arial" w:cs="Arial"/>
        </w:rPr>
      </w:pPr>
      <w:r w:rsidRPr="008C1B25">
        <w:rPr>
          <w:rFonts w:ascii="Arial" w:hAnsi="Arial" w:cs="Arial"/>
        </w:rPr>
        <w:t xml:space="preserve">an emergency declared under the </w:t>
      </w:r>
      <w:r w:rsidRPr="00006A03">
        <w:rPr>
          <w:rFonts w:ascii="Arial" w:hAnsi="Arial" w:cs="Arial"/>
          <w:i/>
          <w:iCs/>
        </w:rPr>
        <w:t>Public Health Act 1997</w:t>
      </w:r>
      <w:r w:rsidRPr="008C1B25">
        <w:rPr>
          <w:rFonts w:ascii="Arial" w:hAnsi="Arial" w:cs="Arial"/>
        </w:rPr>
        <w:t xml:space="preserve">, section 119 (including any extension or further extension) because of the coronavirus disease 2019 (COVID-19). </w:t>
      </w:r>
    </w:p>
    <w:p w14:paraId="00923A07" w14:textId="77777777" w:rsidR="00D46B85" w:rsidRDefault="00D46B85" w:rsidP="00D46B85">
      <w:pPr>
        <w:rPr>
          <w:rFonts w:ascii="Arial" w:hAnsi="Arial" w:cs="Arial"/>
        </w:rPr>
      </w:pPr>
      <w:r>
        <w:rPr>
          <w:rFonts w:ascii="Arial" w:hAnsi="Arial" w:cs="Arial"/>
          <w:i/>
          <w:iCs/>
        </w:rPr>
        <w:br/>
      </w:r>
      <w:r w:rsidRPr="008C1B25">
        <w:rPr>
          <w:rFonts w:ascii="Arial" w:hAnsi="Arial" w:cs="Arial"/>
          <w:i/>
          <w:iCs/>
        </w:rPr>
        <w:t>COVID-19 provision</w:t>
      </w:r>
      <w:r w:rsidRPr="008C1B25">
        <w:rPr>
          <w:rFonts w:ascii="Arial" w:hAnsi="Arial" w:cs="Arial"/>
        </w:rPr>
        <w:t xml:space="preserve"> means a provision in a—  </w:t>
      </w:r>
    </w:p>
    <w:p w14:paraId="04C8C4FC" w14:textId="77777777" w:rsidR="00D46B85" w:rsidRDefault="00D46B85" w:rsidP="00D46B85">
      <w:pPr>
        <w:pStyle w:val="ListParagraph"/>
        <w:numPr>
          <w:ilvl w:val="0"/>
          <w:numId w:val="12"/>
        </w:numPr>
        <w:rPr>
          <w:rFonts w:ascii="Arial" w:hAnsi="Arial" w:cs="Arial"/>
        </w:rPr>
      </w:pPr>
      <w:r w:rsidRPr="00315064">
        <w:rPr>
          <w:rFonts w:ascii="Arial" w:hAnsi="Arial" w:cs="Arial"/>
        </w:rPr>
        <w:t xml:space="preserve"> law of the Territory that was made to respond to a COVID-19 emergency; or  </w:t>
      </w:r>
    </w:p>
    <w:p w14:paraId="2539B1FE" w14:textId="77777777" w:rsidR="00D46B85" w:rsidRDefault="00D46B85" w:rsidP="00D46B85">
      <w:pPr>
        <w:pStyle w:val="ListParagraph"/>
        <w:numPr>
          <w:ilvl w:val="0"/>
          <w:numId w:val="12"/>
        </w:numPr>
        <w:rPr>
          <w:rFonts w:ascii="Arial" w:hAnsi="Arial" w:cs="Arial"/>
        </w:rPr>
      </w:pPr>
      <w:r w:rsidRPr="00315064">
        <w:rPr>
          <w:rFonts w:ascii="Arial" w:hAnsi="Arial" w:cs="Arial"/>
        </w:rPr>
        <w:t>law of the Commonwealth or a State that was made to respond to an emergency declared under a Commonwealth or State law because of the coronavirus disease 2019 (COVID-19)</w:t>
      </w:r>
    </w:p>
    <w:p w14:paraId="316E3652" w14:textId="77777777" w:rsidR="00D46B85" w:rsidRDefault="00D46B85" w:rsidP="00D46B85">
      <w:pPr>
        <w:rPr>
          <w:rFonts w:ascii="Arial" w:hAnsi="Arial" w:cs="Arial"/>
        </w:rPr>
      </w:pPr>
    </w:p>
    <w:p w14:paraId="6C26C88E" w14:textId="77777777" w:rsidR="00D46B85" w:rsidRDefault="00D46B85" w:rsidP="00D46B85">
      <w:pPr>
        <w:rPr>
          <w:rFonts w:ascii="Arial" w:hAnsi="Arial" w:cs="Arial"/>
        </w:rPr>
      </w:pPr>
      <w:r>
        <w:rPr>
          <w:rFonts w:ascii="Arial" w:hAnsi="Arial" w:cs="Arial"/>
        </w:rPr>
        <w:t>A note is provided to clarify that ‘State’ includes the Northern Territory.</w:t>
      </w:r>
    </w:p>
    <w:p w14:paraId="26E8F333" w14:textId="77777777" w:rsidR="00D46B85" w:rsidRDefault="00D46B85" w:rsidP="00D46B85">
      <w:pPr>
        <w:rPr>
          <w:rFonts w:ascii="Arial" w:hAnsi="Arial" w:cs="Arial"/>
        </w:rPr>
      </w:pPr>
    </w:p>
    <w:p w14:paraId="51C6B448" w14:textId="16940C1E" w:rsidR="00D46B85" w:rsidRDefault="00D46B85" w:rsidP="00D46B85">
      <w:pPr>
        <w:rPr>
          <w:rFonts w:ascii="Arial" w:hAnsi="Arial" w:cs="Arial"/>
        </w:rPr>
      </w:pPr>
      <w:r>
        <w:rPr>
          <w:rFonts w:ascii="Arial" w:hAnsi="Arial" w:cs="Arial"/>
        </w:rPr>
        <w:t>Section 8</w:t>
      </w:r>
      <w:r w:rsidR="00C721AD">
        <w:rPr>
          <w:rFonts w:ascii="Arial" w:hAnsi="Arial" w:cs="Arial"/>
        </w:rPr>
        <w:t>5</w:t>
      </w:r>
      <w:r>
        <w:rPr>
          <w:rFonts w:ascii="Arial" w:hAnsi="Arial" w:cs="Arial"/>
        </w:rPr>
        <w:t xml:space="preserve"> – Certain requirements do not apply in relation to COVID-19 emergency</w:t>
      </w:r>
    </w:p>
    <w:p w14:paraId="4EFF164E" w14:textId="77777777" w:rsidR="00D46B85" w:rsidRDefault="00D46B85" w:rsidP="00D46B85">
      <w:pPr>
        <w:rPr>
          <w:rFonts w:ascii="Arial" w:hAnsi="Arial" w:cs="Arial"/>
        </w:rPr>
      </w:pPr>
    </w:p>
    <w:p w14:paraId="5E91EC58" w14:textId="48A19BB6" w:rsidR="00F553FF" w:rsidRDefault="00D46B85" w:rsidP="00D46B85">
      <w:pPr>
        <w:rPr>
          <w:rFonts w:ascii="Arial" w:hAnsi="Arial" w:cs="Arial"/>
        </w:rPr>
      </w:pPr>
      <w:r>
        <w:rPr>
          <w:rFonts w:ascii="Arial" w:hAnsi="Arial" w:cs="Arial"/>
        </w:rPr>
        <w:t>Section 8</w:t>
      </w:r>
      <w:r w:rsidR="00C721AD">
        <w:rPr>
          <w:rFonts w:ascii="Arial" w:hAnsi="Arial" w:cs="Arial"/>
        </w:rPr>
        <w:t>5</w:t>
      </w:r>
      <w:r>
        <w:rPr>
          <w:rFonts w:ascii="Arial" w:hAnsi="Arial" w:cs="Arial"/>
        </w:rPr>
        <w:t xml:space="preserve"> (1) provides that a</w:t>
      </w:r>
      <w:r w:rsidRPr="00FE7D80">
        <w:rPr>
          <w:rFonts w:ascii="Arial" w:hAnsi="Arial" w:cs="Arial"/>
        </w:rPr>
        <w:t xml:space="preserve"> licensee is taken to comply with a condition under section 20 </w:t>
      </w:r>
      <w:r>
        <w:rPr>
          <w:rFonts w:ascii="Arial" w:hAnsi="Arial" w:cs="Arial"/>
        </w:rPr>
        <w:t xml:space="preserve">of the </w:t>
      </w:r>
      <w:r>
        <w:rPr>
          <w:rFonts w:ascii="Arial" w:hAnsi="Arial" w:cs="Arial"/>
          <w:i/>
          <w:iCs/>
        </w:rPr>
        <w:t xml:space="preserve">Firearms Regulation 2008 </w:t>
      </w:r>
      <w:r w:rsidRPr="00FE7D80">
        <w:rPr>
          <w:rFonts w:ascii="Arial" w:hAnsi="Arial" w:cs="Arial"/>
        </w:rPr>
        <w:t>in relation to a yearly period mentioned in the section if, during the period, the licensee’s ability to comply with the condition is prevented or restricted by a COVID-19 provision.</w:t>
      </w:r>
      <w:r w:rsidR="00F553FF">
        <w:rPr>
          <w:rFonts w:ascii="Arial" w:hAnsi="Arial" w:cs="Arial"/>
        </w:rPr>
        <w:t xml:space="preserve">  </w:t>
      </w:r>
    </w:p>
    <w:p w14:paraId="654BD3C0" w14:textId="77777777" w:rsidR="00F553FF" w:rsidRDefault="00F553FF" w:rsidP="00D46B85">
      <w:pPr>
        <w:rPr>
          <w:rFonts w:ascii="Arial" w:hAnsi="Arial" w:cs="Arial"/>
        </w:rPr>
      </w:pPr>
    </w:p>
    <w:p w14:paraId="2B079A9C" w14:textId="1F24E402" w:rsidR="00D46B85" w:rsidRDefault="00F553FF" w:rsidP="00D46B85">
      <w:pPr>
        <w:rPr>
          <w:rFonts w:ascii="Arial" w:hAnsi="Arial" w:cs="Arial"/>
        </w:rPr>
      </w:pPr>
      <w:r>
        <w:rPr>
          <w:rFonts w:ascii="Arial" w:hAnsi="Arial" w:cs="Arial"/>
        </w:rPr>
        <w:t>Section 20 applies conditions to category C and category H licences if the genuine reason for possessing or using the firearm is sport or target shooting.</w:t>
      </w:r>
    </w:p>
    <w:p w14:paraId="05873235" w14:textId="2E9DC644" w:rsidR="00F553FF" w:rsidRDefault="00F553FF" w:rsidP="00D46B85">
      <w:pPr>
        <w:rPr>
          <w:rFonts w:ascii="Arial" w:hAnsi="Arial" w:cs="Arial"/>
        </w:rPr>
      </w:pPr>
    </w:p>
    <w:p w14:paraId="1240E499" w14:textId="4FFD2E63" w:rsidR="00F553FF" w:rsidRDefault="00F553FF" w:rsidP="00F553FF">
      <w:pPr>
        <w:rPr>
          <w:rFonts w:ascii="Arial" w:hAnsi="Arial" w:cs="Arial"/>
        </w:rPr>
      </w:pPr>
      <w:r w:rsidRPr="006A1085">
        <w:rPr>
          <w:rFonts w:ascii="Arial" w:hAnsi="Arial" w:cs="Arial"/>
        </w:rPr>
        <w:t xml:space="preserve">It is a condition of these licences that </w:t>
      </w:r>
      <w:r>
        <w:rPr>
          <w:rFonts w:ascii="Arial" w:hAnsi="Arial" w:cs="Arial"/>
        </w:rPr>
        <w:t xml:space="preserve">each year </w:t>
      </w:r>
      <w:r w:rsidRPr="006A1085">
        <w:rPr>
          <w:rFonts w:ascii="Arial" w:hAnsi="Arial" w:cs="Arial"/>
        </w:rPr>
        <w:t xml:space="preserve">the licencee </w:t>
      </w:r>
      <w:r>
        <w:rPr>
          <w:rFonts w:ascii="Arial" w:hAnsi="Arial" w:cs="Arial"/>
        </w:rPr>
        <w:t>giv</w:t>
      </w:r>
      <w:r w:rsidRPr="006A1085">
        <w:rPr>
          <w:rFonts w:ascii="Arial" w:hAnsi="Arial" w:cs="Arial"/>
        </w:rPr>
        <w:t>es a written statement from an approved club, to the Firearms Registrar, stating that the licensee is a financial and active member of the club</w:t>
      </w:r>
      <w:r>
        <w:rPr>
          <w:rFonts w:ascii="Arial" w:hAnsi="Arial" w:cs="Arial"/>
        </w:rPr>
        <w:t>.</w:t>
      </w:r>
    </w:p>
    <w:p w14:paraId="3EE97BC2" w14:textId="1E3D9B9E" w:rsidR="00F553FF" w:rsidRDefault="00F553FF" w:rsidP="00F553FF">
      <w:pPr>
        <w:rPr>
          <w:rFonts w:ascii="Arial" w:hAnsi="Arial" w:cs="Arial"/>
        </w:rPr>
      </w:pPr>
    </w:p>
    <w:p w14:paraId="1B4185B5" w14:textId="58B3176F" w:rsidR="00F553FF" w:rsidRPr="006A1085" w:rsidRDefault="00F553FF" w:rsidP="006A1085">
      <w:pPr>
        <w:rPr>
          <w:rFonts w:ascii="Arial" w:hAnsi="Arial" w:cs="Arial"/>
        </w:rPr>
      </w:pPr>
      <w:r>
        <w:rPr>
          <w:rFonts w:ascii="Arial" w:hAnsi="Arial" w:cs="Arial"/>
        </w:rPr>
        <w:lastRenderedPageBreak/>
        <w:t>I</w:t>
      </w:r>
      <w:r w:rsidRPr="006A1085">
        <w:rPr>
          <w:rFonts w:ascii="Arial" w:hAnsi="Arial" w:cs="Arial"/>
        </w:rPr>
        <w:t xml:space="preserve">f the genuine reason for possessing or using a prohibited firearm is for the purposes of a shooting competition, </w:t>
      </w:r>
      <w:r>
        <w:rPr>
          <w:rFonts w:ascii="Arial" w:hAnsi="Arial" w:cs="Arial"/>
        </w:rPr>
        <w:t xml:space="preserve">it is a condition that </w:t>
      </w:r>
      <w:r w:rsidRPr="006A1085">
        <w:rPr>
          <w:rFonts w:ascii="Arial" w:hAnsi="Arial" w:cs="Arial"/>
        </w:rPr>
        <w:t>each year the licensee takes part in at least 4 clay target competitions organised by a club affiliated with the Australian Clay Target Association.</w:t>
      </w:r>
    </w:p>
    <w:p w14:paraId="75CBDC37" w14:textId="3BB33E28" w:rsidR="00F553FF" w:rsidRDefault="00F553FF" w:rsidP="00D46B85">
      <w:pPr>
        <w:rPr>
          <w:rFonts w:ascii="Arial" w:hAnsi="Arial" w:cs="Arial"/>
        </w:rPr>
      </w:pPr>
    </w:p>
    <w:p w14:paraId="20847250" w14:textId="695FD6C9" w:rsidR="00D46B85" w:rsidRDefault="00D46B85" w:rsidP="00D46B85">
      <w:pPr>
        <w:rPr>
          <w:rFonts w:ascii="Arial" w:hAnsi="Arial" w:cs="Arial"/>
        </w:rPr>
      </w:pPr>
      <w:r>
        <w:rPr>
          <w:rFonts w:ascii="Arial" w:hAnsi="Arial" w:cs="Arial"/>
        </w:rPr>
        <w:t>Section 8</w:t>
      </w:r>
      <w:r w:rsidR="00C721AD">
        <w:rPr>
          <w:rFonts w:ascii="Arial" w:hAnsi="Arial" w:cs="Arial"/>
        </w:rPr>
        <w:t>5</w:t>
      </w:r>
      <w:r>
        <w:rPr>
          <w:rFonts w:ascii="Arial" w:hAnsi="Arial" w:cs="Arial"/>
        </w:rPr>
        <w:t>(2) provides that</w:t>
      </w:r>
      <w:r w:rsidRPr="00FE7D80">
        <w:rPr>
          <w:rFonts w:ascii="Arial" w:hAnsi="Arial" w:cs="Arial"/>
        </w:rPr>
        <w:t xml:space="preserve"> licensee is taken to comply with a condition under any of the following provisions in relation to a 12-month or 14-day period mentioned in the provision if the period ends during a COVID-19 emergency and the licensee complies with the condition as soon as practicable after the emergency ends:  </w:t>
      </w:r>
    </w:p>
    <w:p w14:paraId="14221E5D" w14:textId="77777777" w:rsidR="00D46B85" w:rsidRDefault="00D46B85" w:rsidP="00D46B85">
      <w:pPr>
        <w:pStyle w:val="ListParagraph"/>
        <w:numPr>
          <w:ilvl w:val="0"/>
          <w:numId w:val="13"/>
        </w:numPr>
        <w:rPr>
          <w:rFonts w:ascii="Arial" w:hAnsi="Arial" w:cs="Arial"/>
        </w:rPr>
      </w:pPr>
      <w:r w:rsidRPr="00FE7D80">
        <w:rPr>
          <w:rFonts w:ascii="Arial" w:hAnsi="Arial" w:cs="Arial"/>
        </w:rPr>
        <w:t xml:space="preserve"> section 21 (1) (a);  </w:t>
      </w:r>
    </w:p>
    <w:p w14:paraId="7BF38B35" w14:textId="77777777" w:rsidR="00D46B85" w:rsidRDefault="00D46B85" w:rsidP="00D46B85">
      <w:pPr>
        <w:pStyle w:val="ListParagraph"/>
        <w:numPr>
          <w:ilvl w:val="0"/>
          <w:numId w:val="13"/>
        </w:numPr>
        <w:rPr>
          <w:rFonts w:ascii="Arial" w:hAnsi="Arial" w:cs="Arial"/>
        </w:rPr>
      </w:pPr>
      <w:r w:rsidRPr="00FE7D80">
        <w:rPr>
          <w:rFonts w:ascii="Arial" w:hAnsi="Arial" w:cs="Arial"/>
        </w:rPr>
        <w:t xml:space="preserve"> section 22 (a) and (b);  </w:t>
      </w:r>
    </w:p>
    <w:p w14:paraId="49305DA6" w14:textId="77777777" w:rsidR="00D46B85" w:rsidRDefault="00D46B85" w:rsidP="00D46B85">
      <w:pPr>
        <w:pStyle w:val="ListParagraph"/>
        <w:numPr>
          <w:ilvl w:val="0"/>
          <w:numId w:val="13"/>
        </w:numPr>
        <w:rPr>
          <w:rFonts w:ascii="Arial" w:hAnsi="Arial" w:cs="Arial"/>
        </w:rPr>
      </w:pPr>
      <w:r w:rsidRPr="00FE7D80">
        <w:rPr>
          <w:rFonts w:ascii="Arial" w:hAnsi="Arial" w:cs="Arial"/>
        </w:rPr>
        <w:t xml:space="preserve"> section 32 (1) (a);  </w:t>
      </w:r>
    </w:p>
    <w:p w14:paraId="5F858AA3" w14:textId="77777777" w:rsidR="00D46B85" w:rsidRDefault="00D46B85" w:rsidP="00D46B85">
      <w:pPr>
        <w:pStyle w:val="ListParagraph"/>
        <w:numPr>
          <w:ilvl w:val="0"/>
          <w:numId w:val="13"/>
        </w:numPr>
        <w:rPr>
          <w:rFonts w:ascii="Arial" w:hAnsi="Arial" w:cs="Arial"/>
        </w:rPr>
      </w:pPr>
      <w:r w:rsidRPr="00FE7D80">
        <w:rPr>
          <w:rFonts w:ascii="Arial" w:hAnsi="Arial" w:cs="Arial"/>
        </w:rPr>
        <w:t xml:space="preserve"> section 33 (a) and (b).  </w:t>
      </w:r>
    </w:p>
    <w:p w14:paraId="2124672F" w14:textId="77777777" w:rsidR="00D46B85" w:rsidRDefault="00D46B85" w:rsidP="00D46B85">
      <w:pPr>
        <w:rPr>
          <w:rFonts w:ascii="Arial" w:hAnsi="Arial" w:cs="Arial"/>
        </w:rPr>
      </w:pPr>
    </w:p>
    <w:p w14:paraId="309CB0D5" w14:textId="05FC9457" w:rsidR="00F553FF" w:rsidRDefault="00F553FF" w:rsidP="00D46B85">
      <w:pPr>
        <w:rPr>
          <w:rFonts w:ascii="Arial" w:hAnsi="Arial" w:cs="Arial"/>
        </w:rPr>
      </w:pPr>
      <w:r>
        <w:rPr>
          <w:rFonts w:ascii="Arial" w:hAnsi="Arial" w:cs="Arial"/>
        </w:rPr>
        <w:t xml:space="preserve">These provisions impose requirements that holders of certain categories of firearm licence, for business or employment, pass an </w:t>
      </w:r>
      <w:r w:rsidR="002A6A7C">
        <w:rPr>
          <w:rFonts w:ascii="Arial" w:hAnsi="Arial" w:cs="Arial"/>
        </w:rPr>
        <w:t xml:space="preserve">annual </w:t>
      </w:r>
      <w:r>
        <w:rPr>
          <w:rFonts w:ascii="Arial" w:hAnsi="Arial" w:cs="Arial"/>
        </w:rPr>
        <w:t>examination in the safe handling and use of the firearm, conducted by an authorised instructor.  There are also provisions, where an examination i</w:t>
      </w:r>
      <w:r w:rsidR="00935F84">
        <w:rPr>
          <w:rFonts w:ascii="Arial" w:hAnsi="Arial" w:cs="Arial"/>
        </w:rPr>
        <w:t>s</w:t>
      </w:r>
      <w:r>
        <w:rPr>
          <w:rFonts w:ascii="Arial" w:hAnsi="Arial" w:cs="Arial"/>
        </w:rPr>
        <w:t xml:space="preserve"> failed for the licence holder to pass the examination within 14 days after the failure.</w:t>
      </w:r>
    </w:p>
    <w:p w14:paraId="490E5132" w14:textId="77777777" w:rsidR="00F553FF" w:rsidRDefault="00F553FF" w:rsidP="00D46B85">
      <w:pPr>
        <w:rPr>
          <w:rFonts w:ascii="Arial" w:hAnsi="Arial" w:cs="Arial"/>
        </w:rPr>
      </w:pPr>
    </w:p>
    <w:p w14:paraId="3B551F18" w14:textId="045ACAA1" w:rsidR="00DD7749" w:rsidRDefault="00D46B85" w:rsidP="00D46B85">
      <w:pPr>
        <w:rPr>
          <w:rFonts w:ascii="Arial" w:hAnsi="Arial" w:cs="Arial"/>
        </w:rPr>
      </w:pPr>
      <w:r>
        <w:rPr>
          <w:rFonts w:ascii="Arial" w:hAnsi="Arial" w:cs="Arial"/>
        </w:rPr>
        <w:t>Section 8</w:t>
      </w:r>
      <w:r w:rsidR="00C721AD">
        <w:rPr>
          <w:rFonts w:ascii="Arial" w:hAnsi="Arial" w:cs="Arial"/>
        </w:rPr>
        <w:t>5</w:t>
      </w:r>
      <w:r>
        <w:rPr>
          <w:rFonts w:ascii="Arial" w:hAnsi="Arial" w:cs="Arial"/>
        </w:rPr>
        <w:t xml:space="preserve"> </w:t>
      </w:r>
      <w:r w:rsidRPr="00FE7D80">
        <w:rPr>
          <w:rFonts w:ascii="Arial" w:hAnsi="Arial" w:cs="Arial"/>
        </w:rPr>
        <w:t xml:space="preserve">(3) </w:t>
      </w:r>
      <w:r>
        <w:rPr>
          <w:rFonts w:ascii="Arial" w:hAnsi="Arial" w:cs="Arial"/>
        </w:rPr>
        <w:t>provides that a</w:t>
      </w:r>
      <w:r w:rsidRPr="00FE7D80">
        <w:rPr>
          <w:rFonts w:ascii="Arial" w:hAnsi="Arial" w:cs="Arial"/>
        </w:rPr>
        <w:t xml:space="preserve"> licensee is taken to comply with a requirement prescribed under section 68 for a 12-month or 6-month period mentioned in the section if, during the period, the licensee’s ability to comply with the requirement is prevented or restricted by a COVID-19 provision.  </w:t>
      </w:r>
      <w:r w:rsidR="00DD7749">
        <w:rPr>
          <w:rFonts w:ascii="Arial" w:hAnsi="Arial" w:cs="Arial"/>
        </w:rPr>
        <w:t xml:space="preserve"> </w:t>
      </w:r>
    </w:p>
    <w:p w14:paraId="6D787ADF" w14:textId="77777777" w:rsidR="00DD7749" w:rsidRDefault="00DD7749" w:rsidP="00D46B85">
      <w:pPr>
        <w:rPr>
          <w:rFonts w:ascii="Arial" w:hAnsi="Arial" w:cs="Arial"/>
        </w:rPr>
      </w:pPr>
    </w:p>
    <w:p w14:paraId="0C9732FF" w14:textId="4B96A659" w:rsidR="00D46B85" w:rsidRDefault="00DD7749" w:rsidP="00D46B85">
      <w:pPr>
        <w:rPr>
          <w:rFonts w:ascii="Arial" w:hAnsi="Arial" w:cs="Arial"/>
        </w:rPr>
      </w:pPr>
      <w:r>
        <w:rPr>
          <w:rFonts w:ascii="Arial" w:hAnsi="Arial" w:cs="Arial"/>
        </w:rPr>
        <w:t>Section 68 requires members of approved hunting clubs to take part in 4 shooting activities of any approved hunting club within each 12 months period.  It also requires certain licence holders to participate in minimum numbers of shooting club events or competitions in either a 6 month or 12 month period.</w:t>
      </w:r>
    </w:p>
    <w:p w14:paraId="1F8C079A" w14:textId="77777777" w:rsidR="00D46B85" w:rsidRDefault="00D46B85" w:rsidP="00D46B85">
      <w:pPr>
        <w:rPr>
          <w:rFonts w:ascii="Arial" w:hAnsi="Arial" w:cs="Arial"/>
        </w:rPr>
      </w:pPr>
    </w:p>
    <w:p w14:paraId="5A0C63CE" w14:textId="16E1DB52" w:rsidR="00D46B85" w:rsidRDefault="00D46B85" w:rsidP="00D46B85">
      <w:pPr>
        <w:rPr>
          <w:rFonts w:ascii="Arial" w:hAnsi="Arial" w:cs="Arial"/>
        </w:rPr>
      </w:pPr>
      <w:r>
        <w:rPr>
          <w:rFonts w:ascii="Arial" w:hAnsi="Arial" w:cs="Arial"/>
        </w:rPr>
        <w:t>Section 8</w:t>
      </w:r>
      <w:r w:rsidR="00C721AD">
        <w:rPr>
          <w:rFonts w:ascii="Arial" w:hAnsi="Arial" w:cs="Arial"/>
        </w:rPr>
        <w:t>5</w:t>
      </w:r>
      <w:r>
        <w:rPr>
          <w:rFonts w:ascii="Arial" w:hAnsi="Arial" w:cs="Arial"/>
        </w:rPr>
        <w:t xml:space="preserve"> </w:t>
      </w:r>
      <w:r w:rsidRPr="00FE7D80">
        <w:rPr>
          <w:rFonts w:ascii="Arial" w:hAnsi="Arial" w:cs="Arial"/>
        </w:rPr>
        <w:t xml:space="preserve">(4) </w:t>
      </w:r>
      <w:r>
        <w:rPr>
          <w:rFonts w:ascii="Arial" w:hAnsi="Arial" w:cs="Arial"/>
        </w:rPr>
        <w:t>provides that</w:t>
      </w:r>
      <w:r w:rsidRPr="00FE7D80">
        <w:rPr>
          <w:rFonts w:ascii="Arial" w:hAnsi="Arial" w:cs="Arial"/>
        </w:rPr>
        <w:t xml:space="preserve"> subsection (1), (2) or (3) applies to a licensee even if a period of time mentioned in the subsection commenced</w:t>
      </w:r>
      <w:r>
        <w:rPr>
          <w:rFonts w:ascii="Arial" w:hAnsi="Arial" w:cs="Arial"/>
        </w:rPr>
        <w:t xml:space="preserve"> before the commencement of this part. </w:t>
      </w:r>
    </w:p>
    <w:p w14:paraId="285DACE8" w14:textId="77777777" w:rsidR="00D46B85" w:rsidRDefault="00D46B85" w:rsidP="00D46B85">
      <w:pPr>
        <w:rPr>
          <w:rFonts w:ascii="Arial" w:hAnsi="Arial" w:cs="Arial"/>
        </w:rPr>
      </w:pPr>
    </w:p>
    <w:p w14:paraId="4D0BFBA4" w14:textId="33598C10" w:rsidR="001D75C9" w:rsidRPr="00A142AE" w:rsidRDefault="00D46B85">
      <w:pPr>
        <w:rPr>
          <w:rFonts w:ascii="Arial" w:hAnsi="Arial" w:cs="Arial"/>
        </w:rPr>
      </w:pPr>
      <w:r>
        <w:rPr>
          <w:rFonts w:ascii="Arial" w:hAnsi="Arial" w:cs="Arial"/>
        </w:rPr>
        <w:t>Section 8</w:t>
      </w:r>
      <w:r w:rsidR="00C721AD">
        <w:rPr>
          <w:rFonts w:ascii="Arial" w:hAnsi="Arial" w:cs="Arial"/>
        </w:rPr>
        <w:t>6</w:t>
      </w:r>
      <w:r>
        <w:rPr>
          <w:rFonts w:ascii="Arial" w:hAnsi="Arial" w:cs="Arial"/>
        </w:rPr>
        <w:t xml:space="preserve"> provides that </w:t>
      </w:r>
      <w:r w:rsidRPr="00FE7D80">
        <w:rPr>
          <w:rFonts w:ascii="Arial" w:hAnsi="Arial" w:cs="Arial"/>
        </w:rPr>
        <w:t>part</w:t>
      </w:r>
      <w:r>
        <w:rPr>
          <w:rFonts w:ascii="Arial" w:hAnsi="Arial" w:cs="Arial"/>
        </w:rPr>
        <w:t xml:space="preserve"> 19</w:t>
      </w:r>
      <w:r w:rsidRPr="00FE7D80">
        <w:rPr>
          <w:rFonts w:ascii="Arial" w:hAnsi="Arial" w:cs="Arial"/>
        </w:rPr>
        <w:t xml:space="preserve"> expires at the end of a 12-month period during which no COVID-19 emergency has been in force.</w:t>
      </w:r>
      <w:r w:rsidR="00DD7749">
        <w:rPr>
          <w:rFonts w:ascii="Arial" w:hAnsi="Arial" w:cs="Arial"/>
        </w:rPr>
        <w:t xml:space="preserve">  This recognises that the impacts of COVID-19 emergency measures may continue beyond the end of a declared emergency period.</w:t>
      </w:r>
    </w:p>
    <w:sectPr w:rsidR="001D75C9" w:rsidRPr="00A142AE"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F2F7E" w14:textId="77777777" w:rsidR="000357FC" w:rsidRDefault="000357FC" w:rsidP="006815C9">
      <w:r>
        <w:separator/>
      </w:r>
    </w:p>
  </w:endnote>
  <w:endnote w:type="continuationSeparator" w:id="0">
    <w:p w14:paraId="1856734B" w14:textId="77777777" w:rsidR="000357FC" w:rsidRDefault="000357FC"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EDF6" w14:textId="77777777" w:rsidR="00F21063" w:rsidRDefault="00F21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BF27C" w14:textId="15F947BD" w:rsidR="00F21063" w:rsidRPr="00F21063" w:rsidRDefault="00F21063" w:rsidP="00F21063">
    <w:pPr>
      <w:pStyle w:val="Footer"/>
      <w:jc w:val="center"/>
      <w:rPr>
        <w:rFonts w:cs="Arial"/>
        <w:sz w:val="14"/>
      </w:rPr>
    </w:pPr>
    <w:r w:rsidRPr="00F2106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ADCE6" w14:textId="77777777" w:rsidR="00F21063" w:rsidRDefault="00F2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CEFA4" w14:textId="77777777" w:rsidR="000357FC" w:rsidRDefault="000357FC" w:rsidP="006815C9">
      <w:r>
        <w:separator/>
      </w:r>
    </w:p>
  </w:footnote>
  <w:footnote w:type="continuationSeparator" w:id="0">
    <w:p w14:paraId="1BF55BBA" w14:textId="77777777" w:rsidR="000357FC" w:rsidRDefault="000357FC"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0C9A6" w14:textId="77777777" w:rsidR="00F21063" w:rsidRDefault="00F21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E25F" w14:textId="77777777" w:rsidR="00F21063" w:rsidRDefault="00F21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4329" w14:textId="77777777" w:rsidR="00F21063" w:rsidRDefault="00F21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9371A4"/>
    <w:multiLevelType w:val="hybridMultilevel"/>
    <w:tmpl w:val="2D56A1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845D6"/>
    <w:multiLevelType w:val="hybridMultilevel"/>
    <w:tmpl w:val="5BDA47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115750"/>
    <w:multiLevelType w:val="hybridMultilevel"/>
    <w:tmpl w:val="A3B294A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2185083"/>
    <w:multiLevelType w:val="hybridMultilevel"/>
    <w:tmpl w:val="FFAE4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D93168"/>
    <w:multiLevelType w:val="hybridMultilevel"/>
    <w:tmpl w:val="ECF048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3" w15:restartNumberingAfterBreak="0">
    <w:nsid w:val="56B40F5A"/>
    <w:multiLevelType w:val="hybridMultilevel"/>
    <w:tmpl w:val="5A5E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4"/>
  </w:num>
  <w:num w:numId="2">
    <w:abstractNumId w:val="0"/>
  </w:num>
  <w:num w:numId="3">
    <w:abstractNumId w:val="5"/>
  </w:num>
  <w:num w:numId="4">
    <w:abstractNumId w:val="9"/>
  </w:num>
  <w:num w:numId="5">
    <w:abstractNumId w:val="14"/>
  </w:num>
  <w:num w:numId="6">
    <w:abstractNumId w:val="3"/>
  </w:num>
  <w:num w:numId="7">
    <w:abstractNumId w:val="7"/>
  </w:num>
  <w:num w:numId="8">
    <w:abstractNumId w:val="8"/>
  </w:num>
  <w:num w:numId="9">
    <w:abstractNumId w:val="12"/>
  </w:num>
  <w:num w:numId="10">
    <w:abstractNumId w:val="2"/>
  </w:num>
  <w:num w:numId="11">
    <w:abstractNumId w:val="13"/>
  </w:num>
  <w:num w:numId="12">
    <w:abstractNumId w:val="11"/>
  </w:num>
  <w:num w:numId="13">
    <w:abstractNumId w:val="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71D"/>
    <w:rsid w:val="00006A03"/>
    <w:rsid w:val="000237EE"/>
    <w:rsid w:val="000357FC"/>
    <w:rsid w:val="00040E22"/>
    <w:rsid w:val="00090C0A"/>
    <w:rsid w:val="00091D34"/>
    <w:rsid w:val="000A2AA5"/>
    <w:rsid w:val="000F33DF"/>
    <w:rsid w:val="00100AA1"/>
    <w:rsid w:val="001126C5"/>
    <w:rsid w:val="00136775"/>
    <w:rsid w:val="001C2A92"/>
    <w:rsid w:val="001D75C9"/>
    <w:rsid w:val="002A6A7C"/>
    <w:rsid w:val="002B605D"/>
    <w:rsid w:val="004435F3"/>
    <w:rsid w:val="0047630D"/>
    <w:rsid w:val="00511AFF"/>
    <w:rsid w:val="005256A9"/>
    <w:rsid w:val="005E47DE"/>
    <w:rsid w:val="006404FF"/>
    <w:rsid w:val="00640A75"/>
    <w:rsid w:val="006815C9"/>
    <w:rsid w:val="006A1085"/>
    <w:rsid w:val="006D3CE9"/>
    <w:rsid w:val="006E7046"/>
    <w:rsid w:val="007025F1"/>
    <w:rsid w:val="007D5E1E"/>
    <w:rsid w:val="008511EC"/>
    <w:rsid w:val="00865AB8"/>
    <w:rsid w:val="009150F0"/>
    <w:rsid w:val="0092038B"/>
    <w:rsid w:val="00935F84"/>
    <w:rsid w:val="009A5B7F"/>
    <w:rsid w:val="00A142AE"/>
    <w:rsid w:val="00A37536"/>
    <w:rsid w:val="00A705F8"/>
    <w:rsid w:val="00AE14D7"/>
    <w:rsid w:val="00B629DF"/>
    <w:rsid w:val="00BE575E"/>
    <w:rsid w:val="00C06CB1"/>
    <w:rsid w:val="00C1618B"/>
    <w:rsid w:val="00C62B5F"/>
    <w:rsid w:val="00C721AD"/>
    <w:rsid w:val="00D46B85"/>
    <w:rsid w:val="00DA521E"/>
    <w:rsid w:val="00DB1BF3"/>
    <w:rsid w:val="00DD7749"/>
    <w:rsid w:val="00E272D6"/>
    <w:rsid w:val="00EC4050"/>
    <w:rsid w:val="00F21063"/>
    <w:rsid w:val="00F5371D"/>
    <w:rsid w:val="00F553FF"/>
    <w:rsid w:val="00F82CE1"/>
    <w:rsid w:val="00FF6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CB9C30"/>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D46B85"/>
    <w:pPr>
      <w:ind w:left="720"/>
      <w:contextualSpacing/>
    </w:pPr>
  </w:style>
  <w:style w:type="paragraph" w:styleId="BalloonText">
    <w:name w:val="Balloon Text"/>
    <w:basedOn w:val="Normal"/>
    <w:link w:val="BalloonTextChar"/>
    <w:uiPriority w:val="99"/>
    <w:semiHidden/>
    <w:unhideWhenUsed/>
    <w:rsid w:val="00443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5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05AD-4C40-496A-9577-5341459D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6889</Characters>
  <Application>Microsoft Office Word</Application>
  <DocSecurity>0</DocSecurity>
  <Lines>178</Lines>
  <Paragraphs>59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2020-08-17T05:06:00Z</dcterms:created>
  <dcterms:modified xsi:type="dcterms:W3CDTF">2020-08-17T05:06:00Z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1232554</vt:lpwstr>
  </property>
  <property fmtid="{D5CDD505-2E9C-101B-9397-08002B2CF9AE}" pid="4" name="JMSREQUIREDCHECKIN">
    <vt:lpwstr/>
  </property>
</Properties>
</file>