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39FA" w14:textId="77777777" w:rsidR="00B1183F" w:rsidRDefault="00B1183F" w:rsidP="008B0B8A">
      <w:pPr>
        <w:spacing w:before="120" w:line="240" w:lineRule="auto"/>
        <w:rPr>
          <w:rFonts w:ascii="Arial" w:hAnsi="Arial" w:cs="Arial"/>
        </w:rPr>
      </w:pPr>
      <w:bookmarkStart w:id="0" w:name="_GoBack"/>
      <w:bookmarkEnd w:id="0"/>
      <w:r>
        <w:rPr>
          <w:rFonts w:ascii="Arial" w:hAnsi="Arial" w:cs="Arial"/>
        </w:rPr>
        <w:t>Australian Capital Territory</w:t>
      </w:r>
    </w:p>
    <w:p w14:paraId="443DB24F" w14:textId="4042DAE0" w:rsidR="00BB2DA2" w:rsidRDefault="003C4F20" w:rsidP="001B19A1">
      <w:pPr>
        <w:pStyle w:val="Billname"/>
        <w:spacing w:before="700"/>
      </w:pPr>
      <w:r>
        <w:t xml:space="preserve">Planning and Development Amendment </w:t>
      </w:r>
      <w:r w:rsidR="00816D12">
        <w:t xml:space="preserve">Regulation </w:t>
      </w:r>
      <w:r>
        <w:t>2020</w:t>
      </w:r>
      <w:r w:rsidR="00BB2DA2">
        <w:t xml:space="preserve"> (No </w:t>
      </w:r>
      <w:r w:rsidR="00AF26C6">
        <w:t>2</w:t>
      </w:r>
      <w:r w:rsidR="00BB2DA2">
        <w:t>)</w:t>
      </w:r>
    </w:p>
    <w:p w14:paraId="0DEE69FA" w14:textId="0AF007F2" w:rsidR="00BB2DA2" w:rsidRDefault="00816D12" w:rsidP="008B0B8A">
      <w:pPr>
        <w:spacing w:before="340" w:line="240" w:lineRule="auto"/>
        <w:rPr>
          <w:rFonts w:ascii="Arial" w:hAnsi="Arial" w:cs="Arial"/>
          <w:b/>
          <w:bCs/>
        </w:rPr>
      </w:pPr>
      <w:r>
        <w:rPr>
          <w:rFonts w:ascii="Arial" w:hAnsi="Arial" w:cs="Arial"/>
          <w:b/>
          <w:bCs/>
        </w:rPr>
        <w:t xml:space="preserve">Subordinate </w:t>
      </w:r>
      <w:r w:rsidR="001B19A1">
        <w:rPr>
          <w:rFonts w:ascii="Arial" w:hAnsi="Arial" w:cs="Arial"/>
          <w:b/>
          <w:bCs/>
        </w:rPr>
        <w:t>l</w:t>
      </w:r>
      <w:r>
        <w:rPr>
          <w:rFonts w:ascii="Arial" w:hAnsi="Arial" w:cs="Arial"/>
          <w:b/>
          <w:bCs/>
        </w:rPr>
        <w:t>aw</w:t>
      </w:r>
      <w:r w:rsidR="00BB2DA2">
        <w:rPr>
          <w:rFonts w:ascii="Arial" w:hAnsi="Arial" w:cs="Arial"/>
          <w:b/>
          <w:bCs/>
        </w:rPr>
        <w:t xml:space="preserve"> SL</w:t>
      </w:r>
      <w:r w:rsidR="00702626">
        <w:rPr>
          <w:rFonts w:ascii="Arial" w:hAnsi="Arial" w:cs="Arial"/>
          <w:b/>
          <w:bCs/>
        </w:rPr>
        <w:t>2020</w:t>
      </w:r>
      <w:r w:rsidR="00BB2DA2">
        <w:rPr>
          <w:rFonts w:ascii="Arial" w:hAnsi="Arial" w:cs="Arial"/>
          <w:b/>
          <w:bCs/>
        </w:rPr>
        <w:t>–</w:t>
      </w:r>
      <w:r w:rsidR="00B400C2">
        <w:rPr>
          <w:rFonts w:ascii="Arial" w:hAnsi="Arial" w:cs="Arial"/>
          <w:b/>
          <w:bCs/>
        </w:rPr>
        <w:t>33</w:t>
      </w:r>
    </w:p>
    <w:p w14:paraId="0E64572B" w14:textId="77777777" w:rsidR="00BB2DA2" w:rsidRDefault="00BB2DA2" w:rsidP="001B19A1">
      <w:pPr>
        <w:pStyle w:val="madeunder"/>
        <w:spacing w:before="300" w:after="0"/>
      </w:pPr>
      <w:r>
        <w:t xml:space="preserve">made under the  </w:t>
      </w:r>
    </w:p>
    <w:p w14:paraId="3A70BAB4" w14:textId="354CB9D9" w:rsidR="00BB2DA2" w:rsidRPr="006B7323" w:rsidRDefault="00856A15" w:rsidP="001B19A1">
      <w:pPr>
        <w:pStyle w:val="CoverActName"/>
        <w:spacing w:before="320" w:after="0"/>
        <w:rPr>
          <w:rFonts w:cs="Arial"/>
          <w:sz w:val="20"/>
        </w:rPr>
      </w:pPr>
      <w:r>
        <w:rPr>
          <w:rFonts w:cs="Arial"/>
          <w:sz w:val="20"/>
        </w:rPr>
        <w:t>Planning and Development Act 2007</w:t>
      </w:r>
      <w:r w:rsidR="00702626">
        <w:rPr>
          <w:rFonts w:cs="Arial"/>
          <w:sz w:val="20"/>
        </w:rPr>
        <w:t xml:space="preserve">, </w:t>
      </w:r>
      <w:r w:rsidR="006B7323">
        <w:rPr>
          <w:rFonts w:cs="Arial"/>
          <w:sz w:val="20"/>
        </w:rPr>
        <w:t>s</w:t>
      </w:r>
      <w:r w:rsidR="001B19A1">
        <w:rPr>
          <w:rFonts w:cs="Arial"/>
          <w:sz w:val="20"/>
        </w:rPr>
        <w:t xml:space="preserve"> </w:t>
      </w:r>
      <w:r w:rsidR="006B7323">
        <w:rPr>
          <w:rFonts w:cs="Arial"/>
          <w:sz w:val="20"/>
        </w:rPr>
        <w:t>426 (</w:t>
      </w:r>
      <w:r w:rsidR="00620532">
        <w:rPr>
          <w:rFonts w:cs="Arial"/>
          <w:sz w:val="20"/>
        </w:rPr>
        <w:t>R</w:t>
      </w:r>
      <w:r w:rsidR="006B7323" w:rsidRPr="006B7323">
        <w:rPr>
          <w:rFonts w:cs="Arial"/>
          <w:sz w:val="20"/>
        </w:rPr>
        <w:t>egulation</w:t>
      </w:r>
      <w:r w:rsidR="001B19A1">
        <w:rPr>
          <w:rFonts w:cs="Arial"/>
          <w:sz w:val="20"/>
        </w:rPr>
        <w:t>-</w:t>
      </w:r>
      <w:r w:rsidR="006B7323" w:rsidRPr="006B7323">
        <w:rPr>
          <w:rFonts w:cs="Arial"/>
          <w:sz w:val="20"/>
        </w:rPr>
        <w:t>making power</w:t>
      </w:r>
      <w:r w:rsidR="00BB2DA2" w:rsidRPr="006B7323">
        <w:rPr>
          <w:rFonts w:cs="Arial"/>
          <w:sz w:val="20"/>
        </w:rPr>
        <w:t>)</w:t>
      </w:r>
    </w:p>
    <w:p w14:paraId="11B75A12" w14:textId="3E469F09" w:rsidR="00BB2DA2" w:rsidRDefault="00BB2DA2" w:rsidP="001B19A1">
      <w:pPr>
        <w:spacing w:before="360" w:after="0" w:line="240" w:lineRule="auto"/>
        <w:ind w:right="567"/>
        <w:rPr>
          <w:rFonts w:ascii="Arial" w:hAnsi="Arial" w:cs="Arial"/>
          <w:b/>
          <w:bCs/>
          <w:sz w:val="28"/>
          <w:szCs w:val="28"/>
        </w:rPr>
      </w:pPr>
      <w:r>
        <w:rPr>
          <w:rFonts w:ascii="Arial" w:hAnsi="Arial" w:cs="Arial"/>
          <w:b/>
          <w:bCs/>
          <w:sz w:val="28"/>
          <w:szCs w:val="28"/>
        </w:rPr>
        <w:t>EXPLANATORY STATEMENT</w:t>
      </w:r>
    </w:p>
    <w:p w14:paraId="364FF6EF" w14:textId="77777777" w:rsidR="001B19A1" w:rsidRDefault="001B19A1" w:rsidP="008B0B8A">
      <w:pPr>
        <w:spacing w:after="0" w:line="240" w:lineRule="auto"/>
        <w:ind w:right="567"/>
        <w:rPr>
          <w:rFonts w:ascii="Arial" w:hAnsi="Arial" w:cs="Arial"/>
          <w:b/>
          <w:bCs/>
          <w:sz w:val="28"/>
          <w:szCs w:val="28"/>
        </w:rPr>
      </w:pPr>
    </w:p>
    <w:p w14:paraId="35349CF7" w14:textId="77777777" w:rsidR="00BB2DA2" w:rsidRDefault="00BB2DA2" w:rsidP="001B19A1">
      <w:pPr>
        <w:pStyle w:val="N-line3"/>
        <w:pBdr>
          <w:top w:val="single" w:sz="12" w:space="1" w:color="auto"/>
          <w:bottom w:val="none" w:sz="0" w:space="0" w:color="auto"/>
        </w:pBdr>
      </w:pPr>
    </w:p>
    <w:p w14:paraId="11DAE1C6" w14:textId="79AAF9D8" w:rsidR="005322FC" w:rsidRPr="008B0B8A" w:rsidRDefault="005322FC">
      <w:pPr>
        <w:pStyle w:val="Default"/>
        <w:rPr>
          <w:rFonts w:ascii="Times New Roman" w:hAnsi="Times New Roman" w:cs="Times New Roman"/>
        </w:rPr>
      </w:pPr>
      <w:r w:rsidRPr="008B0B8A">
        <w:rPr>
          <w:rFonts w:ascii="Times New Roman" w:hAnsi="Times New Roman" w:cs="Times New Roman"/>
        </w:rPr>
        <w:t xml:space="preserve">This explanatory statement relates to the </w:t>
      </w:r>
      <w:r w:rsidRPr="008B0B8A">
        <w:rPr>
          <w:rFonts w:ascii="Times New Roman" w:hAnsi="Times New Roman" w:cs="Times New Roman"/>
          <w:i/>
          <w:iCs/>
        </w:rPr>
        <w:t xml:space="preserve">Planning and Development Amendment Regulation 2020 (No </w:t>
      </w:r>
      <w:r w:rsidR="0014395A" w:rsidRPr="008B0B8A">
        <w:rPr>
          <w:rFonts w:ascii="Times New Roman" w:hAnsi="Times New Roman" w:cs="Times New Roman"/>
          <w:i/>
          <w:iCs/>
        </w:rPr>
        <w:t>2</w:t>
      </w:r>
      <w:r w:rsidRPr="008B0B8A">
        <w:rPr>
          <w:rFonts w:ascii="Times New Roman" w:hAnsi="Times New Roman" w:cs="Times New Roman"/>
          <w:i/>
          <w:iCs/>
        </w:rPr>
        <w:t xml:space="preserve">) </w:t>
      </w:r>
      <w:r w:rsidRPr="008B0B8A">
        <w:rPr>
          <w:rFonts w:ascii="Times New Roman" w:hAnsi="Times New Roman" w:cs="Times New Roman"/>
        </w:rPr>
        <w:t xml:space="preserve">(the </w:t>
      </w:r>
      <w:r w:rsidRPr="008B0B8A">
        <w:rPr>
          <w:rFonts w:ascii="Times New Roman" w:hAnsi="Times New Roman" w:cs="Times New Roman"/>
          <w:b/>
          <w:bCs/>
          <w:i/>
          <w:iCs/>
        </w:rPr>
        <w:t>amendment regulation</w:t>
      </w:r>
      <w:r w:rsidRPr="008B0B8A">
        <w:rPr>
          <w:rFonts w:ascii="Times New Roman" w:hAnsi="Times New Roman" w:cs="Times New Roman"/>
        </w:rPr>
        <w:t xml:space="preserve">) as made by the Executive. It has been prepared to assist the reader of the amendment regulation and to help inform any debate on it. It does not form part of the amendment regulation and has not been endorsed by the Legislative Assembly. </w:t>
      </w:r>
    </w:p>
    <w:p w14:paraId="119DA985" w14:textId="77777777" w:rsidR="00ED61F6" w:rsidRPr="008B0B8A" w:rsidRDefault="00ED61F6">
      <w:pPr>
        <w:pStyle w:val="Default"/>
        <w:rPr>
          <w:rFonts w:ascii="Times New Roman" w:hAnsi="Times New Roman" w:cs="Times New Roman"/>
        </w:rPr>
      </w:pPr>
    </w:p>
    <w:p w14:paraId="151418A9" w14:textId="7ABBCC68" w:rsidR="005322FC" w:rsidRPr="008B0B8A" w:rsidRDefault="005322FC">
      <w:pPr>
        <w:pStyle w:val="Default"/>
        <w:rPr>
          <w:rFonts w:ascii="Times New Roman" w:hAnsi="Times New Roman" w:cs="Times New Roman"/>
        </w:rPr>
      </w:pPr>
      <w:r w:rsidRPr="008B0B8A">
        <w:rPr>
          <w:rFonts w:ascii="Times New Roman" w:hAnsi="Times New Roman" w:cs="Times New Roman"/>
        </w:rPr>
        <w:t xml:space="preserve">This statement must be read in conjunction with the amendment regulation. It is not, and is not meant to be, a comprehensive description of the amendment regulation. What is said about a provision is not taken as an authoritative guide to the meaning of a provision, this being a task for the courts. </w:t>
      </w:r>
    </w:p>
    <w:p w14:paraId="210159D5" w14:textId="77777777" w:rsidR="00ED61F6" w:rsidRPr="008B0B8A" w:rsidRDefault="00ED61F6">
      <w:pPr>
        <w:pStyle w:val="Default"/>
        <w:rPr>
          <w:rFonts w:ascii="Times New Roman" w:hAnsi="Times New Roman" w:cs="Times New Roman"/>
          <w:b/>
          <w:bCs/>
        </w:rPr>
      </w:pPr>
    </w:p>
    <w:p w14:paraId="42CE3206" w14:textId="694A772C" w:rsidR="005759D1" w:rsidRPr="00870ED0" w:rsidRDefault="005322FC" w:rsidP="008B0B8A">
      <w:pPr>
        <w:pStyle w:val="Default"/>
        <w:spacing w:after="120"/>
        <w:rPr>
          <w:b/>
          <w:bCs/>
        </w:rPr>
      </w:pPr>
      <w:r w:rsidRPr="00870ED0">
        <w:rPr>
          <w:b/>
          <w:bCs/>
        </w:rPr>
        <w:t>O</w:t>
      </w:r>
      <w:r w:rsidR="001B19A1">
        <w:rPr>
          <w:b/>
          <w:bCs/>
        </w:rPr>
        <w:t>verview of the amendment regulation</w:t>
      </w:r>
    </w:p>
    <w:p w14:paraId="6B6EF3FF" w14:textId="62997FF1" w:rsidR="005322FC" w:rsidRPr="008B0B8A" w:rsidRDefault="005322FC">
      <w:pPr>
        <w:pStyle w:val="Default"/>
        <w:rPr>
          <w:rFonts w:ascii="Times New Roman" w:hAnsi="Times New Roman" w:cs="Times New Roman"/>
        </w:rPr>
      </w:pPr>
      <w:r w:rsidRPr="008B0B8A">
        <w:rPr>
          <w:rFonts w:ascii="Times New Roman" w:hAnsi="Times New Roman" w:cs="Times New Roman"/>
        </w:rPr>
        <w:t xml:space="preserve">The amendment regulation amends </w:t>
      </w:r>
      <w:r w:rsidR="00AF26C6">
        <w:rPr>
          <w:rFonts w:ascii="Times New Roman" w:hAnsi="Times New Roman" w:cs="Times New Roman"/>
        </w:rPr>
        <w:t>s</w:t>
      </w:r>
      <w:r w:rsidRPr="008B0B8A">
        <w:rPr>
          <w:rFonts w:ascii="Times New Roman" w:hAnsi="Times New Roman" w:cs="Times New Roman"/>
        </w:rPr>
        <w:t xml:space="preserve">chedule 1 of the </w:t>
      </w:r>
      <w:r w:rsidRPr="008B0B8A">
        <w:rPr>
          <w:rFonts w:ascii="Times New Roman" w:hAnsi="Times New Roman" w:cs="Times New Roman"/>
          <w:i/>
          <w:iCs/>
        </w:rPr>
        <w:t>Planning and Development Regulation</w:t>
      </w:r>
      <w:r w:rsidR="00AF26C6">
        <w:rPr>
          <w:rFonts w:ascii="Times New Roman" w:hAnsi="Times New Roman" w:cs="Times New Roman"/>
          <w:i/>
          <w:iCs/>
        </w:rPr>
        <w:t> </w:t>
      </w:r>
      <w:r w:rsidRPr="008B0B8A">
        <w:rPr>
          <w:rFonts w:ascii="Times New Roman" w:hAnsi="Times New Roman" w:cs="Times New Roman"/>
          <w:i/>
          <w:iCs/>
        </w:rPr>
        <w:t xml:space="preserve">2008 </w:t>
      </w:r>
      <w:r w:rsidRPr="008B0B8A">
        <w:rPr>
          <w:rFonts w:ascii="Times New Roman" w:hAnsi="Times New Roman" w:cs="Times New Roman"/>
        </w:rPr>
        <w:t xml:space="preserve">(the </w:t>
      </w:r>
      <w:r w:rsidRPr="008B0B8A">
        <w:rPr>
          <w:rFonts w:ascii="Times New Roman" w:hAnsi="Times New Roman" w:cs="Times New Roman"/>
          <w:b/>
          <w:bCs/>
          <w:i/>
          <w:iCs/>
        </w:rPr>
        <w:t>Regulation</w:t>
      </w:r>
      <w:r w:rsidRPr="008B0B8A">
        <w:rPr>
          <w:rFonts w:ascii="Times New Roman" w:hAnsi="Times New Roman" w:cs="Times New Roman"/>
        </w:rPr>
        <w:t xml:space="preserve">). Schedule 1 of the Regulation provides for types of development that are exempt from requiring development approval under the </w:t>
      </w:r>
      <w:r w:rsidRPr="008B0B8A">
        <w:rPr>
          <w:rFonts w:ascii="Times New Roman" w:hAnsi="Times New Roman" w:cs="Times New Roman"/>
          <w:i/>
          <w:iCs/>
        </w:rPr>
        <w:t>Planning and Development Act 2007</w:t>
      </w:r>
      <w:r w:rsidRPr="008B0B8A">
        <w:rPr>
          <w:rFonts w:ascii="Times New Roman" w:hAnsi="Times New Roman" w:cs="Times New Roman"/>
        </w:rPr>
        <w:t xml:space="preserve">. </w:t>
      </w:r>
    </w:p>
    <w:p w14:paraId="6BC89124" w14:textId="77777777" w:rsidR="00ED61F6" w:rsidRPr="008B0B8A" w:rsidRDefault="00ED61F6">
      <w:pPr>
        <w:pStyle w:val="Default"/>
        <w:rPr>
          <w:rFonts w:ascii="Times New Roman" w:hAnsi="Times New Roman" w:cs="Times New Roman"/>
        </w:rPr>
      </w:pPr>
    </w:p>
    <w:p w14:paraId="1A935F7F" w14:textId="4BE00264" w:rsidR="005322FC" w:rsidRPr="008B0B8A" w:rsidRDefault="005322FC">
      <w:pPr>
        <w:pStyle w:val="Default"/>
        <w:rPr>
          <w:rFonts w:ascii="Times New Roman" w:hAnsi="Times New Roman" w:cs="Times New Roman"/>
        </w:rPr>
      </w:pPr>
      <w:r w:rsidRPr="008B0B8A">
        <w:rPr>
          <w:rFonts w:ascii="Times New Roman" w:hAnsi="Times New Roman" w:cs="Times New Roman"/>
        </w:rPr>
        <w:t xml:space="preserve">The amendment regulation proposes changes to development exemptions involving </w:t>
      </w:r>
      <w:r w:rsidR="006A25D3" w:rsidRPr="008B0B8A">
        <w:rPr>
          <w:rFonts w:ascii="Times New Roman" w:hAnsi="Times New Roman" w:cs="Times New Roman"/>
        </w:rPr>
        <w:t>buildings and alterations to buildings on rural leases in the Territory</w:t>
      </w:r>
      <w:r w:rsidRPr="008B0B8A">
        <w:rPr>
          <w:rFonts w:ascii="Times New Roman" w:hAnsi="Times New Roman" w:cs="Times New Roman"/>
        </w:rPr>
        <w:t xml:space="preserve">. </w:t>
      </w:r>
    </w:p>
    <w:p w14:paraId="0965DE4B" w14:textId="77777777" w:rsidR="00ED61F6" w:rsidRPr="008B0B8A" w:rsidRDefault="00ED61F6">
      <w:pPr>
        <w:pStyle w:val="Default"/>
        <w:rPr>
          <w:rFonts w:ascii="Times New Roman" w:hAnsi="Times New Roman" w:cs="Times New Roman"/>
        </w:rPr>
      </w:pPr>
    </w:p>
    <w:p w14:paraId="22C3474E" w14:textId="3BE8AFB6" w:rsidR="005322FC" w:rsidRPr="008B0B8A" w:rsidRDefault="00692FB4" w:rsidP="008B0B8A">
      <w:pPr>
        <w:pStyle w:val="Default"/>
        <w:spacing w:after="120"/>
        <w:rPr>
          <w:b/>
          <w:bCs/>
        </w:rPr>
      </w:pPr>
      <w:r w:rsidRPr="008B0B8A">
        <w:rPr>
          <w:b/>
          <w:bCs/>
        </w:rPr>
        <w:t>Building</w:t>
      </w:r>
      <w:r w:rsidR="00511E43" w:rsidRPr="008B0B8A">
        <w:rPr>
          <w:b/>
          <w:bCs/>
        </w:rPr>
        <w:t xml:space="preserve"> or altering building</w:t>
      </w:r>
      <w:r w:rsidRPr="008B0B8A">
        <w:rPr>
          <w:b/>
          <w:bCs/>
        </w:rPr>
        <w:t xml:space="preserve">s and structures on rural leases </w:t>
      </w:r>
    </w:p>
    <w:p w14:paraId="0FCE4CE3" w14:textId="1943F364" w:rsidR="00E15640" w:rsidRPr="008B0B8A" w:rsidRDefault="005322FC">
      <w:pPr>
        <w:pStyle w:val="Default"/>
        <w:rPr>
          <w:rFonts w:ascii="Times New Roman" w:hAnsi="Times New Roman" w:cs="Times New Roman"/>
        </w:rPr>
      </w:pPr>
      <w:r w:rsidRPr="008B0B8A">
        <w:rPr>
          <w:rFonts w:ascii="Times New Roman" w:hAnsi="Times New Roman" w:cs="Times New Roman"/>
        </w:rPr>
        <w:t xml:space="preserve">Changes are made to the exemption for </w:t>
      </w:r>
      <w:r w:rsidR="00692FB4" w:rsidRPr="008B0B8A">
        <w:rPr>
          <w:rFonts w:ascii="Times New Roman" w:hAnsi="Times New Roman" w:cs="Times New Roman"/>
        </w:rPr>
        <w:t>building works carried out on rural leases</w:t>
      </w:r>
      <w:r w:rsidR="00012D3A" w:rsidRPr="008B0B8A">
        <w:rPr>
          <w:rFonts w:ascii="Times New Roman" w:hAnsi="Times New Roman" w:cs="Times New Roman"/>
        </w:rPr>
        <w:t xml:space="preserve"> so that </w:t>
      </w:r>
      <w:r w:rsidR="00507DFE" w:rsidRPr="008B0B8A">
        <w:rPr>
          <w:rFonts w:ascii="Times New Roman" w:hAnsi="Times New Roman" w:cs="Times New Roman"/>
        </w:rPr>
        <w:t xml:space="preserve">a greater proportion of farm buildings and structures with low impacts can be carried out without requiring a development approval. </w:t>
      </w:r>
    </w:p>
    <w:p w14:paraId="5EDD03EA" w14:textId="5FEC17E0" w:rsidR="002B7013" w:rsidRPr="008B0B8A" w:rsidRDefault="002B7013">
      <w:pPr>
        <w:pStyle w:val="Default"/>
        <w:rPr>
          <w:rFonts w:ascii="Times New Roman" w:hAnsi="Times New Roman" w:cs="Times New Roman"/>
        </w:rPr>
      </w:pPr>
    </w:p>
    <w:p w14:paraId="53844B80" w14:textId="35CE288D" w:rsidR="002B7013" w:rsidRPr="008B0B8A" w:rsidRDefault="002B7013">
      <w:pPr>
        <w:pStyle w:val="Default"/>
        <w:rPr>
          <w:rFonts w:ascii="Times New Roman" w:hAnsi="Times New Roman" w:cs="Times New Roman"/>
        </w:rPr>
      </w:pPr>
      <w:r w:rsidRPr="008B0B8A">
        <w:rPr>
          <w:rFonts w:ascii="Times New Roman" w:hAnsi="Times New Roman" w:cs="Times New Roman"/>
        </w:rPr>
        <w:t xml:space="preserve">Currently, </w:t>
      </w:r>
      <w:r w:rsidR="00304B6D" w:rsidRPr="008B0B8A">
        <w:rPr>
          <w:rFonts w:ascii="Times New Roman" w:hAnsi="Times New Roman" w:cs="Times New Roman"/>
        </w:rPr>
        <w:t xml:space="preserve">section 1.85 of </w:t>
      </w:r>
      <w:r w:rsidR="00AF26C6">
        <w:rPr>
          <w:rFonts w:ascii="Times New Roman" w:hAnsi="Times New Roman" w:cs="Times New Roman"/>
        </w:rPr>
        <w:t xml:space="preserve">schedule 1 of </w:t>
      </w:r>
      <w:r w:rsidR="00304B6D" w:rsidRPr="008B0B8A">
        <w:rPr>
          <w:rFonts w:ascii="Times New Roman" w:hAnsi="Times New Roman" w:cs="Times New Roman"/>
        </w:rPr>
        <w:t xml:space="preserve">the Regulation limits the </w:t>
      </w:r>
      <w:r w:rsidRPr="008B0B8A">
        <w:rPr>
          <w:rFonts w:ascii="Times New Roman" w:hAnsi="Times New Roman" w:cs="Times New Roman"/>
        </w:rPr>
        <w:t xml:space="preserve">exemptions </w:t>
      </w:r>
      <w:r w:rsidR="00304B6D" w:rsidRPr="008B0B8A">
        <w:rPr>
          <w:rFonts w:ascii="Times New Roman" w:hAnsi="Times New Roman" w:cs="Times New Roman"/>
        </w:rPr>
        <w:t xml:space="preserve">for </w:t>
      </w:r>
      <w:r w:rsidRPr="008B0B8A">
        <w:rPr>
          <w:rFonts w:ascii="Times New Roman" w:hAnsi="Times New Roman" w:cs="Times New Roman"/>
        </w:rPr>
        <w:t xml:space="preserve">building or structures </w:t>
      </w:r>
      <w:r w:rsidR="00304B6D" w:rsidRPr="008B0B8A">
        <w:rPr>
          <w:rFonts w:ascii="Times New Roman" w:hAnsi="Times New Roman" w:cs="Times New Roman"/>
        </w:rPr>
        <w:t>on rural leases</w:t>
      </w:r>
      <w:r w:rsidRPr="008B0B8A">
        <w:rPr>
          <w:rFonts w:ascii="Times New Roman" w:hAnsi="Times New Roman" w:cs="Times New Roman"/>
        </w:rPr>
        <w:t xml:space="preserve"> to 100m</w:t>
      </w:r>
      <w:r w:rsidRPr="008B0B8A">
        <w:rPr>
          <w:rFonts w:ascii="Times New Roman" w:hAnsi="Times New Roman" w:cs="Times New Roman"/>
          <w:vertAlign w:val="superscript"/>
        </w:rPr>
        <w:t>2</w:t>
      </w:r>
      <w:r w:rsidR="00304B6D" w:rsidRPr="008B0B8A">
        <w:rPr>
          <w:rFonts w:ascii="Times New Roman" w:hAnsi="Times New Roman" w:cs="Times New Roman"/>
        </w:rPr>
        <w:t xml:space="preserve"> in plan area</w:t>
      </w:r>
      <w:r w:rsidRPr="008B0B8A">
        <w:rPr>
          <w:rFonts w:ascii="Times New Roman" w:hAnsi="Times New Roman" w:cs="Times New Roman"/>
        </w:rPr>
        <w:t>. This unnecessarily disqualifies a range of buildings and structures built on rural lands such as grain silos, sheds and greenhouses, which are typically required to be larger than 100m</w:t>
      </w:r>
      <w:r w:rsidR="00AF26C6" w:rsidRPr="008B0B8A">
        <w:rPr>
          <w:rFonts w:ascii="Times New Roman" w:hAnsi="Times New Roman" w:cs="Times New Roman"/>
          <w:vertAlign w:val="superscript"/>
        </w:rPr>
        <w:t>2</w:t>
      </w:r>
      <w:r w:rsidRPr="008B0B8A">
        <w:rPr>
          <w:rFonts w:ascii="Times New Roman" w:hAnsi="Times New Roman" w:cs="Times New Roman"/>
        </w:rPr>
        <w:t xml:space="preserve"> in plan area to be functional. </w:t>
      </w:r>
    </w:p>
    <w:p w14:paraId="22764E81" w14:textId="2FAE7006" w:rsidR="002B7013" w:rsidRPr="008B0B8A" w:rsidRDefault="002B7013">
      <w:pPr>
        <w:pStyle w:val="Default"/>
        <w:rPr>
          <w:rFonts w:ascii="Times New Roman" w:hAnsi="Times New Roman" w:cs="Times New Roman"/>
        </w:rPr>
      </w:pPr>
    </w:p>
    <w:p w14:paraId="417C2DC2" w14:textId="6F2CFF92" w:rsidR="002B7013" w:rsidRPr="008B0B8A" w:rsidRDefault="002B7013">
      <w:pPr>
        <w:pStyle w:val="Default"/>
        <w:rPr>
          <w:rFonts w:ascii="Times New Roman" w:hAnsi="Times New Roman" w:cs="Times New Roman"/>
        </w:rPr>
      </w:pPr>
      <w:r w:rsidRPr="008B0B8A">
        <w:rPr>
          <w:rFonts w:ascii="Times New Roman" w:hAnsi="Times New Roman" w:cs="Times New Roman"/>
        </w:rPr>
        <w:lastRenderedPageBreak/>
        <w:t>This means that development applications are required for these low impact proposals</w:t>
      </w:r>
      <w:r w:rsidR="005660C2" w:rsidRPr="008B0B8A">
        <w:rPr>
          <w:rFonts w:ascii="Times New Roman" w:hAnsi="Times New Roman" w:cs="Times New Roman"/>
        </w:rPr>
        <w:t xml:space="preserve">. </w:t>
      </w:r>
      <w:r w:rsidRPr="008B0B8A">
        <w:rPr>
          <w:rFonts w:ascii="Times New Roman" w:hAnsi="Times New Roman" w:cs="Times New Roman"/>
        </w:rPr>
        <w:t xml:space="preserve">This unnecessarily complicates the planning system and contributes to the inefficient allocation of public resources. </w:t>
      </w:r>
    </w:p>
    <w:p w14:paraId="2C557AA7" w14:textId="77777777" w:rsidR="00717F21" w:rsidRPr="008B0B8A" w:rsidRDefault="00717F21">
      <w:pPr>
        <w:pStyle w:val="Default"/>
        <w:rPr>
          <w:rFonts w:ascii="Times New Roman" w:hAnsi="Times New Roman" w:cs="Times New Roman"/>
        </w:rPr>
      </w:pPr>
    </w:p>
    <w:p w14:paraId="5E55F79D" w14:textId="40C7DAA5" w:rsidR="002B7013" w:rsidRPr="008B0B8A" w:rsidRDefault="002B7013">
      <w:pPr>
        <w:pStyle w:val="Default"/>
        <w:spacing w:after="120"/>
        <w:rPr>
          <w:rFonts w:ascii="Times New Roman" w:hAnsi="Times New Roman" w:cs="Times New Roman"/>
        </w:rPr>
      </w:pPr>
      <w:r w:rsidRPr="008B0B8A">
        <w:rPr>
          <w:rFonts w:ascii="Times New Roman" w:hAnsi="Times New Roman" w:cs="Times New Roman"/>
        </w:rPr>
        <w:t>Increasing the exemption limit to 216m</w:t>
      </w:r>
      <w:r w:rsidRPr="008B0B8A">
        <w:rPr>
          <w:rFonts w:ascii="Times New Roman" w:hAnsi="Times New Roman" w:cs="Times New Roman"/>
          <w:vertAlign w:val="superscript"/>
        </w:rPr>
        <w:t>2</w:t>
      </w:r>
      <w:r w:rsidRPr="008B0B8A">
        <w:rPr>
          <w:rFonts w:ascii="Times New Roman" w:hAnsi="Times New Roman" w:cs="Times New Roman"/>
        </w:rPr>
        <w:t xml:space="preserve"> for buildings or structures on rural l</w:t>
      </w:r>
      <w:r w:rsidR="00100CF6" w:rsidRPr="008B0B8A">
        <w:rPr>
          <w:rFonts w:ascii="Times New Roman" w:hAnsi="Times New Roman" w:cs="Times New Roman"/>
        </w:rPr>
        <w:t>ease</w:t>
      </w:r>
      <w:r w:rsidRPr="008B0B8A">
        <w:rPr>
          <w:rFonts w:ascii="Times New Roman" w:hAnsi="Times New Roman" w:cs="Times New Roman"/>
        </w:rPr>
        <w:t>s will</w:t>
      </w:r>
      <w:r w:rsidR="00304B6D" w:rsidRPr="008B0B8A">
        <w:rPr>
          <w:rFonts w:ascii="Times New Roman" w:hAnsi="Times New Roman" w:cs="Times New Roman"/>
        </w:rPr>
        <w:t>:</w:t>
      </w:r>
    </w:p>
    <w:p w14:paraId="3CB99381" w14:textId="78D697EE" w:rsidR="002B7013" w:rsidRPr="008B0B8A" w:rsidRDefault="002B7013">
      <w:pPr>
        <w:pStyle w:val="Default"/>
        <w:numPr>
          <w:ilvl w:val="0"/>
          <w:numId w:val="2"/>
        </w:numPr>
        <w:spacing w:after="116"/>
        <w:rPr>
          <w:rFonts w:ascii="Times New Roman" w:hAnsi="Times New Roman" w:cs="Times New Roman"/>
        </w:rPr>
      </w:pPr>
      <w:r w:rsidRPr="008B0B8A">
        <w:rPr>
          <w:rFonts w:ascii="Times New Roman" w:hAnsi="Times New Roman" w:cs="Times New Roman"/>
        </w:rPr>
        <w:t xml:space="preserve">encourage private investment on rural leases that will operate to improve productivity and resilience of the rural sector; </w:t>
      </w:r>
    </w:p>
    <w:p w14:paraId="011DE306" w14:textId="494AAD6D" w:rsidR="0073516B" w:rsidRPr="008B0B8A" w:rsidRDefault="00821A6D">
      <w:pPr>
        <w:pStyle w:val="Default"/>
        <w:numPr>
          <w:ilvl w:val="0"/>
          <w:numId w:val="2"/>
        </w:numPr>
        <w:spacing w:after="116"/>
        <w:rPr>
          <w:rFonts w:ascii="Times New Roman" w:hAnsi="Times New Roman" w:cs="Times New Roman"/>
        </w:rPr>
      </w:pPr>
      <w:r w:rsidRPr="008B0B8A">
        <w:rPr>
          <w:rFonts w:ascii="Times New Roman" w:hAnsi="Times New Roman" w:cs="Times New Roman"/>
        </w:rPr>
        <w:t>e</w:t>
      </w:r>
      <w:r w:rsidR="00507DFE" w:rsidRPr="008B0B8A">
        <w:rPr>
          <w:rFonts w:ascii="Times New Roman" w:hAnsi="Times New Roman" w:cs="Times New Roman"/>
        </w:rPr>
        <w:t>nable leaseholders to respond to opportunities such as government funding initiatives to build resilience during drought</w:t>
      </w:r>
      <w:r w:rsidR="00C661B6" w:rsidRPr="008B0B8A">
        <w:rPr>
          <w:rFonts w:ascii="Times New Roman" w:hAnsi="Times New Roman" w:cs="Times New Roman"/>
        </w:rPr>
        <w:t xml:space="preserve"> and at the same time improve efficacy of such government expenditures </w:t>
      </w:r>
      <w:r w:rsidR="001D76C4" w:rsidRPr="008B0B8A">
        <w:rPr>
          <w:rFonts w:ascii="Times New Roman" w:hAnsi="Times New Roman" w:cs="Times New Roman"/>
        </w:rPr>
        <w:t>to assist the rural sector</w:t>
      </w:r>
      <w:r w:rsidR="00A227AD" w:rsidRPr="008B0B8A">
        <w:rPr>
          <w:rFonts w:ascii="Times New Roman" w:hAnsi="Times New Roman" w:cs="Times New Roman"/>
        </w:rPr>
        <w:t>; and</w:t>
      </w:r>
    </w:p>
    <w:p w14:paraId="22C7B679" w14:textId="5D1CA1D4" w:rsidR="002B7013" w:rsidRDefault="002B7013" w:rsidP="008B0B8A">
      <w:pPr>
        <w:pStyle w:val="Default"/>
        <w:numPr>
          <w:ilvl w:val="0"/>
          <w:numId w:val="1"/>
        </w:numPr>
        <w:ind w:left="714" w:hanging="357"/>
        <w:rPr>
          <w:rFonts w:ascii="Times New Roman" w:hAnsi="Times New Roman" w:cs="Times New Roman"/>
        </w:rPr>
      </w:pPr>
      <w:r w:rsidRPr="008B0B8A">
        <w:rPr>
          <w:rFonts w:ascii="Times New Roman" w:hAnsi="Times New Roman" w:cs="Times New Roman"/>
        </w:rPr>
        <w:t>simplify the assessment and approvals process and reduce the regulatory burden for these low impact developments</w:t>
      </w:r>
      <w:r w:rsidR="00A227AD" w:rsidRPr="008B0B8A">
        <w:rPr>
          <w:rFonts w:ascii="Times New Roman" w:hAnsi="Times New Roman" w:cs="Times New Roman"/>
        </w:rPr>
        <w:t>.</w:t>
      </w:r>
    </w:p>
    <w:p w14:paraId="2E7924D9" w14:textId="77777777" w:rsidR="001B19A1" w:rsidRPr="008B0B8A" w:rsidRDefault="001B19A1" w:rsidP="008B0B8A">
      <w:pPr>
        <w:pStyle w:val="Default"/>
        <w:ind w:left="720"/>
        <w:rPr>
          <w:rFonts w:ascii="Times New Roman" w:hAnsi="Times New Roman" w:cs="Times New Roman"/>
        </w:rPr>
      </w:pPr>
    </w:p>
    <w:p w14:paraId="6893D02B" w14:textId="40F6878F" w:rsidR="005322FC" w:rsidRPr="00804E7E" w:rsidRDefault="00804E7E" w:rsidP="008B0B8A">
      <w:pPr>
        <w:pStyle w:val="Default"/>
        <w:keepNext/>
        <w:spacing w:after="120"/>
        <w:rPr>
          <w:b/>
          <w:bCs/>
        </w:rPr>
      </w:pPr>
      <w:r>
        <w:rPr>
          <w:b/>
          <w:bCs/>
        </w:rPr>
        <w:t>Regulatory impact statement</w:t>
      </w:r>
    </w:p>
    <w:p w14:paraId="6EE9A4FE" w14:textId="4A482C94" w:rsidR="005322FC" w:rsidRPr="008B0B8A" w:rsidRDefault="005322FC" w:rsidP="008B0B8A">
      <w:pPr>
        <w:spacing w:after="0" w:line="240" w:lineRule="auto"/>
        <w:rPr>
          <w:rFonts w:ascii="Times New Roman" w:hAnsi="Times New Roman" w:cs="Times New Roman"/>
          <w:sz w:val="24"/>
          <w:szCs w:val="24"/>
        </w:rPr>
      </w:pPr>
      <w:r w:rsidRPr="008B0B8A">
        <w:rPr>
          <w:rFonts w:ascii="Times New Roman" w:hAnsi="Times New Roman" w:cs="Times New Roman"/>
          <w:sz w:val="24"/>
          <w:szCs w:val="24"/>
        </w:rPr>
        <w:t>A separate regulatory impact statement has been prepared for this amendment regulation.</w:t>
      </w:r>
    </w:p>
    <w:p w14:paraId="4DE2F42B" w14:textId="77777777" w:rsidR="0052166B" w:rsidRPr="008B0B8A" w:rsidRDefault="0052166B" w:rsidP="008B0B8A">
      <w:pPr>
        <w:spacing w:after="0" w:line="240" w:lineRule="auto"/>
        <w:rPr>
          <w:rFonts w:ascii="Times New Roman" w:hAnsi="Times New Roman" w:cs="Times New Roman"/>
          <w:sz w:val="24"/>
          <w:szCs w:val="24"/>
        </w:rPr>
      </w:pPr>
    </w:p>
    <w:p w14:paraId="002E72B6" w14:textId="3D751714" w:rsidR="005322FC" w:rsidRPr="008B0B8A" w:rsidRDefault="005322FC" w:rsidP="008B0B8A">
      <w:pPr>
        <w:spacing w:after="120" w:line="240" w:lineRule="auto"/>
        <w:rPr>
          <w:rFonts w:ascii="Times New Roman" w:hAnsi="Times New Roman" w:cs="Times New Roman"/>
          <w:b/>
          <w:bCs/>
        </w:rPr>
      </w:pPr>
      <w:r w:rsidRPr="008B0B8A">
        <w:rPr>
          <w:rFonts w:ascii="Arial" w:hAnsi="Arial" w:cs="Arial"/>
          <w:b/>
          <w:bCs/>
          <w:sz w:val="24"/>
          <w:szCs w:val="24"/>
        </w:rPr>
        <w:t>C</w:t>
      </w:r>
      <w:r w:rsidR="00804E7E" w:rsidRPr="008B0B8A">
        <w:rPr>
          <w:rFonts w:ascii="Arial" w:hAnsi="Arial" w:cs="Arial"/>
          <w:b/>
          <w:bCs/>
          <w:sz w:val="24"/>
          <w:szCs w:val="24"/>
        </w:rPr>
        <w:t>onsultation</w:t>
      </w:r>
      <w:r w:rsidRPr="008B0B8A">
        <w:rPr>
          <w:rFonts w:ascii="Times New Roman" w:hAnsi="Times New Roman" w:cs="Times New Roman"/>
          <w:b/>
          <w:bCs/>
          <w:sz w:val="24"/>
          <w:szCs w:val="24"/>
        </w:rPr>
        <w:t xml:space="preserve"> </w:t>
      </w:r>
    </w:p>
    <w:p w14:paraId="10F36C10" w14:textId="500338E6" w:rsidR="005322FC" w:rsidRPr="008B0B8A" w:rsidRDefault="005322FC" w:rsidP="001B19A1">
      <w:pPr>
        <w:pStyle w:val="Default"/>
        <w:rPr>
          <w:rFonts w:ascii="Times New Roman" w:hAnsi="Times New Roman" w:cs="Times New Roman"/>
        </w:rPr>
      </w:pPr>
      <w:r w:rsidRPr="008B0B8A">
        <w:rPr>
          <w:rFonts w:ascii="Times New Roman" w:hAnsi="Times New Roman" w:cs="Times New Roman"/>
        </w:rPr>
        <w:t xml:space="preserve">The changes to exemptions for </w:t>
      </w:r>
      <w:r w:rsidR="001B2EB4" w:rsidRPr="008B0B8A">
        <w:rPr>
          <w:rFonts w:ascii="Times New Roman" w:hAnsi="Times New Roman" w:cs="Times New Roman"/>
        </w:rPr>
        <w:t>rural lease developments</w:t>
      </w:r>
      <w:r w:rsidRPr="008B0B8A">
        <w:rPr>
          <w:rFonts w:ascii="Times New Roman" w:hAnsi="Times New Roman" w:cs="Times New Roman"/>
        </w:rPr>
        <w:t xml:space="preserve"> have been prepared</w:t>
      </w:r>
      <w:r w:rsidR="00E5481F" w:rsidRPr="008B0B8A">
        <w:rPr>
          <w:rFonts w:ascii="Times New Roman" w:hAnsi="Times New Roman" w:cs="Times New Roman"/>
        </w:rPr>
        <w:t xml:space="preserve"> at the request of</w:t>
      </w:r>
      <w:r w:rsidR="001B19A1">
        <w:rPr>
          <w:rFonts w:ascii="Times New Roman" w:hAnsi="Times New Roman" w:cs="Times New Roman"/>
        </w:rPr>
        <w:t>,</w:t>
      </w:r>
      <w:r w:rsidR="00E5481F" w:rsidRPr="008B0B8A">
        <w:rPr>
          <w:rFonts w:ascii="Times New Roman" w:hAnsi="Times New Roman" w:cs="Times New Roman"/>
        </w:rPr>
        <w:t xml:space="preserve"> and</w:t>
      </w:r>
      <w:r w:rsidRPr="008B0B8A">
        <w:rPr>
          <w:rFonts w:ascii="Times New Roman" w:hAnsi="Times New Roman" w:cs="Times New Roman"/>
        </w:rPr>
        <w:t xml:space="preserve"> in consultation with</w:t>
      </w:r>
      <w:r w:rsidR="001B19A1">
        <w:rPr>
          <w:rFonts w:ascii="Times New Roman" w:hAnsi="Times New Roman" w:cs="Times New Roman"/>
        </w:rPr>
        <w:t>,</w:t>
      </w:r>
      <w:r w:rsidRPr="008B0B8A">
        <w:rPr>
          <w:rFonts w:ascii="Times New Roman" w:hAnsi="Times New Roman" w:cs="Times New Roman"/>
        </w:rPr>
        <w:t xml:space="preserve"> the </w:t>
      </w:r>
      <w:r w:rsidR="00EE7697" w:rsidRPr="008B0B8A">
        <w:rPr>
          <w:rFonts w:ascii="Times New Roman" w:hAnsi="Times New Roman" w:cs="Times New Roman"/>
        </w:rPr>
        <w:t>ACT Rural Landholders</w:t>
      </w:r>
      <w:r w:rsidR="001B19A1">
        <w:rPr>
          <w:rFonts w:ascii="Times New Roman" w:hAnsi="Times New Roman" w:cs="Times New Roman"/>
        </w:rPr>
        <w:t>’</w:t>
      </w:r>
      <w:r w:rsidR="00EE7697" w:rsidRPr="008B0B8A">
        <w:rPr>
          <w:rFonts w:ascii="Times New Roman" w:hAnsi="Times New Roman" w:cs="Times New Roman"/>
        </w:rPr>
        <w:t xml:space="preserve"> Association</w:t>
      </w:r>
      <w:r w:rsidR="00E5481F" w:rsidRPr="008B0B8A">
        <w:rPr>
          <w:rFonts w:ascii="Times New Roman" w:hAnsi="Times New Roman" w:cs="Times New Roman"/>
        </w:rPr>
        <w:t>. The amendment regulation has also been developed in consultation with the ACT Heritage Council, Environment Protection Authority and the Conservator of Flora and Fauna.</w:t>
      </w:r>
    </w:p>
    <w:p w14:paraId="2A8E1BF7" w14:textId="77777777" w:rsidR="00181956" w:rsidRPr="008B0B8A" w:rsidRDefault="00181956">
      <w:pPr>
        <w:pStyle w:val="Default"/>
        <w:rPr>
          <w:rFonts w:ascii="Times New Roman" w:hAnsi="Times New Roman" w:cs="Times New Roman"/>
        </w:rPr>
      </w:pPr>
    </w:p>
    <w:p w14:paraId="48F1C33B" w14:textId="26AAB935" w:rsidR="005322FC" w:rsidRDefault="00804E7E" w:rsidP="008B0B8A">
      <w:pPr>
        <w:pStyle w:val="Default"/>
        <w:spacing w:after="120"/>
        <w:rPr>
          <w:b/>
          <w:bCs/>
        </w:rPr>
      </w:pPr>
      <w:r w:rsidRPr="008B0B8A">
        <w:rPr>
          <w:b/>
          <w:bCs/>
        </w:rPr>
        <w:t>Human rights</w:t>
      </w:r>
    </w:p>
    <w:p w14:paraId="54A50DAC" w14:textId="7E8FDE12" w:rsidR="00955E50" w:rsidRPr="008B0B8A" w:rsidRDefault="00955E50" w:rsidP="008B0B8A">
      <w:pPr>
        <w:spacing w:line="240" w:lineRule="auto"/>
        <w:rPr>
          <w:rFonts w:ascii="Times New Roman" w:hAnsi="Times New Roman" w:cs="Times New Roman"/>
          <w:sz w:val="24"/>
          <w:szCs w:val="24"/>
        </w:rPr>
      </w:pPr>
      <w:r w:rsidRPr="008B0B8A">
        <w:rPr>
          <w:rFonts w:ascii="Times New Roman" w:hAnsi="Times New Roman" w:cs="Times New Roman"/>
          <w:sz w:val="24"/>
          <w:szCs w:val="24"/>
        </w:rPr>
        <w:t xml:space="preserve">The Standing Committee on Justice and Community Safety (Legislative Scrutiny Role) terms of reference require consideration of human rights impacts, among other matters. There are no human rights impacts related to </w:t>
      </w:r>
      <w:r w:rsidR="001B19A1">
        <w:rPr>
          <w:rFonts w:ascii="Times New Roman" w:hAnsi="Times New Roman" w:cs="Times New Roman"/>
          <w:sz w:val="24"/>
          <w:szCs w:val="24"/>
        </w:rPr>
        <w:t>the amendment regulation</w:t>
      </w:r>
      <w:r w:rsidRPr="008B0B8A">
        <w:rPr>
          <w:rFonts w:ascii="Times New Roman" w:hAnsi="Times New Roman" w:cs="Times New Roman"/>
          <w:sz w:val="24"/>
          <w:szCs w:val="24"/>
        </w:rPr>
        <w:t>.</w:t>
      </w:r>
    </w:p>
    <w:p w14:paraId="7FED2740" w14:textId="55546550" w:rsidR="00804E7E" w:rsidRDefault="00804E7E">
      <w:pPr>
        <w:rPr>
          <w:rFonts w:ascii="Arial" w:hAnsi="Arial" w:cs="Arial"/>
          <w:b/>
          <w:bCs/>
          <w:i/>
          <w:iCs/>
          <w:color w:val="000000"/>
          <w:sz w:val="24"/>
          <w:szCs w:val="24"/>
        </w:rPr>
      </w:pPr>
      <w:r>
        <w:rPr>
          <w:b/>
          <w:bCs/>
          <w:i/>
          <w:iCs/>
        </w:rPr>
        <w:br w:type="page"/>
      </w:r>
    </w:p>
    <w:p w14:paraId="45D642CE" w14:textId="4ADD21D4" w:rsidR="005322FC" w:rsidRPr="00804E7E" w:rsidRDefault="005322FC" w:rsidP="001B19A1">
      <w:pPr>
        <w:pStyle w:val="Default"/>
        <w:rPr>
          <w:b/>
          <w:bCs/>
        </w:rPr>
      </w:pPr>
      <w:r w:rsidRPr="00804E7E">
        <w:rPr>
          <w:b/>
          <w:bCs/>
        </w:rPr>
        <w:lastRenderedPageBreak/>
        <w:t xml:space="preserve">CLAUSE NOTES </w:t>
      </w:r>
    </w:p>
    <w:p w14:paraId="29A2900C" w14:textId="77777777" w:rsidR="000A4D23" w:rsidRPr="008B0B8A" w:rsidRDefault="000A4D23">
      <w:pPr>
        <w:pStyle w:val="Default"/>
        <w:rPr>
          <w:rFonts w:ascii="Times New Roman" w:hAnsi="Times New Roman" w:cs="Times New Roman"/>
        </w:rPr>
      </w:pPr>
    </w:p>
    <w:p w14:paraId="47CDBA9E" w14:textId="378880CE" w:rsidR="005322FC" w:rsidRPr="00804E7E" w:rsidRDefault="005322FC" w:rsidP="008B0B8A">
      <w:pPr>
        <w:pStyle w:val="Default"/>
        <w:spacing w:after="120"/>
        <w:rPr>
          <w:b/>
          <w:bCs/>
        </w:rPr>
      </w:pPr>
      <w:r w:rsidRPr="00804E7E">
        <w:rPr>
          <w:b/>
          <w:bCs/>
        </w:rPr>
        <w:t>Clause 1</w:t>
      </w:r>
      <w:r w:rsidR="00804E7E">
        <w:rPr>
          <w:b/>
          <w:bCs/>
        </w:rPr>
        <w:tab/>
      </w:r>
      <w:r w:rsidRPr="00804E7E">
        <w:rPr>
          <w:b/>
          <w:bCs/>
        </w:rPr>
        <w:t xml:space="preserve">Name of regulation </w:t>
      </w:r>
    </w:p>
    <w:p w14:paraId="3A7D1AD0" w14:textId="0AC2214D" w:rsidR="005322FC" w:rsidRPr="008B0B8A" w:rsidRDefault="005322FC">
      <w:pPr>
        <w:pStyle w:val="Default"/>
        <w:rPr>
          <w:rFonts w:ascii="Times New Roman" w:hAnsi="Times New Roman" w:cs="Times New Roman"/>
        </w:rPr>
      </w:pPr>
      <w:r w:rsidRPr="008B0B8A">
        <w:rPr>
          <w:rFonts w:ascii="Times New Roman" w:hAnsi="Times New Roman" w:cs="Times New Roman"/>
        </w:rPr>
        <w:t xml:space="preserve">This clause provides that the name of the regulation is the </w:t>
      </w:r>
      <w:r w:rsidRPr="008B0B8A">
        <w:rPr>
          <w:rFonts w:ascii="Times New Roman" w:hAnsi="Times New Roman" w:cs="Times New Roman"/>
          <w:i/>
          <w:iCs/>
        </w:rPr>
        <w:t xml:space="preserve">Planning and Development Amendment Regulation 2020 (No </w:t>
      </w:r>
      <w:r w:rsidR="001B19A1" w:rsidRPr="008B0B8A">
        <w:rPr>
          <w:rFonts w:ascii="Times New Roman" w:hAnsi="Times New Roman" w:cs="Times New Roman"/>
          <w:i/>
          <w:iCs/>
        </w:rPr>
        <w:t>2</w:t>
      </w:r>
      <w:r w:rsidRPr="008B0B8A">
        <w:rPr>
          <w:rFonts w:ascii="Times New Roman" w:hAnsi="Times New Roman" w:cs="Times New Roman"/>
          <w:i/>
          <w:iCs/>
        </w:rPr>
        <w:t>)</w:t>
      </w:r>
      <w:r w:rsidRPr="008B0B8A">
        <w:rPr>
          <w:rFonts w:ascii="Times New Roman" w:hAnsi="Times New Roman" w:cs="Times New Roman"/>
        </w:rPr>
        <w:t xml:space="preserve">. </w:t>
      </w:r>
    </w:p>
    <w:p w14:paraId="2BBA765C" w14:textId="77777777" w:rsidR="000A4D23" w:rsidRPr="008B0B8A" w:rsidRDefault="000A4D23">
      <w:pPr>
        <w:pStyle w:val="Default"/>
        <w:rPr>
          <w:rFonts w:ascii="Times New Roman" w:hAnsi="Times New Roman" w:cs="Times New Roman"/>
        </w:rPr>
      </w:pPr>
    </w:p>
    <w:p w14:paraId="6C7A681D" w14:textId="54843EDE" w:rsidR="005322FC" w:rsidRPr="00804E7E" w:rsidRDefault="005322FC" w:rsidP="008B0B8A">
      <w:pPr>
        <w:pStyle w:val="Default"/>
        <w:spacing w:after="120"/>
        <w:rPr>
          <w:b/>
          <w:bCs/>
        </w:rPr>
      </w:pPr>
      <w:r w:rsidRPr="00804E7E">
        <w:rPr>
          <w:b/>
          <w:bCs/>
        </w:rPr>
        <w:t>Clause 2</w:t>
      </w:r>
      <w:r w:rsidR="00804E7E" w:rsidRPr="008B0B8A">
        <w:rPr>
          <w:b/>
          <w:bCs/>
        </w:rPr>
        <w:tab/>
      </w:r>
      <w:r w:rsidRPr="00804E7E">
        <w:rPr>
          <w:b/>
          <w:bCs/>
        </w:rPr>
        <w:t xml:space="preserve">Commencement </w:t>
      </w:r>
    </w:p>
    <w:p w14:paraId="2EF91679" w14:textId="0F1260D1" w:rsidR="005322FC" w:rsidRPr="008B0B8A" w:rsidRDefault="005322FC">
      <w:pPr>
        <w:pStyle w:val="Default"/>
        <w:rPr>
          <w:rFonts w:ascii="Times New Roman" w:hAnsi="Times New Roman" w:cs="Times New Roman"/>
        </w:rPr>
      </w:pPr>
      <w:r w:rsidRPr="008B0B8A">
        <w:rPr>
          <w:rFonts w:ascii="Times New Roman" w:hAnsi="Times New Roman" w:cs="Times New Roman"/>
        </w:rPr>
        <w:t xml:space="preserve">This clause provides that the regulation commences on the day after its notification day. </w:t>
      </w:r>
    </w:p>
    <w:p w14:paraId="4F18F5CF" w14:textId="77777777" w:rsidR="000A4D23" w:rsidRPr="008B0B8A" w:rsidRDefault="000A4D23">
      <w:pPr>
        <w:pStyle w:val="Default"/>
        <w:rPr>
          <w:rFonts w:ascii="Times New Roman" w:hAnsi="Times New Roman" w:cs="Times New Roman"/>
        </w:rPr>
      </w:pPr>
    </w:p>
    <w:p w14:paraId="24DFF634" w14:textId="706CB7D1" w:rsidR="005322FC" w:rsidRPr="00C76031" w:rsidRDefault="005322FC" w:rsidP="008B0B8A">
      <w:pPr>
        <w:pStyle w:val="Default"/>
        <w:spacing w:after="120"/>
        <w:rPr>
          <w:b/>
          <w:bCs/>
        </w:rPr>
      </w:pPr>
      <w:r w:rsidRPr="00C76031">
        <w:rPr>
          <w:b/>
          <w:bCs/>
        </w:rPr>
        <w:t>Clause 3</w:t>
      </w:r>
      <w:r w:rsidR="00C76031">
        <w:rPr>
          <w:b/>
          <w:bCs/>
        </w:rPr>
        <w:tab/>
      </w:r>
      <w:r w:rsidRPr="00C76031">
        <w:rPr>
          <w:b/>
          <w:bCs/>
        </w:rPr>
        <w:t xml:space="preserve">Legislation amended </w:t>
      </w:r>
    </w:p>
    <w:p w14:paraId="3EF4DEFD" w14:textId="5466D7B8" w:rsidR="005322FC" w:rsidRPr="008B0B8A" w:rsidRDefault="005322FC">
      <w:pPr>
        <w:pStyle w:val="Default"/>
        <w:rPr>
          <w:rFonts w:ascii="Times New Roman" w:hAnsi="Times New Roman" w:cs="Times New Roman"/>
        </w:rPr>
      </w:pPr>
      <w:r w:rsidRPr="008B0B8A">
        <w:rPr>
          <w:rFonts w:ascii="Times New Roman" w:hAnsi="Times New Roman" w:cs="Times New Roman"/>
        </w:rPr>
        <w:t xml:space="preserve">This clause provides that the regulation amends the </w:t>
      </w:r>
      <w:r w:rsidRPr="008B0B8A">
        <w:rPr>
          <w:rFonts w:ascii="Times New Roman" w:hAnsi="Times New Roman" w:cs="Times New Roman"/>
          <w:i/>
          <w:iCs/>
        </w:rPr>
        <w:t>Planning and Development Regulation 2008</w:t>
      </w:r>
      <w:r w:rsidRPr="008B0B8A">
        <w:rPr>
          <w:rFonts w:ascii="Times New Roman" w:hAnsi="Times New Roman" w:cs="Times New Roman"/>
        </w:rPr>
        <w:t xml:space="preserve">. </w:t>
      </w:r>
    </w:p>
    <w:p w14:paraId="726E3D83" w14:textId="773340E8" w:rsidR="000A4D23" w:rsidRPr="008B0B8A" w:rsidRDefault="000A4D23">
      <w:pPr>
        <w:pStyle w:val="Default"/>
        <w:rPr>
          <w:rFonts w:ascii="Times New Roman" w:hAnsi="Times New Roman" w:cs="Times New Roman"/>
          <w:color w:val="D9D9D9" w:themeColor="background1" w:themeShade="D9"/>
        </w:rPr>
      </w:pPr>
    </w:p>
    <w:p w14:paraId="310ABB9B" w14:textId="1DCBB3D0" w:rsidR="00742922" w:rsidRPr="008B0B8A" w:rsidRDefault="00742922" w:rsidP="008B0B8A">
      <w:pPr>
        <w:autoSpaceDE w:val="0"/>
        <w:autoSpaceDN w:val="0"/>
        <w:adjustRightInd w:val="0"/>
        <w:spacing w:after="120" w:line="240" w:lineRule="auto"/>
        <w:ind w:left="1440" w:hanging="1440"/>
        <w:rPr>
          <w:rFonts w:ascii="Arial" w:hAnsi="Arial" w:cs="Arial"/>
          <w:b/>
          <w:bCs/>
          <w:color w:val="000000"/>
          <w:sz w:val="24"/>
          <w:szCs w:val="24"/>
        </w:rPr>
      </w:pPr>
      <w:r w:rsidRPr="008B0B8A">
        <w:rPr>
          <w:rFonts w:ascii="Arial" w:hAnsi="Arial" w:cs="Arial"/>
          <w:b/>
          <w:bCs/>
          <w:color w:val="000000"/>
          <w:sz w:val="24"/>
          <w:szCs w:val="24"/>
        </w:rPr>
        <w:t>Clause 4</w:t>
      </w:r>
      <w:r w:rsidR="00C76031" w:rsidRPr="008B0B8A">
        <w:rPr>
          <w:rFonts w:ascii="Arial" w:hAnsi="Arial" w:cs="Arial"/>
          <w:b/>
          <w:bCs/>
          <w:color w:val="000000"/>
          <w:sz w:val="24"/>
          <w:szCs w:val="24"/>
        </w:rPr>
        <w:tab/>
      </w:r>
      <w:r w:rsidR="00C76031">
        <w:rPr>
          <w:rFonts w:ascii="Arial" w:hAnsi="Arial" w:cs="Arial"/>
          <w:b/>
          <w:bCs/>
          <w:color w:val="000000"/>
          <w:sz w:val="24"/>
          <w:szCs w:val="24"/>
        </w:rPr>
        <w:t xml:space="preserve">Schedule 1, section 1.85 (1), definition of </w:t>
      </w:r>
      <w:r w:rsidR="00C76031" w:rsidRPr="008B0B8A">
        <w:rPr>
          <w:rFonts w:ascii="Arial" w:hAnsi="Arial" w:cs="Arial"/>
          <w:b/>
          <w:bCs/>
          <w:i/>
          <w:iCs/>
          <w:color w:val="000000"/>
          <w:sz w:val="24"/>
          <w:szCs w:val="24"/>
        </w:rPr>
        <w:t>prescribed general exemption criteria</w:t>
      </w:r>
    </w:p>
    <w:p w14:paraId="246D8CF1" w14:textId="3BC17697" w:rsidR="00C76031" w:rsidRPr="008B0B8A" w:rsidRDefault="00C760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clause corrects a </w:t>
      </w:r>
      <w:r w:rsidR="00B13B75">
        <w:rPr>
          <w:rFonts w:ascii="Times New Roman" w:hAnsi="Times New Roman" w:cs="Times New Roman"/>
          <w:color w:val="000000"/>
          <w:sz w:val="24"/>
          <w:szCs w:val="24"/>
        </w:rPr>
        <w:t xml:space="preserve">drafting error in section 1.85 (1) by inserting the word </w:t>
      </w:r>
      <w:r w:rsidR="00B13B75" w:rsidRPr="008B0B8A">
        <w:rPr>
          <w:rFonts w:ascii="Times New Roman" w:hAnsi="Times New Roman" w:cs="Times New Roman"/>
          <w:b/>
          <w:bCs/>
          <w:i/>
          <w:iCs/>
          <w:color w:val="000000"/>
          <w:sz w:val="24"/>
          <w:szCs w:val="24"/>
        </w:rPr>
        <w:t>section</w:t>
      </w:r>
      <w:r w:rsidR="00B13B75">
        <w:rPr>
          <w:rFonts w:ascii="Times New Roman" w:hAnsi="Times New Roman" w:cs="Times New Roman"/>
          <w:color w:val="000000"/>
          <w:sz w:val="24"/>
          <w:szCs w:val="24"/>
        </w:rPr>
        <w:t xml:space="preserve"> before the section number.</w:t>
      </w:r>
    </w:p>
    <w:p w14:paraId="52236578" w14:textId="77777777" w:rsidR="00742922" w:rsidRPr="008B0B8A" w:rsidRDefault="00742922">
      <w:pPr>
        <w:autoSpaceDE w:val="0"/>
        <w:autoSpaceDN w:val="0"/>
        <w:adjustRightInd w:val="0"/>
        <w:spacing w:after="0" w:line="240" w:lineRule="auto"/>
        <w:rPr>
          <w:rFonts w:ascii="Times New Roman" w:hAnsi="Times New Roman" w:cs="Times New Roman"/>
          <w:color w:val="000000"/>
          <w:sz w:val="24"/>
          <w:szCs w:val="24"/>
        </w:rPr>
      </w:pPr>
    </w:p>
    <w:p w14:paraId="118E79B9" w14:textId="63E7073E" w:rsidR="00742922" w:rsidRPr="008B0B8A" w:rsidRDefault="00742922" w:rsidP="008B0B8A">
      <w:pPr>
        <w:autoSpaceDE w:val="0"/>
        <w:autoSpaceDN w:val="0"/>
        <w:adjustRightInd w:val="0"/>
        <w:spacing w:after="120" w:line="240" w:lineRule="auto"/>
        <w:rPr>
          <w:rFonts w:ascii="Arial" w:hAnsi="Arial" w:cs="Arial"/>
          <w:b/>
          <w:bCs/>
          <w:color w:val="000000"/>
          <w:sz w:val="24"/>
          <w:szCs w:val="24"/>
        </w:rPr>
      </w:pPr>
      <w:r w:rsidRPr="008B0B8A">
        <w:rPr>
          <w:rFonts w:ascii="Arial" w:hAnsi="Arial" w:cs="Arial"/>
          <w:b/>
          <w:bCs/>
          <w:color w:val="000000"/>
          <w:sz w:val="24"/>
          <w:szCs w:val="24"/>
        </w:rPr>
        <w:t>Clause 5</w:t>
      </w:r>
      <w:r w:rsidR="00C76031">
        <w:rPr>
          <w:rFonts w:ascii="Arial" w:hAnsi="Arial" w:cs="Arial"/>
          <w:b/>
          <w:bCs/>
          <w:color w:val="000000"/>
          <w:sz w:val="24"/>
          <w:szCs w:val="24"/>
        </w:rPr>
        <w:tab/>
        <w:t>Schedule 1, section 1.85 (2) (a)</w:t>
      </w:r>
    </w:p>
    <w:p w14:paraId="166AED14" w14:textId="5BE627C0" w:rsidR="000A4D23" w:rsidRPr="008B0B8A" w:rsidRDefault="00C76031">
      <w:pPr>
        <w:pStyle w:val="Default"/>
        <w:rPr>
          <w:rFonts w:ascii="Times New Roman" w:hAnsi="Times New Roman" w:cs="Times New Roman"/>
          <w:b/>
          <w:bCs/>
          <w:color w:val="D9D9D9" w:themeColor="background1" w:themeShade="D9"/>
        </w:rPr>
      </w:pPr>
      <w:r>
        <w:rPr>
          <w:rFonts w:ascii="Times New Roman" w:hAnsi="Times New Roman" w:cs="Times New Roman"/>
        </w:rPr>
        <w:t xml:space="preserve">This clause increases the </w:t>
      </w:r>
      <w:r w:rsidRPr="008F2B6B">
        <w:rPr>
          <w:rFonts w:ascii="Times New Roman" w:hAnsi="Times New Roman" w:cs="Times New Roman"/>
        </w:rPr>
        <w:t xml:space="preserve">exemption limit </w:t>
      </w:r>
      <w:r>
        <w:rPr>
          <w:rFonts w:ascii="Times New Roman" w:hAnsi="Times New Roman" w:cs="Times New Roman"/>
        </w:rPr>
        <w:t>from 100m</w:t>
      </w:r>
      <w:r w:rsidRPr="008B0B8A">
        <w:rPr>
          <w:rFonts w:ascii="Times New Roman" w:hAnsi="Times New Roman" w:cs="Times New Roman"/>
          <w:vertAlign w:val="superscript"/>
        </w:rPr>
        <w:t>2</w:t>
      </w:r>
      <w:r>
        <w:rPr>
          <w:rFonts w:ascii="Times New Roman" w:hAnsi="Times New Roman" w:cs="Times New Roman"/>
        </w:rPr>
        <w:t xml:space="preserve"> </w:t>
      </w:r>
      <w:r w:rsidRPr="008F2B6B">
        <w:rPr>
          <w:rFonts w:ascii="Times New Roman" w:hAnsi="Times New Roman" w:cs="Times New Roman"/>
        </w:rPr>
        <w:t>to 216m</w:t>
      </w:r>
      <w:r w:rsidRPr="008F2B6B">
        <w:rPr>
          <w:rFonts w:ascii="Times New Roman" w:hAnsi="Times New Roman" w:cs="Times New Roman"/>
          <w:vertAlign w:val="superscript"/>
        </w:rPr>
        <w:t>2</w:t>
      </w:r>
      <w:r w:rsidRPr="008F2B6B">
        <w:rPr>
          <w:rFonts w:ascii="Times New Roman" w:hAnsi="Times New Roman" w:cs="Times New Roman"/>
        </w:rPr>
        <w:t xml:space="preserve"> for buildings or structures on rural leases</w:t>
      </w:r>
      <w:r w:rsidR="00742922" w:rsidRPr="008B0B8A">
        <w:rPr>
          <w:rFonts w:ascii="Times New Roman" w:hAnsi="Times New Roman" w:cs="Times New Roman"/>
        </w:rPr>
        <w:t>.</w:t>
      </w:r>
    </w:p>
    <w:p w14:paraId="19FDDBB7" w14:textId="0BD48789" w:rsidR="005322FC" w:rsidRPr="008B0B8A" w:rsidRDefault="005322FC">
      <w:pPr>
        <w:pStyle w:val="Default"/>
        <w:rPr>
          <w:rFonts w:ascii="Times New Roman" w:hAnsi="Times New Roman" w:cs="Times New Roman"/>
          <w:color w:val="D9D9D9" w:themeColor="background1" w:themeShade="D9"/>
        </w:rPr>
      </w:pPr>
    </w:p>
    <w:sectPr w:rsidR="005322FC" w:rsidRPr="008B0B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82E19" w14:textId="77777777" w:rsidR="005C73F2" w:rsidRDefault="005C73F2" w:rsidP="00273249">
      <w:pPr>
        <w:spacing w:after="0" w:line="240" w:lineRule="auto"/>
      </w:pPr>
      <w:r>
        <w:separator/>
      </w:r>
    </w:p>
  </w:endnote>
  <w:endnote w:type="continuationSeparator" w:id="0">
    <w:p w14:paraId="63EDD002" w14:textId="77777777" w:rsidR="005C73F2" w:rsidRDefault="005C73F2" w:rsidP="0027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2587" w14:textId="77777777" w:rsidR="00CF2481" w:rsidRDefault="00CF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B6B4" w14:textId="01EBCC7F" w:rsidR="00273249" w:rsidRDefault="00273249">
    <w:pPr>
      <w:pStyle w:val="Footer"/>
    </w:pPr>
  </w:p>
  <w:p w14:paraId="79D4EE30" w14:textId="4932FE89" w:rsidR="00273249" w:rsidRPr="00CF2481" w:rsidRDefault="00CF2481" w:rsidP="00CF2481">
    <w:pPr>
      <w:pStyle w:val="Footer"/>
      <w:jc w:val="center"/>
      <w:rPr>
        <w:rFonts w:ascii="Arial" w:hAnsi="Arial" w:cs="Arial"/>
        <w:sz w:val="14"/>
      </w:rPr>
    </w:pPr>
    <w:r w:rsidRPr="00CF2481">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F01C0" w14:textId="77777777" w:rsidR="00CF2481" w:rsidRDefault="00CF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C186E" w14:textId="77777777" w:rsidR="005C73F2" w:rsidRDefault="005C73F2" w:rsidP="00273249">
      <w:pPr>
        <w:spacing w:after="0" w:line="240" w:lineRule="auto"/>
      </w:pPr>
      <w:r>
        <w:separator/>
      </w:r>
    </w:p>
  </w:footnote>
  <w:footnote w:type="continuationSeparator" w:id="0">
    <w:p w14:paraId="2AE516A8" w14:textId="77777777" w:rsidR="005C73F2" w:rsidRDefault="005C73F2" w:rsidP="00273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1934" w14:textId="77777777" w:rsidR="00CF2481" w:rsidRDefault="00CF2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7D6F" w14:textId="77777777" w:rsidR="00CF2481" w:rsidRDefault="00CF2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C279" w14:textId="77777777" w:rsidR="00CF2481" w:rsidRDefault="00CF2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37C90"/>
    <w:multiLevelType w:val="hybridMultilevel"/>
    <w:tmpl w:val="CDEE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CF2B91"/>
    <w:multiLevelType w:val="hybridMultilevel"/>
    <w:tmpl w:val="BD8E983A"/>
    <w:lvl w:ilvl="0" w:tplc="386AA7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636A3554"/>
    <w:multiLevelType w:val="hybridMultilevel"/>
    <w:tmpl w:val="4A8C6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FC"/>
    <w:rsid w:val="00011435"/>
    <w:rsid w:val="00012D3A"/>
    <w:rsid w:val="00030B52"/>
    <w:rsid w:val="00043DB7"/>
    <w:rsid w:val="00057FD4"/>
    <w:rsid w:val="000A3E29"/>
    <w:rsid w:val="000A4D23"/>
    <w:rsid w:val="000E7710"/>
    <w:rsid w:val="000F0DE8"/>
    <w:rsid w:val="000F26A0"/>
    <w:rsid w:val="00100CF6"/>
    <w:rsid w:val="001238EA"/>
    <w:rsid w:val="0014395A"/>
    <w:rsid w:val="00171BD8"/>
    <w:rsid w:val="00181956"/>
    <w:rsid w:val="001B19A1"/>
    <w:rsid w:val="001B2EB4"/>
    <w:rsid w:val="001C0FF3"/>
    <w:rsid w:val="001D0FBE"/>
    <w:rsid w:val="001D6D29"/>
    <w:rsid w:val="001D76C4"/>
    <w:rsid w:val="00207C8E"/>
    <w:rsid w:val="00211206"/>
    <w:rsid w:val="00213334"/>
    <w:rsid w:val="00224992"/>
    <w:rsid w:val="00235307"/>
    <w:rsid w:val="002402E8"/>
    <w:rsid w:val="002507EB"/>
    <w:rsid w:val="00260139"/>
    <w:rsid w:val="00273249"/>
    <w:rsid w:val="00293C63"/>
    <w:rsid w:val="002945CA"/>
    <w:rsid w:val="002B007F"/>
    <w:rsid w:val="002B7013"/>
    <w:rsid w:val="002D442B"/>
    <w:rsid w:val="002D552C"/>
    <w:rsid w:val="00301CF9"/>
    <w:rsid w:val="003025D4"/>
    <w:rsid w:val="00304B6D"/>
    <w:rsid w:val="00392D1A"/>
    <w:rsid w:val="00397032"/>
    <w:rsid w:val="003B1535"/>
    <w:rsid w:val="003C4F20"/>
    <w:rsid w:val="003F52A5"/>
    <w:rsid w:val="0041223C"/>
    <w:rsid w:val="00412C6D"/>
    <w:rsid w:val="00417ED5"/>
    <w:rsid w:val="00420EC8"/>
    <w:rsid w:val="00430B76"/>
    <w:rsid w:val="00450377"/>
    <w:rsid w:val="00457C87"/>
    <w:rsid w:val="00464D96"/>
    <w:rsid w:val="00475271"/>
    <w:rsid w:val="004828A4"/>
    <w:rsid w:val="004B671A"/>
    <w:rsid w:val="004F736E"/>
    <w:rsid w:val="00507DFE"/>
    <w:rsid w:val="00511E43"/>
    <w:rsid w:val="0052166B"/>
    <w:rsid w:val="00525250"/>
    <w:rsid w:val="005322FC"/>
    <w:rsid w:val="00541A5B"/>
    <w:rsid w:val="00543521"/>
    <w:rsid w:val="00562D38"/>
    <w:rsid w:val="005638F5"/>
    <w:rsid w:val="005660C2"/>
    <w:rsid w:val="0056744B"/>
    <w:rsid w:val="0057446F"/>
    <w:rsid w:val="005758C3"/>
    <w:rsid w:val="005759D1"/>
    <w:rsid w:val="00576AE1"/>
    <w:rsid w:val="00582571"/>
    <w:rsid w:val="00583070"/>
    <w:rsid w:val="005A4B5B"/>
    <w:rsid w:val="005B3A13"/>
    <w:rsid w:val="005B7CB5"/>
    <w:rsid w:val="005C73F2"/>
    <w:rsid w:val="005D1E7F"/>
    <w:rsid w:val="005E3C8F"/>
    <w:rsid w:val="005F1A6F"/>
    <w:rsid w:val="00612DAC"/>
    <w:rsid w:val="00620532"/>
    <w:rsid w:val="006637C0"/>
    <w:rsid w:val="00692FB4"/>
    <w:rsid w:val="006A25D3"/>
    <w:rsid w:val="006B2A9C"/>
    <w:rsid w:val="006B4CB1"/>
    <w:rsid w:val="006B5A44"/>
    <w:rsid w:val="006B7323"/>
    <w:rsid w:val="006D6E48"/>
    <w:rsid w:val="006E45FA"/>
    <w:rsid w:val="006E4BB1"/>
    <w:rsid w:val="006F3F24"/>
    <w:rsid w:val="00702626"/>
    <w:rsid w:val="00717F21"/>
    <w:rsid w:val="00723F2A"/>
    <w:rsid w:val="00733DE8"/>
    <w:rsid w:val="0073516B"/>
    <w:rsid w:val="00742922"/>
    <w:rsid w:val="00742D34"/>
    <w:rsid w:val="00757C05"/>
    <w:rsid w:val="00766326"/>
    <w:rsid w:val="007703CB"/>
    <w:rsid w:val="007721A9"/>
    <w:rsid w:val="00772BC2"/>
    <w:rsid w:val="00782AA8"/>
    <w:rsid w:val="00782D34"/>
    <w:rsid w:val="007B6E0C"/>
    <w:rsid w:val="007D6804"/>
    <w:rsid w:val="00803F3E"/>
    <w:rsid w:val="00804E7E"/>
    <w:rsid w:val="00816D12"/>
    <w:rsid w:val="00817602"/>
    <w:rsid w:val="00821A6D"/>
    <w:rsid w:val="0085090D"/>
    <w:rsid w:val="00856A15"/>
    <w:rsid w:val="0086435A"/>
    <w:rsid w:val="008648F6"/>
    <w:rsid w:val="00870ED0"/>
    <w:rsid w:val="00896CA5"/>
    <w:rsid w:val="008A0976"/>
    <w:rsid w:val="008A5346"/>
    <w:rsid w:val="008B0B8A"/>
    <w:rsid w:val="008F0BD0"/>
    <w:rsid w:val="00902F9E"/>
    <w:rsid w:val="00903402"/>
    <w:rsid w:val="00916657"/>
    <w:rsid w:val="009258DD"/>
    <w:rsid w:val="00927962"/>
    <w:rsid w:val="00955BB0"/>
    <w:rsid w:val="00955E50"/>
    <w:rsid w:val="0099372D"/>
    <w:rsid w:val="009A35AE"/>
    <w:rsid w:val="009C1022"/>
    <w:rsid w:val="009C322A"/>
    <w:rsid w:val="009D2405"/>
    <w:rsid w:val="009E094C"/>
    <w:rsid w:val="009F24CE"/>
    <w:rsid w:val="00A0552D"/>
    <w:rsid w:val="00A07B5E"/>
    <w:rsid w:val="00A107A8"/>
    <w:rsid w:val="00A227AD"/>
    <w:rsid w:val="00A8479A"/>
    <w:rsid w:val="00AA04CC"/>
    <w:rsid w:val="00AC233B"/>
    <w:rsid w:val="00AF26C6"/>
    <w:rsid w:val="00B1183F"/>
    <w:rsid w:val="00B13B75"/>
    <w:rsid w:val="00B3123E"/>
    <w:rsid w:val="00B400C2"/>
    <w:rsid w:val="00B50536"/>
    <w:rsid w:val="00B507E9"/>
    <w:rsid w:val="00B553C8"/>
    <w:rsid w:val="00B6194A"/>
    <w:rsid w:val="00BB2DA2"/>
    <w:rsid w:val="00C04270"/>
    <w:rsid w:val="00C27B61"/>
    <w:rsid w:val="00C31E75"/>
    <w:rsid w:val="00C56C89"/>
    <w:rsid w:val="00C661B6"/>
    <w:rsid w:val="00C67692"/>
    <w:rsid w:val="00C76031"/>
    <w:rsid w:val="00CA1680"/>
    <w:rsid w:val="00CD0454"/>
    <w:rsid w:val="00CF2481"/>
    <w:rsid w:val="00D10B52"/>
    <w:rsid w:val="00D8633E"/>
    <w:rsid w:val="00D96FC5"/>
    <w:rsid w:val="00DB11D5"/>
    <w:rsid w:val="00DC4379"/>
    <w:rsid w:val="00DE3281"/>
    <w:rsid w:val="00DF46FF"/>
    <w:rsid w:val="00E15285"/>
    <w:rsid w:val="00E15640"/>
    <w:rsid w:val="00E20B9D"/>
    <w:rsid w:val="00E478BE"/>
    <w:rsid w:val="00E5481F"/>
    <w:rsid w:val="00E65D2E"/>
    <w:rsid w:val="00E66668"/>
    <w:rsid w:val="00EA5707"/>
    <w:rsid w:val="00EB1AD7"/>
    <w:rsid w:val="00ED61F6"/>
    <w:rsid w:val="00EE7697"/>
    <w:rsid w:val="00F152F8"/>
    <w:rsid w:val="00F16199"/>
    <w:rsid w:val="00F45B73"/>
    <w:rsid w:val="00F549BF"/>
    <w:rsid w:val="00F90AB6"/>
    <w:rsid w:val="00FD42C5"/>
    <w:rsid w:val="00FD6020"/>
    <w:rsid w:val="00FD6373"/>
    <w:rsid w:val="00FF4F5E"/>
    <w:rsid w:val="00FF6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95AFC7"/>
  <w15:chartTrackingRefBased/>
  <w15:docId w15:val="{73E19C9A-7259-41FE-A6AD-A1B2D80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5322F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B7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013"/>
    <w:rPr>
      <w:rFonts w:ascii="Segoe UI" w:hAnsi="Segoe UI" w:cs="Segoe UI"/>
      <w:sz w:val="18"/>
      <w:szCs w:val="18"/>
    </w:rPr>
  </w:style>
  <w:style w:type="character" w:customStyle="1" w:styleId="DefaultChar">
    <w:name w:val="Default Char"/>
    <w:basedOn w:val="DefaultParagraphFont"/>
    <w:link w:val="Default"/>
    <w:rsid w:val="002B7013"/>
    <w:rPr>
      <w:rFonts w:ascii="Arial" w:hAnsi="Arial" w:cs="Arial"/>
      <w:color w:val="000000"/>
      <w:sz w:val="24"/>
      <w:szCs w:val="24"/>
    </w:rPr>
  </w:style>
  <w:style w:type="paragraph" w:styleId="Revision">
    <w:name w:val="Revision"/>
    <w:hidden/>
    <w:uiPriority w:val="99"/>
    <w:semiHidden/>
    <w:rsid w:val="008F0BD0"/>
    <w:pPr>
      <w:spacing w:after="0" w:line="240" w:lineRule="auto"/>
    </w:pPr>
  </w:style>
  <w:style w:type="paragraph" w:styleId="Header">
    <w:name w:val="header"/>
    <w:basedOn w:val="Normal"/>
    <w:link w:val="HeaderChar"/>
    <w:uiPriority w:val="99"/>
    <w:unhideWhenUsed/>
    <w:rsid w:val="00273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249"/>
  </w:style>
  <w:style w:type="paragraph" w:styleId="Footer">
    <w:name w:val="footer"/>
    <w:basedOn w:val="Normal"/>
    <w:link w:val="FooterChar"/>
    <w:uiPriority w:val="99"/>
    <w:unhideWhenUsed/>
    <w:rsid w:val="00273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249"/>
  </w:style>
  <w:style w:type="paragraph" w:customStyle="1" w:styleId="Billname">
    <w:name w:val="Billname"/>
    <w:basedOn w:val="Normal"/>
    <w:rsid w:val="00B1183F"/>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B1183F"/>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B1183F"/>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B1183F"/>
    <w:pPr>
      <w:tabs>
        <w:tab w:val="left" w:pos="2600"/>
      </w:tabs>
      <w:spacing w:before="200" w:after="60" w:line="240" w:lineRule="auto"/>
      <w:jc w:val="both"/>
    </w:pPr>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104">
      <w:bodyDiv w:val="1"/>
      <w:marLeft w:val="0"/>
      <w:marRight w:val="0"/>
      <w:marTop w:val="0"/>
      <w:marBottom w:val="0"/>
      <w:divBdr>
        <w:top w:val="none" w:sz="0" w:space="0" w:color="auto"/>
        <w:left w:val="none" w:sz="0" w:space="0" w:color="auto"/>
        <w:bottom w:val="none" w:sz="0" w:space="0" w:color="auto"/>
        <w:right w:val="none" w:sz="0" w:space="0" w:color="auto"/>
      </w:divBdr>
    </w:div>
    <w:div w:id="5166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C62D-183B-4777-ADEB-7D585599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3569</Characters>
  <Application>Microsoft Office Word</Application>
  <DocSecurity>0</DocSecurity>
  <Lines>87</Lines>
  <Paragraphs>36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dcterms:created xsi:type="dcterms:W3CDTF">2020-08-24T01:01:00Z</dcterms:created>
  <dcterms:modified xsi:type="dcterms:W3CDTF">2020-08-24T01:01:00Z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A25963543</vt:lpwstr>
  </property>
  <property fmtid="{D5CDD505-2E9C-101B-9397-08002B2CF9AE}" pid="4" name="Objective-Title">
    <vt:lpwstr>Attachment B</vt:lpwstr>
  </property>
  <property fmtid="{D5CDD505-2E9C-101B-9397-08002B2CF9AE}" pid="5" name="Objective-Comment">
    <vt:lpwstr/>
  </property>
  <property fmtid="{D5CDD505-2E9C-101B-9397-08002B2CF9AE}" pid="6" name="Objective-CreationStamp">
    <vt:filetime>2020-07-05T07:43:48Z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2020-08-06T11:15:00Z</vt:filetime>
  </property>
  <property fmtid="{D5CDD505-2E9C-101B-9397-08002B2CF9AE}" pid="10" name="Objective-ModificationStamp">
    <vt:filetime>2020-08-07T00:37:14Z</vt:filetime>
  </property>
  <property fmtid="{D5CDD505-2E9C-101B-9397-08002B2CF9AE}" pid="11" name="Objective-Owner">
    <vt:lpwstr>Craig Weller</vt:lpwstr>
  </property>
  <property fmtid="{D5CDD505-2E9C-101B-9397-08002B2CF9AE}" pid="12" name="Objective-Path">
    <vt:lpwstr>Whole of ACT Government:EPSDD - Environment Planning and Sustainable Development Directorate:07. Ministerial, Cabinet and Government Relations:06. Ministerials:2020 - Ministerial and Chief Ministerial Briefs / Correspondence:Planning Delivery:07. July:20/</vt:lpwstr>
  </property>
  <property fmtid="{D5CDD505-2E9C-101B-9397-08002B2CF9AE}" pid="13" name="Objective-Parent">
    <vt:lpwstr>20/42855 Ministerial - Information Brief - Final Package - DA exemptions for drought assistance</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1-2020/42855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