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F535" w14:textId="77777777" w:rsidR="005D1766" w:rsidRPr="00655AEC" w:rsidRDefault="005D1766" w:rsidP="005D1766">
      <w:pPr>
        <w:spacing w:before="120"/>
      </w:pPr>
      <w:bookmarkStart w:id="0" w:name="_GoBack"/>
      <w:bookmarkEnd w:id="0"/>
      <w:r w:rsidRPr="00655AEC">
        <w:t>Australian Capital Territory</w:t>
      </w:r>
    </w:p>
    <w:p w14:paraId="54A4DFF3" w14:textId="1A4978DE" w:rsidR="00964388" w:rsidRPr="00655AEC" w:rsidRDefault="00130983" w:rsidP="00964388">
      <w:pPr>
        <w:pStyle w:val="Billname"/>
        <w:spacing w:before="700"/>
      </w:pPr>
      <w:r w:rsidRPr="00655AEC">
        <w:t>Liquor</w:t>
      </w:r>
      <w:r w:rsidR="0002106D" w:rsidRPr="00655AEC">
        <w:t xml:space="preserve"> (Fees) Determination </w:t>
      </w:r>
      <w:r w:rsidR="009D14F6" w:rsidRPr="00655AEC">
        <w:t>20</w:t>
      </w:r>
      <w:r w:rsidR="008B6BA5" w:rsidRPr="00655AEC">
        <w:t>20</w:t>
      </w:r>
      <w:r w:rsidR="004A253B">
        <w:t xml:space="preserve"> (No 2)</w:t>
      </w:r>
    </w:p>
    <w:p w14:paraId="5430441E" w14:textId="53B354E6" w:rsidR="00964388" w:rsidRPr="00655AEC" w:rsidRDefault="0002106D" w:rsidP="00964388">
      <w:pPr>
        <w:spacing w:before="240" w:after="60"/>
        <w:rPr>
          <w:b/>
          <w:bCs/>
        </w:rPr>
      </w:pPr>
      <w:r w:rsidRPr="00655AEC">
        <w:rPr>
          <w:b/>
          <w:bCs/>
        </w:rPr>
        <w:t xml:space="preserve">Disallowable instrument </w:t>
      </w:r>
      <w:r w:rsidR="0031080F" w:rsidRPr="00655AEC">
        <w:rPr>
          <w:b/>
          <w:bCs/>
        </w:rPr>
        <w:t>DI20</w:t>
      </w:r>
      <w:r w:rsidR="008B6BA5" w:rsidRPr="00655AEC">
        <w:rPr>
          <w:b/>
          <w:bCs/>
        </w:rPr>
        <w:t>20</w:t>
      </w:r>
      <w:r w:rsidR="0031080F" w:rsidRPr="00655AEC">
        <w:rPr>
          <w:b/>
          <w:bCs/>
        </w:rPr>
        <w:t>–</w:t>
      </w:r>
      <w:r w:rsidR="00842BE3">
        <w:rPr>
          <w:b/>
          <w:bCs/>
        </w:rPr>
        <w:t>236</w:t>
      </w:r>
    </w:p>
    <w:p w14:paraId="5AB220BE" w14:textId="77777777" w:rsidR="00964388" w:rsidRPr="00655AEC" w:rsidRDefault="00964388" w:rsidP="001A7C23">
      <w:pPr>
        <w:pStyle w:val="madeunder"/>
        <w:rPr>
          <w:rFonts w:ascii="Times New Roman" w:hAnsi="Times New Roman" w:cs="Times New Roman"/>
        </w:rPr>
      </w:pPr>
      <w:r w:rsidRPr="00655AEC">
        <w:rPr>
          <w:rFonts w:ascii="Times New Roman" w:hAnsi="Times New Roman" w:cs="Times New Roman"/>
        </w:rPr>
        <w:t xml:space="preserve">made under the </w:t>
      </w:r>
    </w:p>
    <w:p w14:paraId="7E9EFDCC" w14:textId="77777777" w:rsidR="00130983" w:rsidRPr="00655AEC" w:rsidRDefault="00130983" w:rsidP="001A7C23">
      <w:pPr>
        <w:pStyle w:val="CoverActName"/>
        <w:spacing w:before="180"/>
        <w:rPr>
          <w:sz w:val="20"/>
          <w:szCs w:val="20"/>
        </w:rPr>
      </w:pPr>
      <w:r w:rsidRPr="00655AEC">
        <w:rPr>
          <w:sz w:val="20"/>
          <w:szCs w:val="20"/>
        </w:rPr>
        <w:t>Liquor Act 2010</w:t>
      </w:r>
      <w:r w:rsidRPr="00655AEC">
        <w:rPr>
          <w:sz w:val="20"/>
          <w:szCs w:val="20"/>
          <w:lang w:eastAsia="zh-CN"/>
        </w:rPr>
        <w:t>, s</w:t>
      </w:r>
      <w:r w:rsidR="004B1AF9" w:rsidRPr="00655AEC">
        <w:rPr>
          <w:sz w:val="20"/>
          <w:szCs w:val="20"/>
          <w:lang w:eastAsia="zh-CN"/>
        </w:rPr>
        <w:t>ection</w:t>
      </w:r>
      <w:r w:rsidRPr="00655AEC">
        <w:rPr>
          <w:sz w:val="20"/>
          <w:szCs w:val="20"/>
          <w:lang w:eastAsia="zh-CN"/>
        </w:rPr>
        <w:t xml:space="preserve"> 227</w:t>
      </w:r>
      <w:r w:rsidRPr="00655AEC">
        <w:rPr>
          <w:sz w:val="20"/>
          <w:szCs w:val="20"/>
        </w:rPr>
        <w:t xml:space="preserve"> (Determination of fees)</w:t>
      </w:r>
    </w:p>
    <w:p w14:paraId="347B8714" w14:textId="77777777" w:rsidR="00F77CC1" w:rsidRPr="00655AEC" w:rsidRDefault="00F77CC1" w:rsidP="00EE0CC5">
      <w:pPr>
        <w:pStyle w:val="CoverActName"/>
        <w:spacing w:before="0" w:after="0"/>
        <w:rPr>
          <w:sz w:val="20"/>
          <w:szCs w:val="20"/>
        </w:rPr>
      </w:pPr>
    </w:p>
    <w:p w14:paraId="66B15F85" w14:textId="77777777" w:rsidR="00964388" w:rsidRPr="00655AEC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 w:rsidRPr="00655AEC">
        <w:rPr>
          <w:b/>
          <w:bCs/>
          <w:sz w:val="28"/>
          <w:szCs w:val="28"/>
        </w:rPr>
        <w:t>EXPLANATORY STATEMENT</w:t>
      </w:r>
    </w:p>
    <w:p w14:paraId="3DAA5400" w14:textId="77777777" w:rsidR="00964388" w:rsidRPr="00655AEC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4A6556F2" w14:textId="77777777" w:rsidR="00964388" w:rsidRPr="00655AEC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38403625" w14:textId="38DEB68D" w:rsidR="005E55B8" w:rsidRPr="00655AEC" w:rsidRDefault="005E55B8" w:rsidP="005E55B8">
      <w:pPr>
        <w:pStyle w:val="LongTitle"/>
        <w:spacing w:before="0" w:after="0"/>
        <w:rPr>
          <w:color w:val="000000"/>
        </w:rPr>
      </w:pPr>
      <w:r w:rsidRPr="00655AEC">
        <w:rPr>
          <w:color w:val="000000"/>
        </w:rPr>
        <w:t xml:space="preserve">The </w:t>
      </w:r>
      <w:r w:rsidRPr="00655AEC">
        <w:rPr>
          <w:i/>
          <w:color w:val="000000"/>
        </w:rPr>
        <w:t>Liquor Act 2010</w:t>
      </w:r>
      <w:r w:rsidRPr="00655AEC">
        <w:rPr>
          <w:color w:val="000000"/>
        </w:rPr>
        <w:t xml:space="preserve"> (the Act) regulates the supply of liquor in the ACT.</w:t>
      </w:r>
      <w:r w:rsidR="0063441E">
        <w:rPr>
          <w:color w:val="000000"/>
        </w:rPr>
        <w:t xml:space="preserve"> </w:t>
      </w:r>
      <w:r w:rsidRPr="00655AEC">
        <w:rPr>
          <w:color w:val="000000"/>
        </w:rPr>
        <w:t xml:space="preserve">Section 227 of the Act provides that the Minister may determine fees for the Act. </w:t>
      </w:r>
      <w:r w:rsidR="007F609F" w:rsidRPr="007F609F">
        <w:rPr>
          <w:color w:val="000000"/>
        </w:rPr>
        <w:t>The purpose of this instrument is to determine the fees under the Act for the 2020-21 financial year.</w:t>
      </w:r>
    </w:p>
    <w:p w14:paraId="126A0648" w14:textId="77777777" w:rsidR="005E55B8" w:rsidRPr="00655AEC" w:rsidRDefault="005E55B8" w:rsidP="005E55B8">
      <w:pPr>
        <w:pStyle w:val="LongTitle"/>
        <w:spacing w:before="0" w:after="0"/>
        <w:rPr>
          <w:color w:val="000000"/>
        </w:rPr>
      </w:pPr>
    </w:p>
    <w:p w14:paraId="16968832" w14:textId="08171170" w:rsidR="00D44FD5" w:rsidRPr="00D44FD5" w:rsidRDefault="00D44FD5" w:rsidP="004A253B">
      <w:pPr>
        <w:pStyle w:val="LongTitle"/>
        <w:spacing w:before="0" w:after="0"/>
        <w:rPr>
          <w:i/>
          <w:iCs/>
          <w:color w:val="000000"/>
        </w:rPr>
      </w:pPr>
      <w:r w:rsidRPr="00D44FD5">
        <w:rPr>
          <w:i/>
          <w:iCs/>
          <w:color w:val="000000"/>
        </w:rPr>
        <w:t>Commencement</w:t>
      </w:r>
      <w:r w:rsidR="00235F2F">
        <w:rPr>
          <w:i/>
          <w:iCs/>
          <w:color w:val="000000"/>
        </w:rPr>
        <w:t xml:space="preserve"> and revocation</w:t>
      </w:r>
    </w:p>
    <w:p w14:paraId="4D0CAD13" w14:textId="79C472A8" w:rsidR="00AD590E" w:rsidRDefault="004A253B" w:rsidP="004A253B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This</w:t>
      </w:r>
      <w:r w:rsidRPr="00B756F3">
        <w:rPr>
          <w:color w:val="000000"/>
        </w:rPr>
        <w:t xml:space="preserve"> </w:t>
      </w:r>
      <w:r w:rsidR="00041143">
        <w:rPr>
          <w:color w:val="000000"/>
        </w:rPr>
        <w:t xml:space="preserve">instrument </w:t>
      </w:r>
      <w:r>
        <w:rPr>
          <w:color w:val="000000"/>
        </w:rPr>
        <w:t xml:space="preserve">commences </w:t>
      </w:r>
      <w:r w:rsidR="00AD590E">
        <w:rPr>
          <w:color w:val="000000"/>
        </w:rPr>
        <w:t xml:space="preserve">on </w:t>
      </w:r>
      <w:r w:rsidR="00AD590E" w:rsidRPr="00AD590E">
        <w:rPr>
          <w:color w:val="000000"/>
        </w:rPr>
        <w:t xml:space="preserve">the commencement of the </w:t>
      </w:r>
      <w:r w:rsidR="00AD590E" w:rsidRPr="00AD590E">
        <w:rPr>
          <w:i/>
          <w:iCs/>
          <w:color w:val="000000"/>
        </w:rPr>
        <w:t>Justice Legislation Amendment Act 2020</w:t>
      </w:r>
      <w:r w:rsidR="00AD590E" w:rsidRPr="00AD590E">
        <w:rPr>
          <w:color w:val="000000"/>
        </w:rPr>
        <w:t xml:space="preserve">, part </w:t>
      </w:r>
      <w:r w:rsidR="00C560BD">
        <w:rPr>
          <w:color w:val="000000"/>
        </w:rPr>
        <w:t>20</w:t>
      </w:r>
      <w:r w:rsidR="00AD590E" w:rsidRPr="00AD590E">
        <w:rPr>
          <w:color w:val="000000"/>
        </w:rPr>
        <w:t xml:space="preserve"> (</w:t>
      </w:r>
      <w:r w:rsidR="00AD590E" w:rsidRPr="00BE741D">
        <w:rPr>
          <w:i/>
          <w:iCs/>
          <w:color w:val="000000"/>
        </w:rPr>
        <w:t>Liquor Act 2010</w:t>
      </w:r>
      <w:r w:rsidR="00AD590E" w:rsidRPr="00AD590E">
        <w:rPr>
          <w:color w:val="000000"/>
        </w:rPr>
        <w:t>)</w:t>
      </w:r>
      <w:r w:rsidR="00074C75">
        <w:rPr>
          <w:color w:val="000000"/>
        </w:rPr>
        <w:t>.</w:t>
      </w:r>
    </w:p>
    <w:p w14:paraId="61E63A24" w14:textId="77777777" w:rsidR="003D6DD1" w:rsidRDefault="003D6DD1" w:rsidP="004A253B">
      <w:pPr>
        <w:pStyle w:val="LongTitle"/>
        <w:spacing w:before="0" w:after="0"/>
        <w:rPr>
          <w:color w:val="000000"/>
        </w:rPr>
      </w:pPr>
    </w:p>
    <w:p w14:paraId="0F99C5DC" w14:textId="17106233" w:rsidR="004A253B" w:rsidRDefault="009A5AA5" w:rsidP="004A253B">
      <w:pPr>
        <w:pStyle w:val="LongTitle"/>
        <w:spacing w:before="0" w:after="0"/>
        <w:rPr>
          <w:color w:val="000000"/>
        </w:rPr>
      </w:pPr>
      <w:r w:rsidRPr="009A5AA5">
        <w:rPr>
          <w:color w:val="000000"/>
        </w:rPr>
        <w:t xml:space="preserve">This fees determination </w:t>
      </w:r>
      <w:r w:rsidRPr="009A5AA5">
        <w:t xml:space="preserve">revokes the </w:t>
      </w:r>
      <w:r w:rsidRPr="009A5AA5">
        <w:rPr>
          <w:i/>
          <w:iCs/>
        </w:rPr>
        <w:t>Liquor (Fees) Determination 2020</w:t>
      </w:r>
      <w:r w:rsidRPr="009A5AA5">
        <w:t xml:space="preserve"> [DI2020-117].</w:t>
      </w:r>
      <w:r>
        <w:t xml:space="preserve"> </w:t>
      </w:r>
      <w:r w:rsidR="00611BF6" w:rsidRPr="009A5AA5">
        <w:rPr>
          <w:color w:val="000000"/>
        </w:rPr>
        <w:t>The</w:t>
      </w:r>
      <w:r w:rsidR="00074C75">
        <w:rPr>
          <w:color w:val="000000"/>
        </w:rPr>
        <w:t xml:space="preserve"> schedule, item 501 of the</w:t>
      </w:r>
      <w:r w:rsidR="00611BF6" w:rsidRPr="009A5AA5">
        <w:rPr>
          <w:color w:val="000000"/>
        </w:rPr>
        <w:t xml:space="preserve"> </w:t>
      </w:r>
      <w:r w:rsidR="00611BF6" w:rsidRPr="009A5AA5">
        <w:rPr>
          <w:i/>
          <w:iCs/>
          <w:color w:val="000000"/>
        </w:rPr>
        <w:t xml:space="preserve">Liquor (Fees) Determination 2019 </w:t>
      </w:r>
      <w:r w:rsidR="003A0234" w:rsidRPr="009A5AA5">
        <w:rPr>
          <w:color w:val="000000"/>
        </w:rPr>
        <w:t>[</w:t>
      </w:r>
      <w:r w:rsidR="00611BF6" w:rsidRPr="009A5AA5">
        <w:rPr>
          <w:color w:val="000000"/>
        </w:rPr>
        <w:t>DI2019-159</w:t>
      </w:r>
      <w:r w:rsidR="003A0234" w:rsidRPr="009A5AA5">
        <w:rPr>
          <w:color w:val="000000"/>
        </w:rPr>
        <w:t xml:space="preserve">], </w:t>
      </w:r>
      <w:r w:rsidRPr="009A5AA5">
        <w:rPr>
          <w:color w:val="000000"/>
        </w:rPr>
        <w:t>is</w:t>
      </w:r>
      <w:r w:rsidR="00611BF6" w:rsidRPr="009A5AA5">
        <w:rPr>
          <w:color w:val="000000"/>
        </w:rPr>
        <w:t xml:space="preserve"> revoked </w:t>
      </w:r>
      <w:r w:rsidRPr="009A5AA5">
        <w:rPr>
          <w:color w:val="000000"/>
        </w:rPr>
        <w:t>by</w:t>
      </w:r>
      <w:r w:rsidR="003D6DD1" w:rsidRPr="009A5AA5">
        <w:rPr>
          <w:color w:val="000000"/>
        </w:rPr>
        <w:t xml:space="preserve"> </w:t>
      </w:r>
      <w:r w:rsidR="00C44FAB">
        <w:rPr>
          <w:color w:val="000000"/>
        </w:rPr>
        <w:t xml:space="preserve">the </w:t>
      </w:r>
      <w:r w:rsidR="003D6DD1" w:rsidRPr="009A5AA5">
        <w:rPr>
          <w:color w:val="000000"/>
        </w:rPr>
        <w:t xml:space="preserve">new </w:t>
      </w:r>
      <w:r w:rsidR="00C44FAB">
        <w:rPr>
          <w:color w:val="000000"/>
        </w:rPr>
        <w:t xml:space="preserve">transitional </w:t>
      </w:r>
      <w:r w:rsidR="003D6DD1" w:rsidRPr="009A5AA5">
        <w:rPr>
          <w:color w:val="000000"/>
        </w:rPr>
        <w:t xml:space="preserve">section 271 of the </w:t>
      </w:r>
      <w:r w:rsidR="003D6DD1" w:rsidRPr="009A5AA5">
        <w:rPr>
          <w:i/>
          <w:iCs/>
          <w:color w:val="000000"/>
        </w:rPr>
        <w:t>Liquor Act</w:t>
      </w:r>
      <w:r w:rsidR="003D6DD1" w:rsidRPr="009A5AA5">
        <w:rPr>
          <w:color w:val="000000"/>
        </w:rPr>
        <w:t>.</w:t>
      </w:r>
    </w:p>
    <w:p w14:paraId="2F015DE5" w14:textId="261844F1" w:rsidR="00502AB2" w:rsidRDefault="00502AB2" w:rsidP="005E55B8">
      <w:pPr>
        <w:pStyle w:val="LongTitle"/>
        <w:spacing w:before="0" w:after="0"/>
      </w:pPr>
    </w:p>
    <w:p w14:paraId="31913F94" w14:textId="468A5B44" w:rsidR="0063441E" w:rsidRDefault="00BD59D7" w:rsidP="005E55B8">
      <w:pPr>
        <w:pStyle w:val="LongTitle"/>
        <w:spacing w:before="0" w:after="0"/>
        <w:rPr>
          <w:i/>
          <w:iCs/>
        </w:rPr>
      </w:pPr>
      <w:r>
        <w:rPr>
          <w:i/>
          <w:iCs/>
        </w:rPr>
        <w:t>Annual licence fees</w:t>
      </w:r>
    </w:p>
    <w:p w14:paraId="0D0A5C1A" w14:textId="0F25C853" w:rsidR="0063441E" w:rsidRDefault="00074C75" w:rsidP="005E55B8">
      <w:pPr>
        <w:pStyle w:val="LongTitle"/>
        <w:spacing w:before="0" w:after="0"/>
        <w:rPr>
          <w:i/>
          <w:iCs/>
          <w:color w:val="000000"/>
        </w:rPr>
      </w:pPr>
      <w:r>
        <w:rPr>
          <w:color w:val="000000"/>
        </w:rPr>
        <w:t xml:space="preserve">Consistent with </w:t>
      </w:r>
      <w:r w:rsidR="00BD59D7">
        <w:rPr>
          <w:color w:val="000000"/>
        </w:rPr>
        <w:t xml:space="preserve">the amendments to the </w:t>
      </w:r>
      <w:r w:rsidR="00BD59D7" w:rsidRPr="00A14791">
        <w:rPr>
          <w:i/>
          <w:iCs/>
          <w:color w:val="000000"/>
        </w:rPr>
        <w:t>Liquor Act 2010</w:t>
      </w:r>
      <w:r w:rsidR="00BD59D7">
        <w:rPr>
          <w:color w:val="000000"/>
        </w:rPr>
        <w:t xml:space="preserve"> made by the </w:t>
      </w:r>
      <w:r w:rsidR="00BD59D7" w:rsidRPr="00BD59D7">
        <w:rPr>
          <w:i/>
          <w:iCs/>
          <w:color w:val="000000"/>
        </w:rPr>
        <w:t>Justice Legislation Amendment Act 2020</w:t>
      </w:r>
      <w:r w:rsidR="00BD59D7">
        <w:rPr>
          <w:color w:val="000000"/>
        </w:rPr>
        <w:t xml:space="preserve"> </w:t>
      </w:r>
      <w:r w:rsidR="009779C0">
        <w:rPr>
          <w:color w:val="000000"/>
        </w:rPr>
        <w:t xml:space="preserve">item </w:t>
      </w:r>
      <w:r w:rsidR="005556BD">
        <w:rPr>
          <w:color w:val="000000"/>
        </w:rPr>
        <w:t>501</w:t>
      </w:r>
      <w:r w:rsidR="0063441E" w:rsidRPr="0063441E">
        <w:rPr>
          <w:color w:val="000000"/>
        </w:rPr>
        <w:t xml:space="preserve"> </w:t>
      </w:r>
      <w:r w:rsidR="00BD59D7">
        <w:rPr>
          <w:color w:val="000000"/>
        </w:rPr>
        <w:t>refers to annual fees for licences under section 32A of the Liquor Act.</w:t>
      </w:r>
    </w:p>
    <w:p w14:paraId="2F46C7AC" w14:textId="4966E3D5" w:rsidR="003E35DB" w:rsidRDefault="003E35DB" w:rsidP="005E55B8">
      <w:pPr>
        <w:pStyle w:val="LongTitle"/>
        <w:spacing w:before="0" w:after="0"/>
        <w:rPr>
          <w:i/>
          <w:iCs/>
          <w:color w:val="000000"/>
        </w:rPr>
      </w:pPr>
    </w:p>
    <w:p w14:paraId="0B3F2DC3" w14:textId="3782DA2A" w:rsidR="003E35DB" w:rsidRPr="0063441E" w:rsidRDefault="00BD59D7" w:rsidP="005E55B8">
      <w:pPr>
        <w:pStyle w:val="LongTitle"/>
        <w:spacing w:before="0" w:after="0"/>
        <w:rPr>
          <w:color w:val="000000"/>
        </w:rPr>
      </w:pPr>
      <w:r>
        <w:t xml:space="preserve">Consistent with </w:t>
      </w:r>
      <w:r w:rsidR="003E35DB">
        <w:t xml:space="preserve">section 32A of the </w:t>
      </w:r>
      <w:r w:rsidR="003E35DB" w:rsidRPr="003E35DB">
        <w:rPr>
          <w:i/>
          <w:iCs/>
        </w:rPr>
        <w:t>Liquor Act 2010,</w:t>
      </w:r>
      <w:r w:rsidR="003E35DB">
        <w:t xml:space="preserve"> the fee determination provides that the fees for a matter at item 501 (annual fees) of the </w:t>
      </w:r>
      <w:r>
        <w:t>s</w:t>
      </w:r>
      <w:r w:rsidR="003E35DB">
        <w:t xml:space="preserve">chedule </w:t>
      </w:r>
      <w:r w:rsidR="009A5AA5">
        <w:t>to</w:t>
      </w:r>
      <w:r w:rsidR="003E35DB">
        <w:t xml:space="preserve"> the fees determination are payable to the commissioner for fair trading. The fees for all other matters are payable to the Territory.</w:t>
      </w:r>
    </w:p>
    <w:p w14:paraId="13C35BE7" w14:textId="77777777" w:rsidR="0063441E" w:rsidRPr="0063441E" w:rsidRDefault="0063441E" w:rsidP="005E55B8">
      <w:pPr>
        <w:pStyle w:val="LongTitle"/>
        <w:spacing w:before="0" w:after="0"/>
      </w:pPr>
    </w:p>
    <w:p w14:paraId="0C199909" w14:textId="1E2CA3B6" w:rsidR="0063441E" w:rsidRPr="0063441E" w:rsidRDefault="0063441E" w:rsidP="005E55B8">
      <w:pPr>
        <w:pStyle w:val="LongTitle"/>
        <w:spacing w:before="0" w:after="0"/>
        <w:rPr>
          <w:i/>
          <w:iCs/>
        </w:rPr>
      </w:pPr>
      <w:r w:rsidRPr="0063441E">
        <w:rPr>
          <w:i/>
          <w:iCs/>
        </w:rPr>
        <w:t>Reduced annual fees</w:t>
      </w:r>
    </w:p>
    <w:p w14:paraId="5D6918E0" w14:textId="005C8D72" w:rsidR="00BD59D7" w:rsidRDefault="0063441E" w:rsidP="00502AB2">
      <w:pPr>
        <w:pStyle w:val="LongTitle"/>
        <w:spacing w:before="0" w:after="0"/>
      </w:pPr>
      <w:bookmarkStart w:id="1" w:name="_Hlk37239736"/>
      <w:r>
        <w:t>T</w:t>
      </w:r>
      <w:r w:rsidR="00502AB2">
        <w:t xml:space="preserve">his instrument </w:t>
      </w:r>
      <w:r w:rsidR="00BD59D7">
        <w:t>reflects</w:t>
      </w:r>
      <w:r w:rsidR="00502AB2">
        <w:t xml:space="preserve"> </w:t>
      </w:r>
      <w:r>
        <w:t>a 25 per cent reduction in</w:t>
      </w:r>
      <w:r w:rsidR="00502AB2">
        <w:t xml:space="preserve"> annual fees for club licences that permit trading within standard licensed times (i.e. 7am to 12am) and allow for total occupancy loadings of greater than 150 people</w:t>
      </w:r>
      <w:r w:rsidR="009A5AA5">
        <w:t>. R</w:t>
      </w:r>
      <w:r w:rsidR="00502AB2">
        <w:t xml:space="preserve">educed annual fees for club licences that allow for total occupancy loadings of 150 people or less were introduced in the </w:t>
      </w:r>
      <w:r w:rsidR="00502AB2">
        <w:rPr>
          <w:i/>
          <w:iCs/>
        </w:rPr>
        <w:t>Liquor (Fees) Determination 2017</w:t>
      </w:r>
      <w:r w:rsidR="009A5AA5">
        <w:rPr>
          <w:i/>
          <w:iCs/>
        </w:rPr>
        <w:t xml:space="preserve"> </w:t>
      </w:r>
      <w:r w:rsidR="009A5AA5" w:rsidRPr="009A5AA5">
        <w:t>[</w:t>
      </w:r>
      <w:r w:rsidR="009A5AA5">
        <w:t>DI2017-92]</w:t>
      </w:r>
      <w:r w:rsidR="00502AB2">
        <w:t>.</w:t>
      </w:r>
      <w:r w:rsidR="003755F5">
        <w:t xml:space="preserve"> </w:t>
      </w:r>
      <w:r w:rsidR="00C44FAB">
        <w:t xml:space="preserve"> Annual fees for club licences under item 501, are set out at section 4 of this item.  </w:t>
      </w:r>
    </w:p>
    <w:p w14:paraId="3651B82B" w14:textId="77777777" w:rsidR="00BD59D7" w:rsidRDefault="00BD59D7" w:rsidP="00502AB2">
      <w:pPr>
        <w:pStyle w:val="LongTitle"/>
        <w:spacing w:before="0" w:after="0"/>
      </w:pPr>
    </w:p>
    <w:p w14:paraId="11F35D2B" w14:textId="15B1FCD7" w:rsidR="00502AB2" w:rsidRPr="00502AB2" w:rsidRDefault="003755F5" w:rsidP="00502AB2">
      <w:pPr>
        <w:pStyle w:val="LongTitle"/>
        <w:spacing w:before="0" w:after="0"/>
      </w:pPr>
      <w:r>
        <w:lastRenderedPageBreak/>
        <w:t>This instrument also reduce</w:t>
      </w:r>
      <w:r w:rsidR="00BD59D7">
        <w:t>s the</w:t>
      </w:r>
      <w:r>
        <w:t xml:space="preserve"> application fee for catering licences</w:t>
      </w:r>
      <w:r w:rsidR="00BD59D7">
        <w:t xml:space="preserve"> to align the fee</w:t>
      </w:r>
      <w:r w:rsidR="008335B4">
        <w:t xml:space="preserve"> </w:t>
      </w:r>
      <w:r>
        <w:t>with the application fees for on licences, club licences and off licences.</w:t>
      </w:r>
    </w:p>
    <w:p w14:paraId="4049EAA7" w14:textId="77777777" w:rsidR="00502AB2" w:rsidRDefault="00502AB2" w:rsidP="00502AB2">
      <w:pPr>
        <w:pStyle w:val="LongTitle"/>
        <w:spacing w:before="0" w:after="0"/>
      </w:pPr>
    </w:p>
    <w:p w14:paraId="6EBBCCB3" w14:textId="6CB9DCF8" w:rsidR="00502AB2" w:rsidRDefault="00502AB2" w:rsidP="00502AB2">
      <w:pPr>
        <w:pStyle w:val="LongTitle"/>
        <w:spacing w:before="0" w:after="0"/>
        <w:rPr>
          <w:bCs/>
        </w:rPr>
      </w:pPr>
      <w:r w:rsidRPr="00BE600D">
        <w:t xml:space="preserve">The </w:t>
      </w:r>
      <w:r w:rsidR="00C44FAB">
        <w:t xml:space="preserve">other </w:t>
      </w:r>
      <w:r w:rsidRPr="00BE600D">
        <w:t xml:space="preserve">items for which fees are set </w:t>
      </w:r>
      <w:r w:rsidR="008335B4">
        <w:t xml:space="preserve">out </w:t>
      </w:r>
      <w:r w:rsidRPr="00BE600D">
        <w:t xml:space="preserve">in this instrument </w:t>
      </w:r>
      <w:r w:rsidR="00C44FAB">
        <w:t>are otherwise unchanged from the</w:t>
      </w:r>
      <w:r w:rsidRPr="00BE600D">
        <w:t xml:space="preserve"> items in </w:t>
      </w:r>
      <w:r w:rsidR="00E22A74">
        <w:rPr>
          <w:color w:val="000000"/>
        </w:rPr>
        <w:t xml:space="preserve">the </w:t>
      </w:r>
      <w:r w:rsidR="00E22A74" w:rsidRPr="00957792">
        <w:rPr>
          <w:i/>
          <w:iCs/>
          <w:color w:val="000000"/>
        </w:rPr>
        <w:t>Liquor (Fees) Determination 20</w:t>
      </w:r>
      <w:r w:rsidR="00E22A74">
        <w:rPr>
          <w:i/>
          <w:iCs/>
          <w:color w:val="000000"/>
        </w:rPr>
        <w:t>20</w:t>
      </w:r>
      <w:r w:rsidR="00E22A74" w:rsidRPr="00957792">
        <w:rPr>
          <w:color w:val="000000"/>
        </w:rPr>
        <w:t xml:space="preserve"> </w:t>
      </w:r>
      <w:r w:rsidR="00E22A74">
        <w:rPr>
          <w:color w:val="000000"/>
        </w:rPr>
        <w:t>[</w:t>
      </w:r>
      <w:r w:rsidR="00E22A74" w:rsidRPr="00957792">
        <w:rPr>
          <w:color w:val="000000"/>
        </w:rPr>
        <w:t>DI20</w:t>
      </w:r>
      <w:r w:rsidR="00E22A74">
        <w:rPr>
          <w:color w:val="000000"/>
        </w:rPr>
        <w:t>20–117]</w:t>
      </w:r>
      <w:bookmarkEnd w:id="1"/>
      <w:r>
        <w:rPr>
          <w:bCs/>
        </w:rPr>
        <w:t>.</w:t>
      </w:r>
      <w:r w:rsidR="00A1207D">
        <w:rPr>
          <w:bCs/>
        </w:rPr>
        <w:t xml:space="preserve"> </w:t>
      </w:r>
    </w:p>
    <w:p w14:paraId="51C912F8" w14:textId="29E984A5" w:rsidR="0063441E" w:rsidRDefault="0063441E" w:rsidP="00502AB2">
      <w:pPr>
        <w:pStyle w:val="LongTitle"/>
        <w:spacing w:before="0" w:after="0"/>
        <w:rPr>
          <w:bCs/>
        </w:rPr>
      </w:pPr>
    </w:p>
    <w:p w14:paraId="036CAF95" w14:textId="332476B2" w:rsidR="00951BE0" w:rsidRDefault="00951BE0" w:rsidP="0063441E">
      <w:pPr>
        <w:pStyle w:val="LongTitle"/>
        <w:spacing w:before="0" w:after="0"/>
        <w:rPr>
          <w:i/>
          <w:iCs/>
          <w:color w:val="000000"/>
        </w:rPr>
      </w:pPr>
      <w:r>
        <w:rPr>
          <w:i/>
          <w:iCs/>
          <w:color w:val="000000"/>
        </w:rPr>
        <w:t>Micro-producer off</w:t>
      </w:r>
      <w:r w:rsidR="0060613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licence</w:t>
      </w:r>
    </w:p>
    <w:p w14:paraId="10A9C110" w14:textId="095A4C6E" w:rsidR="00951BE0" w:rsidRDefault="00D44FD5" w:rsidP="0063441E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</w:t>
      </w:r>
      <w:r w:rsidRPr="00D44FD5">
        <w:rPr>
          <w:color w:val="000000"/>
        </w:rPr>
        <w:t>h</w:t>
      </w:r>
      <w:r w:rsidR="00F51D6C">
        <w:rPr>
          <w:color w:val="000000"/>
        </w:rPr>
        <w:t xml:space="preserve">e </w:t>
      </w:r>
      <w:r w:rsidR="00F51D6C" w:rsidRPr="00957792">
        <w:rPr>
          <w:i/>
          <w:iCs/>
          <w:color w:val="000000"/>
        </w:rPr>
        <w:t>Liquor (Fees) Determination 20</w:t>
      </w:r>
      <w:r w:rsidR="00F51D6C">
        <w:rPr>
          <w:i/>
          <w:iCs/>
          <w:color w:val="000000"/>
        </w:rPr>
        <w:t>20</w:t>
      </w:r>
      <w:r w:rsidR="00F51D6C" w:rsidRPr="00957792">
        <w:rPr>
          <w:color w:val="000000"/>
        </w:rPr>
        <w:t xml:space="preserve"> </w:t>
      </w:r>
      <w:r w:rsidR="003A0234">
        <w:rPr>
          <w:color w:val="000000"/>
        </w:rPr>
        <w:t>[</w:t>
      </w:r>
      <w:r w:rsidR="00F51D6C" w:rsidRPr="00957792">
        <w:rPr>
          <w:color w:val="000000"/>
        </w:rPr>
        <w:t>DI20</w:t>
      </w:r>
      <w:r w:rsidR="00F51D6C">
        <w:rPr>
          <w:color w:val="000000"/>
        </w:rPr>
        <w:t>20</w:t>
      </w:r>
      <w:r w:rsidR="006F765C">
        <w:rPr>
          <w:color w:val="000000"/>
        </w:rPr>
        <w:t>–</w:t>
      </w:r>
      <w:r w:rsidR="00F51D6C">
        <w:rPr>
          <w:color w:val="000000"/>
        </w:rPr>
        <w:t>117</w:t>
      </w:r>
      <w:r w:rsidR="003A0234">
        <w:rPr>
          <w:color w:val="000000"/>
        </w:rPr>
        <w:t>]</w:t>
      </w:r>
      <w:r w:rsidR="003A0234" w:rsidRPr="00D44FD5">
        <w:rPr>
          <w:color w:val="000000"/>
        </w:rPr>
        <w:t xml:space="preserve"> </w:t>
      </w:r>
      <w:r w:rsidR="00F51D6C">
        <w:rPr>
          <w:color w:val="000000"/>
        </w:rPr>
        <w:t xml:space="preserve">introduced </w:t>
      </w:r>
      <w:r w:rsidRPr="00D44FD5">
        <w:rPr>
          <w:color w:val="000000"/>
        </w:rPr>
        <w:t xml:space="preserve">a new fee category for a </w:t>
      </w:r>
      <w:r w:rsidRPr="00D44FD5">
        <w:rPr>
          <w:i/>
          <w:iCs/>
          <w:color w:val="000000"/>
        </w:rPr>
        <w:t>first year micro-producer off licence</w:t>
      </w:r>
      <w:r>
        <w:rPr>
          <w:color w:val="000000"/>
        </w:rPr>
        <w:t xml:space="preserve"> </w:t>
      </w:r>
      <w:r w:rsidRPr="00D44FD5">
        <w:rPr>
          <w:color w:val="000000"/>
        </w:rPr>
        <w:t>that reflects a fee that is 1</w:t>
      </w:r>
      <w:r w:rsidR="00F52A6E">
        <w:rPr>
          <w:color w:val="000000"/>
        </w:rPr>
        <w:t>0 per cent</w:t>
      </w:r>
      <w:r w:rsidRPr="00D44FD5">
        <w:rPr>
          <w:color w:val="000000"/>
        </w:rPr>
        <w:t xml:space="preserve"> of the application fee for an off-licence</w:t>
      </w:r>
      <w:r w:rsidR="00A63C7F">
        <w:rPr>
          <w:color w:val="000000"/>
        </w:rPr>
        <w:t>.</w:t>
      </w:r>
      <w:r w:rsidRPr="00D44FD5">
        <w:rPr>
          <w:color w:val="000000"/>
        </w:rPr>
        <w:t xml:space="preserve"> The meaning of </w:t>
      </w:r>
      <w:r w:rsidRPr="00E22A74">
        <w:rPr>
          <w:i/>
          <w:iCs/>
          <w:color w:val="000000"/>
        </w:rPr>
        <w:t>first year micro-producer off licence</w:t>
      </w:r>
      <w:r>
        <w:rPr>
          <w:color w:val="000000"/>
        </w:rPr>
        <w:t xml:space="preserve"> </w:t>
      </w:r>
      <w:r w:rsidRPr="00D44FD5">
        <w:rPr>
          <w:color w:val="000000"/>
        </w:rPr>
        <w:t>and eligibility</w:t>
      </w:r>
      <w:r w:rsidR="00A63C7F">
        <w:rPr>
          <w:color w:val="000000"/>
        </w:rPr>
        <w:t xml:space="preserve"> requirements</w:t>
      </w:r>
      <w:r w:rsidRPr="00D44FD5">
        <w:rPr>
          <w:color w:val="000000"/>
        </w:rPr>
        <w:t xml:space="preserve"> for the reduced fee is set out in the </w:t>
      </w:r>
      <w:r w:rsidRPr="00D44FD5">
        <w:rPr>
          <w:i/>
          <w:iCs/>
          <w:color w:val="000000"/>
        </w:rPr>
        <w:t>Liquor Amendment Regulation 2020</w:t>
      </w:r>
      <w:r w:rsidR="009C4754">
        <w:rPr>
          <w:i/>
          <w:iCs/>
          <w:color w:val="000000"/>
        </w:rPr>
        <w:t xml:space="preserve"> </w:t>
      </w:r>
      <w:r w:rsidRPr="00D44FD5">
        <w:rPr>
          <w:i/>
          <w:iCs/>
          <w:color w:val="000000"/>
        </w:rPr>
        <w:t>(No 2)</w:t>
      </w:r>
      <w:r>
        <w:rPr>
          <w:color w:val="000000"/>
        </w:rPr>
        <w:t xml:space="preserve"> </w:t>
      </w:r>
      <w:r w:rsidR="009C4754">
        <w:rPr>
          <w:color w:val="000000"/>
        </w:rPr>
        <w:t>[SL2020</w:t>
      </w:r>
      <w:r w:rsidR="006F765C">
        <w:rPr>
          <w:color w:val="000000"/>
        </w:rPr>
        <w:t>–</w:t>
      </w:r>
      <w:r w:rsidR="009C4754">
        <w:rPr>
          <w:color w:val="000000"/>
        </w:rPr>
        <w:t xml:space="preserve">19] </w:t>
      </w:r>
      <w:r w:rsidRPr="00D44FD5">
        <w:rPr>
          <w:color w:val="000000"/>
        </w:rPr>
        <w:t>and</w:t>
      </w:r>
      <w:r>
        <w:rPr>
          <w:color w:val="000000"/>
        </w:rPr>
        <w:t xml:space="preserve"> </w:t>
      </w:r>
      <w:r w:rsidR="00A63C7F">
        <w:rPr>
          <w:color w:val="000000"/>
        </w:rPr>
        <w:t>is reflected in</w:t>
      </w:r>
      <w:r w:rsidRPr="00D44FD5">
        <w:rPr>
          <w:color w:val="000000"/>
        </w:rPr>
        <w:t xml:space="preserve"> this instrument</w:t>
      </w:r>
      <w:r w:rsidR="0052708D">
        <w:rPr>
          <w:color w:val="000000"/>
        </w:rPr>
        <w:t>.</w:t>
      </w:r>
    </w:p>
    <w:p w14:paraId="574DF089" w14:textId="6411919B" w:rsidR="0052708D" w:rsidRDefault="0052708D" w:rsidP="0063441E">
      <w:pPr>
        <w:pStyle w:val="LongTitle"/>
        <w:spacing w:before="0" w:after="0"/>
        <w:rPr>
          <w:color w:val="000000"/>
        </w:rPr>
      </w:pPr>
    </w:p>
    <w:p w14:paraId="110BDF59" w14:textId="08829528" w:rsidR="0052708D" w:rsidRPr="00AA3DA3" w:rsidRDefault="00EC729D" w:rsidP="0063441E">
      <w:pPr>
        <w:pStyle w:val="LongTitle"/>
        <w:spacing w:before="0" w:after="0"/>
        <w:rPr>
          <w:i/>
          <w:iCs/>
          <w:color w:val="000000"/>
        </w:rPr>
      </w:pPr>
      <w:r>
        <w:rPr>
          <w:i/>
          <w:iCs/>
          <w:color w:val="000000"/>
        </w:rPr>
        <w:t>Interaction of f</w:t>
      </w:r>
      <w:r w:rsidR="0052708D" w:rsidRPr="0052708D">
        <w:rPr>
          <w:i/>
          <w:iCs/>
          <w:color w:val="000000"/>
        </w:rPr>
        <w:t xml:space="preserve">ee </w:t>
      </w:r>
      <w:r w:rsidR="0052708D" w:rsidRPr="00AA3DA3">
        <w:rPr>
          <w:i/>
          <w:iCs/>
          <w:color w:val="000000"/>
        </w:rPr>
        <w:t>waiver</w:t>
      </w:r>
      <w:r w:rsidR="00F65421">
        <w:rPr>
          <w:i/>
          <w:iCs/>
          <w:color w:val="000000"/>
        </w:rPr>
        <w:t xml:space="preserve"> instruments</w:t>
      </w:r>
      <w:r w:rsidR="009A2E19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with fees determination instruments</w:t>
      </w:r>
    </w:p>
    <w:p w14:paraId="097F23E2" w14:textId="2857C374" w:rsidR="000F4778" w:rsidRDefault="0052708D" w:rsidP="0063441E">
      <w:pPr>
        <w:pStyle w:val="LongTitle"/>
        <w:spacing w:before="0" w:after="0"/>
        <w:rPr>
          <w:color w:val="000000"/>
        </w:rPr>
      </w:pPr>
      <w:r w:rsidRPr="00AA3DA3">
        <w:rPr>
          <w:color w:val="000000"/>
        </w:rPr>
        <w:t xml:space="preserve">In response to the COVID-19 health emergency, the </w:t>
      </w:r>
      <w:r w:rsidR="00AA3DA3" w:rsidRPr="00AA3DA3">
        <w:rPr>
          <w:i/>
          <w:iCs/>
          <w:color w:val="000000"/>
        </w:rPr>
        <w:t>Liquor R</w:t>
      </w:r>
      <w:r w:rsidRPr="00AA3DA3">
        <w:rPr>
          <w:i/>
          <w:iCs/>
          <w:color w:val="000000"/>
        </w:rPr>
        <w:t xml:space="preserve">egulation </w:t>
      </w:r>
      <w:r w:rsidR="00AA3DA3" w:rsidRPr="00AA3DA3">
        <w:rPr>
          <w:i/>
          <w:iCs/>
          <w:color w:val="000000"/>
        </w:rPr>
        <w:t>2010</w:t>
      </w:r>
      <w:r w:rsidR="00AA3DA3" w:rsidRPr="00AA3DA3">
        <w:rPr>
          <w:color w:val="000000"/>
        </w:rPr>
        <w:t xml:space="preserve"> was amended to</w:t>
      </w:r>
      <w:r w:rsidRPr="00AA3DA3">
        <w:rPr>
          <w:color w:val="000000"/>
        </w:rPr>
        <w:t xml:space="preserve"> allow the </w:t>
      </w:r>
      <w:r w:rsidR="00AA3DA3" w:rsidRPr="00AA3DA3">
        <w:rPr>
          <w:color w:val="000000"/>
        </w:rPr>
        <w:t>C</w:t>
      </w:r>
      <w:r w:rsidRPr="00AA3DA3">
        <w:rPr>
          <w:color w:val="000000"/>
        </w:rPr>
        <w:t xml:space="preserve">ommissioner </w:t>
      </w:r>
      <w:r w:rsidR="00AA3DA3" w:rsidRPr="00AA3DA3">
        <w:rPr>
          <w:color w:val="000000"/>
        </w:rPr>
        <w:t>for Fair Trading</w:t>
      </w:r>
      <w:r w:rsidR="009C4754">
        <w:rPr>
          <w:color w:val="000000"/>
        </w:rPr>
        <w:t xml:space="preserve"> (the commissioner)</w:t>
      </w:r>
      <w:r w:rsidR="00AA3DA3" w:rsidRPr="00AA3DA3">
        <w:rPr>
          <w:color w:val="000000"/>
        </w:rPr>
        <w:t xml:space="preserve"> </w:t>
      </w:r>
      <w:r w:rsidRPr="00AA3DA3">
        <w:rPr>
          <w:color w:val="000000"/>
        </w:rPr>
        <w:t>to make a</w:t>
      </w:r>
      <w:r w:rsidR="00AA3DA3">
        <w:rPr>
          <w:color w:val="000000"/>
        </w:rPr>
        <w:t xml:space="preserve"> declaration waiving a fee payable </w:t>
      </w:r>
      <w:r w:rsidR="0089240D">
        <w:rPr>
          <w:color w:val="000000"/>
        </w:rPr>
        <w:t xml:space="preserve">under the Liquor Fees Determination </w:t>
      </w:r>
      <w:r w:rsidR="00AA3DA3">
        <w:rPr>
          <w:color w:val="000000"/>
        </w:rPr>
        <w:t>in relation to a</w:t>
      </w:r>
      <w:r w:rsidR="00CD1BFF">
        <w:rPr>
          <w:color w:val="000000"/>
        </w:rPr>
        <w:t xml:space="preserve"> category of</w:t>
      </w:r>
      <w:r w:rsidR="00AA3DA3">
        <w:rPr>
          <w:color w:val="000000"/>
        </w:rPr>
        <w:t xml:space="preserve"> licence or permit</w:t>
      </w:r>
      <w:r w:rsidR="00CD1BFF">
        <w:rPr>
          <w:color w:val="000000"/>
        </w:rPr>
        <w:t>. This power is exercisable</w:t>
      </w:r>
      <w:r w:rsidR="00AA3DA3">
        <w:rPr>
          <w:color w:val="000000"/>
        </w:rPr>
        <w:t xml:space="preserve"> if the fee is payable during a COVID-19 emergency (or 12 months following a COVID-19 emergency) and the </w:t>
      </w:r>
      <w:r w:rsidR="009C4754">
        <w:rPr>
          <w:color w:val="000000"/>
        </w:rPr>
        <w:t>c</w:t>
      </w:r>
      <w:r w:rsidR="00AA3DA3">
        <w:rPr>
          <w:color w:val="000000"/>
        </w:rPr>
        <w:t xml:space="preserve">ommissioner considers the waiver </w:t>
      </w:r>
      <w:r w:rsidR="00063692">
        <w:rPr>
          <w:color w:val="000000"/>
        </w:rPr>
        <w:t>to be</w:t>
      </w:r>
      <w:r w:rsidR="00AA3DA3">
        <w:rPr>
          <w:color w:val="000000"/>
        </w:rPr>
        <w:t xml:space="preserve"> appropriate because of the financial impact of the COVID-19 emergency on the business carried on under the licence or permit</w:t>
      </w:r>
      <w:r w:rsidR="00873A37">
        <w:rPr>
          <w:color w:val="000000"/>
        </w:rPr>
        <w:t xml:space="preserve"> (</w:t>
      </w:r>
      <w:r w:rsidR="00873A37" w:rsidRPr="00873A37">
        <w:rPr>
          <w:i/>
          <w:iCs/>
          <w:color w:val="000000"/>
        </w:rPr>
        <w:t>Liquor Regulation 2010</w:t>
      </w:r>
      <w:r w:rsidR="00873A37">
        <w:rPr>
          <w:color w:val="000000"/>
        </w:rPr>
        <w:t xml:space="preserve"> s 35)</w:t>
      </w:r>
      <w:r w:rsidR="00AA3DA3">
        <w:rPr>
          <w:color w:val="000000"/>
        </w:rPr>
        <w:t xml:space="preserve">. </w:t>
      </w:r>
    </w:p>
    <w:p w14:paraId="54C9D597" w14:textId="77777777" w:rsidR="000F4778" w:rsidRDefault="000F4778" w:rsidP="0063441E">
      <w:pPr>
        <w:pStyle w:val="LongTitle"/>
        <w:spacing w:before="0" w:after="0"/>
        <w:rPr>
          <w:color w:val="000000"/>
        </w:rPr>
      </w:pPr>
    </w:p>
    <w:p w14:paraId="16AB31BA" w14:textId="341973CE" w:rsidR="000F4778" w:rsidRDefault="00873A37" w:rsidP="0063441E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Section 35 of the </w:t>
      </w:r>
      <w:r w:rsidRPr="00873A37">
        <w:rPr>
          <w:i/>
          <w:iCs/>
          <w:color w:val="000000"/>
        </w:rPr>
        <w:t>Liquor Regulation</w:t>
      </w:r>
      <w:r>
        <w:rPr>
          <w:i/>
          <w:iCs/>
          <w:color w:val="000000"/>
        </w:rPr>
        <w:t xml:space="preserve"> 2010 </w:t>
      </w:r>
      <w:r>
        <w:rPr>
          <w:color w:val="000000"/>
        </w:rPr>
        <w:t xml:space="preserve">will expire at the end of a 12-month period during which no COVID-19 emergency has been in force, and with it the power of the </w:t>
      </w:r>
      <w:r w:rsidR="000F4778">
        <w:rPr>
          <w:color w:val="000000"/>
        </w:rPr>
        <w:t>c</w:t>
      </w:r>
      <w:r>
        <w:rPr>
          <w:color w:val="000000"/>
        </w:rPr>
        <w:t>ommissioner to make</w:t>
      </w:r>
      <w:r w:rsidR="000F4778">
        <w:rPr>
          <w:color w:val="000000"/>
        </w:rPr>
        <w:t xml:space="preserve"> fee waivers under th</w:t>
      </w:r>
      <w:r w:rsidR="00E22A74">
        <w:rPr>
          <w:color w:val="000000"/>
        </w:rPr>
        <w:t>at</w:t>
      </w:r>
      <w:r w:rsidR="000F4778">
        <w:rPr>
          <w:color w:val="000000"/>
        </w:rPr>
        <w:t xml:space="preserve"> section.</w:t>
      </w:r>
      <w:r>
        <w:rPr>
          <w:color w:val="000000"/>
        </w:rPr>
        <w:t xml:space="preserve"> </w:t>
      </w:r>
    </w:p>
    <w:p w14:paraId="3F81C385" w14:textId="77777777" w:rsidR="000F4778" w:rsidRDefault="000F4778" w:rsidP="0063441E">
      <w:pPr>
        <w:pStyle w:val="LongTitle"/>
        <w:spacing w:before="0" w:after="0"/>
        <w:rPr>
          <w:color w:val="000000"/>
        </w:rPr>
      </w:pPr>
    </w:p>
    <w:p w14:paraId="64CEA06E" w14:textId="1024F915" w:rsidR="00D44FD5" w:rsidRDefault="00EC729D" w:rsidP="0063441E">
      <w:pPr>
        <w:pStyle w:val="LongTitle"/>
        <w:spacing w:before="0" w:after="0"/>
        <w:rPr>
          <w:color w:val="000000"/>
        </w:rPr>
      </w:pPr>
      <w:r>
        <w:rPr>
          <w:color w:val="000000"/>
        </w:rPr>
        <w:t>F</w:t>
      </w:r>
      <w:r w:rsidR="00873A37">
        <w:rPr>
          <w:color w:val="000000"/>
        </w:rPr>
        <w:t>ee waiver</w:t>
      </w:r>
      <w:r w:rsidR="006079DC">
        <w:rPr>
          <w:color w:val="000000"/>
        </w:rPr>
        <w:t xml:space="preserve"> declarations,</w:t>
      </w:r>
      <w:r w:rsidR="00873A37">
        <w:rPr>
          <w:color w:val="000000"/>
        </w:rPr>
        <w:t xml:space="preserve"> </w:t>
      </w:r>
      <w:r w:rsidR="009A2E19">
        <w:rPr>
          <w:color w:val="000000"/>
        </w:rPr>
        <w:t xml:space="preserve">made under section 35 of the </w:t>
      </w:r>
      <w:r w:rsidR="009A2E19" w:rsidRPr="009A2E19">
        <w:rPr>
          <w:i/>
          <w:iCs/>
          <w:color w:val="000000"/>
        </w:rPr>
        <w:t>Liquor Regulation 2010</w:t>
      </w:r>
      <w:r w:rsidR="009A2E19">
        <w:rPr>
          <w:color w:val="000000"/>
        </w:rPr>
        <w:t xml:space="preserve"> </w:t>
      </w:r>
      <w:r w:rsidR="00F65421">
        <w:rPr>
          <w:color w:val="000000"/>
        </w:rPr>
        <w:t>such as DI2020-119</w:t>
      </w:r>
      <w:r w:rsidR="006079DC">
        <w:rPr>
          <w:color w:val="000000"/>
        </w:rPr>
        <w:t>, should be read in conjunction with the fee determination.</w:t>
      </w:r>
    </w:p>
    <w:p w14:paraId="0BCA7110" w14:textId="77777777" w:rsidR="0052708D" w:rsidRPr="00D44FD5" w:rsidRDefault="0052708D" w:rsidP="0063441E">
      <w:pPr>
        <w:pStyle w:val="LongTitle"/>
        <w:spacing w:before="0" w:after="0"/>
        <w:rPr>
          <w:color w:val="000000"/>
        </w:rPr>
      </w:pPr>
    </w:p>
    <w:p w14:paraId="52342615" w14:textId="360BF2C1" w:rsidR="0063441E" w:rsidRPr="00655AEC" w:rsidRDefault="0063441E" w:rsidP="0063441E">
      <w:pPr>
        <w:pStyle w:val="LongTitle"/>
        <w:spacing w:before="0" w:after="0"/>
        <w:rPr>
          <w:color w:val="000000"/>
        </w:rPr>
      </w:pPr>
      <w:r w:rsidRPr="0063441E">
        <w:rPr>
          <w:i/>
          <w:iCs/>
          <w:color w:val="000000"/>
        </w:rPr>
        <w:t>Indexation</w:t>
      </w:r>
    </w:p>
    <w:p w14:paraId="35A5E033" w14:textId="49F201E5" w:rsidR="0063441E" w:rsidRDefault="00235F2F" w:rsidP="0063441E">
      <w:pPr>
        <w:pStyle w:val="LongTitle"/>
        <w:spacing w:before="0" w:after="0"/>
      </w:pPr>
      <w:r>
        <w:rPr>
          <w:color w:val="000000"/>
        </w:rPr>
        <w:t>T</w:t>
      </w:r>
      <w:r w:rsidR="006C2D1E">
        <w:rPr>
          <w:color w:val="000000"/>
        </w:rPr>
        <w:t>he</w:t>
      </w:r>
      <w:r w:rsidR="008E1508">
        <w:rPr>
          <w:color w:val="000000"/>
        </w:rPr>
        <w:t xml:space="preserve"> </w:t>
      </w:r>
      <w:r w:rsidR="002A417F">
        <w:rPr>
          <w:color w:val="000000"/>
        </w:rPr>
        <w:t xml:space="preserve">Government has decided that </w:t>
      </w:r>
      <w:r w:rsidR="008E1508">
        <w:rPr>
          <w:color w:val="000000"/>
        </w:rPr>
        <w:t>f</w:t>
      </w:r>
      <w:r w:rsidR="0063441E" w:rsidRPr="00655AEC">
        <w:rPr>
          <w:color w:val="000000"/>
        </w:rPr>
        <w:t xml:space="preserve">ees in the 2020-21 financial year </w:t>
      </w:r>
      <w:r w:rsidR="002A417F">
        <w:rPr>
          <w:color w:val="000000"/>
        </w:rPr>
        <w:t>will be</w:t>
      </w:r>
      <w:r w:rsidR="0063441E" w:rsidRPr="00655AEC">
        <w:rPr>
          <w:color w:val="000000"/>
        </w:rPr>
        <w:t xml:space="preserve"> </w:t>
      </w:r>
      <w:r w:rsidR="00D57112">
        <w:rPr>
          <w:color w:val="000000"/>
        </w:rPr>
        <w:t xml:space="preserve">frozen at the 2019-20 levels and therefore no indexation has been applied. </w:t>
      </w:r>
    </w:p>
    <w:p w14:paraId="26549B3E" w14:textId="77777777" w:rsidR="009B573B" w:rsidRPr="00655AEC" w:rsidRDefault="009B573B" w:rsidP="005E55B8">
      <w:pPr>
        <w:pStyle w:val="LongTitle"/>
        <w:spacing w:before="0" w:after="0"/>
        <w:rPr>
          <w:color w:val="000000"/>
        </w:rPr>
      </w:pPr>
    </w:p>
    <w:p w14:paraId="16D452EC" w14:textId="3604A1A2" w:rsidR="005E55B8" w:rsidRPr="00655AEC" w:rsidRDefault="005E55B8" w:rsidP="005E55B8">
      <w:pPr>
        <w:pStyle w:val="LongTitle"/>
        <w:spacing w:before="0" w:after="0"/>
        <w:rPr>
          <w:color w:val="000000"/>
        </w:rPr>
      </w:pPr>
      <w:r w:rsidRPr="00655AEC">
        <w:rPr>
          <w:color w:val="000000"/>
        </w:rPr>
        <w:t>The Attachment to this explanatory statement sets out the current fee</w:t>
      </w:r>
      <w:r w:rsidR="004A253B">
        <w:rPr>
          <w:color w:val="000000"/>
        </w:rPr>
        <w:t>s</w:t>
      </w:r>
      <w:r w:rsidRPr="00655AEC">
        <w:rPr>
          <w:color w:val="000000"/>
        </w:rPr>
        <w:t xml:space="preserve"> (in column 3) and the new fee</w:t>
      </w:r>
      <w:r w:rsidR="004A253B">
        <w:rPr>
          <w:color w:val="000000"/>
        </w:rPr>
        <w:t>s</w:t>
      </w:r>
      <w:r w:rsidRPr="00655AEC">
        <w:rPr>
          <w:color w:val="000000"/>
        </w:rPr>
        <w:t xml:space="preserve"> (in column 4) to enable a comparison.</w:t>
      </w:r>
    </w:p>
    <w:p w14:paraId="6A7DE074" w14:textId="77777777" w:rsidR="00E6382E" w:rsidRPr="00655AEC" w:rsidRDefault="00E6382E" w:rsidP="005E55B8">
      <w:pPr>
        <w:pStyle w:val="LongTitle"/>
        <w:spacing w:before="0" w:after="0"/>
        <w:rPr>
          <w:color w:val="000000"/>
        </w:rPr>
      </w:pPr>
    </w:p>
    <w:p w14:paraId="466EA7EA" w14:textId="7D007914" w:rsidR="0063441E" w:rsidRPr="0075414C" w:rsidRDefault="005E55B8" w:rsidP="005E55B8">
      <w:pPr>
        <w:pStyle w:val="LongTitle"/>
        <w:spacing w:before="0" w:after="0"/>
        <w:rPr>
          <w:color w:val="000000"/>
        </w:rPr>
      </w:pPr>
      <w:r w:rsidRPr="0075414C">
        <w:rPr>
          <w:color w:val="000000"/>
        </w:rPr>
        <w:t>A determination under section 227 of the Act is a disallowable instrument and must be tabled in the Legislative Assembly.</w:t>
      </w:r>
    </w:p>
    <w:p w14:paraId="5A44A1EC" w14:textId="77777777" w:rsidR="0031080F" w:rsidRPr="00655AEC" w:rsidRDefault="00807DA6">
      <w:pPr>
        <w:spacing w:after="200" w:line="276" w:lineRule="auto"/>
        <w:sectPr w:rsidR="0031080F" w:rsidRPr="00655AEC" w:rsidSect="004B1A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361" w:right="1304" w:bottom="1134" w:left="1304" w:header="720" w:footer="839" w:gutter="0"/>
          <w:pgNumType w:start="1"/>
          <w:cols w:space="720"/>
          <w:titlePg/>
          <w:docGrid w:type="lines" w:linePitch="326"/>
        </w:sectPr>
      </w:pPr>
      <w:r w:rsidRPr="00655AEC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485"/>
        <w:gridCol w:w="3122"/>
        <w:gridCol w:w="3639"/>
      </w:tblGrid>
      <w:tr w:rsidR="00AE2651" w14:paraId="5E66DB18" w14:textId="77777777" w:rsidTr="006179F1">
        <w:tc>
          <w:tcPr>
            <w:tcW w:w="1276" w:type="dxa"/>
            <w:tcBorders>
              <w:bottom w:val="single" w:sz="12" w:space="0" w:color="auto"/>
            </w:tcBorders>
          </w:tcPr>
          <w:p w14:paraId="60B9E3AE" w14:textId="77777777" w:rsidR="00AE2651" w:rsidRPr="00A6590E" w:rsidRDefault="00AE2651">
            <w:pPr>
              <w:rPr>
                <w:rFonts w:ascii="Times New Roman" w:hAnsi="Times New Roman" w:cs="Times New Roman"/>
              </w:rPr>
            </w:pPr>
          </w:p>
          <w:p w14:paraId="6CCD8B69" w14:textId="015357F3" w:rsidR="00A6590E" w:rsidRPr="00A6590E" w:rsidRDefault="00A6590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Column 1</w:t>
            </w: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3FEB61F1" w14:textId="77777777" w:rsidR="00AE2651" w:rsidRPr="00A6590E" w:rsidRDefault="00AE2651">
            <w:pPr>
              <w:rPr>
                <w:rFonts w:ascii="Times New Roman" w:hAnsi="Times New Roman" w:cs="Times New Roman"/>
              </w:rPr>
            </w:pPr>
          </w:p>
          <w:p w14:paraId="246A3D26" w14:textId="29E96084" w:rsidR="00A6590E" w:rsidRPr="00A6590E" w:rsidRDefault="00A6590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Column 2</w:t>
            </w: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1834D865" w14:textId="77777777" w:rsidR="00AE2651" w:rsidRPr="00A6590E" w:rsidRDefault="00AE2651">
            <w:pPr>
              <w:rPr>
                <w:rFonts w:ascii="Times New Roman" w:hAnsi="Times New Roman" w:cs="Times New Roman"/>
              </w:rPr>
            </w:pPr>
          </w:p>
          <w:p w14:paraId="1AB893FA" w14:textId="3643243C" w:rsidR="00A6590E" w:rsidRPr="00A6590E" w:rsidRDefault="00A6590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Column 3</w:t>
            </w: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470B69B3" w14:textId="77777777" w:rsidR="00AE2651" w:rsidRPr="00A6590E" w:rsidRDefault="00AE2651">
            <w:pPr>
              <w:rPr>
                <w:rFonts w:ascii="Times New Roman" w:hAnsi="Times New Roman" w:cs="Times New Roman"/>
              </w:rPr>
            </w:pPr>
          </w:p>
          <w:p w14:paraId="3611A800" w14:textId="5DBB66F9" w:rsidR="00A6590E" w:rsidRPr="00A6590E" w:rsidRDefault="00A6590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Column 4</w:t>
            </w:r>
          </w:p>
        </w:tc>
      </w:tr>
      <w:tr w:rsidR="00AE2651" w14:paraId="73A36777" w14:textId="77777777" w:rsidTr="006179F1">
        <w:tc>
          <w:tcPr>
            <w:tcW w:w="1276" w:type="dxa"/>
            <w:tcBorders>
              <w:top w:val="single" w:sz="12" w:space="0" w:color="auto"/>
            </w:tcBorders>
          </w:tcPr>
          <w:p w14:paraId="2AF0126B" w14:textId="5334C70A" w:rsidR="00AE2651" w:rsidRPr="00A6590E" w:rsidRDefault="00A6590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485" w:type="dxa"/>
            <w:tcBorders>
              <w:top w:val="single" w:sz="12" w:space="0" w:color="auto"/>
            </w:tcBorders>
          </w:tcPr>
          <w:p w14:paraId="56FF5F86" w14:textId="3EF67BA2" w:rsidR="00AE2651" w:rsidRPr="00A6590E" w:rsidRDefault="00A6590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Matter in respect of which fee or charge is payable</w:t>
            </w:r>
          </w:p>
        </w:tc>
        <w:tc>
          <w:tcPr>
            <w:tcW w:w="3122" w:type="dxa"/>
            <w:tcBorders>
              <w:top w:val="single" w:sz="12" w:space="0" w:color="auto"/>
            </w:tcBorders>
          </w:tcPr>
          <w:p w14:paraId="1E006A8E" w14:textId="3D98C5C6" w:rsidR="00AE2651" w:rsidRPr="00A6590E" w:rsidRDefault="00A6590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 Payable in 2019-20</w:t>
            </w: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11047905" w14:textId="0C6AB887" w:rsidR="00AE2651" w:rsidRPr="00A6590E" w:rsidRDefault="00513B4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 Payable in 2020-21</w:t>
            </w:r>
          </w:p>
        </w:tc>
      </w:tr>
      <w:tr w:rsidR="00513B4B" w14:paraId="411C06AC" w14:textId="77777777" w:rsidTr="006179F1">
        <w:tc>
          <w:tcPr>
            <w:tcW w:w="13522" w:type="dxa"/>
            <w:gridSpan w:val="4"/>
            <w:tcBorders>
              <w:bottom w:val="single" w:sz="12" w:space="0" w:color="auto"/>
            </w:tcBorders>
          </w:tcPr>
          <w:p w14:paraId="23EFC9C3" w14:textId="754F8F95" w:rsidR="00513B4B" w:rsidRPr="00513B4B" w:rsidRDefault="00513B4B">
            <w:pPr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513B4B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2"/>
                <w:szCs w:val="22"/>
              </w:rPr>
              <w:t>ANNUAL FEES</w:t>
            </w:r>
          </w:p>
        </w:tc>
      </w:tr>
      <w:tr w:rsidR="00A200E1" w14:paraId="35E808FB" w14:textId="77777777" w:rsidTr="006179F1">
        <w:tc>
          <w:tcPr>
            <w:tcW w:w="1276" w:type="dxa"/>
            <w:tcBorders>
              <w:top w:val="single" w:sz="12" w:space="0" w:color="auto"/>
            </w:tcBorders>
          </w:tcPr>
          <w:p w14:paraId="6B38BD3D" w14:textId="58DFCED8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85" w:type="dxa"/>
            <w:tcBorders>
              <w:top w:val="single" w:sz="12" w:space="0" w:color="auto"/>
            </w:tcBorders>
          </w:tcPr>
          <w:p w14:paraId="7AC0B54F" w14:textId="6CF9EF03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an application for licence under section 25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12" w:space="0" w:color="auto"/>
            </w:tcBorders>
          </w:tcPr>
          <w:p w14:paraId="4DF8841F" w14:textId="350FD6AD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$3,088.00 for general licence</w:t>
            </w: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51F16CCE" w14:textId="5B9C33C9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$3,088.00 for general licence</w:t>
            </w:r>
          </w:p>
        </w:tc>
      </w:tr>
      <w:tr w:rsidR="00A200E1" w14:paraId="7B9F58CF" w14:textId="77777777" w:rsidTr="00A6590E">
        <w:tc>
          <w:tcPr>
            <w:tcW w:w="1276" w:type="dxa"/>
          </w:tcPr>
          <w:p w14:paraId="21AD5F79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13347A14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F3C11ED" w14:textId="3BAB683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$3,088.00 for catering licence</w:t>
            </w:r>
          </w:p>
        </w:tc>
        <w:tc>
          <w:tcPr>
            <w:tcW w:w="3639" w:type="dxa"/>
          </w:tcPr>
          <w:p w14:paraId="1E88A7F0" w14:textId="127B91FF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2,507</w:t>
            </w:r>
            <w:r w:rsidRPr="00C34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catering licence</w:t>
            </w:r>
          </w:p>
        </w:tc>
      </w:tr>
      <w:tr w:rsidR="00A200E1" w14:paraId="171A1576" w14:textId="77777777" w:rsidTr="00A6590E">
        <w:tc>
          <w:tcPr>
            <w:tcW w:w="1276" w:type="dxa"/>
          </w:tcPr>
          <w:p w14:paraId="2B1EE700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B90B0C2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8D9E06F" w14:textId="39C9D6C1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$2,507.00 for on licence</w:t>
            </w:r>
          </w:p>
        </w:tc>
        <w:tc>
          <w:tcPr>
            <w:tcW w:w="3639" w:type="dxa"/>
          </w:tcPr>
          <w:p w14:paraId="3983F9FC" w14:textId="299C8D4C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$2,507.00 for on licence</w:t>
            </w:r>
          </w:p>
        </w:tc>
      </w:tr>
      <w:tr w:rsidR="00A200E1" w14:paraId="62322D07" w14:textId="77777777" w:rsidTr="00A6590E">
        <w:tc>
          <w:tcPr>
            <w:tcW w:w="1276" w:type="dxa"/>
          </w:tcPr>
          <w:p w14:paraId="1BF4EE02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1E5B712F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511E33A" w14:textId="0F407C9D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$2,507.00 for club licence</w:t>
            </w:r>
          </w:p>
        </w:tc>
        <w:tc>
          <w:tcPr>
            <w:tcW w:w="3639" w:type="dxa"/>
          </w:tcPr>
          <w:p w14:paraId="0A470908" w14:textId="75E57625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$2,507.00 for club licence</w:t>
            </w:r>
          </w:p>
        </w:tc>
      </w:tr>
      <w:tr w:rsidR="00A200E1" w14:paraId="3CF20238" w14:textId="77777777" w:rsidTr="00A6590E">
        <w:tc>
          <w:tcPr>
            <w:tcW w:w="1276" w:type="dxa"/>
          </w:tcPr>
          <w:p w14:paraId="7ECBD9C0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D6D9508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1FFB3E88" w14:textId="37F945FD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$2,507.00 for off licence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other than a first year micro-producer off licence</w:t>
            </w:r>
          </w:p>
        </w:tc>
        <w:tc>
          <w:tcPr>
            <w:tcW w:w="3639" w:type="dxa"/>
          </w:tcPr>
          <w:p w14:paraId="049AAD2B" w14:textId="7EF26BF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$2,507.00 for off licence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other than a first year micro-producer off licence</w:t>
            </w:r>
          </w:p>
        </w:tc>
      </w:tr>
      <w:tr w:rsidR="00A200E1" w14:paraId="20AA65D3" w14:textId="77777777" w:rsidTr="00A6590E">
        <w:tc>
          <w:tcPr>
            <w:tcW w:w="1276" w:type="dxa"/>
          </w:tcPr>
          <w:p w14:paraId="5EB60C55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9040920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7ADEC7D8" w14:textId="70FEC22A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$250.70 for a first year micro-producer off licence</w:t>
            </w:r>
          </w:p>
        </w:tc>
        <w:tc>
          <w:tcPr>
            <w:tcW w:w="3639" w:type="dxa"/>
          </w:tcPr>
          <w:p w14:paraId="4FA5A4A6" w14:textId="3524CCC1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$250.70 for a first year micro-producer off licence</w:t>
            </w:r>
          </w:p>
        </w:tc>
      </w:tr>
      <w:tr w:rsidR="00A200E1" w14:paraId="0CCA0FB2" w14:textId="77777777" w:rsidTr="00A6590E">
        <w:tc>
          <w:tcPr>
            <w:tcW w:w="1276" w:type="dxa"/>
          </w:tcPr>
          <w:p w14:paraId="44110A3F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CC2EE5F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D3FAA66" w14:textId="786BBB7E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$3,767.00 for special licence.</w:t>
            </w:r>
          </w:p>
        </w:tc>
        <w:tc>
          <w:tcPr>
            <w:tcW w:w="3639" w:type="dxa"/>
          </w:tcPr>
          <w:p w14:paraId="4E78D682" w14:textId="5FCFE2DA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$3,767.00 for special licence.</w:t>
            </w:r>
          </w:p>
        </w:tc>
      </w:tr>
      <w:tr w:rsidR="00A200E1" w14:paraId="78BA8875" w14:textId="77777777" w:rsidTr="00A200E1">
        <w:tc>
          <w:tcPr>
            <w:tcW w:w="1276" w:type="dxa"/>
          </w:tcPr>
          <w:p w14:paraId="18CF9331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E4E8D79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6965085" w14:textId="77777777" w:rsidR="00A200E1" w:rsidRPr="00655AEC" w:rsidRDefault="00A200E1" w:rsidP="00A20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5F9BD801" w14:textId="453E9DC3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28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(GST is not applicable to any fees for Item 500)</w:t>
            </w:r>
          </w:p>
        </w:tc>
      </w:tr>
      <w:tr w:rsidR="00A200E1" w14:paraId="10D29B8E" w14:textId="77777777" w:rsidTr="00A200E1">
        <w:tc>
          <w:tcPr>
            <w:tcW w:w="1276" w:type="dxa"/>
            <w:tcBorders>
              <w:bottom w:val="single" w:sz="12" w:space="0" w:color="auto"/>
            </w:tcBorders>
          </w:tcPr>
          <w:p w14:paraId="6D6A2E59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1D810FE9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7B4C0F9E" w14:textId="77777777" w:rsidR="00A200E1" w:rsidRPr="00655AEC" w:rsidRDefault="00A200E1" w:rsidP="00A20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30002685" w14:textId="77777777" w:rsidR="00A200E1" w:rsidRPr="006179F1" w:rsidRDefault="00A200E1" w:rsidP="00A200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209" w14:paraId="6CB85FB5" w14:textId="77777777" w:rsidTr="00A200E1">
        <w:tc>
          <w:tcPr>
            <w:tcW w:w="1276" w:type="dxa"/>
            <w:tcBorders>
              <w:top w:val="single" w:sz="12" w:space="0" w:color="auto"/>
            </w:tcBorders>
          </w:tcPr>
          <w:p w14:paraId="36BD9F98" w14:textId="3EBBA6AB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5485" w:type="dxa"/>
            <w:tcBorders>
              <w:top w:val="single" w:sz="12" w:space="0" w:color="auto"/>
            </w:tcBorders>
          </w:tcPr>
          <w:p w14:paraId="23A04963" w14:textId="7E7EC7FB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the renewal of a licence under section 42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12" w:space="0" w:color="auto"/>
            </w:tcBorders>
          </w:tcPr>
          <w:p w14:paraId="572C1329" w14:textId="77777777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50E7EE93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209" w14:paraId="10B42B54" w14:textId="77777777" w:rsidTr="00A6590E">
        <w:tc>
          <w:tcPr>
            <w:tcW w:w="1276" w:type="dxa"/>
          </w:tcPr>
          <w:p w14:paraId="58E8D222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76D257D6" w14:textId="60CAD9FF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1) for on licence--nightclub licence:</w:t>
            </w:r>
          </w:p>
        </w:tc>
        <w:tc>
          <w:tcPr>
            <w:tcW w:w="3122" w:type="dxa"/>
          </w:tcPr>
          <w:p w14:paraId="7E80A5BF" w14:textId="77777777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28639E14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209" w14:paraId="6162767F" w14:textId="77777777" w:rsidTr="00A6590E">
        <w:tc>
          <w:tcPr>
            <w:tcW w:w="1276" w:type="dxa"/>
          </w:tcPr>
          <w:p w14:paraId="4B935CB5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F58654A" w14:textId="611A088A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(a) if total occupancy loading for premises ≤ 80 people </w:t>
            </w:r>
          </w:p>
        </w:tc>
        <w:tc>
          <w:tcPr>
            <w:tcW w:w="3122" w:type="dxa"/>
          </w:tcPr>
          <w:p w14:paraId="2D32CA69" w14:textId="341DE9B5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$3,363.00 for standard licensed times</w:t>
            </w:r>
          </w:p>
        </w:tc>
        <w:tc>
          <w:tcPr>
            <w:tcW w:w="3639" w:type="dxa"/>
          </w:tcPr>
          <w:p w14:paraId="108BE1CF" w14:textId="7A9B8590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$3,363.00 for standard licensed times</w:t>
            </w:r>
          </w:p>
        </w:tc>
      </w:tr>
      <w:tr w:rsidR="00862209" w14:paraId="316F7ED8" w14:textId="77777777" w:rsidTr="00A6590E">
        <w:tc>
          <w:tcPr>
            <w:tcW w:w="1276" w:type="dxa"/>
          </w:tcPr>
          <w:p w14:paraId="4142D7E3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C60F51C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6EA7FE3F" w14:textId="3B5FEA16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$5,604.00 for 1am licensed times</w:t>
            </w:r>
          </w:p>
        </w:tc>
        <w:tc>
          <w:tcPr>
            <w:tcW w:w="3639" w:type="dxa"/>
          </w:tcPr>
          <w:p w14:paraId="3DD1B73D" w14:textId="69A422BC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$5,604.00 for 1am licensed times</w:t>
            </w:r>
          </w:p>
        </w:tc>
      </w:tr>
      <w:tr w:rsidR="00862209" w14:paraId="799E0CE6" w14:textId="77777777" w:rsidTr="00A6590E">
        <w:tc>
          <w:tcPr>
            <w:tcW w:w="1276" w:type="dxa"/>
          </w:tcPr>
          <w:p w14:paraId="6ECD1CC6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DD5CBD8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1DF9F74F" w14:textId="58D570D8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$5,604.00 for 2am licensed times</w:t>
            </w:r>
          </w:p>
        </w:tc>
        <w:tc>
          <w:tcPr>
            <w:tcW w:w="3639" w:type="dxa"/>
          </w:tcPr>
          <w:p w14:paraId="19916360" w14:textId="0F56F38D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$5,604.00 for 2am licensed times</w:t>
            </w:r>
          </w:p>
        </w:tc>
      </w:tr>
      <w:tr w:rsidR="00862209" w14:paraId="301002E5" w14:textId="77777777" w:rsidTr="00A6590E">
        <w:tc>
          <w:tcPr>
            <w:tcW w:w="1276" w:type="dxa"/>
          </w:tcPr>
          <w:p w14:paraId="07763ACD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DBA8763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7E8D4A7" w14:textId="15CA1CFA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$7,473.00 for 3am licensed times</w:t>
            </w:r>
          </w:p>
        </w:tc>
        <w:tc>
          <w:tcPr>
            <w:tcW w:w="3639" w:type="dxa"/>
          </w:tcPr>
          <w:p w14:paraId="1A32F5E5" w14:textId="05C65181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$7,473.00 for 3am licensed times</w:t>
            </w:r>
          </w:p>
        </w:tc>
      </w:tr>
      <w:tr w:rsidR="00862209" w14:paraId="63223F06" w14:textId="77777777" w:rsidTr="00A6590E">
        <w:tc>
          <w:tcPr>
            <w:tcW w:w="1276" w:type="dxa"/>
          </w:tcPr>
          <w:p w14:paraId="778366DA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70DBD4C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523C914" w14:textId="24317B8F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$7,473.00 for 4am licensed times</w:t>
            </w:r>
          </w:p>
        </w:tc>
        <w:tc>
          <w:tcPr>
            <w:tcW w:w="3639" w:type="dxa"/>
          </w:tcPr>
          <w:p w14:paraId="38E5CE25" w14:textId="195DF18C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$7,473.00 for 4am licensed times</w:t>
            </w:r>
          </w:p>
        </w:tc>
      </w:tr>
      <w:tr w:rsidR="00862209" w14:paraId="3611BE0D" w14:textId="77777777" w:rsidTr="00BA7CFB">
        <w:tc>
          <w:tcPr>
            <w:tcW w:w="1276" w:type="dxa"/>
          </w:tcPr>
          <w:p w14:paraId="4781A90E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43F530E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1C62192E" w14:textId="44083E1C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$7,473.00 for 5am licensed times</w:t>
            </w:r>
          </w:p>
        </w:tc>
        <w:tc>
          <w:tcPr>
            <w:tcW w:w="3639" w:type="dxa"/>
          </w:tcPr>
          <w:p w14:paraId="7A6CAC0F" w14:textId="0B437F22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$7,473.00 for 5am licensed times</w:t>
            </w:r>
          </w:p>
        </w:tc>
      </w:tr>
      <w:tr w:rsidR="00862209" w14:paraId="66E7D601" w14:textId="77777777" w:rsidTr="00BA7CFB">
        <w:tc>
          <w:tcPr>
            <w:tcW w:w="1276" w:type="dxa"/>
            <w:tcBorders>
              <w:bottom w:val="single" w:sz="4" w:space="0" w:color="auto"/>
            </w:tcBorders>
          </w:tcPr>
          <w:p w14:paraId="2FD99E98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4AA5EF15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5AD1C581" w14:textId="77777777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3C92CDA4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209" w14:paraId="361AF85A" w14:textId="77777777" w:rsidTr="00BA7CFB">
        <w:tc>
          <w:tcPr>
            <w:tcW w:w="1276" w:type="dxa"/>
            <w:tcBorders>
              <w:top w:val="single" w:sz="4" w:space="0" w:color="auto"/>
            </w:tcBorders>
          </w:tcPr>
          <w:p w14:paraId="6DA43F60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51203F8F" w14:textId="3EC68E78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(b) if total occupancy loading for premises &gt; 80 people but ≤ 150 people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5D332A30" w14:textId="3770EF5A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$4,483.00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0EE65A18" w14:textId="029B2BC9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$4,483.00 for standard licensed times</w:t>
            </w:r>
          </w:p>
        </w:tc>
      </w:tr>
      <w:tr w:rsidR="00862209" w14:paraId="68DA7B0E" w14:textId="77777777" w:rsidTr="00A6590E">
        <w:tc>
          <w:tcPr>
            <w:tcW w:w="1276" w:type="dxa"/>
          </w:tcPr>
          <w:p w14:paraId="6B384FB0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A560F64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0299644C" w14:textId="15EB7A91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$7,848.00 for 1am licensed times</w:t>
            </w:r>
          </w:p>
        </w:tc>
        <w:tc>
          <w:tcPr>
            <w:tcW w:w="3639" w:type="dxa"/>
          </w:tcPr>
          <w:p w14:paraId="51A9597A" w14:textId="05C9B72B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$7,848.00 for 1am licensed times</w:t>
            </w:r>
          </w:p>
        </w:tc>
      </w:tr>
      <w:tr w:rsidR="00862209" w14:paraId="5C4B0CAF" w14:textId="77777777" w:rsidTr="00A6590E">
        <w:tc>
          <w:tcPr>
            <w:tcW w:w="1276" w:type="dxa"/>
          </w:tcPr>
          <w:p w14:paraId="29B40638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7A5F5913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6E919BA" w14:textId="2684905D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$10,092.00 for 2am licensed times</w:t>
            </w:r>
          </w:p>
        </w:tc>
        <w:tc>
          <w:tcPr>
            <w:tcW w:w="3639" w:type="dxa"/>
          </w:tcPr>
          <w:p w14:paraId="278CB6BC" w14:textId="46A30BEA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$10,092.00 for 2am licensed times</w:t>
            </w:r>
          </w:p>
        </w:tc>
      </w:tr>
      <w:tr w:rsidR="00862209" w14:paraId="7AF705C2" w14:textId="77777777" w:rsidTr="00A6590E">
        <w:tc>
          <w:tcPr>
            <w:tcW w:w="1276" w:type="dxa"/>
          </w:tcPr>
          <w:p w14:paraId="061CA2A6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139869D0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9200A2E" w14:textId="780CD876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$16,449.00 for 3am licensed times</w:t>
            </w:r>
          </w:p>
        </w:tc>
        <w:tc>
          <w:tcPr>
            <w:tcW w:w="3639" w:type="dxa"/>
          </w:tcPr>
          <w:p w14:paraId="3D337AB3" w14:textId="1FD91983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$16,449.00 for 3am licensed times</w:t>
            </w:r>
          </w:p>
        </w:tc>
      </w:tr>
      <w:tr w:rsidR="00862209" w14:paraId="5478EBF2" w14:textId="77777777" w:rsidTr="00A6590E">
        <w:tc>
          <w:tcPr>
            <w:tcW w:w="1276" w:type="dxa"/>
          </w:tcPr>
          <w:p w14:paraId="7ABD6979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F842D89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1CD3ADE0" w14:textId="66B466C4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$19,439.00 for 4am licensed times</w:t>
            </w:r>
          </w:p>
        </w:tc>
        <w:tc>
          <w:tcPr>
            <w:tcW w:w="3639" w:type="dxa"/>
          </w:tcPr>
          <w:p w14:paraId="7FC21A53" w14:textId="31D7658A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$19,439.00 for 4am licensed times</w:t>
            </w:r>
          </w:p>
        </w:tc>
      </w:tr>
      <w:tr w:rsidR="00862209" w14:paraId="1D09CD7A" w14:textId="77777777" w:rsidTr="00BA7CFB">
        <w:tc>
          <w:tcPr>
            <w:tcW w:w="1276" w:type="dxa"/>
          </w:tcPr>
          <w:p w14:paraId="7029C192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CF3F2B5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05B2B631" w14:textId="2F5F2E09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$22,430.00 for 5am licensed times</w:t>
            </w:r>
          </w:p>
        </w:tc>
        <w:tc>
          <w:tcPr>
            <w:tcW w:w="3639" w:type="dxa"/>
          </w:tcPr>
          <w:p w14:paraId="34041E43" w14:textId="7175CD02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$22,430.00 for 5am licensed times</w:t>
            </w:r>
          </w:p>
        </w:tc>
      </w:tr>
      <w:tr w:rsidR="00862209" w14:paraId="60B8D22A" w14:textId="77777777" w:rsidTr="00BA7CFB">
        <w:tc>
          <w:tcPr>
            <w:tcW w:w="1276" w:type="dxa"/>
            <w:tcBorders>
              <w:bottom w:val="single" w:sz="4" w:space="0" w:color="auto"/>
            </w:tcBorders>
          </w:tcPr>
          <w:p w14:paraId="37273404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760360F4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AAB793B" w14:textId="77777777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1F56D1BC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209" w14:paraId="55B22D3E" w14:textId="77777777" w:rsidTr="00BA7CFB">
        <w:tc>
          <w:tcPr>
            <w:tcW w:w="1276" w:type="dxa"/>
            <w:tcBorders>
              <w:top w:val="single" w:sz="4" w:space="0" w:color="auto"/>
            </w:tcBorders>
          </w:tcPr>
          <w:p w14:paraId="000BA991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5A74D3AD" w14:textId="6254607E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(c) if total occupancy loading for premises &gt; 150 people but ≤ 350 people 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4EE96FEF" w14:textId="4F46B957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$7,473.00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6C78145D" w14:textId="674122EF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$7,473.00 for standard licensed times</w:t>
            </w:r>
          </w:p>
        </w:tc>
      </w:tr>
      <w:tr w:rsidR="00862209" w14:paraId="4FB31244" w14:textId="77777777" w:rsidTr="00A6590E">
        <w:tc>
          <w:tcPr>
            <w:tcW w:w="1276" w:type="dxa"/>
          </w:tcPr>
          <w:p w14:paraId="31749871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108FBCB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0B0854C" w14:textId="48E60CFB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$14,952.00 for 1am licensed times</w:t>
            </w:r>
          </w:p>
        </w:tc>
        <w:tc>
          <w:tcPr>
            <w:tcW w:w="3639" w:type="dxa"/>
          </w:tcPr>
          <w:p w14:paraId="7EF67352" w14:textId="3C8CD113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$14,952.00 for 1am licensed times</w:t>
            </w:r>
          </w:p>
        </w:tc>
      </w:tr>
      <w:tr w:rsidR="00862209" w14:paraId="7D4FAE9F" w14:textId="77777777" w:rsidTr="00A6590E">
        <w:tc>
          <w:tcPr>
            <w:tcW w:w="1276" w:type="dxa"/>
          </w:tcPr>
          <w:p w14:paraId="69D21A0B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C3E18F3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54FECE8" w14:textId="013DA238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$17,944.00 for 2am licensed times</w:t>
            </w:r>
          </w:p>
        </w:tc>
        <w:tc>
          <w:tcPr>
            <w:tcW w:w="3639" w:type="dxa"/>
          </w:tcPr>
          <w:p w14:paraId="564056D3" w14:textId="3484E96E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$17,944.00 for 2am licensed times</w:t>
            </w:r>
          </w:p>
        </w:tc>
      </w:tr>
      <w:tr w:rsidR="00862209" w14:paraId="28760631" w14:textId="77777777" w:rsidTr="00A6590E">
        <w:tc>
          <w:tcPr>
            <w:tcW w:w="1276" w:type="dxa"/>
          </w:tcPr>
          <w:p w14:paraId="439EEC3E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2D9D4D3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9C67560" w14:textId="69FBE572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$20,935.00 for 3am licensed times</w:t>
            </w:r>
          </w:p>
        </w:tc>
        <w:tc>
          <w:tcPr>
            <w:tcW w:w="3639" w:type="dxa"/>
          </w:tcPr>
          <w:p w14:paraId="0D91ABBC" w14:textId="7F9E2C80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$20,935.00 for 3am licensed times</w:t>
            </w:r>
          </w:p>
        </w:tc>
      </w:tr>
      <w:tr w:rsidR="00862209" w14:paraId="0F4EFD23" w14:textId="77777777" w:rsidTr="00A6590E">
        <w:tc>
          <w:tcPr>
            <w:tcW w:w="1276" w:type="dxa"/>
          </w:tcPr>
          <w:p w14:paraId="33B442A4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256D6326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70816CE9" w14:textId="721E2A2D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$23,926.00 for 4am licensed times</w:t>
            </w:r>
          </w:p>
        </w:tc>
        <w:tc>
          <w:tcPr>
            <w:tcW w:w="3639" w:type="dxa"/>
          </w:tcPr>
          <w:p w14:paraId="303C2B1E" w14:textId="0A44EDF9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$23,926.00 for 4am licensed times</w:t>
            </w:r>
          </w:p>
        </w:tc>
      </w:tr>
      <w:tr w:rsidR="00862209" w14:paraId="2E7D382E" w14:textId="77777777" w:rsidTr="00BA7CFB">
        <w:tc>
          <w:tcPr>
            <w:tcW w:w="1276" w:type="dxa"/>
          </w:tcPr>
          <w:p w14:paraId="33807ED9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38F14DC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03202773" w14:textId="116A130C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$26,917.00 for 5am licensed times</w:t>
            </w:r>
          </w:p>
        </w:tc>
        <w:tc>
          <w:tcPr>
            <w:tcW w:w="3639" w:type="dxa"/>
          </w:tcPr>
          <w:p w14:paraId="03960CFF" w14:textId="2D695F92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$26,917.00 for 5am licensed times</w:t>
            </w:r>
          </w:p>
        </w:tc>
      </w:tr>
      <w:tr w:rsidR="00862209" w14:paraId="07CA9924" w14:textId="77777777" w:rsidTr="00BA7CFB">
        <w:tc>
          <w:tcPr>
            <w:tcW w:w="1276" w:type="dxa"/>
            <w:tcBorders>
              <w:bottom w:val="single" w:sz="4" w:space="0" w:color="auto"/>
            </w:tcBorders>
          </w:tcPr>
          <w:p w14:paraId="41BCBAEC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05BC65B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5BD543A2" w14:textId="77777777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1F908EFF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209" w14:paraId="2343BF04" w14:textId="77777777" w:rsidTr="00BA7CFB">
        <w:tc>
          <w:tcPr>
            <w:tcW w:w="1276" w:type="dxa"/>
            <w:tcBorders>
              <w:top w:val="single" w:sz="4" w:space="0" w:color="auto"/>
            </w:tcBorders>
          </w:tcPr>
          <w:p w14:paraId="2104CB20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4FF15494" w14:textId="5A06A5E0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(d) if total occupancy loading for premises &gt; 350 people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78469651" w14:textId="3E841DF6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$8,969.00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4701987D" w14:textId="6D7E2980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$8,969.00 for standard licensed times</w:t>
            </w:r>
          </w:p>
        </w:tc>
      </w:tr>
      <w:tr w:rsidR="00862209" w14:paraId="6ED7DA53" w14:textId="77777777" w:rsidTr="00A6590E">
        <w:tc>
          <w:tcPr>
            <w:tcW w:w="1276" w:type="dxa"/>
          </w:tcPr>
          <w:p w14:paraId="7B69D085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25717A2D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0D68CD91" w14:textId="1C0B0A1D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$19,439.00 for 1am licensed times</w:t>
            </w:r>
          </w:p>
        </w:tc>
        <w:tc>
          <w:tcPr>
            <w:tcW w:w="3639" w:type="dxa"/>
          </w:tcPr>
          <w:p w14:paraId="08A2F684" w14:textId="6E8FC2B0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$19,439.00 for 1am licensed times</w:t>
            </w:r>
          </w:p>
        </w:tc>
      </w:tr>
      <w:tr w:rsidR="00862209" w14:paraId="745B30C5" w14:textId="77777777" w:rsidTr="00A6590E">
        <w:tc>
          <w:tcPr>
            <w:tcW w:w="1276" w:type="dxa"/>
          </w:tcPr>
          <w:p w14:paraId="3FC26633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1FD79AE8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2D5E6ABC" w14:textId="1C2CD712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$22,430.00 for 2am licensed times</w:t>
            </w:r>
          </w:p>
        </w:tc>
        <w:tc>
          <w:tcPr>
            <w:tcW w:w="3639" w:type="dxa"/>
          </w:tcPr>
          <w:p w14:paraId="1A316778" w14:textId="7F438E33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$22,430.00 for 2am licensed times</w:t>
            </w:r>
          </w:p>
        </w:tc>
      </w:tr>
      <w:tr w:rsidR="00862209" w14:paraId="1935DBE7" w14:textId="77777777" w:rsidTr="00A6590E">
        <w:tc>
          <w:tcPr>
            <w:tcW w:w="1276" w:type="dxa"/>
          </w:tcPr>
          <w:p w14:paraId="26036276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AE4FD51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6DD6EBF5" w14:textId="5DB3315D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$25,422.00 for 3am licensed times</w:t>
            </w:r>
          </w:p>
        </w:tc>
        <w:tc>
          <w:tcPr>
            <w:tcW w:w="3639" w:type="dxa"/>
          </w:tcPr>
          <w:p w14:paraId="6927069E" w14:textId="3E7999EC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$25,422.00 for 3am licensed times</w:t>
            </w:r>
          </w:p>
        </w:tc>
      </w:tr>
      <w:tr w:rsidR="00862209" w14:paraId="6EBD1298" w14:textId="77777777" w:rsidTr="00A6590E">
        <w:tc>
          <w:tcPr>
            <w:tcW w:w="1276" w:type="dxa"/>
          </w:tcPr>
          <w:p w14:paraId="0A2C5BF4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2D061A7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6F3F1E7A" w14:textId="5A12C41B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$28,414.00 for 4am licensed times</w:t>
            </w:r>
          </w:p>
        </w:tc>
        <w:tc>
          <w:tcPr>
            <w:tcW w:w="3639" w:type="dxa"/>
          </w:tcPr>
          <w:p w14:paraId="63813437" w14:textId="1CFA23B1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$28,414.00 for 4am licensed times</w:t>
            </w:r>
          </w:p>
        </w:tc>
      </w:tr>
      <w:tr w:rsidR="00862209" w14:paraId="2C6D024E" w14:textId="77777777" w:rsidTr="00862209">
        <w:tc>
          <w:tcPr>
            <w:tcW w:w="1276" w:type="dxa"/>
          </w:tcPr>
          <w:p w14:paraId="0C9D3604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62DFCB1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2D43BF7C" w14:textId="4337F5A6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$31,404.00 for 5am licensed times</w:t>
            </w:r>
          </w:p>
        </w:tc>
        <w:tc>
          <w:tcPr>
            <w:tcW w:w="3639" w:type="dxa"/>
          </w:tcPr>
          <w:p w14:paraId="1B15BFD5" w14:textId="54D7AB8F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$31,404.00 for 5am licensed times</w:t>
            </w:r>
          </w:p>
        </w:tc>
      </w:tr>
      <w:tr w:rsidR="00862209" w14:paraId="3836E48A" w14:textId="77777777" w:rsidTr="00862209">
        <w:tc>
          <w:tcPr>
            <w:tcW w:w="1276" w:type="dxa"/>
            <w:tcBorders>
              <w:bottom w:val="single" w:sz="12" w:space="0" w:color="auto"/>
            </w:tcBorders>
          </w:tcPr>
          <w:p w14:paraId="705B11FA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70CD8A8B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1848F7E6" w14:textId="77777777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425B00B5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209" w14:paraId="76CE8DFD" w14:textId="77777777" w:rsidTr="00862209">
        <w:tc>
          <w:tcPr>
            <w:tcW w:w="1276" w:type="dxa"/>
            <w:tcBorders>
              <w:top w:val="single" w:sz="12" w:space="0" w:color="auto"/>
            </w:tcBorders>
          </w:tcPr>
          <w:p w14:paraId="09DC4F7C" w14:textId="77777777" w:rsidR="00862209" w:rsidRPr="006179F1" w:rsidRDefault="00862209" w:rsidP="00071A04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12" w:space="0" w:color="auto"/>
            </w:tcBorders>
          </w:tcPr>
          <w:p w14:paraId="63E1F8D3" w14:textId="6515664E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2) for on licence--restaurant and cafe licence: </w:t>
            </w:r>
          </w:p>
        </w:tc>
        <w:tc>
          <w:tcPr>
            <w:tcW w:w="3122" w:type="dxa"/>
            <w:tcBorders>
              <w:top w:val="single" w:sz="12" w:space="0" w:color="auto"/>
            </w:tcBorders>
          </w:tcPr>
          <w:p w14:paraId="6F139A01" w14:textId="77777777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5E081305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209" w14:paraId="27C423B0" w14:textId="77777777" w:rsidTr="00862209">
        <w:tc>
          <w:tcPr>
            <w:tcW w:w="1276" w:type="dxa"/>
          </w:tcPr>
          <w:p w14:paraId="60955FC5" w14:textId="77777777" w:rsidR="00862209" w:rsidRPr="006179F1" w:rsidRDefault="00862209" w:rsidP="00C5091D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D88046C" w14:textId="0102BD32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(a) if total occupancy loading for premises ≤ 80 people  </w:t>
            </w:r>
          </w:p>
        </w:tc>
        <w:tc>
          <w:tcPr>
            <w:tcW w:w="3122" w:type="dxa"/>
          </w:tcPr>
          <w:p w14:paraId="461E86BD" w14:textId="33A45C96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$1,117.00 for standard licensed times</w:t>
            </w:r>
          </w:p>
        </w:tc>
        <w:tc>
          <w:tcPr>
            <w:tcW w:w="3639" w:type="dxa"/>
          </w:tcPr>
          <w:p w14:paraId="1C23E2E5" w14:textId="4380A894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$1,117.00 for standard licensed times</w:t>
            </w:r>
          </w:p>
        </w:tc>
      </w:tr>
      <w:tr w:rsidR="00862209" w14:paraId="7A0903D5" w14:textId="77777777" w:rsidTr="00862209">
        <w:tc>
          <w:tcPr>
            <w:tcW w:w="1276" w:type="dxa"/>
          </w:tcPr>
          <w:p w14:paraId="08B8F411" w14:textId="77777777" w:rsidR="00862209" w:rsidRPr="006179F1" w:rsidRDefault="00862209" w:rsidP="00C50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A77E2E7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244890A3" w14:textId="39D0178C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$1,866.00 for 1am licensed times</w:t>
            </w:r>
          </w:p>
        </w:tc>
        <w:tc>
          <w:tcPr>
            <w:tcW w:w="3639" w:type="dxa"/>
          </w:tcPr>
          <w:p w14:paraId="0EE17317" w14:textId="7F243145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$1,866.00 for 1am licensed times</w:t>
            </w:r>
          </w:p>
        </w:tc>
      </w:tr>
      <w:tr w:rsidR="00862209" w14:paraId="6BD9C099" w14:textId="77777777" w:rsidTr="00862209">
        <w:tc>
          <w:tcPr>
            <w:tcW w:w="1276" w:type="dxa"/>
          </w:tcPr>
          <w:p w14:paraId="33D7CBB8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78AF2CA7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73510890" w14:textId="2A8314FC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$1,866.00 for 2am licensed times</w:t>
            </w:r>
          </w:p>
        </w:tc>
        <w:tc>
          <w:tcPr>
            <w:tcW w:w="3639" w:type="dxa"/>
          </w:tcPr>
          <w:p w14:paraId="06C26CEF" w14:textId="01C8D733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$1,866.00 for 2am licensed times</w:t>
            </w:r>
          </w:p>
        </w:tc>
      </w:tr>
      <w:tr w:rsidR="00862209" w14:paraId="2FD29F0F" w14:textId="77777777" w:rsidTr="00862209">
        <w:tc>
          <w:tcPr>
            <w:tcW w:w="1276" w:type="dxa"/>
          </w:tcPr>
          <w:p w14:paraId="5B19B99B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4F25717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6003B06C" w14:textId="10F4763A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$2,488.00 for 3am licensed times</w:t>
            </w:r>
          </w:p>
        </w:tc>
        <w:tc>
          <w:tcPr>
            <w:tcW w:w="3639" w:type="dxa"/>
          </w:tcPr>
          <w:p w14:paraId="0893F960" w14:textId="0D68597B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$2,488.00 for 3am licensed times</w:t>
            </w:r>
          </w:p>
        </w:tc>
      </w:tr>
      <w:tr w:rsidR="00862209" w14:paraId="1B8A23EC" w14:textId="77777777" w:rsidTr="00862209">
        <w:tc>
          <w:tcPr>
            <w:tcW w:w="1276" w:type="dxa"/>
          </w:tcPr>
          <w:p w14:paraId="0256DF09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9B7075A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DA1F28B" w14:textId="773D75F5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$2,488.00 for 4am licensed times</w:t>
            </w:r>
          </w:p>
        </w:tc>
        <w:tc>
          <w:tcPr>
            <w:tcW w:w="3639" w:type="dxa"/>
          </w:tcPr>
          <w:p w14:paraId="28E2B017" w14:textId="0BE333A4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$2,488.00 for 4am licensed times</w:t>
            </w:r>
          </w:p>
        </w:tc>
      </w:tr>
      <w:tr w:rsidR="00862209" w14:paraId="726E33F7" w14:textId="77777777" w:rsidTr="00BA7CFB">
        <w:tc>
          <w:tcPr>
            <w:tcW w:w="1276" w:type="dxa"/>
          </w:tcPr>
          <w:p w14:paraId="11D75368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CA76CF7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0E0BEB58" w14:textId="2640C2F7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$2,488.00 for 5am licensed times</w:t>
            </w:r>
          </w:p>
        </w:tc>
        <w:tc>
          <w:tcPr>
            <w:tcW w:w="3639" w:type="dxa"/>
          </w:tcPr>
          <w:p w14:paraId="7A503780" w14:textId="1D8453E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$2,488.00 for 5am licensed times</w:t>
            </w:r>
          </w:p>
        </w:tc>
      </w:tr>
      <w:tr w:rsidR="00862209" w14:paraId="07BE8801" w14:textId="77777777" w:rsidTr="00BA7CFB">
        <w:tc>
          <w:tcPr>
            <w:tcW w:w="1276" w:type="dxa"/>
            <w:tcBorders>
              <w:bottom w:val="single" w:sz="4" w:space="0" w:color="auto"/>
            </w:tcBorders>
          </w:tcPr>
          <w:p w14:paraId="2F7A0FF6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78C32ABA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24B2405" w14:textId="77777777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47B1B6CC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209" w14:paraId="3552AB82" w14:textId="77777777" w:rsidTr="00BA7CFB">
        <w:tc>
          <w:tcPr>
            <w:tcW w:w="1276" w:type="dxa"/>
            <w:tcBorders>
              <w:top w:val="single" w:sz="4" w:space="0" w:color="auto"/>
            </w:tcBorders>
          </w:tcPr>
          <w:p w14:paraId="2E378B4F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23E82A72" w14:textId="6120C821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(b) if total occupancy loading for premises &gt; 80 people but ≤ 150 people 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1CB11B9A" w14:textId="7893740B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$1,492.00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517CA1A9" w14:textId="4BD7D3DD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$1,492.00 for standard licensed times</w:t>
            </w:r>
          </w:p>
        </w:tc>
      </w:tr>
      <w:tr w:rsidR="00862209" w14:paraId="1BD0397D" w14:textId="77777777" w:rsidTr="00862209">
        <w:tc>
          <w:tcPr>
            <w:tcW w:w="1276" w:type="dxa"/>
          </w:tcPr>
          <w:p w14:paraId="4E2B2E2C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9972174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65EB4651" w14:textId="31E7A784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$2,614.00 for 1am licensed times</w:t>
            </w:r>
          </w:p>
        </w:tc>
        <w:tc>
          <w:tcPr>
            <w:tcW w:w="3639" w:type="dxa"/>
          </w:tcPr>
          <w:p w14:paraId="0DF56FD7" w14:textId="1F1251D1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$2,614.00 for 1am licensed times</w:t>
            </w:r>
          </w:p>
        </w:tc>
      </w:tr>
      <w:tr w:rsidR="00862209" w14:paraId="18096BA7" w14:textId="77777777" w:rsidTr="00862209">
        <w:tc>
          <w:tcPr>
            <w:tcW w:w="1276" w:type="dxa"/>
          </w:tcPr>
          <w:p w14:paraId="15468957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E0F98DC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476809FC" w14:textId="1CD970C1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$3,363.00 for 2am licensed times</w:t>
            </w:r>
          </w:p>
        </w:tc>
        <w:tc>
          <w:tcPr>
            <w:tcW w:w="3639" w:type="dxa"/>
          </w:tcPr>
          <w:p w14:paraId="7D53EF1F" w14:textId="5CC76DEF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$3,363.00 for 2am licensed times</w:t>
            </w:r>
          </w:p>
        </w:tc>
      </w:tr>
      <w:tr w:rsidR="00862209" w14:paraId="0A668D68" w14:textId="77777777" w:rsidTr="00862209">
        <w:tc>
          <w:tcPr>
            <w:tcW w:w="1276" w:type="dxa"/>
          </w:tcPr>
          <w:p w14:paraId="7B5A428B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0B7B96B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3511F81" w14:textId="69D15126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$5,480.00 for 3am licensed times</w:t>
            </w:r>
          </w:p>
        </w:tc>
        <w:tc>
          <w:tcPr>
            <w:tcW w:w="3639" w:type="dxa"/>
          </w:tcPr>
          <w:p w14:paraId="4A326557" w14:textId="1E230B2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$5,480.00 for 3am licensed times</w:t>
            </w:r>
          </w:p>
        </w:tc>
      </w:tr>
      <w:tr w:rsidR="00862209" w14:paraId="339F9BAE" w14:textId="77777777" w:rsidTr="00862209">
        <w:tc>
          <w:tcPr>
            <w:tcW w:w="1276" w:type="dxa"/>
          </w:tcPr>
          <w:p w14:paraId="33CB6CB4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1E1607D0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4E3688E8" w14:textId="416FA3AC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$6,476.00 for 4am licensed times</w:t>
            </w:r>
          </w:p>
        </w:tc>
        <w:tc>
          <w:tcPr>
            <w:tcW w:w="3639" w:type="dxa"/>
          </w:tcPr>
          <w:p w14:paraId="1D2F1E06" w14:textId="72E6C26A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$6,476.00 for 4am licensed times</w:t>
            </w:r>
          </w:p>
        </w:tc>
      </w:tr>
      <w:tr w:rsidR="00862209" w14:paraId="5B33ED5C" w14:textId="77777777" w:rsidTr="00BA7CFB">
        <w:tc>
          <w:tcPr>
            <w:tcW w:w="1276" w:type="dxa"/>
          </w:tcPr>
          <w:p w14:paraId="0274DEC3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892947D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0A575B5A" w14:textId="19BD60E9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$7,473.00 for 5am licensed times</w:t>
            </w:r>
          </w:p>
        </w:tc>
        <w:tc>
          <w:tcPr>
            <w:tcW w:w="3639" w:type="dxa"/>
          </w:tcPr>
          <w:p w14:paraId="5458514E" w14:textId="113B7CA0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$7,473.00 for 5am licensed times</w:t>
            </w:r>
          </w:p>
        </w:tc>
      </w:tr>
      <w:tr w:rsidR="00862209" w14:paraId="25494F08" w14:textId="77777777" w:rsidTr="00BA7CFB">
        <w:tc>
          <w:tcPr>
            <w:tcW w:w="1276" w:type="dxa"/>
            <w:tcBorders>
              <w:bottom w:val="single" w:sz="4" w:space="0" w:color="auto"/>
            </w:tcBorders>
          </w:tcPr>
          <w:p w14:paraId="5592B5F4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785B2C3A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5CBC9E10" w14:textId="77777777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4B08A25B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209" w14:paraId="0853A73A" w14:textId="77777777" w:rsidTr="00BA7CFB">
        <w:tc>
          <w:tcPr>
            <w:tcW w:w="1276" w:type="dxa"/>
            <w:tcBorders>
              <w:top w:val="single" w:sz="4" w:space="0" w:color="auto"/>
            </w:tcBorders>
          </w:tcPr>
          <w:p w14:paraId="370A4296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1FA952C1" w14:textId="41AA9732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(c) if total occupancy loading for premises &gt; 150 people but ≤ 350 people 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3DD87CEC" w14:textId="3228BF85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$2,488.00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353D362A" w14:textId="60483066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$2,488.00 for standard licensed times</w:t>
            </w:r>
          </w:p>
        </w:tc>
      </w:tr>
      <w:tr w:rsidR="00862209" w14:paraId="448096B9" w14:textId="77777777" w:rsidTr="00862209">
        <w:tc>
          <w:tcPr>
            <w:tcW w:w="1276" w:type="dxa"/>
          </w:tcPr>
          <w:p w14:paraId="0855D2C5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F839639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626ED8F" w14:textId="4C75A626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1am licensed times</w:t>
            </w:r>
          </w:p>
        </w:tc>
        <w:tc>
          <w:tcPr>
            <w:tcW w:w="3639" w:type="dxa"/>
          </w:tcPr>
          <w:p w14:paraId="2E747386" w14:textId="5873EBA0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1am licensed times</w:t>
            </w:r>
          </w:p>
        </w:tc>
      </w:tr>
      <w:tr w:rsidR="00862209" w14:paraId="56B144B7" w14:textId="77777777" w:rsidTr="00862209">
        <w:tc>
          <w:tcPr>
            <w:tcW w:w="1276" w:type="dxa"/>
          </w:tcPr>
          <w:p w14:paraId="1B4B5CED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538B508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B85D1F1" w14:textId="72234193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$5,977.00 for 2am licensed times</w:t>
            </w:r>
          </w:p>
        </w:tc>
        <w:tc>
          <w:tcPr>
            <w:tcW w:w="3639" w:type="dxa"/>
          </w:tcPr>
          <w:p w14:paraId="37D3E2D1" w14:textId="4D97862F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$5,977.00 for 2am licensed times</w:t>
            </w:r>
          </w:p>
        </w:tc>
      </w:tr>
      <w:tr w:rsidR="00862209" w14:paraId="12A29975" w14:textId="77777777" w:rsidTr="00862209">
        <w:tc>
          <w:tcPr>
            <w:tcW w:w="1276" w:type="dxa"/>
          </w:tcPr>
          <w:p w14:paraId="405F9168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2D5A192D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74849761" w14:textId="49039490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$6,974.00 for 3am licensed times</w:t>
            </w:r>
          </w:p>
        </w:tc>
        <w:tc>
          <w:tcPr>
            <w:tcW w:w="3639" w:type="dxa"/>
          </w:tcPr>
          <w:p w14:paraId="1DB061BF" w14:textId="296729D6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$6,974.00 for 3am licensed times</w:t>
            </w:r>
          </w:p>
        </w:tc>
      </w:tr>
      <w:tr w:rsidR="00862209" w14:paraId="25026820" w14:textId="77777777" w:rsidTr="00862209">
        <w:tc>
          <w:tcPr>
            <w:tcW w:w="1276" w:type="dxa"/>
          </w:tcPr>
          <w:p w14:paraId="710B941C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43DE7E9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5F6CBA8" w14:textId="75BCC231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$7,973.00 for 4am licensed times</w:t>
            </w:r>
          </w:p>
        </w:tc>
        <w:tc>
          <w:tcPr>
            <w:tcW w:w="3639" w:type="dxa"/>
          </w:tcPr>
          <w:p w14:paraId="57EFC917" w14:textId="6572CEA1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$7,973.00 for 4am licensed times</w:t>
            </w:r>
          </w:p>
        </w:tc>
      </w:tr>
      <w:tr w:rsidR="00862209" w14:paraId="1D7FAE0C" w14:textId="77777777" w:rsidTr="00BA7CFB">
        <w:tc>
          <w:tcPr>
            <w:tcW w:w="1276" w:type="dxa"/>
          </w:tcPr>
          <w:p w14:paraId="19CB30EF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23210DC7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461A53AC" w14:textId="006DE802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$8,969.00 for 5am licensed times</w:t>
            </w:r>
          </w:p>
        </w:tc>
        <w:tc>
          <w:tcPr>
            <w:tcW w:w="3639" w:type="dxa"/>
          </w:tcPr>
          <w:p w14:paraId="7B08D927" w14:textId="136A4F53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$8,969.00 for 5am licensed times</w:t>
            </w:r>
          </w:p>
        </w:tc>
      </w:tr>
      <w:tr w:rsidR="00862209" w14:paraId="096502EF" w14:textId="77777777" w:rsidTr="00BA7CFB">
        <w:tc>
          <w:tcPr>
            <w:tcW w:w="1276" w:type="dxa"/>
            <w:tcBorders>
              <w:bottom w:val="single" w:sz="4" w:space="0" w:color="auto"/>
            </w:tcBorders>
          </w:tcPr>
          <w:p w14:paraId="0349DEC7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43F4362F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0ACF8445" w14:textId="77777777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5611F15B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209" w14:paraId="52D39DC3" w14:textId="77777777" w:rsidTr="00BA7CFB">
        <w:tc>
          <w:tcPr>
            <w:tcW w:w="1276" w:type="dxa"/>
            <w:tcBorders>
              <w:top w:val="single" w:sz="4" w:space="0" w:color="auto"/>
            </w:tcBorders>
          </w:tcPr>
          <w:p w14:paraId="4F8C6566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581AD65D" w14:textId="48772C1C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(d) if total occupancy loading for premises &gt; 350 people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189EA599" w14:textId="7071D846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$2,986.00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1943A312" w14:textId="5A82F8D1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$2,986.00 for standard licensed times</w:t>
            </w:r>
          </w:p>
        </w:tc>
      </w:tr>
      <w:tr w:rsidR="00862209" w14:paraId="1782C733" w14:textId="77777777" w:rsidTr="00862209">
        <w:tc>
          <w:tcPr>
            <w:tcW w:w="1276" w:type="dxa"/>
          </w:tcPr>
          <w:p w14:paraId="2EE29E0F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6D67326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2C0C6082" w14:textId="6D904410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$6,476.00 for 1am licensed times</w:t>
            </w:r>
          </w:p>
        </w:tc>
        <w:tc>
          <w:tcPr>
            <w:tcW w:w="3639" w:type="dxa"/>
          </w:tcPr>
          <w:p w14:paraId="71DF1DAF" w14:textId="5290075B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$6,476.00 for 1am licensed times</w:t>
            </w:r>
          </w:p>
        </w:tc>
      </w:tr>
      <w:tr w:rsidR="00862209" w14:paraId="1A7128B1" w14:textId="77777777" w:rsidTr="00862209">
        <w:tc>
          <w:tcPr>
            <w:tcW w:w="1276" w:type="dxa"/>
          </w:tcPr>
          <w:p w14:paraId="3FCADD11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48FA9D8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7673A70C" w14:textId="7A771D79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$7,473.00 for 2am licensed times</w:t>
            </w:r>
          </w:p>
        </w:tc>
        <w:tc>
          <w:tcPr>
            <w:tcW w:w="3639" w:type="dxa"/>
          </w:tcPr>
          <w:p w14:paraId="4DDC608F" w14:textId="46B2AEFB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$7,473.00 for 2am licensed times</w:t>
            </w:r>
          </w:p>
        </w:tc>
      </w:tr>
      <w:tr w:rsidR="00862209" w14:paraId="0FF91FC3" w14:textId="77777777" w:rsidTr="00862209">
        <w:tc>
          <w:tcPr>
            <w:tcW w:w="1276" w:type="dxa"/>
          </w:tcPr>
          <w:p w14:paraId="59C353F4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5789920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6E972029" w14:textId="4FEFAF1F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$8,470.00 for 3am licensed times</w:t>
            </w:r>
          </w:p>
        </w:tc>
        <w:tc>
          <w:tcPr>
            <w:tcW w:w="3639" w:type="dxa"/>
          </w:tcPr>
          <w:p w14:paraId="36B9C64C" w14:textId="391E0D3B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$8,470.00 for 3am licensed times</w:t>
            </w:r>
          </w:p>
        </w:tc>
      </w:tr>
      <w:tr w:rsidR="00862209" w14:paraId="6C4E5273" w14:textId="77777777" w:rsidTr="00862209">
        <w:tc>
          <w:tcPr>
            <w:tcW w:w="1276" w:type="dxa"/>
          </w:tcPr>
          <w:p w14:paraId="458C72FC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8240524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8E5F684" w14:textId="50EE6986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$9,468.00 for 4am licensed times</w:t>
            </w:r>
          </w:p>
        </w:tc>
        <w:tc>
          <w:tcPr>
            <w:tcW w:w="3639" w:type="dxa"/>
          </w:tcPr>
          <w:p w14:paraId="092F07E3" w14:textId="65531265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$9,468.00 for 4am licensed times</w:t>
            </w:r>
          </w:p>
        </w:tc>
      </w:tr>
      <w:tr w:rsidR="00862209" w14:paraId="40CB1B4F" w14:textId="77777777" w:rsidTr="004A0B2C">
        <w:tc>
          <w:tcPr>
            <w:tcW w:w="1276" w:type="dxa"/>
          </w:tcPr>
          <w:p w14:paraId="54B4DF17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9DF51E5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4755952F" w14:textId="3EF588EE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$10,465.00 for 5am licensed times</w:t>
            </w:r>
          </w:p>
        </w:tc>
        <w:tc>
          <w:tcPr>
            <w:tcW w:w="3639" w:type="dxa"/>
          </w:tcPr>
          <w:p w14:paraId="3949017E" w14:textId="6C92DCF0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$10,465.00 for 5am licensed times</w:t>
            </w:r>
          </w:p>
        </w:tc>
      </w:tr>
      <w:tr w:rsidR="00862209" w14:paraId="2489C494" w14:textId="77777777" w:rsidTr="004A0B2C">
        <w:tc>
          <w:tcPr>
            <w:tcW w:w="1276" w:type="dxa"/>
            <w:tcBorders>
              <w:bottom w:val="single" w:sz="12" w:space="0" w:color="auto"/>
            </w:tcBorders>
          </w:tcPr>
          <w:p w14:paraId="6A724FFD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3E738B21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71AD523E" w14:textId="77777777" w:rsidR="00862209" w:rsidRPr="00655AEC" w:rsidRDefault="00862209" w:rsidP="008622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21390BE3" w14:textId="77777777" w:rsidR="00862209" w:rsidRPr="006179F1" w:rsidRDefault="00862209" w:rsidP="00862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2C" w14:paraId="1162AE98" w14:textId="77777777" w:rsidTr="004A0B2C">
        <w:tc>
          <w:tcPr>
            <w:tcW w:w="1276" w:type="dxa"/>
            <w:tcBorders>
              <w:top w:val="single" w:sz="12" w:space="0" w:color="auto"/>
            </w:tcBorders>
          </w:tcPr>
          <w:p w14:paraId="42B77A74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12" w:space="0" w:color="auto"/>
            </w:tcBorders>
          </w:tcPr>
          <w:p w14:paraId="13E195C6" w14:textId="7BCFF0E3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3) for on licence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—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bar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licence/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general licence/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catering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licence/ special licence:</w:t>
            </w:r>
          </w:p>
        </w:tc>
        <w:tc>
          <w:tcPr>
            <w:tcW w:w="3122" w:type="dxa"/>
            <w:tcBorders>
              <w:top w:val="single" w:sz="12" w:space="0" w:color="auto"/>
            </w:tcBorders>
          </w:tcPr>
          <w:p w14:paraId="503B9A68" w14:textId="77777777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199F5A94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2C" w14:paraId="6B7308E3" w14:textId="77777777" w:rsidTr="00862209">
        <w:tc>
          <w:tcPr>
            <w:tcW w:w="1276" w:type="dxa"/>
          </w:tcPr>
          <w:p w14:paraId="79A800BE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D318357" w14:textId="73591D10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(a) if total occupancy loading for premises ≤ 80 people </w:t>
            </w:r>
          </w:p>
        </w:tc>
        <w:tc>
          <w:tcPr>
            <w:tcW w:w="3122" w:type="dxa"/>
          </w:tcPr>
          <w:p w14:paraId="2F88866F" w14:textId="3CBCDE88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$2,240.00 for standard licensed times</w:t>
            </w:r>
          </w:p>
        </w:tc>
        <w:tc>
          <w:tcPr>
            <w:tcW w:w="3639" w:type="dxa"/>
          </w:tcPr>
          <w:p w14:paraId="239A2465" w14:textId="34B1DAA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$2,240.00 for standard licensed times</w:t>
            </w:r>
          </w:p>
        </w:tc>
      </w:tr>
      <w:tr w:rsidR="004A0B2C" w14:paraId="2495AEDB" w14:textId="77777777" w:rsidTr="00862209">
        <w:tc>
          <w:tcPr>
            <w:tcW w:w="1276" w:type="dxa"/>
          </w:tcPr>
          <w:p w14:paraId="3FDDEFEE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04A53DB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7E7FBC97" w14:textId="261E0AF1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$3,737.00 for 1am licensed times</w:t>
            </w:r>
          </w:p>
        </w:tc>
        <w:tc>
          <w:tcPr>
            <w:tcW w:w="3639" w:type="dxa"/>
          </w:tcPr>
          <w:p w14:paraId="0572EA5D" w14:textId="699683F5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$3,737.00 for 1am licensed times</w:t>
            </w:r>
          </w:p>
        </w:tc>
      </w:tr>
      <w:tr w:rsidR="004A0B2C" w14:paraId="076737C3" w14:textId="77777777" w:rsidTr="00862209">
        <w:tc>
          <w:tcPr>
            <w:tcW w:w="1276" w:type="dxa"/>
          </w:tcPr>
          <w:p w14:paraId="4D36DC3C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CABC44F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7496F4B8" w14:textId="4E5147FD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$3,737.00 for 2am licensed times</w:t>
            </w:r>
          </w:p>
        </w:tc>
        <w:tc>
          <w:tcPr>
            <w:tcW w:w="3639" w:type="dxa"/>
          </w:tcPr>
          <w:p w14:paraId="5E3737DE" w14:textId="1F4383AA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$3,737.00 for 2am licensed times</w:t>
            </w:r>
          </w:p>
        </w:tc>
      </w:tr>
      <w:tr w:rsidR="004A0B2C" w14:paraId="5FE8A235" w14:textId="77777777" w:rsidTr="00862209">
        <w:tc>
          <w:tcPr>
            <w:tcW w:w="1276" w:type="dxa"/>
          </w:tcPr>
          <w:p w14:paraId="057BE78E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7D6EF50B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24BBAB9F" w14:textId="7C1EC08F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3am licensed times</w:t>
            </w:r>
          </w:p>
        </w:tc>
        <w:tc>
          <w:tcPr>
            <w:tcW w:w="3639" w:type="dxa"/>
          </w:tcPr>
          <w:p w14:paraId="4EB3B9B8" w14:textId="42CE29CE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3am licensed times</w:t>
            </w:r>
          </w:p>
        </w:tc>
      </w:tr>
      <w:tr w:rsidR="004A0B2C" w14:paraId="55313B6A" w14:textId="77777777" w:rsidTr="00862209">
        <w:tc>
          <w:tcPr>
            <w:tcW w:w="1276" w:type="dxa"/>
          </w:tcPr>
          <w:p w14:paraId="1D0069F2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3ED28E7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2C470467" w14:textId="7A26A76A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4am licensed times</w:t>
            </w:r>
          </w:p>
        </w:tc>
        <w:tc>
          <w:tcPr>
            <w:tcW w:w="3639" w:type="dxa"/>
          </w:tcPr>
          <w:p w14:paraId="3B80BF21" w14:textId="37F176B5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4am licensed times</w:t>
            </w:r>
          </w:p>
        </w:tc>
      </w:tr>
      <w:tr w:rsidR="004A0B2C" w14:paraId="68CF2BDA" w14:textId="77777777" w:rsidTr="00BA7CFB">
        <w:tc>
          <w:tcPr>
            <w:tcW w:w="1276" w:type="dxa"/>
          </w:tcPr>
          <w:p w14:paraId="0E848923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D8DC49B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12BC2D54" w14:textId="4563D87E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5am licensed times</w:t>
            </w:r>
          </w:p>
        </w:tc>
        <w:tc>
          <w:tcPr>
            <w:tcW w:w="3639" w:type="dxa"/>
          </w:tcPr>
          <w:p w14:paraId="582399C6" w14:textId="2275325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5am licensed times</w:t>
            </w:r>
          </w:p>
        </w:tc>
      </w:tr>
      <w:tr w:rsidR="004A0B2C" w14:paraId="09209ADB" w14:textId="77777777" w:rsidTr="00BA7CFB">
        <w:tc>
          <w:tcPr>
            <w:tcW w:w="1276" w:type="dxa"/>
            <w:tcBorders>
              <w:bottom w:val="single" w:sz="4" w:space="0" w:color="auto"/>
            </w:tcBorders>
          </w:tcPr>
          <w:p w14:paraId="3C2154E7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65C2FD67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0480504F" w14:textId="77777777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49958BCA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2C" w14:paraId="2F10D49E" w14:textId="77777777" w:rsidTr="00BA7CFB">
        <w:tc>
          <w:tcPr>
            <w:tcW w:w="1276" w:type="dxa"/>
            <w:tcBorders>
              <w:top w:val="single" w:sz="4" w:space="0" w:color="auto"/>
            </w:tcBorders>
          </w:tcPr>
          <w:p w14:paraId="78219BD6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3C64472B" w14:textId="051901E9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(b) if total occupancy loading for premises &gt; 80 people but ≤ 150 people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6E0B2225" w14:textId="2B6AF401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$2,988.00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3C29EA5D" w14:textId="411F9238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$2,988.00 for standard licensed times</w:t>
            </w:r>
          </w:p>
        </w:tc>
      </w:tr>
      <w:tr w:rsidR="004A0B2C" w14:paraId="0708AEF9" w14:textId="77777777" w:rsidTr="00862209">
        <w:tc>
          <w:tcPr>
            <w:tcW w:w="1276" w:type="dxa"/>
          </w:tcPr>
          <w:p w14:paraId="2FBF3E06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6BB2772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64E53440" w14:textId="73394F99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$5,230.00 for 1am licensed times</w:t>
            </w:r>
          </w:p>
        </w:tc>
        <w:tc>
          <w:tcPr>
            <w:tcW w:w="3639" w:type="dxa"/>
          </w:tcPr>
          <w:p w14:paraId="48127469" w14:textId="78AF97F1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$5,230.00 for 1am licensed times</w:t>
            </w:r>
          </w:p>
        </w:tc>
      </w:tr>
      <w:tr w:rsidR="004A0B2C" w14:paraId="703617BA" w14:textId="77777777" w:rsidTr="00862209">
        <w:tc>
          <w:tcPr>
            <w:tcW w:w="1276" w:type="dxa"/>
          </w:tcPr>
          <w:p w14:paraId="3793E542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FCED4F7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7CCCE636" w14:textId="0364E008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$6,820.00 for 2am licensed times</w:t>
            </w:r>
          </w:p>
        </w:tc>
        <w:tc>
          <w:tcPr>
            <w:tcW w:w="3639" w:type="dxa"/>
          </w:tcPr>
          <w:p w14:paraId="5BA8A7B1" w14:textId="4FF34089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$6,820.00 for 2am licensed times</w:t>
            </w:r>
          </w:p>
        </w:tc>
      </w:tr>
      <w:tr w:rsidR="004A0B2C" w14:paraId="355E6091" w14:textId="77777777" w:rsidTr="00862209">
        <w:tc>
          <w:tcPr>
            <w:tcW w:w="1276" w:type="dxa"/>
          </w:tcPr>
          <w:p w14:paraId="48DE317D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F1D719D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779C4868" w14:textId="41FFB95C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$10,964.00 for 3am licensed times</w:t>
            </w:r>
          </w:p>
        </w:tc>
        <w:tc>
          <w:tcPr>
            <w:tcW w:w="3639" w:type="dxa"/>
          </w:tcPr>
          <w:p w14:paraId="4192BCB6" w14:textId="0A76E65A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$10,964.00 for 3am licensed times</w:t>
            </w:r>
          </w:p>
        </w:tc>
      </w:tr>
      <w:tr w:rsidR="004A0B2C" w14:paraId="7C30FB26" w14:textId="77777777" w:rsidTr="00862209">
        <w:tc>
          <w:tcPr>
            <w:tcW w:w="1276" w:type="dxa"/>
          </w:tcPr>
          <w:p w14:paraId="75909F9E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848777E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1F1D09CC" w14:textId="0E6FBBB4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$12,958.00 for 4am licensed times</w:t>
            </w:r>
          </w:p>
        </w:tc>
        <w:tc>
          <w:tcPr>
            <w:tcW w:w="3639" w:type="dxa"/>
          </w:tcPr>
          <w:p w14:paraId="380D959A" w14:textId="6F8093EC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$12,958.00 for 4am licensed times</w:t>
            </w:r>
          </w:p>
        </w:tc>
      </w:tr>
      <w:tr w:rsidR="004A0B2C" w14:paraId="747E4A54" w14:textId="77777777" w:rsidTr="00BA7CFB">
        <w:tc>
          <w:tcPr>
            <w:tcW w:w="1276" w:type="dxa"/>
          </w:tcPr>
          <w:p w14:paraId="6FA552B0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4620D5E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0A7AA7D" w14:textId="32B7B308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$14,952.00 for 5am licensed times</w:t>
            </w:r>
          </w:p>
        </w:tc>
        <w:tc>
          <w:tcPr>
            <w:tcW w:w="3639" w:type="dxa"/>
          </w:tcPr>
          <w:p w14:paraId="2B4440FF" w14:textId="4C5BFBC5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$14,952.00 for 5am licensed times</w:t>
            </w:r>
          </w:p>
        </w:tc>
      </w:tr>
      <w:tr w:rsidR="004A0B2C" w14:paraId="34011D99" w14:textId="77777777" w:rsidTr="00BA7CFB">
        <w:tc>
          <w:tcPr>
            <w:tcW w:w="1276" w:type="dxa"/>
            <w:tcBorders>
              <w:bottom w:val="single" w:sz="4" w:space="0" w:color="auto"/>
            </w:tcBorders>
          </w:tcPr>
          <w:p w14:paraId="4ED7A5AD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41FBCDA4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40CE6B7" w14:textId="77777777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2DFBE807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2C" w14:paraId="7D53B02D" w14:textId="77777777" w:rsidTr="00BA7CFB">
        <w:tc>
          <w:tcPr>
            <w:tcW w:w="1276" w:type="dxa"/>
            <w:tcBorders>
              <w:top w:val="single" w:sz="4" w:space="0" w:color="auto"/>
            </w:tcBorders>
          </w:tcPr>
          <w:p w14:paraId="44C69262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10EA9D8F" w14:textId="7FD68170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(c) if total occupancy loading for premises &gt; 150 people but ≤ 350 people    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13AB3644" w14:textId="6330B3D3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2A4D94D6" w14:textId="5E6F9585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standard licensed times</w:t>
            </w:r>
          </w:p>
        </w:tc>
      </w:tr>
      <w:tr w:rsidR="004A0B2C" w14:paraId="45B49657" w14:textId="77777777" w:rsidTr="00862209">
        <w:tc>
          <w:tcPr>
            <w:tcW w:w="1276" w:type="dxa"/>
          </w:tcPr>
          <w:p w14:paraId="2202B761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D41BC35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DDE3165" w14:textId="79C7F06C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$9,967.00 for 1am licensed times</w:t>
            </w:r>
          </w:p>
        </w:tc>
        <w:tc>
          <w:tcPr>
            <w:tcW w:w="3639" w:type="dxa"/>
          </w:tcPr>
          <w:p w14:paraId="1019B800" w14:textId="065F48AA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$9,967.00 for 1am licensed times</w:t>
            </w:r>
          </w:p>
        </w:tc>
      </w:tr>
      <w:tr w:rsidR="004A0B2C" w14:paraId="793348FC" w14:textId="77777777" w:rsidTr="00862209">
        <w:tc>
          <w:tcPr>
            <w:tcW w:w="1276" w:type="dxa"/>
          </w:tcPr>
          <w:p w14:paraId="6232AF55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D7D345B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74E7726" w14:textId="107344C1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$11,961.00 for 2am licensed times</w:t>
            </w:r>
          </w:p>
        </w:tc>
        <w:tc>
          <w:tcPr>
            <w:tcW w:w="3639" w:type="dxa"/>
          </w:tcPr>
          <w:p w14:paraId="783DE2D0" w14:textId="31214CEC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$11,961.00 for 2am licensed times</w:t>
            </w:r>
          </w:p>
        </w:tc>
      </w:tr>
      <w:tr w:rsidR="004A0B2C" w14:paraId="60046374" w14:textId="77777777" w:rsidTr="00862209">
        <w:tc>
          <w:tcPr>
            <w:tcW w:w="1276" w:type="dxa"/>
          </w:tcPr>
          <w:p w14:paraId="6D31CE4A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2AC3E5E5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8574328" w14:textId="6590C509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$13,955.00 for 3am licensed times</w:t>
            </w:r>
          </w:p>
        </w:tc>
        <w:tc>
          <w:tcPr>
            <w:tcW w:w="3639" w:type="dxa"/>
          </w:tcPr>
          <w:p w14:paraId="06B81B85" w14:textId="7DE3D929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$13,955.00 for 3am licensed times</w:t>
            </w:r>
          </w:p>
        </w:tc>
      </w:tr>
      <w:tr w:rsidR="004A0B2C" w14:paraId="303D7EDC" w14:textId="77777777" w:rsidTr="00862209">
        <w:tc>
          <w:tcPr>
            <w:tcW w:w="1276" w:type="dxa"/>
          </w:tcPr>
          <w:p w14:paraId="63A1190C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64AC251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6D0D78E9" w14:textId="290EF381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$15,950.00 for 4am licensed times</w:t>
            </w:r>
          </w:p>
        </w:tc>
        <w:tc>
          <w:tcPr>
            <w:tcW w:w="3639" w:type="dxa"/>
          </w:tcPr>
          <w:p w14:paraId="38E47A88" w14:textId="3DA06E36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$15,950.00 for 4am licensed times</w:t>
            </w:r>
          </w:p>
        </w:tc>
      </w:tr>
      <w:tr w:rsidR="004A0B2C" w14:paraId="080A6858" w14:textId="77777777" w:rsidTr="00BA7CFB">
        <w:tc>
          <w:tcPr>
            <w:tcW w:w="1276" w:type="dxa"/>
          </w:tcPr>
          <w:p w14:paraId="2DFE4642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EDA17BD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FCD6541" w14:textId="4EB0D8FF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$17,838.00 for 5am licensed times</w:t>
            </w:r>
          </w:p>
        </w:tc>
        <w:tc>
          <w:tcPr>
            <w:tcW w:w="3639" w:type="dxa"/>
          </w:tcPr>
          <w:p w14:paraId="65B26646" w14:textId="71817E22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$17,838.00 for 5am licensed times</w:t>
            </w:r>
          </w:p>
        </w:tc>
      </w:tr>
      <w:tr w:rsidR="004A0B2C" w14:paraId="7C679582" w14:textId="77777777" w:rsidTr="00BA7CFB">
        <w:tc>
          <w:tcPr>
            <w:tcW w:w="1276" w:type="dxa"/>
            <w:tcBorders>
              <w:bottom w:val="single" w:sz="4" w:space="0" w:color="auto"/>
            </w:tcBorders>
          </w:tcPr>
          <w:p w14:paraId="6F9C3739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56FF7221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20CA2F89" w14:textId="77777777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078E628E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2C" w14:paraId="7330CD5C" w14:textId="77777777" w:rsidTr="00BA7CFB">
        <w:tc>
          <w:tcPr>
            <w:tcW w:w="1276" w:type="dxa"/>
            <w:tcBorders>
              <w:top w:val="single" w:sz="4" w:space="0" w:color="auto"/>
            </w:tcBorders>
          </w:tcPr>
          <w:p w14:paraId="375EFEE0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5264A6B9" w14:textId="0FD0D3D8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(d) if total occupancy loading for premises &gt; 350 people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7A5CEEC1" w14:textId="595BB1C0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$5,977.00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5A40635D" w14:textId="2DBEFA01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$5,977.00 for standard licensed times</w:t>
            </w:r>
          </w:p>
        </w:tc>
      </w:tr>
      <w:tr w:rsidR="004A0B2C" w14:paraId="7539B522" w14:textId="77777777" w:rsidTr="00862209">
        <w:tc>
          <w:tcPr>
            <w:tcW w:w="1276" w:type="dxa"/>
          </w:tcPr>
          <w:p w14:paraId="615AB73C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70345A33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23755BD4" w14:textId="1289B762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$12,958.00 for 1am licensed times</w:t>
            </w:r>
          </w:p>
        </w:tc>
        <w:tc>
          <w:tcPr>
            <w:tcW w:w="3639" w:type="dxa"/>
          </w:tcPr>
          <w:p w14:paraId="68508CE2" w14:textId="484CD4DC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$12,958.00 for 1am licensed times</w:t>
            </w:r>
          </w:p>
        </w:tc>
      </w:tr>
      <w:tr w:rsidR="004A0B2C" w14:paraId="5841E84A" w14:textId="77777777" w:rsidTr="00862209">
        <w:tc>
          <w:tcPr>
            <w:tcW w:w="1276" w:type="dxa"/>
          </w:tcPr>
          <w:p w14:paraId="61A09A14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943CA0E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68AB5E4A" w14:textId="468EE6D8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$14,952.00 for 2am licensed times</w:t>
            </w:r>
          </w:p>
        </w:tc>
        <w:tc>
          <w:tcPr>
            <w:tcW w:w="3639" w:type="dxa"/>
          </w:tcPr>
          <w:p w14:paraId="114D299B" w14:textId="733ACE06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$14,952.00 for 2am licensed times</w:t>
            </w:r>
          </w:p>
        </w:tc>
      </w:tr>
      <w:tr w:rsidR="004A0B2C" w14:paraId="426CBBCF" w14:textId="77777777" w:rsidTr="00862209">
        <w:tc>
          <w:tcPr>
            <w:tcW w:w="1276" w:type="dxa"/>
          </w:tcPr>
          <w:p w14:paraId="3C5E39AC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5D75A59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1B1BA29" w14:textId="31FEA90D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$16,946.00 for 3am licensed times</w:t>
            </w:r>
          </w:p>
        </w:tc>
        <w:tc>
          <w:tcPr>
            <w:tcW w:w="3639" w:type="dxa"/>
          </w:tcPr>
          <w:p w14:paraId="0A3F88B8" w14:textId="11A82EB8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$16,946.00 for 3am licensed times</w:t>
            </w:r>
          </w:p>
        </w:tc>
      </w:tr>
      <w:tr w:rsidR="004A0B2C" w14:paraId="7120743B" w14:textId="77777777" w:rsidTr="00862209">
        <w:tc>
          <w:tcPr>
            <w:tcW w:w="1276" w:type="dxa"/>
          </w:tcPr>
          <w:p w14:paraId="4E9D398E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0B5CF63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9E1BF10" w14:textId="7C14F7E5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$18,940.00 for 4am licensed times</w:t>
            </w:r>
          </w:p>
        </w:tc>
        <w:tc>
          <w:tcPr>
            <w:tcW w:w="3639" w:type="dxa"/>
          </w:tcPr>
          <w:p w14:paraId="446BA833" w14:textId="4B770F1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$18,940.00 for 4am licensed times</w:t>
            </w:r>
          </w:p>
        </w:tc>
      </w:tr>
      <w:tr w:rsidR="004A0B2C" w14:paraId="6D922ADD" w14:textId="77777777" w:rsidTr="004A0B2C">
        <w:tc>
          <w:tcPr>
            <w:tcW w:w="1276" w:type="dxa"/>
          </w:tcPr>
          <w:p w14:paraId="367C095E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F8022A1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01BD5F45" w14:textId="318ACBC9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$20,935.00 for 5am licensed times</w:t>
            </w:r>
          </w:p>
        </w:tc>
        <w:tc>
          <w:tcPr>
            <w:tcW w:w="3639" w:type="dxa"/>
          </w:tcPr>
          <w:p w14:paraId="58FC994E" w14:textId="34B89D1C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$20,935.00 for 5am licensed times</w:t>
            </w:r>
          </w:p>
        </w:tc>
      </w:tr>
      <w:tr w:rsidR="004A0B2C" w14:paraId="023A4A50" w14:textId="77777777" w:rsidTr="004A0B2C">
        <w:tc>
          <w:tcPr>
            <w:tcW w:w="1276" w:type="dxa"/>
            <w:tcBorders>
              <w:bottom w:val="single" w:sz="4" w:space="0" w:color="auto"/>
            </w:tcBorders>
          </w:tcPr>
          <w:p w14:paraId="216E6DA4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2470F137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1BE28D25" w14:textId="77777777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5D4D86D4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2C" w14:paraId="04A0A449" w14:textId="77777777" w:rsidTr="004A0B2C">
        <w:tc>
          <w:tcPr>
            <w:tcW w:w="1276" w:type="dxa"/>
            <w:tcBorders>
              <w:top w:val="single" w:sz="4" w:space="0" w:color="auto"/>
            </w:tcBorders>
          </w:tcPr>
          <w:p w14:paraId="5C64056F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04316D3D" w14:textId="4892C834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) for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club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licence: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77385E93" w14:textId="77777777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48912E0E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2C" w14:paraId="6CAC441D" w14:textId="77777777" w:rsidTr="00862209">
        <w:tc>
          <w:tcPr>
            <w:tcW w:w="1276" w:type="dxa"/>
          </w:tcPr>
          <w:p w14:paraId="30506E3A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18A18555" w14:textId="42173CEC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(a) if total occupancy loading for premises ≤ 80 people </w:t>
            </w:r>
          </w:p>
        </w:tc>
        <w:tc>
          <w:tcPr>
            <w:tcW w:w="3122" w:type="dxa"/>
          </w:tcPr>
          <w:p w14:paraId="0784D4B1" w14:textId="1088EEE5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$2,240.00 for standard licensed times</w:t>
            </w:r>
          </w:p>
        </w:tc>
        <w:tc>
          <w:tcPr>
            <w:tcW w:w="3639" w:type="dxa"/>
          </w:tcPr>
          <w:p w14:paraId="0DE0305E" w14:textId="704193C4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$2,240.00 for standard licensed times</w:t>
            </w:r>
          </w:p>
        </w:tc>
      </w:tr>
      <w:tr w:rsidR="004A0B2C" w14:paraId="5FA56E6A" w14:textId="77777777" w:rsidTr="00862209">
        <w:tc>
          <w:tcPr>
            <w:tcW w:w="1276" w:type="dxa"/>
          </w:tcPr>
          <w:p w14:paraId="69684429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00BCC48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FA8DBDE" w14:textId="1ECEB879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$3,737.00 for 1am licensed times</w:t>
            </w:r>
          </w:p>
        </w:tc>
        <w:tc>
          <w:tcPr>
            <w:tcW w:w="3639" w:type="dxa"/>
          </w:tcPr>
          <w:p w14:paraId="4C07BB33" w14:textId="7B87AD94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$3,737.00 for 1am licensed times</w:t>
            </w:r>
          </w:p>
        </w:tc>
      </w:tr>
      <w:tr w:rsidR="004A0B2C" w14:paraId="5888D1E2" w14:textId="77777777" w:rsidTr="00862209">
        <w:tc>
          <w:tcPr>
            <w:tcW w:w="1276" w:type="dxa"/>
          </w:tcPr>
          <w:p w14:paraId="1C19DF03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278D28F8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6D697261" w14:textId="1F1B0CBD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$3,737.00 for 2am licensed times</w:t>
            </w:r>
          </w:p>
        </w:tc>
        <w:tc>
          <w:tcPr>
            <w:tcW w:w="3639" w:type="dxa"/>
          </w:tcPr>
          <w:p w14:paraId="0155ED9A" w14:textId="6BC47FCE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$3,737.00 for 2am licensed times</w:t>
            </w:r>
          </w:p>
        </w:tc>
      </w:tr>
      <w:tr w:rsidR="004A0B2C" w14:paraId="1F2A63B8" w14:textId="77777777" w:rsidTr="00862209">
        <w:tc>
          <w:tcPr>
            <w:tcW w:w="1276" w:type="dxa"/>
          </w:tcPr>
          <w:p w14:paraId="6FE127B6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2BBD64A8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1BCB5E78" w14:textId="6C67F72C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3am licensed times</w:t>
            </w:r>
          </w:p>
        </w:tc>
        <w:tc>
          <w:tcPr>
            <w:tcW w:w="3639" w:type="dxa"/>
          </w:tcPr>
          <w:p w14:paraId="63F3E879" w14:textId="6B823E34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3am licensed times</w:t>
            </w:r>
          </w:p>
        </w:tc>
      </w:tr>
      <w:tr w:rsidR="004A0B2C" w14:paraId="6591B404" w14:textId="77777777" w:rsidTr="00862209">
        <w:tc>
          <w:tcPr>
            <w:tcW w:w="1276" w:type="dxa"/>
          </w:tcPr>
          <w:p w14:paraId="4D92B0D6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F96E3E7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2AB1C672" w14:textId="7E994E64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4am licensed times</w:t>
            </w:r>
          </w:p>
        </w:tc>
        <w:tc>
          <w:tcPr>
            <w:tcW w:w="3639" w:type="dxa"/>
          </w:tcPr>
          <w:p w14:paraId="0116DFBB" w14:textId="5A615C1F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4am licensed times</w:t>
            </w:r>
          </w:p>
        </w:tc>
      </w:tr>
      <w:tr w:rsidR="004A0B2C" w14:paraId="196D3586" w14:textId="77777777" w:rsidTr="00BA7CFB">
        <w:tc>
          <w:tcPr>
            <w:tcW w:w="1276" w:type="dxa"/>
          </w:tcPr>
          <w:p w14:paraId="1B86A211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17042618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153617E0" w14:textId="6417EC99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5am licensed times</w:t>
            </w:r>
          </w:p>
        </w:tc>
        <w:tc>
          <w:tcPr>
            <w:tcW w:w="3639" w:type="dxa"/>
          </w:tcPr>
          <w:p w14:paraId="573EA5D8" w14:textId="04DC9389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5am licensed times</w:t>
            </w:r>
          </w:p>
        </w:tc>
      </w:tr>
      <w:tr w:rsidR="004A0B2C" w14:paraId="2503C28B" w14:textId="77777777" w:rsidTr="00BA7CFB">
        <w:tc>
          <w:tcPr>
            <w:tcW w:w="1276" w:type="dxa"/>
            <w:tcBorders>
              <w:bottom w:val="single" w:sz="4" w:space="0" w:color="auto"/>
            </w:tcBorders>
          </w:tcPr>
          <w:p w14:paraId="671FAEE2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458514D4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1D7CE51B" w14:textId="77777777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5B6DF959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2C" w14:paraId="2CC7480D" w14:textId="77777777" w:rsidTr="00BA7CFB">
        <w:tc>
          <w:tcPr>
            <w:tcW w:w="1276" w:type="dxa"/>
            <w:tcBorders>
              <w:top w:val="single" w:sz="4" w:space="0" w:color="auto"/>
            </w:tcBorders>
          </w:tcPr>
          <w:p w14:paraId="0463C4BA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027EC1F4" w14:textId="1D149C1B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(b) if total occupancy loading for premises &gt; 80 people but ≤ 150 people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53E371D3" w14:textId="3AB5672A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$2,988.00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579290BB" w14:textId="5C43884E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$2,988.00 for standard licensed times</w:t>
            </w:r>
          </w:p>
        </w:tc>
      </w:tr>
      <w:tr w:rsidR="004A0B2C" w14:paraId="74520871" w14:textId="77777777" w:rsidTr="00862209">
        <w:tc>
          <w:tcPr>
            <w:tcW w:w="1276" w:type="dxa"/>
          </w:tcPr>
          <w:p w14:paraId="234E1AFE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66E535A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1804556" w14:textId="25D0EE35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$5,230.00 for 1am licensed times</w:t>
            </w:r>
          </w:p>
        </w:tc>
        <w:tc>
          <w:tcPr>
            <w:tcW w:w="3639" w:type="dxa"/>
          </w:tcPr>
          <w:p w14:paraId="40F0E370" w14:textId="5B4F20DF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$5,230.00 for 1am licensed times</w:t>
            </w:r>
          </w:p>
        </w:tc>
      </w:tr>
      <w:tr w:rsidR="004A0B2C" w14:paraId="7D2E750C" w14:textId="77777777" w:rsidTr="00862209">
        <w:tc>
          <w:tcPr>
            <w:tcW w:w="1276" w:type="dxa"/>
          </w:tcPr>
          <w:p w14:paraId="0C3C1251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77976BB0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070B3CF8" w14:textId="05ACFF01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$6,820.00 for 2am licensed times</w:t>
            </w:r>
          </w:p>
        </w:tc>
        <w:tc>
          <w:tcPr>
            <w:tcW w:w="3639" w:type="dxa"/>
          </w:tcPr>
          <w:p w14:paraId="552EBDA6" w14:textId="58BF83BB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$6,820.00 for 2am licensed times</w:t>
            </w:r>
          </w:p>
        </w:tc>
      </w:tr>
      <w:tr w:rsidR="004A0B2C" w14:paraId="20B184C2" w14:textId="77777777" w:rsidTr="00862209">
        <w:tc>
          <w:tcPr>
            <w:tcW w:w="1276" w:type="dxa"/>
          </w:tcPr>
          <w:p w14:paraId="4BA0793A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6577A96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4506C880" w14:textId="462D89E1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$10,964.00 for 3am licensed times</w:t>
            </w:r>
          </w:p>
        </w:tc>
        <w:tc>
          <w:tcPr>
            <w:tcW w:w="3639" w:type="dxa"/>
          </w:tcPr>
          <w:p w14:paraId="3046A194" w14:textId="5C0F5A9F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$10,964.00 for 3am licensed times</w:t>
            </w:r>
          </w:p>
        </w:tc>
      </w:tr>
      <w:tr w:rsidR="004A0B2C" w14:paraId="40A9608A" w14:textId="77777777" w:rsidTr="00862209">
        <w:tc>
          <w:tcPr>
            <w:tcW w:w="1276" w:type="dxa"/>
          </w:tcPr>
          <w:p w14:paraId="7AE20F7E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D794C35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416D7BC6" w14:textId="54147674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$12,958.00 for 4am licensed times</w:t>
            </w:r>
          </w:p>
        </w:tc>
        <w:tc>
          <w:tcPr>
            <w:tcW w:w="3639" w:type="dxa"/>
          </w:tcPr>
          <w:p w14:paraId="203231B3" w14:textId="3011212D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$12,958.00 for 4am licensed times</w:t>
            </w:r>
          </w:p>
        </w:tc>
      </w:tr>
      <w:tr w:rsidR="004A0B2C" w14:paraId="52EAAAD7" w14:textId="77777777" w:rsidTr="00BA7CFB">
        <w:tc>
          <w:tcPr>
            <w:tcW w:w="1276" w:type="dxa"/>
          </w:tcPr>
          <w:p w14:paraId="64A31607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F90E7D4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51A8F53" w14:textId="1C327771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$14,952.00 for 5am licensed times</w:t>
            </w:r>
          </w:p>
        </w:tc>
        <w:tc>
          <w:tcPr>
            <w:tcW w:w="3639" w:type="dxa"/>
          </w:tcPr>
          <w:p w14:paraId="76F93EC9" w14:textId="571CF773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$14,952.00 for 5am licensed times</w:t>
            </w:r>
          </w:p>
        </w:tc>
      </w:tr>
      <w:tr w:rsidR="004A0B2C" w14:paraId="57B69248" w14:textId="77777777" w:rsidTr="00BA7CFB">
        <w:tc>
          <w:tcPr>
            <w:tcW w:w="1276" w:type="dxa"/>
            <w:tcBorders>
              <w:bottom w:val="single" w:sz="4" w:space="0" w:color="auto"/>
            </w:tcBorders>
          </w:tcPr>
          <w:p w14:paraId="0FA055B5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1504B7C1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10A2706" w14:textId="77777777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2D880F10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2C" w14:paraId="0D3BB28B" w14:textId="77777777" w:rsidTr="00BA7CFB">
        <w:tc>
          <w:tcPr>
            <w:tcW w:w="1276" w:type="dxa"/>
            <w:tcBorders>
              <w:top w:val="single" w:sz="4" w:space="0" w:color="auto"/>
            </w:tcBorders>
          </w:tcPr>
          <w:p w14:paraId="19BA1D0F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13F9788F" w14:textId="0D4DE8F9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(c) if total occupancy loading for premises &gt; 150 people but ≤ 350 people    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6492C197" w14:textId="00EF450B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$4,981.00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6D19AE2C" w14:textId="76386D64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735</w:t>
            </w: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4A0B2C" w14:paraId="6522326C" w14:textId="77777777" w:rsidTr="00862209">
        <w:tc>
          <w:tcPr>
            <w:tcW w:w="1276" w:type="dxa"/>
          </w:tcPr>
          <w:p w14:paraId="436195AB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11B7A0E2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4CA3B6D2" w14:textId="6DC99095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$9,967.00 for 1am licensed times</w:t>
            </w:r>
          </w:p>
        </w:tc>
        <w:tc>
          <w:tcPr>
            <w:tcW w:w="3639" w:type="dxa"/>
          </w:tcPr>
          <w:p w14:paraId="3FA98363" w14:textId="68BCA83A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$9,967.00 for 1am licensed times</w:t>
            </w:r>
          </w:p>
        </w:tc>
      </w:tr>
      <w:tr w:rsidR="004A0B2C" w14:paraId="68C63BB3" w14:textId="77777777" w:rsidTr="00862209">
        <w:tc>
          <w:tcPr>
            <w:tcW w:w="1276" w:type="dxa"/>
          </w:tcPr>
          <w:p w14:paraId="24450EAE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850EEAC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23E0FE93" w14:textId="288E9BE7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$11,961.00 for 2am licensed times</w:t>
            </w:r>
          </w:p>
        </w:tc>
        <w:tc>
          <w:tcPr>
            <w:tcW w:w="3639" w:type="dxa"/>
          </w:tcPr>
          <w:p w14:paraId="099308D3" w14:textId="01FFB6CD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$11,961.00 for 2am licensed times</w:t>
            </w:r>
          </w:p>
        </w:tc>
      </w:tr>
      <w:tr w:rsidR="004A0B2C" w14:paraId="0037F0F0" w14:textId="77777777" w:rsidTr="00862209">
        <w:tc>
          <w:tcPr>
            <w:tcW w:w="1276" w:type="dxa"/>
          </w:tcPr>
          <w:p w14:paraId="10BD9DE4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55EE79A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4E7EC7E" w14:textId="4A148DB2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$13,955.00 for 3am licensed times</w:t>
            </w:r>
          </w:p>
        </w:tc>
        <w:tc>
          <w:tcPr>
            <w:tcW w:w="3639" w:type="dxa"/>
          </w:tcPr>
          <w:p w14:paraId="406866AE" w14:textId="118CBA7D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$13,955.00 for 3am licensed times</w:t>
            </w:r>
          </w:p>
        </w:tc>
      </w:tr>
      <w:tr w:rsidR="004A0B2C" w14:paraId="3805A33F" w14:textId="77777777" w:rsidTr="00862209">
        <w:tc>
          <w:tcPr>
            <w:tcW w:w="1276" w:type="dxa"/>
          </w:tcPr>
          <w:p w14:paraId="5A952828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27326578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36B6563" w14:textId="5EDB0934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$15,950.00 for 4am licensed times</w:t>
            </w:r>
          </w:p>
        </w:tc>
        <w:tc>
          <w:tcPr>
            <w:tcW w:w="3639" w:type="dxa"/>
          </w:tcPr>
          <w:p w14:paraId="5A1D7B07" w14:textId="13FCE7C9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$15,950.00 for 4am licensed times</w:t>
            </w:r>
          </w:p>
        </w:tc>
      </w:tr>
      <w:tr w:rsidR="004A0B2C" w14:paraId="6AEB7FE8" w14:textId="77777777" w:rsidTr="00BA7CFB">
        <w:tc>
          <w:tcPr>
            <w:tcW w:w="1276" w:type="dxa"/>
          </w:tcPr>
          <w:p w14:paraId="4D2D7B92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4EA6215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0EC1BBDD" w14:textId="6854BFF7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$17,838.00 for 5am licensed times</w:t>
            </w:r>
          </w:p>
        </w:tc>
        <w:tc>
          <w:tcPr>
            <w:tcW w:w="3639" w:type="dxa"/>
          </w:tcPr>
          <w:p w14:paraId="3950C6E8" w14:textId="16555E8B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$17,838.00 for 5am licensed times</w:t>
            </w:r>
          </w:p>
        </w:tc>
      </w:tr>
      <w:tr w:rsidR="004A0B2C" w14:paraId="5CC7C865" w14:textId="77777777" w:rsidTr="00BA7CFB">
        <w:tc>
          <w:tcPr>
            <w:tcW w:w="1276" w:type="dxa"/>
            <w:tcBorders>
              <w:bottom w:val="single" w:sz="4" w:space="0" w:color="auto"/>
            </w:tcBorders>
          </w:tcPr>
          <w:p w14:paraId="639C9EA6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A7F2791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B1D904F" w14:textId="77777777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48360E1A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2C" w14:paraId="4A53951B" w14:textId="77777777" w:rsidTr="00BA7CFB">
        <w:tc>
          <w:tcPr>
            <w:tcW w:w="1276" w:type="dxa"/>
            <w:tcBorders>
              <w:top w:val="single" w:sz="4" w:space="0" w:color="auto"/>
            </w:tcBorders>
          </w:tcPr>
          <w:p w14:paraId="7994B60D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5919004A" w14:textId="6418BEFB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(d) if total occupancy loading for premises &gt; 350 people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2F2D028E" w14:textId="24637DC6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$5,977.00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6CC7DC19" w14:textId="17DCDF90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4,482</w:t>
            </w:r>
            <w:r w:rsidRPr="00C34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  <w:r w:rsidRPr="00E075B0" w:rsidDel="00584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4A0B2C" w14:paraId="139B1932" w14:textId="77777777" w:rsidTr="00862209">
        <w:tc>
          <w:tcPr>
            <w:tcW w:w="1276" w:type="dxa"/>
          </w:tcPr>
          <w:p w14:paraId="02A0D94A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FBC9C95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1D002E2" w14:textId="0F79477F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$12,958.00 for 1am licensed times</w:t>
            </w:r>
          </w:p>
        </w:tc>
        <w:tc>
          <w:tcPr>
            <w:tcW w:w="3639" w:type="dxa"/>
          </w:tcPr>
          <w:p w14:paraId="140B6129" w14:textId="3AB87EBF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$12,958.00 for 1am licensed times</w:t>
            </w:r>
          </w:p>
        </w:tc>
      </w:tr>
      <w:tr w:rsidR="004A0B2C" w14:paraId="4B77B140" w14:textId="77777777" w:rsidTr="00862209">
        <w:tc>
          <w:tcPr>
            <w:tcW w:w="1276" w:type="dxa"/>
          </w:tcPr>
          <w:p w14:paraId="69C501FD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5EA391A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459D6D64" w14:textId="52E33449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$14,952.00 for 2am licensed times</w:t>
            </w:r>
          </w:p>
        </w:tc>
        <w:tc>
          <w:tcPr>
            <w:tcW w:w="3639" w:type="dxa"/>
          </w:tcPr>
          <w:p w14:paraId="437A7217" w14:textId="7159B89F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$14,952.00 for 2am licensed times</w:t>
            </w:r>
          </w:p>
        </w:tc>
      </w:tr>
      <w:tr w:rsidR="004A0B2C" w14:paraId="3E50F753" w14:textId="77777777" w:rsidTr="00862209">
        <w:tc>
          <w:tcPr>
            <w:tcW w:w="1276" w:type="dxa"/>
          </w:tcPr>
          <w:p w14:paraId="148FF307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716B0D29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2E4D1E2" w14:textId="1A0C9F61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$16,946.00 for 3am licensed times</w:t>
            </w:r>
          </w:p>
        </w:tc>
        <w:tc>
          <w:tcPr>
            <w:tcW w:w="3639" w:type="dxa"/>
          </w:tcPr>
          <w:p w14:paraId="0F54ABD6" w14:textId="714B0A34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$16,946.00 for 3am licensed times</w:t>
            </w:r>
          </w:p>
        </w:tc>
      </w:tr>
      <w:tr w:rsidR="004A0B2C" w14:paraId="5E2711F3" w14:textId="77777777" w:rsidTr="00862209">
        <w:tc>
          <w:tcPr>
            <w:tcW w:w="1276" w:type="dxa"/>
          </w:tcPr>
          <w:p w14:paraId="08B53ADF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2BA02327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971541A" w14:textId="66D34F0B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$18,940.00 for 4am licensed times</w:t>
            </w:r>
          </w:p>
        </w:tc>
        <w:tc>
          <w:tcPr>
            <w:tcW w:w="3639" w:type="dxa"/>
          </w:tcPr>
          <w:p w14:paraId="4BB4477B" w14:textId="538C5766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$18,940.00 for 4am licensed times</w:t>
            </w:r>
          </w:p>
        </w:tc>
      </w:tr>
      <w:tr w:rsidR="004A0B2C" w14:paraId="2A6F5638" w14:textId="77777777" w:rsidTr="004A0B2C">
        <w:tc>
          <w:tcPr>
            <w:tcW w:w="1276" w:type="dxa"/>
          </w:tcPr>
          <w:p w14:paraId="6598D639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35F453D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68F00AA7" w14:textId="4A01CE4D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$20,935.00 for 5am licensed times</w:t>
            </w:r>
          </w:p>
        </w:tc>
        <w:tc>
          <w:tcPr>
            <w:tcW w:w="3639" w:type="dxa"/>
          </w:tcPr>
          <w:p w14:paraId="5BD58C2C" w14:textId="42544F8B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$20,935.00 for 5am licensed times</w:t>
            </w:r>
          </w:p>
        </w:tc>
      </w:tr>
      <w:tr w:rsidR="004A0B2C" w14:paraId="6534BA3C" w14:textId="77777777" w:rsidTr="004A0B2C">
        <w:tc>
          <w:tcPr>
            <w:tcW w:w="1276" w:type="dxa"/>
            <w:tcBorders>
              <w:bottom w:val="single" w:sz="12" w:space="0" w:color="auto"/>
            </w:tcBorders>
          </w:tcPr>
          <w:p w14:paraId="1778304B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78E16DAE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7B39B481" w14:textId="77777777" w:rsidR="004A0B2C" w:rsidRPr="00655AEC" w:rsidRDefault="004A0B2C" w:rsidP="004A0B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6FCEA249" w14:textId="77777777" w:rsidR="004A0B2C" w:rsidRPr="006179F1" w:rsidRDefault="004A0B2C" w:rsidP="004A0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9AD" w14:paraId="314B35CE" w14:textId="77777777" w:rsidTr="004A0B2C">
        <w:tc>
          <w:tcPr>
            <w:tcW w:w="1276" w:type="dxa"/>
            <w:tcBorders>
              <w:top w:val="single" w:sz="12" w:space="0" w:color="auto"/>
            </w:tcBorders>
          </w:tcPr>
          <w:p w14:paraId="27528C0A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12" w:space="0" w:color="auto"/>
            </w:tcBorders>
          </w:tcPr>
          <w:p w14:paraId="24D32643" w14:textId="7FA8033E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5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) for off licence:</w:t>
            </w:r>
          </w:p>
        </w:tc>
        <w:tc>
          <w:tcPr>
            <w:tcW w:w="3122" w:type="dxa"/>
            <w:tcBorders>
              <w:top w:val="single" w:sz="12" w:space="0" w:color="auto"/>
            </w:tcBorders>
          </w:tcPr>
          <w:p w14:paraId="536FAEE2" w14:textId="77777777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7E94E612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9AD" w14:paraId="5A7FB11B" w14:textId="77777777" w:rsidTr="00862209">
        <w:tc>
          <w:tcPr>
            <w:tcW w:w="1276" w:type="dxa"/>
          </w:tcPr>
          <w:p w14:paraId="3F02056F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B975A5A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0871FF2C" w14:textId="77777777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1856F19C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9AD" w14:paraId="5F306D4E" w14:textId="77777777" w:rsidTr="00BA7CFB">
        <w:tc>
          <w:tcPr>
            <w:tcW w:w="1276" w:type="dxa"/>
          </w:tcPr>
          <w:p w14:paraId="196B572A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5FBA007" w14:textId="6B91550F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(a) if gross liquor purchase value for reporting period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$5,000                                                                                                   </w:t>
            </w:r>
          </w:p>
        </w:tc>
        <w:tc>
          <w:tcPr>
            <w:tcW w:w="3122" w:type="dxa"/>
          </w:tcPr>
          <w:p w14:paraId="6137081B" w14:textId="41792440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$661.00 for standard licensed times</w:t>
            </w:r>
          </w:p>
        </w:tc>
        <w:tc>
          <w:tcPr>
            <w:tcW w:w="3639" w:type="dxa"/>
          </w:tcPr>
          <w:p w14:paraId="173ECC4D" w14:textId="5F707235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$661.00 for standard licensed times</w:t>
            </w:r>
          </w:p>
        </w:tc>
      </w:tr>
      <w:tr w:rsidR="00A329AD" w14:paraId="662B91A4" w14:textId="77777777" w:rsidTr="00BA7CFB">
        <w:tc>
          <w:tcPr>
            <w:tcW w:w="1276" w:type="dxa"/>
            <w:tcBorders>
              <w:bottom w:val="single" w:sz="4" w:space="0" w:color="auto"/>
            </w:tcBorders>
          </w:tcPr>
          <w:p w14:paraId="3D7D1999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34BC51F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0CD5F521" w14:textId="77777777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0729B5AE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9AD" w14:paraId="4507FD1A" w14:textId="77777777" w:rsidTr="00E01E10">
        <w:tc>
          <w:tcPr>
            <w:tcW w:w="1276" w:type="dxa"/>
            <w:tcBorders>
              <w:top w:val="single" w:sz="4" w:space="0" w:color="auto"/>
            </w:tcBorders>
          </w:tcPr>
          <w:p w14:paraId="3DE0A6AB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6E66D179" w14:textId="77DA359D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(b) if gross liquor purchase value for reporting period &gt; $5,000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$100,000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797F099D" w14:textId="0947CA7D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$2,250.00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19A0B337" w14:textId="222FDA0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1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$2,250.00 for standard licensed times</w:t>
            </w:r>
          </w:p>
        </w:tc>
      </w:tr>
      <w:tr w:rsidR="00A329AD" w14:paraId="5B85C515" w14:textId="77777777" w:rsidTr="00E01E10">
        <w:tc>
          <w:tcPr>
            <w:tcW w:w="1276" w:type="dxa"/>
            <w:tcBorders>
              <w:bottom w:val="single" w:sz="4" w:space="0" w:color="auto"/>
            </w:tcBorders>
          </w:tcPr>
          <w:p w14:paraId="2E7F3150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6093A327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1AE6E7E3" w14:textId="20CC165C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275AA557" w14:textId="50829CC4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1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329AD" w14:paraId="4E9EAE7C" w14:textId="77777777" w:rsidTr="00E01E10">
        <w:tc>
          <w:tcPr>
            <w:tcW w:w="1276" w:type="dxa"/>
            <w:tcBorders>
              <w:top w:val="single" w:sz="4" w:space="0" w:color="auto"/>
            </w:tcBorders>
          </w:tcPr>
          <w:p w14:paraId="7C6016EA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0D5C082C" w14:textId="3DC4E0C6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(c) if gross liquor purchase value for reporting period &gt; $100,000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$500,000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1EB22886" w14:textId="44EFD00A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$4,864.00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33C95A6C" w14:textId="3F0CEDBE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$4,864.00 for standard licensed times</w:t>
            </w:r>
          </w:p>
        </w:tc>
      </w:tr>
      <w:tr w:rsidR="00A329AD" w14:paraId="13561B25" w14:textId="77777777" w:rsidTr="00E01E10">
        <w:tc>
          <w:tcPr>
            <w:tcW w:w="1276" w:type="dxa"/>
            <w:tcBorders>
              <w:bottom w:val="single" w:sz="4" w:space="0" w:color="auto"/>
            </w:tcBorders>
          </w:tcPr>
          <w:p w14:paraId="7CD57400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23D0222E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02BC140F" w14:textId="6E097141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045A32A8" w14:textId="7B4AC5A4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329AD" w14:paraId="4CE002A1" w14:textId="77777777" w:rsidTr="00E01E10">
        <w:tc>
          <w:tcPr>
            <w:tcW w:w="1276" w:type="dxa"/>
            <w:tcBorders>
              <w:top w:val="single" w:sz="4" w:space="0" w:color="auto"/>
            </w:tcBorders>
          </w:tcPr>
          <w:p w14:paraId="5DF80DDF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10391621" w14:textId="7E8D2EAB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(d) if gross liquor purchase value for reporting period &gt; $500,000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$1,000,000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7912BBF6" w14:textId="09444D56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$7,523.00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5EC1D39C" w14:textId="1C578F6C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$7,523.00 for standard licensed times</w:t>
            </w:r>
          </w:p>
        </w:tc>
      </w:tr>
      <w:tr w:rsidR="00A329AD" w14:paraId="6B268C1E" w14:textId="77777777" w:rsidTr="00E01E10">
        <w:tc>
          <w:tcPr>
            <w:tcW w:w="1276" w:type="dxa"/>
            <w:tcBorders>
              <w:bottom w:val="single" w:sz="4" w:space="0" w:color="auto"/>
            </w:tcBorders>
          </w:tcPr>
          <w:p w14:paraId="0C0122C0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229ECD75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13CD3B3" w14:textId="6625D808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55925DD5" w14:textId="54DD94C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329AD" w14:paraId="048C83D9" w14:textId="77777777" w:rsidTr="00E01E10">
        <w:tc>
          <w:tcPr>
            <w:tcW w:w="1276" w:type="dxa"/>
            <w:tcBorders>
              <w:top w:val="single" w:sz="4" w:space="0" w:color="auto"/>
            </w:tcBorders>
          </w:tcPr>
          <w:p w14:paraId="39FCF41E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382DEB34" w14:textId="53A18962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(e) if gross liquor purchase value for reporting period &gt; $1,000,000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$3,000,000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54A50E98" w14:textId="77204E70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$12,839.00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5B2DBBDA" w14:textId="2D6E16B9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$12,839.00 for standard licensed times</w:t>
            </w:r>
          </w:p>
        </w:tc>
      </w:tr>
      <w:tr w:rsidR="00A329AD" w14:paraId="34E9848F" w14:textId="77777777" w:rsidTr="00E01E10">
        <w:tc>
          <w:tcPr>
            <w:tcW w:w="1276" w:type="dxa"/>
            <w:tcBorders>
              <w:bottom w:val="single" w:sz="4" w:space="0" w:color="auto"/>
            </w:tcBorders>
          </w:tcPr>
          <w:p w14:paraId="497A32D5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6FFCE254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53839F42" w14:textId="736A90BE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7B8192CC" w14:textId="5A3FCB8C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329AD" w14:paraId="4EE1252D" w14:textId="77777777" w:rsidTr="00E01E10">
        <w:tc>
          <w:tcPr>
            <w:tcW w:w="1276" w:type="dxa"/>
            <w:tcBorders>
              <w:top w:val="single" w:sz="4" w:space="0" w:color="auto"/>
            </w:tcBorders>
          </w:tcPr>
          <w:p w14:paraId="1B6D3CA0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48BB88F6" w14:textId="5C70A3E2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(f) if gross liquor purchase value for reporting period &gt; $3,000,000 but ≤ $4,000,000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5D82201B" w14:textId="684BEFC3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$23,476.00 for early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6416845F" w14:textId="443A03CD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$23,476.00 for early licensed times</w:t>
            </w:r>
          </w:p>
        </w:tc>
      </w:tr>
      <w:tr w:rsidR="00A329AD" w14:paraId="48D37E07" w14:textId="77777777" w:rsidTr="00E01E10">
        <w:tc>
          <w:tcPr>
            <w:tcW w:w="1276" w:type="dxa"/>
          </w:tcPr>
          <w:p w14:paraId="609BC61E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30C4FE1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1A61428F" w14:textId="00B0A1E6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$24,651.00 for standard licensed times</w:t>
            </w:r>
          </w:p>
        </w:tc>
        <w:tc>
          <w:tcPr>
            <w:tcW w:w="3639" w:type="dxa"/>
          </w:tcPr>
          <w:p w14:paraId="204316EE" w14:textId="133FA08A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$24,651.00 for standard licensed times</w:t>
            </w:r>
          </w:p>
        </w:tc>
      </w:tr>
      <w:tr w:rsidR="00A329AD" w14:paraId="49D3B4FD" w14:textId="77777777" w:rsidTr="00E01E10">
        <w:tc>
          <w:tcPr>
            <w:tcW w:w="1276" w:type="dxa"/>
            <w:tcBorders>
              <w:bottom w:val="single" w:sz="4" w:space="0" w:color="auto"/>
            </w:tcBorders>
          </w:tcPr>
          <w:p w14:paraId="73FA8A5D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6D9B14C2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17843CB" w14:textId="0AFE9984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2DCDC38D" w14:textId="6454119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329AD" w14:paraId="08959822" w14:textId="77777777" w:rsidTr="00E01E10">
        <w:tc>
          <w:tcPr>
            <w:tcW w:w="1276" w:type="dxa"/>
            <w:tcBorders>
              <w:top w:val="single" w:sz="4" w:space="0" w:color="auto"/>
            </w:tcBorders>
          </w:tcPr>
          <w:p w14:paraId="1A713EFE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058A5405" w14:textId="0833ABA2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(g) if gross liquor purchase value for reporting period &gt; $4,000,000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$5,000,000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26C5EAB5" w14:textId="414C1282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$23,476.00 for early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11C9DFA6" w14:textId="1E6EE8F5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$23,476.00 for early licensed times</w:t>
            </w:r>
          </w:p>
        </w:tc>
      </w:tr>
      <w:tr w:rsidR="00A329AD" w14:paraId="6B88C488" w14:textId="77777777" w:rsidTr="00E01E10">
        <w:tc>
          <w:tcPr>
            <w:tcW w:w="1276" w:type="dxa"/>
          </w:tcPr>
          <w:p w14:paraId="6FD0CDC2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872877C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1CC46B34" w14:textId="1FEBCFC7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$25,824.00 for standard licensed times</w:t>
            </w:r>
          </w:p>
        </w:tc>
        <w:tc>
          <w:tcPr>
            <w:tcW w:w="3639" w:type="dxa"/>
          </w:tcPr>
          <w:p w14:paraId="3651647C" w14:textId="348ED7CA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$25,824.00 for standard licensed times</w:t>
            </w:r>
          </w:p>
        </w:tc>
      </w:tr>
      <w:tr w:rsidR="00A329AD" w14:paraId="41FAFE47" w14:textId="77777777" w:rsidTr="00E01E10">
        <w:tc>
          <w:tcPr>
            <w:tcW w:w="1276" w:type="dxa"/>
            <w:tcBorders>
              <w:bottom w:val="single" w:sz="4" w:space="0" w:color="auto"/>
            </w:tcBorders>
          </w:tcPr>
          <w:p w14:paraId="0840A117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327095B8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242C8DAF" w14:textId="77777777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5C44443F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9AD" w14:paraId="2B912AE4" w14:textId="77777777" w:rsidTr="00E01E10">
        <w:tc>
          <w:tcPr>
            <w:tcW w:w="1276" w:type="dxa"/>
            <w:tcBorders>
              <w:top w:val="single" w:sz="4" w:space="0" w:color="auto"/>
            </w:tcBorders>
          </w:tcPr>
          <w:p w14:paraId="16C25938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38E56C85" w14:textId="66F939B2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(h) if gross liquor purchase value for reporting period &gt; $5,000,000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$6,000,000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5481067A" w14:textId="02274F4A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$23,476.00 for early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74E26031" w14:textId="39197365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$23,476.00 for early licensed times</w:t>
            </w:r>
          </w:p>
        </w:tc>
      </w:tr>
      <w:tr w:rsidR="00A329AD" w14:paraId="2E83CDDD" w14:textId="77777777" w:rsidTr="00E01E10">
        <w:tc>
          <w:tcPr>
            <w:tcW w:w="1276" w:type="dxa"/>
          </w:tcPr>
          <w:p w14:paraId="00BD90BC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3661FF7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7FE50BE3" w14:textId="206CB54C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$26,998.00 for standard licensed times</w:t>
            </w:r>
          </w:p>
        </w:tc>
        <w:tc>
          <w:tcPr>
            <w:tcW w:w="3639" w:type="dxa"/>
          </w:tcPr>
          <w:p w14:paraId="110601E8" w14:textId="0573F9A8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$26,998.00 for standard licensed times</w:t>
            </w:r>
          </w:p>
        </w:tc>
      </w:tr>
      <w:tr w:rsidR="00A329AD" w14:paraId="2675AA5A" w14:textId="77777777" w:rsidTr="00E01E10">
        <w:tc>
          <w:tcPr>
            <w:tcW w:w="1276" w:type="dxa"/>
            <w:tcBorders>
              <w:bottom w:val="single" w:sz="4" w:space="0" w:color="auto"/>
            </w:tcBorders>
          </w:tcPr>
          <w:p w14:paraId="6391FEBD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72E6793D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0EC61E89" w14:textId="77777777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618E2D88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9AD" w14:paraId="74701A3A" w14:textId="77777777" w:rsidTr="00E01E10">
        <w:tc>
          <w:tcPr>
            <w:tcW w:w="1276" w:type="dxa"/>
            <w:tcBorders>
              <w:top w:val="single" w:sz="4" w:space="0" w:color="auto"/>
            </w:tcBorders>
          </w:tcPr>
          <w:p w14:paraId="0AC41DEA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20BC4BB0" w14:textId="4D3D5BBA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</w:t>
            </w:r>
            <w:proofErr w:type="spellStart"/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i</w:t>
            </w:r>
            <w:proofErr w:type="spellEnd"/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) if gross liquor purchase value for reporting period &gt; $6,000,000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$7,000,000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72B062D2" w14:textId="45F4C32A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$23,476.00 for early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73CC01DB" w14:textId="59EFFEDE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$23,476.00 for early licensed times</w:t>
            </w:r>
          </w:p>
        </w:tc>
      </w:tr>
      <w:tr w:rsidR="00A329AD" w14:paraId="03850054" w14:textId="77777777" w:rsidTr="00E01E10">
        <w:tc>
          <w:tcPr>
            <w:tcW w:w="1276" w:type="dxa"/>
          </w:tcPr>
          <w:p w14:paraId="7D9BE9D1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165F6D4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1FBAFF41" w14:textId="671177F7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$28,172.00 for standard licensed times</w:t>
            </w:r>
          </w:p>
        </w:tc>
        <w:tc>
          <w:tcPr>
            <w:tcW w:w="3639" w:type="dxa"/>
          </w:tcPr>
          <w:p w14:paraId="63DF2B17" w14:textId="24343F76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$28,172.00 for standard licensed times</w:t>
            </w:r>
          </w:p>
        </w:tc>
      </w:tr>
      <w:tr w:rsidR="00A329AD" w14:paraId="11B6B9CA" w14:textId="77777777" w:rsidTr="00E01E10">
        <w:tc>
          <w:tcPr>
            <w:tcW w:w="1276" w:type="dxa"/>
            <w:tcBorders>
              <w:bottom w:val="single" w:sz="4" w:space="0" w:color="auto"/>
            </w:tcBorders>
          </w:tcPr>
          <w:p w14:paraId="584C81E6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A203990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114CF719" w14:textId="77777777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50B02CE2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9AD" w14:paraId="6EEEBBBF" w14:textId="77777777" w:rsidTr="00E01E10">
        <w:tc>
          <w:tcPr>
            <w:tcW w:w="1276" w:type="dxa"/>
            <w:tcBorders>
              <w:top w:val="single" w:sz="4" w:space="0" w:color="auto"/>
            </w:tcBorders>
          </w:tcPr>
          <w:p w14:paraId="48563FB3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2FD6902B" w14:textId="03734798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(j) if gross liquor purchase value for reporting period &gt; $7,000,000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556588CD" w14:textId="788E4EC2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$34,112.00 for early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333E0FBE" w14:textId="06705FB1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$34,112.00 for early licensed times</w:t>
            </w:r>
          </w:p>
        </w:tc>
      </w:tr>
      <w:tr w:rsidR="00A329AD" w14:paraId="2DE1B591" w14:textId="77777777" w:rsidTr="00862209">
        <w:tc>
          <w:tcPr>
            <w:tcW w:w="1276" w:type="dxa"/>
          </w:tcPr>
          <w:p w14:paraId="1E29E6FE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88F5233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D5143A5" w14:textId="2013BC7B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$40,934.00 for standard licensed times</w:t>
            </w:r>
          </w:p>
        </w:tc>
        <w:tc>
          <w:tcPr>
            <w:tcW w:w="3639" w:type="dxa"/>
          </w:tcPr>
          <w:p w14:paraId="719CF7F7" w14:textId="3032707C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$40,934.00 for standard licensed times</w:t>
            </w:r>
          </w:p>
        </w:tc>
      </w:tr>
      <w:tr w:rsidR="00A329AD" w14:paraId="6E3CE955" w14:textId="77777777" w:rsidTr="00862209">
        <w:tc>
          <w:tcPr>
            <w:tcW w:w="1276" w:type="dxa"/>
          </w:tcPr>
          <w:p w14:paraId="6C2A89A8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6EFDB88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2AC5C0A8" w14:textId="77777777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7F7CB51C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9AD" w14:paraId="2C4F1117" w14:textId="77777777" w:rsidTr="00862209">
        <w:tc>
          <w:tcPr>
            <w:tcW w:w="1276" w:type="dxa"/>
          </w:tcPr>
          <w:p w14:paraId="55F9DCF0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D9DCD82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59E1EAC3" w14:textId="77777777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4AF82277" w14:textId="1A12088F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(GST is not applicable to any fees for Item 501)</w:t>
            </w:r>
          </w:p>
        </w:tc>
      </w:tr>
      <w:tr w:rsidR="00A329AD" w14:paraId="76732BD7" w14:textId="77777777" w:rsidTr="00A329AD">
        <w:tc>
          <w:tcPr>
            <w:tcW w:w="1276" w:type="dxa"/>
          </w:tcPr>
          <w:p w14:paraId="29115F0A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73CF48A" w14:textId="77777777" w:rsidR="00A329AD" w:rsidRPr="00655AEC" w:rsidRDefault="00A329AD" w:rsidP="00A329AD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</w:pPr>
          </w:p>
          <w:p w14:paraId="487DFA25" w14:textId="77777777" w:rsidR="00A329AD" w:rsidRPr="00655AEC" w:rsidRDefault="00A329AD" w:rsidP="00A329AD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</w:pPr>
          </w:p>
          <w:p w14:paraId="23F23722" w14:textId="77777777" w:rsidR="00A329AD" w:rsidRPr="00655AEC" w:rsidRDefault="00A329AD" w:rsidP="00A329AD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  <w:t>Early licensed times – see the Liquor Regulation 2010, section 32</w:t>
            </w:r>
          </w:p>
          <w:p w14:paraId="1E39D717" w14:textId="77777777" w:rsidR="00A329AD" w:rsidRPr="00655AEC" w:rsidRDefault="00A329AD" w:rsidP="00A329AD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  <w:t xml:space="preserve">Standard licensed times—see the Liquor Regulation 2010, section 32. </w:t>
            </w:r>
          </w:p>
          <w:p w14:paraId="1A77CE63" w14:textId="2BFD48A0" w:rsidR="00A329AD" w:rsidRPr="006179F1" w:rsidRDefault="00A329AD" w:rsidP="00A329AD">
            <w:pPr>
              <w:ind w:right="-10"/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  <w:t>1am licensed times—see the Liquor Regulation 2010, section 32.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  <w:br/>
              <w:t>2am licensed times—see the Liquor Regulation 2010, section 32.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  <w:br/>
              <w:t>3am licensed times—see the Liquor Regulation 2010, section 32.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  <w:br/>
              <w:t>4am licensed times—see the Liquor Regulation 2010, section 32.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  <w:br/>
              <w:t>5am licensed times—see the Liquor Regulation 2010, section 32.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  <w:br/>
              <w:t>Total occupancy loading, for licensed premises—see the Liquor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  <w:br/>
              <w:t>Regulation 2010, dictionary.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  <w:br/>
              <w:t>R</w:t>
            </w:r>
            <w:r w:rsidRPr="00D843EB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  <w:t>eporting period—see the Liquor Regulation 2010, schedule 1, section 1.19 (3).</w:t>
            </w:r>
          </w:p>
        </w:tc>
        <w:tc>
          <w:tcPr>
            <w:tcW w:w="3122" w:type="dxa"/>
          </w:tcPr>
          <w:p w14:paraId="013577F2" w14:textId="77777777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7B47396E" w14:textId="77777777" w:rsidR="00A329AD" w:rsidRPr="00655AEC" w:rsidRDefault="00A329AD" w:rsidP="00A329AD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29AD" w14:paraId="47711AB3" w14:textId="77777777" w:rsidTr="00A329AD">
        <w:tc>
          <w:tcPr>
            <w:tcW w:w="1276" w:type="dxa"/>
            <w:tcBorders>
              <w:bottom w:val="single" w:sz="12" w:space="0" w:color="auto"/>
            </w:tcBorders>
          </w:tcPr>
          <w:p w14:paraId="1E58A190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493AC17E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6E1DD0BE" w14:textId="77777777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08DDFE4A" w14:textId="77777777" w:rsidR="00A329AD" w:rsidRPr="00655AEC" w:rsidRDefault="00A329AD" w:rsidP="00A329AD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B407A" w14:paraId="34ADF9F8" w14:textId="77777777" w:rsidTr="000E4AF8">
        <w:tc>
          <w:tcPr>
            <w:tcW w:w="13522" w:type="dxa"/>
            <w:gridSpan w:val="4"/>
            <w:tcBorders>
              <w:top w:val="single" w:sz="12" w:space="0" w:color="auto"/>
            </w:tcBorders>
          </w:tcPr>
          <w:p w14:paraId="46FEB68C" w14:textId="6E5F3263" w:rsidR="00AB407A" w:rsidRPr="00AB407A" w:rsidRDefault="00AB407A" w:rsidP="00A329AD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sz w:val="22"/>
                <w:szCs w:val="16"/>
                <w:lang w:eastAsia="zh-CN"/>
              </w:rPr>
              <w:t>HOURLY FEES</w:t>
            </w:r>
          </w:p>
        </w:tc>
      </w:tr>
      <w:tr w:rsidR="00A329AD" w14:paraId="7B7A2B47" w14:textId="77777777" w:rsidTr="00862209">
        <w:tc>
          <w:tcPr>
            <w:tcW w:w="1276" w:type="dxa"/>
          </w:tcPr>
          <w:p w14:paraId="0AB3BB45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2C23F68C" w14:textId="77777777" w:rsidR="00A329AD" w:rsidRPr="006179F1" w:rsidRDefault="00A329AD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7AB62056" w14:textId="77777777" w:rsidR="00A329AD" w:rsidRPr="00655AEC" w:rsidRDefault="00A329AD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38038E63" w14:textId="77777777" w:rsidR="00A329AD" w:rsidRPr="00655AEC" w:rsidRDefault="00A329AD" w:rsidP="00A329AD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B407A" w14:paraId="497226B2" w14:textId="77777777" w:rsidTr="00862209">
        <w:tc>
          <w:tcPr>
            <w:tcW w:w="1276" w:type="dxa"/>
          </w:tcPr>
          <w:p w14:paraId="26A6E208" w14:textId="1789DF22" w:rsidR="00AB407A" w:rsidRPr="006179F1" w:rsidRDefault="00AB407A" w:rsidP="00AB4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5485" w:type="dxa"/>
          </w:tcPr>
          <w:p w14:paraId="6B3A1582" w14:textId="5AE48C8A" w:rsidR="00AB407A" w:rsidRPr="006179F1" w:rsidRDefault="00AB407A" w:rsidP="00AB4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Fee payable per hour for the preparation of occupancy loading recommendation under section 86 of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22" w:type="dxa"/>
          </w:tcPr>
          <w:p w14:paraId="2E581CCE" w14:textId="0CF060D4" w:rsidR="00AB407A" w:rsidRPr="00655AEC" w:rsidRDefault="00AB407A" w:rsidP="00AB407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$256.00</w:t>
            </w:r>
          </w:p>
        </w:tc>
        <w:tc>
          <w:tcPr>
            <w:tcW w:w="3639" w:type="dxa"/>
          </w:tcPr>
          <w:p w14:paraId="0555D8FD" w14:textId="7CBF5E8F" w:rsidR="00AB407A" w:rsidRPr="00655AEC" w:rsidRDefault="00AB407A" w:rsidP="00AB407A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(GST is not applicable)</w:t>
            </w:r>
          </w:p>
        </w:tc>
      </w:tr>
      <w:tr w:rsidR="00AB407A" w14:paraId="4A56F632" w14:textId="77777777" w:rsidTr="00862209">
        <w:tc>
          <w:tcPr>
            <w:tcW w:w="1276" w:type="dxa"/>
          </w:tcPr>
          <w:p w14:paraId="5A067C77" w14:textId="77777777" w:rsidR="00AB407A" w:rsidRPr="006179F1" w:rsidRDefault="00AB407A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5E1BC45" w14:textId="77777777" w:rsidR="00AB407A" w:rsidRPr="006179F1" w:rsidRDefault="00AB407A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00007125" w14:textId="77777777" w:rsidR="00AB407A" w:rsidRPr="00655AEC" w:rsidRDefault="00AB407A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2C015642" w14:textId="77777777" w:rsidR="00AB407A" w:rsidRPr="00655AEC" w:rsidRDefault="00AB407A" w:rsidP="00A329AD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B407A" w14:paraId="0B8BE46B" w14:textId="77777777" w:rsidTr="00862209">
        <w:tc>
          <w:tcPr>
            <w:tcW w:w="1276" w:type="dxa"/>
          </w:tcPr>
          <w:p w14:paraId="4286C6D7" w14:textId="77777777" w:rsidR="00AB407A" w:rsidRPr="006179F1" w:rsidRDefault="00AB407A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786F77A" w14:textId="77777777" w:rsidR="00AB407A" w:rsidRPr="006179F1" w:rsidRDefault="00AB407A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1FD0E734" w14:textId="77777777" w:rsidR="00AB407A" w:rsidRPr="00655AEC" w:rsidRDefault="00AB407A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2C426E3D" w14:textId="77777777" w:rsidR="00AB407A" w:rsidRPr="00655AEC" w:rsidRDefault="00AB407A" w:rsidP="00A329AD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B407A" w14:paraId="1F22D4E9" w14:textId="77777777" w:rsidTr="00AB407A">
        <w:tc>
          <w:tcPr>
            <w:tcW w:w="1276" w:type="dxa"/>
          </w:tcPr>
          <w:p w14:paraId="7F927918" w14:textId="77777777" w:rsidR="00AB407A" w:rsidRPr="006179F1" w:rsidRDefault="00AB407A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13C79D7" w14:textId="77777777" w:rsidR="00AB407A" w:rsidRPr="006179F1" w:rsidRDefault="00AB407A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781B0B23" w14:textId="77777777" w:rsidR="00AB407A" w:rsidRPr="00655AEC" w:rsidRDefault="00AB407A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40873C58" w14:textId="77777777" w:rsidR="00AB407A" w:rsidRPr="00655AEC" w:rsidRDefault="00AB407A" w:rsidP="00A329AD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B407A" w14:paraId="235C0FD6" w14:textId="77777777" w:rsidTr="00AB407A">
        <w:tc>
          <w:tcPr>
            <w:tcW w:w="1276" w:type="dxa"/>
            <w:tcBorders>
              <w:bottom w:val="single" w:sz="12" w:space="0" w:color="auto"/>
            </w:tcBorders>
          </w:tcPr>
          <w:p w14:paraId="243ED50C" w14:textId="77777777" w:rsidR="00AB407A" w:rsidRPr="006179F1" w:rsidRDefault="00AB407A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197FF299" w14:textId="77777777" w:rsidR="00AB407A" w:rsidRPr="006179F1" w:rsidRDefault="00AB407A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5C8A84C3" w14:textId="77777777" w:rsidR="00AB407A" w:rsidRPr="00655AEC" w:rsidRDefault="00AB407A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49141AFC" w14:textId="77777777" w:rsidR="00AB407A" w:rsidRPr="00655AEC" w:rsidRDefault="00AB407A" w:rsidP="00A329AD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976D6" w14:paraId="4AB651B9" w14:textId="77777777" w:rsidTr="000E4AF8">
        <w:tc>
          <w:tcPr>
            <w:tcW w:w="13522" w:type="dxa"/>
            <w:gridSpan w:val="4"/>
            <w:tcBorders>
              <w:top w:val="single" w:sz="12" w:space="0" w:color="auto"/>
            </w:tcBorders>
          </w:tcPr>
          <w:p w14:paraId="293E00ED" w14:textId="58E56F09" w:rsidR="000976D6" w:rsidRPr="000976D6" w:rsidRDefault="000976D6" w:rsidP="00A329AD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sz w:val="22"/>
                <w:szCs w:val="16"/>
                <w:lang w:eastAsia="zh-CN"/>
              </w:rPr>
              <w:lastRenderedPageBreak/>
              <w:t>OTHER FEES</w:t>
            </w:r>
          </w:p>
        </w:tc>
      </w:tr>
      <w:tr w:rsidR="00AB407A" w14:paraId="3294B342" w14:textId="77777777" w:rsidTr="00862209">
        <w:tc>
          <w:tcPr>
            <w:tcW w:w="1276" w:type="dxa"/>
          </w:tcPr>
          <w:p w14:paraId="19672212" w14:textId="77777777" w:rsidR="00AB407A" w:rsidRPr="006179F1" w:rsidRDefault="00AB407A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2492DA77" w14:textId="77777777" w:rsidR="00AB407A" w:rsidRPr="006179F1" w:rsidRDefault="00AB407A" w:rsidP="00A3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30D3DD79" w14:textId="77777777" w:rsidR="00AB407A" w:rsidRPr="00655AEC" w:rsidRDefault="00AB407A" w:rsidP="00A329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4AE4476B" w14:textId="77777777" w:rsidR="00AB407A" w:rsidRPr="00655AEC" w:rsidRDefault="00AB407A" w:rsidP="00A329AD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976D6" w14:paraId="40184F44" w14:textId="77777777" w:rsidTr="00862209">
        <w:tc>
          <w:tcPr>
            <w:tcW w:w="1276" w:type="dxa"/>
          </w:tcPr>
          <w:p w14:paraId="0CE27477" w14:textId="10F24346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5485" w:type="dxa"/>
          </w:tcPr>
          <w:p w14:paraId="669AA55C" w14:textId="2E225193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an application to amend licence under section 38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22" w:type="dxa"/>
          </w:tcPr>
          <w:p w14:paraId="55C6BA19" w14:textId="75A044BA" w:rsidR="000976D6" w:rsidRPr="00655AEC" w:rsidRDefault="000976D6" w:rsidP="000976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$136.00</w:t>
            </w:r>
          </w:p>
        </w:tc>
        <w:tc>
          <w:tcPr>
            <w:tcW w:w="3639" w:type="dxa"/>
          </w:tcPr>
          <w:p w14:paraId="43DE3EB4" w14:textId="207979A0" w:rsidR="000976D6" w:rsidRPr="00655AEC" w:rsidRDefault="000976D6" w:rsidP="000976D6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(all cases) (GST is not applicable)</w:t>
            </w:r>
          </w:p>
        </w:tc>
      </w:tr>
      <w:tr w:rsidR="000976D6" w14:paraId="1E7DCD44" w14:textId="77777777" w:rsidTr="00862209">
        <w:tc>
          <w:tcPr>
            <w:tcW w:w="1276" w:type="dxa"/>
          </w:tcPr>
          <w:p w14:paraId="047B4AA5" w14:textId="77777777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8EB5411" w14:textId="6F3BB1E2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  <w:t xml:space="preserve">Explanatory note:  The fee for amendment of a licence, means the annual fee for the licence as amended. </w:t>
            </w:r>
          </w:p>
        </w:tc>
        <w:tc>
          <w:tcPr>
            <w:tcW w:w="3122" w:type="dxa"/>
          </w:tcPr>
          <w:p w14:paraId="4704C586" w14:textId="77777777" w:rsidR="000976D6" w:rsidRPr="00655AEC" w:rsidRDefault="000976D6" w:rsidP="000976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1D1A8C1C" w14:textId="77777777" w:rsidR="000976D6" w:rsidRPr="00655AEC" w:rsidRDefault="000976D6" w:rsidP="000976D6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976D6" w14:paraId="1D0508FC" w14:textId="77777777" w:rsidTr="00862209">
        <w:tc>
          <w:tcPr>
            <w:tcW w:w="1276" w:type="dxa"/>
          </w:tcPr>
          <w:p w14:paraId="63BABDF1" w14:textId="77777777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E15A497" w14:textId="77777777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</w:tcPr>
          <w:p w14:paraId="6F57E6C1" w14:textId="77777777" w:rsidR="000976D6" w:rsidRPr="00655AEC" w:rsidRDefault="000976D6" w:rsidP="000976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1A3C7945" w14:textId="77777777" w:rsidR="000976D6" w:rsidRPr="00655AEC" w:rsidRDefault="000976D6" w:rsidP="000976D6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976D6" w14:paraId="56F4F9BB" w14:textId="77777777" w:rsidTr="00862209">
        <w:tc>
          <w:tcPr>
            <w:tcW w:w="1276" w:type="dxa"/>
          </w:tcPr>
          <w:p w14:paraId="4BF10F2F" w14:textId="77777777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024253C" w14:textId="77777777" w:rsidR="000976D6" w:rsidRPr="00655AEC" w:rsidRDefault="000976D6" w:rsidP="000976D6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amendment of licence under section 38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  <w:p w14:paraId="79E05A62" w14:textId="65B54BA2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new fee &gt; old fee</w:t>
            </w:r>
          </w:p>
        </w:tc>
        <w:tc>
          <w:tcPr>
            <w:tcW w:w="3122" w:type="dxa"/>
          </w:tcPr>
          <w:p w14:paraId="2EF8596A" w14:textId="772361B6" w:rsidR="000976D6" w:rsidRPr="00655AEC" w:rsidRDefault="000976D6" w:rsidP="000976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Fee difference</w:t>
            </w:r>
          </w:p>
        </w:tc>
        <w:tc>
          <w:tcPr>
            <w:tcW w:w="3639" w:type="dxa"/>
          </w:tcPr>
          <w:p w14:paraId="2368777C" w14:textId="77777777" w:rsidR="000976D6" w:rsidRPr="00655AEC" w:rsidRDefault="000976D6" w:rsidP="000976D6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Fee difference</w:t>
            </w:r>
          </w:p>
          <w:p w14:paraId="088AFC12" w14:textId="79BC86F7" w:rsidR="000976D6" w:rsidRPr="00655AEC" w:rsidRDefault="000976D6" w:rsidP="000976D6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(GST is not applicable)</w:t>
            </w:r>
          </w:p>
        </w:tc>
      </w:tr>
      <w:tr w:rsidR="000976D6" w14:paraId="5BBA4A8A" w14:textId="77777777" w:rsidTr="00E01E10">
        <w:tc>
          <w:tcPr>
            <w:tcW w:w="1276" w:type="dxa"/>
          </w:tcPr>
          <w:p w14:paraId="4399183E" w14:textId="77777777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343DFBB" w14:textId="5092B767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  <w:t>Explanatory note:  Remaining period for amendment of a licence, means the number of months (whole or part) until the earlier of the following: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  <w:br/>
              <w:t>(a) the day the next annual fee is due for the licence as amended.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  <w:br/>
              <w:t>(b) the day the licence as amended is to expire.</w:t>
            </w:r>
          </w:p>
        </w:tc>
        <w:tc>
          <w:tcPr>
            <w:tcW w:w="3122" w:type="dxa"/>
          </w:tcPr>
          <w:p w14:paraId="3DEB07A3" w14:textId="77777777" w:rsidR="000976D6" w:rsidRPr="00655AEC" w:rsidRDefault="000976D6" w:rsidP="000976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7C90D7F8" w14:textId="77777777" w:rsidR="000976D6" w:rsidRPr="00655AEC" w:rsidRDefault="000976D6" w:rsidP="000976D6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976D6" w14:paraId="397F62FB" w14:textId="77777777" w:rsidTr="00E01E10">
        <w:tc>
          <w:tcPr>
            <w:tcW w:w="1276" w:type="dxa"/>
            <w:tcBorders>
              <w:bottom w:val="single" w:sz="4" w:space="0" w:color="auto"/>
            </w:tcBorders>
          </w:tcPr>
          <w:p w14:paraId="673DEF26" w14:textId="77777777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4E0C7892" w14:textId="77777777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F7A44DE" w14:textId="77777777" w:rsidR="000976D6" w:rsidRPr="00655AEC" w:rsidRDefault="000976D6" w:rsidP="000976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20B0CB99" w14:textId="77777777" w:rsidR="000976D6" w:rsidRPr="00655AEC" w:rsidRDefault="000976D6" w:rsidP="000976D6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976D6" w14:paraId="1877FCAD" w14:textId="77777777" w:rsidTr="00E01E10">
        <w:tc>
          <w:tcPr>
            <w:tcW w:w="1276" w:type="dxa"/>
            <w:tcBorders>
              <w:top w:val="single" w:sz="4" w:space="0" w:color="auto"/>
            </w:tcBorders>
          </w:tcPr>
          <w:p w14:paraId="40E6BE29" w14:textId="429F5B1E" w:rsidR="000976D6" w:rsidRPr="006179F1" w:rsidRDefault="00E01E10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6F19F0A6" w14:textId="2792C60F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an application to amend floor plan under section 39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513214A1" w14:textId="44C4E68B" w:rsidR="000976D6" w:rsidRPr="00655AEC" w:rsidRDefault="000976D6" w:rsidP="000976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$271.00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094E35F0" w14:textId="50CD4C12" w:rsidR="000976D6" w:rsidRPr="00655AEC" w:rsidRDefault="000976D6" w:rsidP="000976D6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075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271.00</w:t>
            </w:r>
            <w:r w:rsidRPr="00E075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(GST is not applicable)</w:t>
            </w:r>
          </w:p>
        </w:tc>
      </w:tr>
      <w:tr w:rsidR="000976D6" w14:paraId="151D4061" w14:textId="77777777" w:rsidTr="00E01E10">
        <w:tc>
          <w:tcPr>
            <w:tcW w:w="1276" w:type="dxa"/>
            <w:tcBorders>
              <w:bottom w:val="single" w:sz="4" w:space="0" w:color="auto"/>
            </w:tcBorders>
          </w:tcPr>
          <w:p w14:paraId="3FF05CB2" w14:textId="77777777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320DE47" w14:textId="77777777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1EFBF375" w14:textId="6EEC25C1" w:rsidR="000976D6" w:rsidRPr="00655AEC" w:rsidRDefault="000976D6" w:rsidP="000976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42B782AF" w14:textId="7471476F" w:rsidR="000976D6" w:rsidRPr="00655AEC" w:rsidRDefault="000976D6" w:rsidP="000976D6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075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976D6" w14:paraId="0706A68A" w14:textId="77777777" w:rsidTr="00E01E10">
        <w:tc>
          <w:tcPr>
            <w:tcW w:w="1276" w:type="dxa"/>
            <w:tcBorders>
              <w:top w:val="single" w:sz="4" w:space="0" w:color="auto"/>
            </w:tcBorders>
          </w:tcPr>
          <w:p w14:paraId="363DF4FE" w14:textId="6F06B0DB" w:rsidR="000976D6" w:rsidRPr="006179F1" w:rsidRDefault="00E01E10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01EC95FC" w14:textId="38CE63F0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an application to transfer licence under section 40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6C4292A0" w14:textId="60DCB657" w:rsidR="000976D6" w:rsidRPr="00655AEC" w:rsidRDefault="000976D6" w:rsidP="000976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$1,881.00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50FFF92A" w14:textId="0E4C24BD" w:rsidR="000976D6" w:rsidRPr="00655AEC" w:rsidRDefault="000976D6" w:rsidP="000976D6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075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1,881.00</w:t>
            </w:r>
            <w:r w:rsidRPr="00E075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(GST is not applicable)</w:t>
            </w:r>
          </w:p>
        </w:tc>
      </w:tr>
      <w:tr w:rsidR="000976D6" w14:paraId="531AD0D5" w14:textId="77777777" w:rsidTr="00E01E10">
        <w:tc>
          <w:tcPr>
            <w:tcW w:w="1276" w:type="dxa"/>
            <w:tcBorders>
              <w:bottom w:val="single" w:sz="4" w:space="0" w:color="auto"/>
            </w:tcBorders>
          </w:tcPr>
          <w:p w14:paraId="0626B5C1" w14:textId="77777777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161752A8" w14:textId="77777777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17CAAA96" w14:textId="1A2A272D" w:rsidR="000976D6" w:rsidRPr="00655AEC" w:rsidRDefault="000976D6" w:rsidP="000976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54FEEEC5" w14:textId="5E2DABE2" w:rsidR="000976D6" w:rsidRPr="00655AEC" w:rsidRDefault="000976D6" w:rsidP="000976D6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075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976D6" w14:paraId="13BCCD7C" w14:textId="77777777" w:rsidTr="00E01E10">
        <w:tc>
          <w:tcPr>
            <w:tcW w:w="1276" w:type="dxa"/>
            <w:tcBorders>
              <w:top w:val="single" w:sz="4" w:space="0" w:color="auto"/>
            </w:tcBorders>
          </w:tcPr>
          <w:p w14:paraId="637AC07C" w14:textId="3F39D6B6" w:rsidR="000976D6" w:rsidRPr="006179F1" w:rsidRDefault="00E01E10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7737406B" w14:textId="1927E255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an application to issue replacement licence under section 44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1DAF2DE0" w14:textId="2A229991" w:rsidR="000976D6" w:rsidRPr="00655AEC" w:rsidRDefault="000976D6" w:rsidP="000976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$28.00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647FBE84" w14:textId="0C6A1C7B" w:rsidR="000976D6" w:rsidRPr="00655AEC" w:rsidRDefault="000976D6" w:rsidP="000976D6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075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$28.00 (GST is not applicable)</w:t>
            </w:r>
          </w:p>
        </w:tc>
      </w:tr>
      <w:tr w:rsidR="000976D6" w14:paraId="5668EF84" w14:textId="77777777" w:rsidTr="000976D6">
        <w:tc>
          <w:tcPr>
            <w:tcW w:w="1276" w:type="dxa"/>
            <w:tcBorders>
              <w:bottom w:val="single" w:sz="4" w:space="0" w:color="auto"/>
            </w:tcBorders>
          </w:tcPr>
          <w:p w14:paraId="29E6F1CC" w14:textId="77777777" w:rsidR="000976D6" w:rsidRPr="006179F1" w:rsidRDefault="000976D6" w:rsidP="0009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1BD6F2BB" w14:textId="77777777" w:rsidR="000976D6" w:rsidRPr="00655AEC" w:rsidRDefault="000976D6" w:rsidP="000976D6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202ABEAF" w14:textId="77777777" w:rsidR="000976D6" w:rsidRPr="00655AEC" w:rsidRDefault="000976D6" w:rsidP="000976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22E215BE" w14:textId="77777777" w:rsidR="000976D6" w:rsidRPr="00E075B0" w:rsidRDefault="000976D6" w:rsidP="000976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2FCD8AF0" w14:textId="77777777" w:rsidTr="000976D6">
        <w:tc>
          <w:tcPr>
            <w:tcW w:w="1276" w:type="dxa"/>
            <w:tcBorders>
              <w:top w:val="single" w:sz="4" w:space="0" w:color="auto"/>
            </w:tcBorders>
          </w:tcPr>
          <w:p w14:paraId="1C46A9D8" w14:textId="2C12073F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5DEE876D" w14:textId="18C90743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an application for permit under section 50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22CE5723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60F19AD3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7BD8BDB6" w14:textId="77777777" w:rsidTr="00862209">
        <w:tc>
          <w:tcPr>
            <w:tcW w:w="1276" w:type="dxa"/>
          </w:tcPr>
          <w:p w14:paraId="3F8DC1EC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C5555C6" w14:textId="732857A6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1) for commercial permit: (all cases)</w:t>
            </w:r>
          </w:p>
        </w:tc>
        <w:tc>
          <w:tcPr>
            <w:tcW w:w="3122" w:type="dxa"/>
          </w:tcPr>
          <w:p w14:paraId="30C85B02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1158198C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0317B64A" w14:textId="77777777" w:rsidTr="00862209">
        <w:tc>
          <w:tcPr>
            <w:tcW w:w="1276" w:type="dxa"/>
          </w:tcPr>
          <w:p w14:paraId="622723C6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12943DD2" w14:textId="6DB771FD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(a) if liquor retail value stated in permit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$2,000                      </w:t>
            </w:r>
          </w:p>
        </w:tc>
        <w:tc>
          <w:tcPr>
            <w:tcW w:w="3122" w:type="dxa"/>
          </w:tcPr>
          <w:p w14:paraId="5C14616D" w14:textId="319CEC53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$129.00</w:t>
            </w:r>
          </w:p>
        </w:tc>
        <w:tc>
          <w:tcPr>
            <w:tcW w:w="3639" w:type="dxa"/>
          </w:tcPr>
          <w:p w14:paraId="14EA7F06" w14:textId="6C22F7E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$129.00</w:t>
            </w:r>
          </w:p>
        </w:tc>
      </w:tr>
      <w:tr w:rsidR="000E4AF8" w14:paraId="0C0E6D34" w14:textId="77777777" w:rsidTr="00862209">
        <w:tc>
          <w:tcPr>
            <w:tcW w:w="1276" w:type="dxa"/>
          </w:tcPr>
          <w:p w14:paraId="293DBA4E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0210F23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</w:tcPr>
          <w:p w14:paraId="4F4E9286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1457EC3C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36E1FF69" w14:textId="77777777" w:rsidTr="00862209">
        <w:tc>
          <w:tcPr>
            <w:tcW w:w="1276" w:type="dxa"/>
          </w:tcPr>
          <w:p w14:paraId="5857DA7C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D65BB43" w14:textId="148D4B43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(b) liquor retail value stated in permit &gt; $2,000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$5,000 </w:t>
            </w:r>
          </w:p>
        </w:tc>
        <w:tc>
          <w:tcPr>
            <w:tcW w:w="3122" w:type="dxa"/>
          </w:tcPr>
          <w:p w14:paraId="02CDC89E" w14:textId="0B8D0403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$529.00</w:t>
            </w:r>
          </w:p>
        </w:tc>
        <w:tc>
          <w:tcPr>
            <w:tcW w:w="3639" w:type="dxa"/>
          </w:tcPr>
          <w:p w14:paraId="2B960F9F" w14:textId="3BDFA32F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$529.00</w:t>
            </w:r>
          </w:p>
        </w:tc>
      </w:tr>
      <w:tr w:rsidR="000E4AF8" w14:paraId="12AEE05A" w14:textId="77777777" w:rsidTr="00862209">
        <w:tc>
          <w:tcPr>
            <w:tcW w:w="1276" w:type="dxa"/>
          </w:tcPr>
          <w:p w14:paraId="2DCAF0A6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D7ECA5F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</w:tcPr>
          <w:p w14:paraId="642695F2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37535349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3F8FF9CF" w14:textId="77777777" w:rsidTr="00862209">
        <w:tc>
          <w:tcPr>
            <w:tcW w:w="1276" w:type="dxa"/>
          </w:tcPr>
          <w:p w14:paraId="040FC251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B9E5193" w14:textId="0D840F7B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(c) if liquor retail value stated in permit &gt; $5,000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$10,000     </w:t>
            </w:r>
          </w:p>
        </w:tc>
        <w:tc>
          <w:tcPr>
            <w:tcW w:w="3122" w:type="dxa"/>
          </w:tcPr>
          <w:p w14:paraId="33AC5E6D" w14:textId="1E528726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$794.00</w:t>
            </w:r>
          </w:p>
        </w:tc>
        <w:tc>
          <w:tcPr>
            <w:tcW w:w="3639" w:type="dxa"/>
          </w:tcPr>
          <w:p w14:paraId="76AF5655" w14:textId="5F178FC0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$794.00</w:t>
            </w:r>
          </w:p>
        </w:tc>
      </w:tr>
      <w:tr w:rsidR="000E4AF8" w14:paraId="717A1BB0" w14:textId="77777777" w:rsidTr="00862209">
        <w:tc>
          <w:tcPr>
            <w:tcW w:w="1276" w:type="dxa"/>
          </w:tcPr>
          <w:p w14:paraId="5302658B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1DFE54C6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</w:tcPr>
          <w:p w14:paraId="4106EA26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415192D0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03DEA439" w14:textId="77777777" w:rsidTr="00862209">
        <w:tc>
          <w:tcPr>
            <w:tcW w:w="1276" w:type="dxa"/>
          </w:tcPr>
          <w:p w14:paraId="357173BF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C723D14" w14:textId="25F29583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(d) if liquor retail value stated in permit &gt; $10,000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$50,000 </w:t>
            </w:r>
          </w:p>
        </w:tc>
        <w:tc>
          <w:tcPr>
            <w:tcW w:w="3122" w:type="dxa"/>
          </w:tcPr>
          <w:p w14:paraId="259E082D" w14:textId="665E977B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$1,060.00</w:t>
            </w:r>
          </w:p>
        </w:tc>
        <w:tc>
          <w:tcPr>
            <w:tcW w:w="3639" w:type="dxa"/>
          </w:tcPr>
          <w:p w14:paraId="3AAC6D01" w14:textId="55E6422B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$1,060.00</w:t>
            </w:r>
          </w:p>
        </w:tc>
      </w:tr>
      <w:tr w:rsidR="000E4AF8" w14:paraId="2EE9CBB9" w14:textId="77777777" w:rsidTr="00862209">
        <w:tc>
          <w:tcPr>
            <w:tcW w:w="1276" w:type="dxa"/>
          </w:tcPr>
          <w:p w14:paraId="1690E428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F8D9883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</w:tcPr>
          <w:p w14:paraId="0620CC75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33506970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368B53C2" w14:textId="77777777" w:rsidTr="00862209">
        <w:tc>
          <w:tcPr>
            <w:tcW w:w="1276" w:type="dxa"/>
          </w:tcPr>
          <w:p w14:paraId="4F642026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F323F93" w14:textId="7D854874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(e) if liquor retail value stated in permit &gt; $50,000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$100,000  </w:t>
            </w:r>
          </w:p>
        </w:tc>
        <w:tc>
          <w:tcPr>
            <w:tcW w:w="3122" w:type="dxa"/>
          </w:tcPr>
          <w:p w14:paraId="55BDC836" w14:textId="7D398C5D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$1,326.00</w:t>
            </w:r>
          </w:p>
        </w:tc>
        <w:tc>
          <w:tcPr>
            <w:tcW w:w="3639" w:type="dxa"/>
          </w:tcPr>
          <w:p w14:paraId="6CB6A957" w14:textId="23CAC04D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$1,326.00</w:t>
            </w:r>
          </w:p>
        </w:tc>
      </w:tr>
      <w:tr w:rsidR="000E4AF8" w14:paraId="733C02C2" w14:textId="77777777" w:rsidTr="00862209">
        <w:tc>
          <w:tcPr>
            <w:tcW w:w="1276" w:type="dxa"/>
          </w:tcPr>
          <w:p w14:paraId="5CD59711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9115387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</w:tcPr>
          <w:p w14:paraId="78BE082E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2D4CB802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024EBA4B" w14:textId="77777777" w:rsidTr="00862209">
        <w:tc>
          <w:tcPr>
            <w:tcW w:w="1276" w:type="dxa"/>
          </w:tcPr>
          <w:p w14:paraId="7F719440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435161F9" w14:textId="34400ED5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(f) if liquor retail value stated in permit &gt; $100,000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$500,000</w:t>
            </w:r>
          </w:p>
        </w:tc>
        <w:tc>
          <w:tcPr>
            <w:tcW w:w="3122" w:type="dxa"/>
          </w:tcPr>
          <w:p w14:paraId="242857B7" w14:textId="1885D873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$3,985.00</w:t>
            </w:r>
          </w:p>
        </w:tc>
        <w:tc>
          <w:tcPr>
            <w:tcW w:w="3639" w:type="dxa"/>
          </w:tcPr>
          <w:p w14:paraId="3AB9BB2F" w14:textId="61CD69CD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$3,985.00</w:t>
            </w:r>
          </w:p>
        </w:tc>
      </w:tr>
      <w:tr w:rsidR="000E4AF8" w14:paraId="7642CC57" w14:textId="77777777" w:rsidTr="00862209">
        <w:tc>
          <w:tcPr>
            <w:tcW w:w="1276" w:type="dxa"/>
          </w:tcPr>
          <w:p w14:paraId="37A31A11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72BC97C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</w:tcPr>
          <w:p w14:paraId="35DD3C37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035BDD3B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369635ED" w14:textId="77777777" w:rsidTr="00862209">
        <w:tc>
          <w:tcPr>
            <w:tcW w:w="1276" w:type="dxa"/>
          </w:tcPr>
          <w:p w14:paraId="0FE3E55F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4E325EF" w14:textId="2060B5E4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(g) if liquor retail value stated in permit &gt; $500,000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$1,000,000 </w:t>
            </w:r>
          </w:p>
        </w:tc>
        <w:tc>
          <w:tcPr>
            <w:tcW w:w="3122" w:type="dxa"/>
          </w:tcPr>
          <w:p w14:paraId="0933130D" w14:textId="392EAC31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$6,645.00</w:t>
            </w:r>
          </w:p>
        </w:tc>
        <w:tc>
          <w:tcPr>
            <w:tcW w:w="3639" w:type="dxa"/>
          </w:tcPr>
          <w:p w14:paraId="076E894E" w14:textId="4E90AEC3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$6,645.00</w:t>
            </w:r>
          </w:p>
        </w:tc>
      </w:tr>
      <w:tr w:rsidR="000E4AF8" w14:paraId="74346C35" w14:textId="77777777" w:rsidTr="00862209">
        <w:tc>
          <w:tcPr>
            <w:tcW w:w="1276" w:type="dxa"/>
          </w:tcPr>
          <w:p w14:paraId="1BE96CE0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65027F80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</w:tcPr>
          <w:p w14:paraId="2BE23F32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219F3802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5CCFA163" w14:textId="77777777" w:rsidTr="00862209">
        <w:tc>
          <w:tcPr>
            <w:tcW w:w="1276" w:type="dxa"/>
          </w:tcPr>
          <w:p w14:paraId="7CBC1262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61A262C" w14:textId="1F8D5C50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(h) if liquor retail value stated in permit &gt; $1,000,000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$3,000,000 </w:t>
            </w:r>
          </w:p>
        </w:tc>
        <w:tc>
          <w:tcPr>
            <w:tcW w:w="3122" w:type="dxa"/>
          </w:tcPr>
          <w:p w14:paraId="44374777" w14:textId="0D1B2B01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$11,961.00</w:t>
            </w:r>
          </w:p>
        </w:tc>
        <w:tc>
          <w:tcPr>
            <w:tcW w:w="3639" w:type="dxa"/>
          </w:tcPr>
          <w:p w14:paraId="17BD8623" w14:textId="664D72D8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$11,961.00</w:t>
            </w:r>
          </w:p>
        </w:tc>
      </w:tr>
      <w:tr w:rsidR="000E4AF8" w14:paraId="5C730D28" w14:textId="77777777" w:rsidTr="00862209">
        <w:tc>
          <w:tcPr>
            <w:tcW w:w="1276" w:type="dxa"/>
          </w:tcPr>
          <w:p w14:paraId="168BB43D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88E357F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</w:tcPr>
          <w:p w14:paraId="52A6F87E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6A97CBD1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32621F82" w14:textId="77777777" w:rsidTr="00862209">
        <w:tc>
          <w:tcPr>
            <w:tcW w:w="1276" w:type="dxa"/>
          </w:tcPr>
          <w:p w14:paraId="7BE19F00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199DD078" w14:textId="443BAC20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</w:t>
            </w:r>
            <w:proofErr w:type="spellStart"/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i</w:t>
            </w:r>
            <w:proofErr w:type="spellEnd"/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) if liquor retail value stated in permit &gt; $3,000,000 </w:t>
            </w:r>
          </w:p>
        </w:tc>
        <w:tc>
          <w:tcPr>
            <w:tcW w:w="3122" w:type="dxa"/>
          </w:tcPr>
          <w:p w14:paraId="56533CAC" w14:textId="4047116E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$22,596.00</w:t>
            </w:r>
          </w:p>
        </w:tc>
        <w:tc>
          <w:tcPr>
            <w:tcW w:w="3639" w:type="dxa"/>
          </w:tcPr>
          <w:p w14:paraId="524B6B59" w14:textId="01747F95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$22,596.00</w:t>
            </w:r>
          </w:p>
        </w:tc>
      </w:tr>
      <w:tr w:rsidR="000E4AF8" w14:paraId="345CD9A5" w14:textId="77777777" w:rsidTr="00862209">
        <w:tc>
          <w:tcPr>
            <w:tcW w:w="1276" w:type="dxa"/>
          </w:tcPr>
          <w:p w14:paraId="19B50F35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52151781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</w:tcPr>
          <w:p w14:paraId="0E3392FF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6B9B0006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2D823A07" w14:textId="77777777" w:rsidTr="00862209">
        <w:tc>
          <w:tcPr>
            <w:tcW w:w="1276" w:type="dxa"/>
          </w:tcPr>
          <w:p w14:paraId="5D86948C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EFD96D4" w14:textId="6D4F29B4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2) for non-commercial permit: (all cases)</w:t>
            </w:r>
          </w:p>
        </w:tc>
        <w:tc>
          <w:tcPr>
            <w:tcW w:w="3122" w:type="dxa"/>
          </w:tcPr>
          <w:p w14:paraId="318FFFEF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7C5A4126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130DF5A2" w14:textId="77777777" w:rsidTr="00862209">
        <w:tc>
          <w:tcPr>
            <w:tcW w:w="1276" w:type="dxa"/>
          </w:tcPr>
          <w:p w14:paraId="05CBB3D3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72BE54EE" w14:textId="10FFCF89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(a) if liquor retail value stated in permit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$2,070 </w:t>
            </w:r>
          </w:p>
        </w:tc>
        <w:tc>
          <w:tcPr>
            <w:tcW w:w="3122" w:type="dxa"/>
          </w:tcPr>
          <w:p w14:paraId="0ACD1FE8" w14:textId="40C9846D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$50.00</w:t>
            </w:r>
          </w:p>
        </w:tc>
        <w:tc>
          <w:tcPr>
            <w:tcW w:w="3639" w:type="dxa"/>
          </w:tcPr>
          <w:p w14:paraId="7A4DBB0E" w14:textId="0DEA1248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$50.00</w:t>
            </w:r>
          </w:p>
        </w:tc>
      </w:tr>
      <w:tr w:rsidR="000E4AF8" w14:paraId="7A65C9B1" w14:textId="77777777" w:rsidTr="00862209">
        <w:tc>
          <w:tcPr>
            <w:tcW w:w="1276" w:type="dxa"/>
          </w:tcPr>
          <w:p w14:paraId="6C4F6B90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DDE6667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</w:tcPr>
          <w:p w14:paraId="180B5742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061F50A7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54F5B29B" w14:textId="77777777" w:rsidTr="00862209">
        <w:tc>
          <w:tcPr>
            <w:tcW w:w="1276" w:type="dxa"/>
          </w:tcPr>
          <w:p w14:paraId="394DA84E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733E93BF" w14:textId="67CC0EF9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(b) if liquor retail value stated in permit &gt; $2,070 </w:t>
            </w:r>
          </w:p>
        </w:tc>
        <w:tc>
          <w:tcPr>
            <w:tcW w:w="3122" w:type="dxa"/>
          </w:tcPr>
          <w:p w14:paraId="42B6F74E" w14:textId="1A6756DA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$181.00</w:t>
            </w:r>
          </w:p>
        </w:tc>
        <w:tc>
          <w:tcPr>
            <w:tcW w:w="3639" w:type="dxa"/>
          </w:tcPr>
          <w:p w14:paraId="003A3AFD" w14:textId="097BAE5C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$181.00</w:t>
            </w:r>
          </w:p>
        </w:tc>
      </w:tr>
      <w:tr w:rsidR="000E4AF8" w14:paraId="4C604540" w14:textId="77777777" w:rsidTr="000E4AF8">
        <w:tc>
          <w:tcPr>
            <w:tcW w:w="1276" w:type="dxa"/>
          </w:tcPr>
          <w:p w14:paraId="3BF4F4ED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3F64F619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</w:tcPr>
          <w:p w14:paraId="1F41FA4C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412BE796" w14:textId="68DCA5A2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(GST is not applicable to any fees for Item 507)</w:t>
            </w:r>
          </w:p>
        </w:tc>
      </w:tr>
      <w:tr w:rsidR="000E4AF8" w14:paraId="603717AB" w14:textId="77777777" w:rsidTr="000E4AF8">
        <w:tc>
          <w:tcPr>
            <w:tcW w:w="1276" w:type="dxa"/>
            <w:tcBorders>
              <w:bottom w:val="single" w:sz="4" w:space="0" w:color="auto"/>
            </w:tcBorders>
          </w:tcPr>
          <w:p w14:paraId="02079D51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792AEA50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E6C009D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10607A0E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2881E201" w14:textId="77777777" w:rsidTr="003D243A">
        <w:tc>
          <w:tcPr>
            <w:tcW w:w="1276" w:type="dxa"/>
            <w:tcBorders>
              <w:top w:val="single" w:sz="4" w:space="0" w:color="auto"/>
            </w:tcBorders>
          </w:tcPr>
          <w:p w14:paraId="0110010C" w14:textId="45D589C4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508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5E04E081" w14:textId="2AAC279D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an application to amend permit under section 58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7C25A913" w14:textId="2978800A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$135.00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4BD43F01" w14:textId="0ED4B67C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(all cases) (GST is not applicable)</w:t>
            </w:r>
          </w:p>
        </w:tc>
      </w:tr>
      <w:tr w:rsidR="000E4AF8" w14:paraId="67174C5D" w14:textId="77777777" w:rsidTr="003D243A">
        <w:tc>
          <w:tcPr>
            <w:tcW w:w="1276" w:type="dxa"/>
            <w:tcBorders>
              <w:bottom w:val="single" w:sz="4" w:space="0" w:color="auto"/>
            </w:tcBorders>
          </w:tcPr>
          <w:p w14:paraId="0B1C3AFA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11696507" w14:textId="77777777" w:rsidR="000E4AF8" w:rsidRDefault="000E4AF8" w:rsidP="000E4AF8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eastAsia="zh-CN"/>
              </w:rPr>
            </w:pPr>
          </w:p>
          <w:p w14:paraId="550F4955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67D2AC7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4ADEF985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3383DEFC" w14:textId="77777777" w:rsidTr="003D243A">
        <w:tc>
          <w:tcPr>
            <w:tcW w:w="1276" w:type="dxa"/>
            <w:tcBorders>
              <w:top w:val="single" w:sz="4" w:space="0" w:color="auto"/>
            </w:tcBorders>
          </w:tcPr>
          <w:p w14:paraId="74AE397E" w14:textId="069E9CBE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5AE0855E" w14:textId="135576F1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an application to renew non-commercial permit under section 61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726944E2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4B8474DB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179D0B5C" w14:textId="77777777" w:rsidTr="00862209">
        <w:tc>
          <w:tcPr>
            <w:tcW w:w="1276" w:type="dxa"/>
          </w:tcPr>
          <w:p w14:paraId="0D2A4F67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2B34C7F5" w14:textId="50C0B445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(a) if liquor retail value stated in permit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$2,070</w:t>
            </w:r>
          </w:p>
        </w:tc>
        <w:tc>
          <w:tcPr>
            <w:tcW w:w="3122" w:type="dxa"/>
          </w:tcPr>
          <w:p w14:paraId="22E7DBEC" w14:textId="0BD0A82A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$50.00</w:t>
            </w:r>
          </w:p>
        </w:tc>
        <w:tc>
          <w:tcPr>
            <w:tcW w:w="3639" w:type="dxa"/>
          </w:tcPr>
          <w:p w14:paraId="33EC9F03" w14:textId="5ED018B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0E4AF8" w14:paraId="254C240D" w14:textId="77777777" w:rsidTr="00862209">
        <w:tc>
          <w:tcPr>
            <w:tcW w:w="1276" w:type="dxa"/>
          </w:tcPr>
          <w:p w14:paraId="32097166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2F50246E" w14:textId="70510CEE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(b) if liquor retail value stated in permit &gt; $2,070</w:t>
            </w:r>
          </w:p>
        </w:tc>
        <w:tc>
          <w:tcPr>
            <w:tcW w:w="3122" w:type="dxa"/>
          </w:tcPr>
          <w:p w14:paraId="309269A7" w14:textId="7069E83D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$181.00</w:t>
            </w:r>
          </w:p>
        </w:tc>
        <w:tc>
          <w:tcPr>
            <w:tcW w:w="3639" w:type="dxa"/>
          </w:tcPr>
          <w:p w14:paraId="7BEBEF66" w14:textId="29FF6E03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0E4AF8" w14:paraId="436A446A" w14:textId="77777777" w:rsidTr="003D243A">
        <w:tc>
          <w:tcPr>
            <w:tcW w:w="1276" w:type="dxa"/>
          </w:tcPr>
          <w:p w14:paraId="2357FC31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</w:tcPr>
          <w:p w14:paraId="0172AFEF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</w:tcPr>
          <w:p w14:paraId="27D4116B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14:paraId="0DAD10CD" w14:textId="472C3AB0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(GST is not applicable to any fees for Item 509)</w:t>
            </w:r>
          </w:p>
        </w:tc>
      </w:tr>
      <w:tr w:rsidR="000E4AF8" w14:paraId="2FE270F4" w14:textId="77777777" w:rsidTr="0051687D">
        <w:tc>
          <w:tcPr>
            <w:tcW w:w="1276" w:type="dxa"/>
            <w:tcBorders>
              <w:bottom w:val="single" w:sz="4" w:space="0" w:color="auto"/>
            </w:tcBorders>
          </w:tcPr>
          <w:p w14:paraId="209078B7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6173D793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34220D1A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195D6B1A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723D03B6" w14:textId="77777777" w:rsidTr="0051687D">
        <w:tc>
          <w:tcPr>
            <w:tcW w:w="1276" w:type="dxa"/>
            <w:tcBorders>
              <w:top w:val="single" w:sz="4" w:space="0" w:color="auto"/>
            </w:tcBorders>
          </w:tcPr>
          <w:p w14:paraId="76EA14E3" w14:textId="4214DF7F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0D302CDF" w14:textId="06D4445D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the issue of replacement permit under section 63 of the </w:t>
            </w:r>
            <w:r w:rsidRPr="00655AEC">
              <w:rPr>
                <w:rFonts w:ascii="Times New Roman" w:eastAsia="SimSun" w:hAnsi="Times New Roman" w:cs="Times New Roman"/>
                <w:i/>
                <w:color w:val="000000"/>
                <w:sz w:val="16"/>
                <w:szCs w:val="16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0C3629C7" w14:textId="184F4FC5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$28.00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14ED64B4" w14:textId="35B403F2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$28.00 (all cases) (GST is not applicable)</w:t>
            </w:r>
          </w:p>
        </w:tc>
      </w:tr>
      <w:tr w:rsidR="000E4AF8" w14:paraId="1B8A52BF" w14:textId="77777777" w:rsidTr="003D243A">
        <w:tc>
          <w:tcPr>
            <w:tcW w:w="1276" w:type="dxa"/>
            <w:tcBorders>
              <w:bottom w:val="single" w:sz="4" w:space="0" w:color="auto"/>
            </w:tcBorders>
          </w:tcPr>
          <w:p w14:paraId="246EA298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43606C39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652499BA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482A584D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13059640" w14:textId="77777777" w:rsidTr="003D243A">
        <w:tc>
          <w:tcPr>
            <w:tcW w:w="1276" w:type="dxa"/>
            <w:tcBorders>
              <w:top w:val="single" w:sz="4" w:space="0" w:color="auto"/>
            </w:tcBorders>
          </w:tcPr>
          <w:p w14:paraId="4B5B7888" w14:textId="3806C0BF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0F2BCE3A" w14:textId="56082A69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an application to amend approved risk assessment management plan under section 91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1E93523A" w14:textId="124FF3A3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$271.00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14C635AB" w14:textId="20426080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5D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(all cases) (GST is not applicable)</w:t>
            </w:r>
          </w:p>
        </w:tc>
      </w:tr>
      <w:tr w:rsidR="000E4AF8" w14:paraId="2E7EECFB" w14:textId="77777777" w:rsidTr="003D243A">
        <w:tc>
          <w:tcPr>
            <w:tcW w:w="1276" w:type="dxa"/>
            <w:tcBorders>
              <w:bottom w:val="single" w:sz="4" w:space="0" w:color="auto"/>
            </w:tcBorders>
          </w:tcPr>
          <w:p w14:paraId="54557C14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6E85DF2F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20CFF8B3" w14:textId="2D7CCF64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6584B0C9" w14:textId="282CEE58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4AF8" w14:paraId="2D261B32" w14:textId="77777777" w:rsidTr="003D243A">
        <w:tc>
          <w:tcPr>
            <w:tcW w:w="1276" w:type="dxa"/>
            <w:tcBorders>
              <w:top w:val="single" w:sz="4" w:space="0" w:color="auto"/>
            </w:tcBorders>
          </w:tcPr>
          <w:p w14:paraId="70C9ADBA" w14:textId="00BBA840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041AA705" w14:textId="5EC0769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an application for young people’s event approval under section 95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0D861468" w14:textId="189269C8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$135.00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6BC985FD" w14:textId="43F0D8DA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5D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(all cases) (GST is not applicable)</w:t>
            </w:r>
          </w:p>
        </w:tc>
      </w:tr>
      <w:tr w:rsidR="000E4AF8" w14:paraId="04434A4F" w14:textId="77777777" w:rsidTr="000E4AF8">
        <w:tc>
          <w:tcPr>
            <w:tcW w:w="1276" w:type="dxa"/>
            <w:tcBorders>
              <w:bottom w:val="single" w:sz="4" w:space="0" w:color="auto"/>
            </w:tcBorders>
          </w:tcPr>
          <w:p w14:paraId="3E349C12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35422E1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DCAB807" w14:textId="09BBE9B5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7502B76A" w14:textId="09017550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4AF8" w14:paraId="380A161E" w14:textId="77777777" w:rsidTr="000E4AF8">
        <w:tc>
          <w:tcPr>
            <w:tcW w:w="1276" w:type="dxa"/>
            <w:tcBorders>
              <w:top w:val="single" w:sz="4" w:space="0" w:color="auto"/>
            </w:tcBorders>
          </w:tcPr>
          <w:p w14:paraId="06E96664" w14:textId="0B36DF8D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4309C5BF" w14:textId="17FE262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an application for RSA training course approval under section 189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68F40BCC" w14:textId="0C0A60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$1,366.00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75758206" w14:textId="052374D9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  <w:r w:rsidRPr="005D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(all cases) (GST is not applicable)</w:t>
            </w:r>
          </w:p>
        </w:tc>
      </w:tr>
      <w:tr w:rsidR="000E4AF8" w14:paraId="7755CD96" w14:textId="77777777" w:rsidTr="000E4AF8">
        <w:tc>
          <w:tcPr>
            <w:tcW w:w="1276" w:type="dxa"/>
            <w:tcBorders>
              <w:bottom w:val="single" w:sz="4" w:space="0" w:color="auto"/>
            </w:tcBorders>
          </w:tcPr>
          <w:p w14:paraId="4F9B0F9A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AB25D1E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7AAF706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74D3AB0B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AF8" w14:paraId="49B4DBEF" w14:textId="77777777" w:rsidTr="000E4AF8">
        <w:tc>
          <w:tcPr>
            <w:tcW w:w="1276" w:type="dxa"/>
            <w:tcBorders>
              <w:top w:val="single" w:sz="4" w:space="0" w:color="auto"/>
            </w:tcBorders>
          </w:tcPr>
          <w:p w14:paraId="3CF57115" w14:textId="6C257DEF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2F000161" w14:textId="3C46647A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the renewal of RSA training course approval under section 192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2E41BC68" w14:textId="73896646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$753.00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2AE5B747" w14:textId="79256FFB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  <w:r w:rsidRPr="005D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(all cases) (GST is not applicable)</w:t>
            </w:r>
          </w:p>
        </w:tc>
      </w:tr>
      <w:tr w:rsidR="000E4AF8" w14:paraId="00D444CE" w14:textId="77777777" w:rsidTr="000E4AF8">
        <w:tc>
          <w:tcPr>
            <w:tcW w:w="1276" w:type="dxa"/>
            <w:tcBorders>
              <w:bottom w:val="single" w:sz="4" w:space="0" w:color="auto"/>
            </w:tcBorders>
          </w:tcPr>
          <w:p w14:paraId="0689C612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6E80500B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B8B95FB" w14:textId="2C45E765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45058BE2" w14:textId="10CAE73C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4AF8" w14:paraId="0FF4983E" w14:textId="77777777" w:rsidTr="003D243A">
        <w:tc>
          <w:tcPr>
            <w:tcW w:w="1276" w:type="dxa"/>
            <w:tcBorders>
              <w:top w:val="single" w:sz="4" w:space="0" w:color="auto"/>
            </w:tcBorders>
          </w:tcPr>
          <w:p w14:paraId="5546EEE1" w14:textId="130B6AD8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1D471BCF" w14:textId="53159E98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Fee for an application for proof of identity card under section 210 of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the Liquor Act 2010.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4C02A785" w14:textId="7F72171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$7.00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1CE1728F" w14:textId="56ECC072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$7.00 (all cases) (GST is not applicable)</w:t>
            </w:r>
          </w:p>
        </w:tc>
      </w:tr>
      <w:tr w:rsidR="000E4AF8" w14:paraId="1B8EBDAF" w14:textId="77777777" w:rsidTr="003D243A">
        <w:tc>
          <w:tcPr>
            <w:tcW w:w="1276" w:type="dxa"/>
            <w:tcBorders>
              <w:bottom w:val="single" w:sz="12" w:space="0" w:color="auto"/>
            </w:tcBorders>
          </w:tcPr>
          <w:p w14:paraId="5B694DA4" w14:textId="77777777" w:rsidR="000E4AF8" w:rsidRPr="006179F1" w:rsidRDefault="000E4AF8" w:rsidP="000E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71D47600" w14:textId="77777777" w:rsidR="000E4AF8" w:rsidRPr="00655AEC" w:rsidRDefault="000E4AF8" w:rsidP="000E4AF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7EBFCDA4" w14:textId="77777777" w:rsidR="000E4AF8" w:rsidRPr="00655AEC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1F40FF4C" w14:textId="77777777" w:rsidR="000E4AF8" w:rsidRPr="00E075B0" w:rsidRDefault="000E4AF8" w:rsidP="000E4A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00EC950" w14:textId="4506A1AD" w:rsidR="00886833" w:rsidRDefault="00886833"/>
    <w:sectPr w:rsidR="00886833" w:rsidSect="00D041D3">
      <w:headerReference w:type="default" r:id="rId14"/>
      <w:footerReference w:type="default" r:id="rId15"/>
      <w:pgSz w:w="16840" w:h="11907" w:orient="landscape" w:code="9"/>
      <w:pgMar w:top="1479" w:right="1361" w:bottom="1304" w:left="1361" w:header="709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69BCC" w14:textId="77777777" w:rsidR="000E4AF8" w:rsidRDefault="000E4AF8">
      <w:r>
        <w:separator/>
      </w:r>
    </w:p>
  </w:endnote>
  <w:endnote w:type="continuationSeparator" w:id="0">
    <w:p w14:paraId="68BFC5BF" w14:textId="77777777" w:rsidR="000E4AF8" w:rsidRDefault="000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8EE5" w14:textId="77777777" w:rsidR="00E079DF" w:rsidRDefault="00E07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0695" w14:textId="7464DDEA" w:rsidR="000E4AF8" w:rsidRPr="00E079DF" w:rsidRDefault="00E079DF" w:rsidP="00E079DF">
    <w:pPr>
      <w:pStyle w:val="Footer"/>
      <w:jc w:val="center"/>
      <w:rPr>
        <w:sz w:val="14"/>
      </w:rPr>
    </w:pPr>
    <w:r w:rsidRPr="00E079DF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99F9" w14:textId="424F39B0" w:rsidR="000E4AF8" w:rsidRPr="00E079DF" w:rsidRDefault="00E079DF" w:rsidP="00E079DF">
    <w:pPr>
      <w:pStyle w:val="Footer"/>
      <w:jc w:val="center"/>
      <w:rPr>
        <w:sz w:val="14"/>
      </w:rPr>
    </w:pPr>
    <w:r w:rsidRPr="00E079DF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A5C9" w14:textId="5CA25710" w:rsidR="000E4AF8" w:rsidRPr="00E079DF" w:rsidRDefault="00E079DF" w:rsidP="00E079DF">
    <w:pPr>
      <w:pStyle w:val="Footer"/>
      <w:jc w:val="center"/>
      <w:rPr>
        <w:sz w:val="14"/>
      </w:rPr>
    </w:pPr>
    <w:r w:rsidRPr="00E079DF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E461C" w14:textId="77777777" w:rsidR="000E4AF8" w:rsidRDefault="000E4AF8">
      <w:r>
        <w:separator/>
      </w:r>
    </w:p>
  </w:footnote>
  <w:footnote w:type="continuationSeparator" w:id="0">
    <w:p w14:paraId="20B9143C" w14:textId="77777777" w:rsidR="000E4AF8" w:rsidRDefault="000E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7A7C" w14:textId="77777777" w:rsidR="00E079DF" w:rsidRDefault="00E07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6CA4" w14:textId="77777777" w:rsidR="000E4AF8" w:rsidRDefault="000E4AF8" w:rsidP="003755F5">
    <w:pPr>
      <w:tabs>
        <w:tab w:val="left" w:pos="2280"/>
        <w:tab w:val="left" w:pos="3860"/>
      </w:tabs>
      <w:ind w:right="-308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E364" w14:textId="77777777" w:rsidR="00E079DF" w:rsidRDefault="00E079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B47F" w14:textId="3EF0752E" w:rsidR="000E4AF8" w:rsidRPr="004B1AF9" w:rsidRDefault="000E4AF8" w:rsidP="004B1AF9">
    <w:pPr>
      <w:pStyle w:val="Header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4B1AF9">
      <w:rPr>
        <w:rFonts w:ascii="Times New Roman" w:hAnsi="Times New Roman" w:cs="Times New Roman"/>
        <w:b/>
        <w:bCs/>
        <w:sz w:val="22"/>
        <w:szCs w:val="22"/>
      </w:rPr>
      <w:t xml:space="preserve">This is page </w:t>
    </w:r>
    <w:r w:rsidRPr="004B1AF9">
      <w:rPr>
        <w:rFonts w:ascii="Times New Roman" w:hAnsi="Times New Roman" w:cs="Times New Roman"/>
        <w:b/>
        <w:bCs/>
        <w:sz w:val="22"/>
        <w:szCs w:val="22"/>
      </w:rPr>
      <w:fldChar w:fldCharType="begin"/>
    </w:r>
    <w:r w:rsidRPr="004B1AF9">
      <w:rPr>
        <w:rFonts w:ascii="Times New Roman" w:hAnsi="Times New Roman" w:cs="Times New Roman"/>
        <w:b/>
        <w:bCs/>
        <w:sz w:val="22"/>
        <w:szCs w:val="22"/>
      </w:rPr>
      <w:instrText xml:space="preserve"> PAGE   \* MERGEFORMAT </w:instrText>
    </w:r>
    <w:r w:rsidRPr="004B1AF9">
      <w:rPr>
        <w:rFonts w:ascii="Times New Roman" w:hAnsi="Times New Roman" w:cs="Times New Roman"/>
        <w:b/>
        <w:bCs/>
        <w:sz w:val="22"/>
        <w:szCs w:val="22"/>
      </w:rPr>
      <w:fldChar w:fldCharType="separate"/>
    </w:r>
    <w:r>
      <w:rPr>
        <w:rFonts w:ascii="Times New Roman" w:hAnsi="Times New Roman" w:cs="Times New Roman"/>
        <w:b/>
        <w:bCs/>
        <w:noProof/>
        <w:sz w:val="22"/>
        <w:szCs w:val="22"/>
      </w:rPr>
      <w:t>5</w:t>
    </w:r>
    <w:r w:rsidRPr="004B1AF9">
      <w:rPr>
        <w:rFonts w:ascii="Times New Roman" w:hAnsi="Times New Roman" w:cs="Times New Roman"/>
        <w:b/>
        <w:bCs/>
        <w:sz w:val="22"/>
        <w:szCs w:val="22"/>
      </w:rPr>
      <w:fldChar w:fldCharType="end"/>
    </w:r>
    <w:r w:rsidRPr="004B1AF9">
      <w:rPr>
        <w:rStyle w:val="PageNumber"/>
        <w:b/>
        <w:bCs/>
        <w:sz w:val="22"/>
        <w:szCs w:val="22"/>
      </w:rPr>
      <w:t xml:space="preserve"> of </w:t>
    </w:r>
    <w:r>
      <w:rPr>
        <w:rStyle w:val="PageNumber"/>
        <w:b/>
        <w:bCs/>
        <w:sz w:val="22"/>
        <w:szCs w:val="22"/>
      </w:rPr>
      <w:t>6</w:t>
    </w:r>
    <w:r w:rsidRPr="004B1AF9">
      <w:rPr>
        <w:rStyle w:val="PageNumber"/>
        <w:b/>
        <w:bCs/>
        <w:sz w:val="22"/>
        <w:szCs w:val="22"/>
      </w:rPr>
      <w:t xml:space="preserve"> pages of the </w:t>
    </w:r>
    <w:r w:rsidRPr="004B1AF9">
      <w:rPr>
        <w:rFonts w:ascii="Times New Roman" w:hAnsi="Times New Roman" w:cs="Times New Roman"/>
        <w:b/>
        <w:bCs/>
        <w:sz w:val="22"/>
        <w:szCs w:val="22"/>
      </w:rPr>
      <w:t>Attachment to the Explanatory Statement to the</w:t>
    </w:r>
  </w:p>
  <w:p w14:paraId="48593F9B" w14:textId="29CC3BF5" w:rsidR="000E4AF8" w:rsidRPr="004B1AF9" w:rsidRDefault="000E4AF8" w:rsidP="004B1AF9">
    <w:pPr>
      <w:pStyle w:val="Header"/>
      <w:jc w:val="center"/>
      <w:rPr>
        <w:rStyle w:val="PageNumber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i/>
        <w:iCs/>
        <w:sz w:val="22"/>
        <w:szCs w:val="22"/>
      </w:rPr>
      <w:t>Liquor</w:t>
    </w:r>
    <w:r w:rsidRPr="004B1AF9">
      <w:rPr>
        <w:rFonts w:ascii="Times New Roman" w:hAnsi="Times New Roman" w:cs="Times New Roman"/>
        <w:b/>
        <w:bCs/>
        <w:i/>
        <w:iCs/>
        <w:sz w:val="22"/>
        <w:szCs w:val="22"/>
      </w:rPr>
      <w:t xml:space="preserve"> (Fees) Determination 20</w:t>
    </w:r>
    <w:r>
      <w:rPr>
        <w:rFonts w:ascii="Times New Roman" w:hAnsi="Times New Roman" w:cs="Times New Roman"/>
        <w:b/>
        <w:bCs/>
        <w:i/>
        <w:iCs/>
        <w:sz w:val="22"/>
        <w:szCs w:val="22"/>
      </w:rPr>
      <w:t>20 (No 2)</w:t>
    </w:r>
  </w:p>
  <w:p w14:paraId="22EA047D" w14:textId="77777777" w:rsidR="000E4AF8" w:rsidRDefault="000E4AF8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2DF0E3A"/>
    <w:multiLevelType w:val="hybridMultilevel"/>
    <w:tmpl w:val="768439C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554DCA"/>
    <w:multiLevelType w:val="hybridMultilevel"/>
    <w:tmpl w:val="768439C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46"/>
  </w:num>
  <w:num w:numId="5">
    <w:abstractNumId w:val="24"/>
  </w:num>
  <w:num w:numId="6">
    <w:abstractNumId w:val="40"/>
  </w:num>
  <w:num w:numId="7">
    <w:abstractNumId w:val="5"/>
  </w:num>
  <w:num w:numId="8">
    <w:abstractNumId w:val="44"/>
  </w:num>
  <w:num w:numId="9">
    <w:abstractNumId w:val="2"/>
  </w:num>
  <w:num w:numId="10">
    <w:abstractNumId w:val="4"/>
  </w:num>
  <w:num w:numId="11">
    <w:abstractNumId w:val="41"/>
  </w:num>
  <w:num w:numId="12">
    <w:abstractNumId w:val="1"/>
  </w:num>
  <w:num w:numId="13">
    <w:abstractNumId w:val="42"/>
  </w:num>
  <w:num w:numId="14">
    <w:abstractNumId w:val="47"/>
  </w:num>
  <w:num w:numId="15">
    <w:abstractNumId w:val="10"/>
  </w:num>
  <w:num w:numId="16">
    <w:abstractNumId w:val="11"/>
  </w:num>
  <w:num w:numId="17">
    <w:abstractNumId w:val="14"/>
  </w:num>
  <w:num w:numId="18">
    <w:abstractNumId w:val="43"/>
  </w:num>
  <w:num w:numId="19">
    <w:abstractNumId w:val="34"/>
  </w:num>
  <w:num w:numId="20">
    <w:abstractNumId w:val="21"/>
  </w:num>
  <w:num w:numId="21">
    <w:abstractNumId w:val="45"/>
  </w:num>
  <w:num w:numId="22">
    <w:abstractNumId w:val="7"/>
  </w:num>
  <w:num w:numId="23">
    <w:abstractNumId w:val="3"/>
  </w:num>
  <w:num w:numId="24">
    <w:abstractNumId w:val="35"/>
  </w:num>
  <w:num w:numId="25">
    <w:abstractNumId w:val="48"/>
  </w:num>
  <w:num w:numId="26">
    <w:abstractNumId w:val="32"/>
  </w:num>
  <w:num w:numId="27">
    <w:abstractNumId w:val="16"/>
  </w:num>
  <w:num w:numId="28">
    <w:abstractNumId w:val="50"/>
  </w:num>
  <w:num w:numId="29">
    <w:abstractNumId w:val="15"/>
  </w:num>
  <w:num w:numId="30">
    <w:abstractNumId w:val="25"/>
  </w:num>
  <w:num w:numId="31">
    <w:abstractNumId w:val="12"/>
  </w:num>
  <w:num w:numId="32">
    <w:abstractNumId w:val="36"/>
  </w:num>
  <w:num w:numId="33">
    <w:abstractNumId w:val="28"/>
  </w:num>
  <w:num w:numId="34">
    <w:abstractNumId w:val="30"/>
  </w:num>
  <w:num w:numId="35">
    <w:abstractNumId w:val="37"/>
  </w:num>
  <w:num w:numId="36">
    <w:abstractNumId w:val="38"/>
  </w:num>
  <w:num w:numId="37">
    <w:abstractNumId w:val="39"/>
  </w:num>
  <w:num w:numId="38">
    <w:abstractNumId w:val="20"/>
  </w:num>
  <w:num w:numId="39">
    <w:abstractNumId w:val="18"/>
  </w:num>
  <w:num w:numId="40">
    <w:abstractNumId w:val="22"/>
  </w:num>
  <w:num w:numId="41">
    <w:abstractNumId w:val="33"/>
  </w:num>
  <w:num w:numId="42">
    <w:abstractNumId w:val="29"/>
  </w:num>
  <w:num w:numId="43">
    <w:abstractNumId w:val="19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6"/>
  </w:num>
  <w:num w:numId="48">
    <w:abstractNumId w:val="13"/>
  </w:num>
  <w:num w:numId="49">
    <w:abstractNumId w:val="26"/>
  </w:num>
  <w:num w:numId="50">
    <w:abstractNumId w:val="27"/>
  </w:num>
  <w:num w:numId="51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0DA9"/>
    <w:rsid w:val="00001E26"/>
    <w:rsid w:val="00004B80"/>
    <w:rsid w:val="000055E6"/>
    <w:rsid w:val="000056F7"/>
    <w:rsid w:val="00007E8E"/>
    <w:rsid w:val="00011A69"/>
    <w:rsid w:val="00013653"/>
    <w:rsid w:val="00014CED"/>
    <w:rsid w:val="000202F0"/>
    <w:rsid w:val="0002061B"/>
    <w:rsid w:val="00020651"/>
    <w:rsid w:val="00020AA2"/>
    <w:rsid w:val="0002106D"/>
    <w:rsid w:val="00022E6A"/>
    <w:rsid w:val="00025FCD"/>
    <w:rsid w:val="00027DD8"/>
    <w:rsid w:val="00032AAE"/>
    <w:rsid w:val="00034237"/>
    <w:rsid w:val="00034E0E"/>
    <w:rsid w:val="000363AB"/>
    <w:rsid w:val="00036624"/>
    <w:rsid w:val="00041143"/>
    <w:rsid w:val="00041876"/>
    <w:rsid w:val="00043EC5"/>
    <w:rsid w:val="0005173B"/>
    <w:rsid w:val="00051DE3"/>
    <w:rsid w:val="000607A4"/>
    <w:rsid w:val="000610E8"/>
    <w:rsid w:val="000622A6"/>
    <w:rsid w:val="00062706"/>
    <w:rsid w:val="00063692"/>
    <w:rsid w:val="000666B2"/>
    <w:rsid w:val="00070E94"/>
    <w:rsid w:val="00071A04"/>
    <w:rsid w:val="00071BD4"/>
    <w:rsid w:val="00072C33"/>
    <w:rsid w:val="0007350E"/>
    <w:rsid w:val="000735DC"/>
    <w:rsid w:val="00073CBA"/>
    <w:rsid w:val="00074C75"/>
    <w:rsid w:val="00081110"/>
    <w:rsid w:val="000820B3"/>
    <w:rsid w:val="00083A97"/>
    <w:rsid w:val="0009054E"/>
    <w:rsid w:val="00092434"/>
    <w:rsid w:val="0009352C"/>
    <w:rsid w:val="00094D53"/>
    <w:rsid w:val="00095B9F"/>
    <w:rsid w:val="000976D6"/>
    <w:rsid w:val="0009797F"/>
    <w:rsid w:val="000A019F"/>
    <w:rsid w:val="000A15D4"/>
    <w:rsid w:val="000A1A7D"/>
    <w:rsid w:val="000A24E2"/>
    <w:rsid w:val="000A39BF"/>
    <w:rsid w:val="000A53BD"/>
    <w:rsid w:val="000A53CA"/>
    <w:rsid w:val="000A5DD5"/>
    <w:rsid w:val="000A7F28"/>
    <w:rsid w:val="000B5EBA"/>
    <w:rsid w:val="000C1E74"/>
    <w:rsid w:val="000C2F11"/>
    <w:rsid w:val="000C35DE"/>
    <w:rsid w:val="000C3AE6"/>
    <w:rsid w:val="000C3EB9"/>
    <w:rsid w:val="000C6379"/>
    <w:rsid w:val="000D1427"/>
    <w:rsid w:val="000D15DE"/>
    <w:rsid w:val="000D1EAF"/>
    <w:rsid w:val="000D3008"/>
    <w:rsid w:val="000D38F5"/>
    <w:rsid w:val="000E1337"/>
    <w:rsid w:val="000E236B"/>
    <w:rsid w:val="000E246F"/>
    <w:rsid w:val="000E3069"/>
    <w:rsid w:val="000E4AF8"/>
    <w:rsid w:val="000E4DD1"/>
    <w:rsid w:val="000E56A2"/>
    <w:rsid w:val="000F07E0"/>
    <w:rsid w:val="000F11D7"/>
    <w:rsid w:val="000F1E91"/>
    <w:rsid w:val="000F1EE2"/>
    <w:rsid w:val="000F2035"/>
    <w:rsid w:val="000F4778"/>
    <w:rsid w:val="000F5429"/>
    <w:rsid w:val="000F5A40"/>
    <w:rsid w:val="000F65F5"/>
    <w:rsid w:val="00100B65"/>
    <w:rsid w:val="00104752"/>
    <w:rsid w:val="00105442"/>
    <w:rsid w:val="00107E48"/>
    <w:rsid w:val="001105B1"/>
    <w:rsid w:val="00110C38"/>
    <w:rsid w:val="0011297D"/>
    <w:rsid w:val="00113511"/>
    <w:rsid w:val="001138EA"/>
    <w:rsid w:val="00114D0C"/>
    <w:rsid w:val="00117BD5"/>
    <w:rsid w:val="00121A21"/>
    <w:rsid w:val="00122D8A"/>
    <w:rsid w:val="00124CED"/>
    <w:rsid w:val="0012715B"/>
    <w:rsid w:val="001273BC"/>
    <w:rsid w:val="00127C7B"/>
    <w:rsid w:val="00130983"/>
    <w:rsid w:val="00137319"/>
    <w:rsid w:val="001426D2"/>
    <w:rsid w:val="001462D1"/>
    <w:rsid w:val="0014649C"/>
    <w:rsid w:val="001464BE"/>
    <w:rsid w:val="00147037"/>
    <w:rsid w:val="00150023"/>
    <w:rsid w:val="0015309B"/>
    <w:rsid w:val="00155D66"/>
    <w:rsid w:val="0015759A"/>
    <w:rsid w:val="0016087C"/>
    <w:rsid w:val="00161BDF"/>
    <w:rsid w:val="00164AE5"/>
    <w:rsid w:val="00172D4D"/>
    <w:rsid w:val="00173A2A"/>
    <w:rsid w:val="00175B9B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A5303"/>
    <w:rsid w:val="001A7C23"/>
    <w:rsid w:val="001B0752"/>
    <w:rsid w:val="001B0C90"/>
    <w:rsid w:val="001B0F94"/>
    <w:rsid w:val="001B23F6"/>
    <w:rsid w:val="001B3A32"/>
    <w:rsid w:val="001B4DA6"/>
    <w:rsid w:val="001B666F"/>
    <w:rsid w:val="001D03CC"/>
    <w:rsid w:val="001D173C"/>
    <w:rsid w:val="001D3C5D"/>
    <w:rsid w:val="001E0674"/>
    <w:rsid w:val="001E1222"/>
    <w:rsid w:val="001E3CA7"/>
    <w:rsid w:val="001E64B3"/>
    <w:rsid w:val="001E6BF8"/>
    <w:rsid w:val="001F291C"/>
    <w:rsid w:val="001F4314"/>
    <w:rsid w:val="001F5677"/>
    <w:rsid w:val="001F5BAF"/>
    <w:rsid w:val="0020336A"/>
    <w:rsid w:val="00203533"/>
    <w:rsid w:val="00204314"/>
    <w:rsid w:val="00207F08"/>
    <w:rsid w:val="00207FF6"/>
    <w:rsid w:val="002107B5"/>
    <w:rsid w:val="00211673"/>
    <w:rsid w:val="0021226D"/>
    <w:rsid w:val="00212A56"/>
    <w:rsid w:val="00217525"/>
    <w:rsid w:val="00220A55"/>
    <w:rsid w:val="00220F23"/>
    <w:rsid w:val="00230F4F"/>
    <w:rsid w:val="00232B32"/>
    <w:rsid w:val="00232F0A"/>
    <w:rsid w:val="002335BD"/>
    <w:rsid w:val="002340C8"/>
    <w:rsid w:val="002346D9"/>
    <w:rsid w:val="00235F2F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C03"/>
    <w:rsid w:val="00270FD5"/>
    <w:rsid w:val="0027439C"/>
    <w:rsid w:val="00274710"/>
    <w:rsid w:val="00274AD0"/>
    <w:rsid w:val="00277378"/>
    <w:rsid w:val="00277C5A"/>
    <w:rsid w:val="00282576"/>
    <w:rsid w:val="00282BDD"/>
    <w:rsid w:val="00285594"/>
    <w:rsid w:val="00286355"/>
    <w:rsid w:val="00286B2B"/>
    <w:rsid w:val="00290348"/>
    <w:rsid w:val="00293A33"/>
    <w:rsid w:val="002953A5"/>
    <w:rsid w:val="00296D80"/>
    <w:rsid w:val="002A16B2"/>
    <w:rsid w:val="002A417F"/>
    <w:rsid w:val="002A6B73"/>
    <w:rsid w:val="002A796A"/>
    <w:rsid w:val="002B630A"/>
    <w:rsid w:val="002C0299"/>
    <w:rsid w:val="002C0476"/>
    <w:rsid w:val="002C1598"/>
    <w:rsid w:val="002C1AD4"/>
    <w:rsid w:val="002C33F8"/>
    <w:rsid w:val="002C38F5"/>
    <w:rsid w:val="002C4BF2"/>
    <w:rsid w:val="002C5610"/>
    <w:rsid w:val="002C7FB1"/>
    <w:rsid w:val="002C7FB5"/>
    <w:rsid w:val="002D2F93"/>
    <w:rsid w:val="002D3B0A"/>
    <w:rsid w:val="002E207B"/>
    <w:rsid w:val="002E2C30"/>
    <w:rsid w:val="002E77EC"/>
    <w:rsid w:val="002F787C"/>
    <w:rsid w:val="003004DC"/>
    <w:rsid w:val="00300647"/>
    <w:rsid w:val="0030407B"/>
    <w:rsid w:val="00307F8D"/>
    <w:rsid w:val="00307FDD"/>
    <w:rsid w:val="0031080F"/>
    <w:rsid w:val="0031151C"/>
    <w:rsid w:val="0031291E"/>
    <w:rsid w:val="00315C01"/>
    <w:rsid w:val="00320C13"/>
    <w:rsid w:val="0032256F"/>
    <w:rsid w:val="00324033"/>
    <w:rsid w:val="0032493F"/>
    <w:rsid w:val="0032684C"/>
    <w:rsid w:val="00330B4C"/>
    <w:rsid w:val="00337DA3"/>
    <w:rsid w:val="00345342"/>
    <w:rsid w:val="003459DC"/>
    <w:rsid w:val="00345B0C"/>
    <w:rsid w:val="00350032"/>
    <w:rsid w:val="00350C58"/>
    <w:rsid w:val="0035145F"/>
    <w:rsid w:val="00357403"/>
    <w:rsid w:val="00361399"/>
    <w:rsid w:val="0036223D"/>
    <w:rsid w:val="00363481"/>
    <w:rsid w:val="00364FA7"/>
    <w:rsid w:val="00365605"/>
    <w:rsid w:val="003656FA"/>
    <w:rsid w:val="0037000A"/>
    <w:rsid w:val="00374095"/>
    <w:rsid w:val="003755F5"/>
    <w:rsid w:val="0037589C"/>
    <w:rsid w:val="00375927"/>
    <w:rsid w:val="00376286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29F2"/>
    <w:rsid w:val="00393E82"/>
    <w:rsid w:val="00394344"/>
    <w:rsid w:val="0039443D"/>
    <w:rsid w:val="00396913"/>
    <w:rsid w:val="003A0234"/>
    <w:rsid w:val="003A1AD4"/>
    <w:rsid w:val="003A62A9"/>
    <w:rsid w:val="003B2F00"/>
    <w:rsid w:val="003B3232"/>
    <w:rsid w:val="003B3670"/>
    <w:rsid w:val="003B6EEA"/>
    <w:rsid w:val="003B71C7"/>
    <w:rsid w:val="003C1530"/>
    <w:rsid w:val="003C2077"/>
    <w:rsid w:val="003C2F51"/>
    <w:rsid w:val="003C3D28"/>
    <w:rsid w:val="003C5009"/>
    <w:rsid w:val="003D1676"/>
    <w:rsid w:val="003D243A"/>
    <w:rsid w:val="003D3654"/>
    <w:rsid w:val="003D3F54"/>
    <w:rsid w:val="003D5798"/>
    <w:rsid w:val="003D63DD"/>
    <w:rsid w:val="003D6DD1"/>
    <w:rsid w:val="003D79EF"/>
    <w:rsid w:val="003D7DF7"/>
    <w:rsid w:val="003E15AB"/>
    <w:rsid w:val="003E316B"/>
    <w:rsid w:val="003E35DB"/>
    <w:rsid w:val="003E3F6E"/>
    <w:rsid w:val="003E42CC"/>
    <w:rsid w:val="003E47B0"/>
    <w:rsid w:val="003E4B45"/>
    <w:rsid w:val="003E7BD2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4B6"/>
    <w:rsid w:val="0041261F"/>
    <w:rsid w:val="004135B2"/>
    <w:rsid w:val="004157A4"/>
    <w:rsid w:val="00416078"/>
    <w:rsid w:val="00420320"/>
    <w:rsid w:val="0042075F"/>
    <w:rsid w:val="00421BF9"/>
    <w:rsid w:val="004232D5"/>
    <w:rsid w:val="00423E0A"/>
    <w:rsid w:val="00430225"/>
    <w:rsid w:val="00433370"/>
    <w:rsid w:val="004336D2"/>
    <w:rsid w:val="004402D0"/>
    <w:rsid w:val="00440A3B"/>
    <w:rsid w:val="004415CA"/>
    <w:rsid w:val="00441F02"/>
    <w:rsid w:val="004427E9"/>
    <w:rsid w:val="00442CE9"/>
    <w:rsid w:val="00443D48"/>
    <w:rsid w:val="004443A7"/>
    <w:rsid w:val="00444F21"/>
    <w:rsid w:val="00456000"/>
    <w:rsid w:val="004678FA"/>
    <w:rsid w:val="00470106"/>
    <w:rsid w:val="0047586C"/>
    <w:rsid w:val="004823C5"/>
    <w:rsid w:val="004851FE"/>
    <w:rsid w:val="004852E5"/>
    <w:rsid w:val="00486788"/>
    <w:rsid w:val="0048782E"/>
    <w:rsid w:val="00494BAB"/>
    <w:rsid w:val="00495EAE"/>
    <w:rsid w:val="00497033"/>
    <w:rsid w:val="00497ADF"/>
    <w:rsid w:val="004A0B2C"/>
    <w:rsid w:val="004A1180"/>
    <w:rsid w:val="004A253B"/>
    <w:rsid w:val="004A27B8"/>
    <w:rsid w:val="004A404A"/>
    <w:rsid w:val="004A5A7F"/>
    <w:rsid w:val="004B1AF9"/>
    <w:rsid w:val="004B66AE"/>
    <w:rsid w:val="004C1FBD"/>
    <w:rsid w:val="004C3555"/>
    <w:rsid w:val="004C42FA"/>
    <w:rsid w:val="004C49DE"/>
    <w:rsid w:val="004C5AAA"/>
    <w:rsid w:val="004C6EF6"/>
    <w:rsid w:val="004C7283"/>
    <w:rsid w:val="004D02DA"/>
    <w:rsid w:val="004D06FD"/>
    <w:rsid w:val="004D0A2B"/>
    <w:rsid w:val="004D0FD4"/>
    <w:rsid w:val="004D2A83"/>
    <w:rsid w:val="004D3F36"/>
    <w:rsid w:val="004E0988"/>
    <w:rsid w:val="004E247B"/>
    <w:rsid w:val="004E3C9B"/>
    <w:rsid w:val="004E6B0F"/>
    <w:rsid w:val="004E77CF"/>
    <w:rsid w:val="004F0EE3"/>
    <w:rsid w:val="004F3022"/>
    <w:rsid w:val="00500F9D"/>
    <w:rsid w:val="00502593"/>
    <w:rsid w:val="00502A5D"/>
    <w:rsid w:val="00502AB2"/>
    <w:rsid w:val="00504825"/>
    <w:rsid w:val="00505D50"/>
    <w:rsid w:val="00512CE9"/>
    <w:rsid w:val="00513B4B"/>
    <w:rsid w:val="0051687D"/>
    <w:rsid w:val="00521BFE"/>
    <w:rsid w:val="0052708D"/>
    <w:rsid w:val="005301C3"/>
    <w:rsid w:val="005332DE"/>
    <w:rsid w:val="005335C1"/>
    <w:rsid w:val="00534EAF"/>
    <w:rsid w:val="0053572A"/>
    <w:rsid w:val="00535AED"/>
    <w:rsid w:val="00540E88"/>
    <w:rsid w:val="00541482"/>
    <w:rsid w:val="00541E70"/>
    <w:rsid w:val="00545502"/>
    <w:rsid w:val="00546EF9"/>
    <w:rsid w:val="005479D6"/>
    <w:rsid w:val="005506E4"/>
    <w:rsid w:val="0055140F"/>
    <w:rsid w:val="0055324E"/>
    <w:rsid w:val="005556BD"/>
    <w:rsid w:val="005602B5"/>
    <w:rsid w:val="00565797"/>
    <w:rsid w:val="00566240"/>
    <w:rsid w:val="005669A1"/>
    <w:rsid w:val="00567A0D"/>
    <w:rsid w:val="0057489C"/>
    <w:rsid w:val="0057564F"/>
    <w:rsid w:val="005758A5"/>
    <w:rsid w:val="005770E2"/>
    <w:rsid w:val="0058077D"/>
    <w:rsid w:val="00581B26"/>
    <w:rsid w:val="00583EE8"/>
    <w:rsid w:val="00584ABD"/>
    <w:rsid w:val="00585D50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11C1"/>
    <w:rsid w:val="005B1B38"/>
    <w:rsid w:val="005B2DBA"/>
    <w:rsid w:val="005B452F"/>
    <w:rsid w:val="005B4F45"/>
    <w:rsid w:val="005B5C7F"/>
    <w:rsid w:val="005C0A75"/>
    <w:rsid w:val="005C281E"/>
    <w:rsid w:val="005C2A14"/>
    <w:rsid w:val="005C35AE"/>
    <w:rsid w:val="005C656A"/>
    <w:rsid w:val="005C780B"/>
    <w:rsid w:val="005D023C"/>
    <w:rsid w:val="005D1766"/>
    <w:rsid w:val="005D273A"/>
    <w:rsid w:val="005D4A0D"/>
    <w:rsid w:val="005D4CBE"/>
    <w:rsid w:val="005D5A60"/>
    <w:rsid w:val="005E0C4B"/>
    <w:rsid w:val="005E12C8"/>
    <w:rsid w:val="005E1E26"/>
    <w:rsid w:val="005E2E12"/>
    <w:rsid w:val="005E470A"/>
    <w:rsid w:val="005E55B8"/>
    <w:rsid w:val="005E6A3C"/>
    <w:rsid w:val="005F0B00"/>
    <w:rsid w:val="005F121D"/>
    <w:rsid w:val="005F29D2"/>
    <w:rsid w:val="005F70DD"/>
    <w:rsid w:val="005F7FA8"/>
    <w:rsid w:val="00600E3F"/>
    <w:rsid w:val="00603D6F"/>
    <w:rsid w:val="00606132"/>
    <w:rsid w:val="006079DC"/>
    <w:rsid w:val="0061013A"/>
    <w:rsid w:val="00610778"/>
    <w:rsid w:val="0061166B"/>
    <w:rsid w:val="00611BF6"/>
    <w:rsid w:val="00613E15"/>
    <w:rsid w:val="0061444A"/>
    <w:rsid w:val="00616005"/>
    <w:rsid w:val="00616AF0"/>
    <w:rsid w:val="00616FBF"/>
    <w:rsid w:val="006179F1"/>
    <w:rsid w:val="006220A1"/>
    <w:rsid w:val="006226D1"/>
    <w:rsid w:val="0062294C"/>
    <w:rsid w:val="00622C02"/>
    <w:rsid w:val="0062496B"/>
    <w:rsid w:val="006250CC"/>
    <w:rsid w:val="0062783C"/>
    <w:rsid w:val="00627F8C"/>
    <w:rsid w:val="00630FAA"/>
    <w:rsid w:val="0063152E"/>
    <w:rsid w:val="0063251C"/>
    <w:rsid w:val="00633993"/>
    <w:rsid w:val="006339D7"/>
    <w:rsid w:val="0063441E"/>
    <w:rsid w:val="00634931"/>
    <w:rsid w:val="0063777B"/>
    <w:rsid w:val="0064212A"/>
    <w:rsid w:val="00642944"/>
    <w:rsid w:val="00644C3A"/>
    <w:rsid w:val="0065160D"/>
    <w:rsid w:val="00655AEC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765E9"/>
    <w:rsid w:val="00681F9D"/>
    <w:rsid w:val="00682049"/>
    <w:rsid w:val="0068739F"/>
    <w:rsid w:val="00690364"/>
    <w:rsid w:val="00691E5F"/>
    <w:rsid w:val="00693709"/>
    <w:rsid w:val="0069491E"/>
    <w:rsid w:val="006A0279"/>
    <w:rsid w:val="006A2BE3"/>
    <w:rsid w:val="006A3028"/>
    <w:rsid w:val="006A3DEE"/>
    <w:rsid w:val="006A3ECC"/>
    <w:rsid w:val="006A609C"/>
    <w:rsid w:val="006A61AB"/>
    <w:rsid w:val="006B18D7"/>
    <w:rsid w:val="006B3CCC"/>
    <w:rsid w:val="006B489B"/>
    <w:rsid w:val="006B6498"/>
    <w:rsid w:val="006C2D1E"/>
    <w:rsid w:val="006C353D"/>
    <w:rsid w:val="006C5A40"/>
    <w:rsid w:val="006C6FBA"/>
    <w:rsid w:val="006D1DAE"/>
    <w:rsid w:val="006D74F4"/>
    <w:rsid w:val="006E1759"/>
    <w:rsid w:val="006E1F9D"/>
    <w:rsid w:val="006E2792"/>
    <w:rsid w:val="006E56BC"/>
    <w:rsid w:val="006E5D82"/>
    <w:rsid w:val="006E7BAF"/>
    <w:rsid w:val="006F013C"/>
    <w:rsid w:val="006F0721"/>
    <w:rsid w:val="006F13F1"/>
    <w:rsid w:val="006F1AFE"/>
    <w:rsid w:val="006F3BDA"/>
    <w:rsid w:val="006F765C"/>
    <w:rsid w:val="006F7BB0"/>
    <w:rsid w:val="00701B0F"/>
    <w:rsid w:val="007034EC"/>
    <w:rsid w:val="007059C2"/>
    <w:rsid w:val="00705E9A"/>
    <w:rsid w:val="00714718"/>
    <w:rsid w:val="00715848"/>
    <w:rsid w:val="00717ADE"/>
    <w:rsid w:val="00717DBF"/>
    <w:rsid w:val="0072286D"/>
    <w:rsid w:val="007261FA"/>
    <w:rsid w:val="00727E0F"/>
    <w:rsid w:val="00730192"/>
    <w:rsid w:val="00733234"/>
    <w:rsid w:val="00735FDA"/>
    <w:rsid w:val="00744B12"/>
    <w:rsid w:val="00744D6A"/>
    <w:rsid w:val="00745B3A"/>
    <w:rsid w:val="00747174"/>
    <w:rsid w:val="00751336"/>
    <w:rsid w:val="00753986"/>
    <w:rsid w:val="0075414C"/>
    <w:rsid w:val="0075450D"/>
    <w:rsid w:val="007611E7"/>
    <w:rsid w:val="00762225"/>
    <w:rsid w:val="00764902"/>
    <w:rsid w:val="00764F26"/>
    <w:rsid w:val="0076637E"/>
    <w:rsid w:val="007707FD"/>
    <w:rsid w:val="0077087E"/>
    <w:rsid w:val="00772C02"/>
    <w:rsid w:val="007740FC"/>
    <w:rsid w:val="0077678D"/>
    <w:rsid w:val="00781287"/>
    <w:rsid w:val="00784731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4B35"/>
    <w:rsid w:val="007B6E56"/>
    <w:rsid w:val="007B720D"/>
    <w:rsid w:val="007C0363"/>
    <w:rsid w:val="007C1767"/>
    <w:rsid w:val="007C3F11"/>
    <w:rsid w:val="007C4D6A"/>
    <w:rsid w:val="007C4EA9"/>
    <w:rsid w:val="007C6F7D"/>
    <w:rsid w:val="007D130D"/>
    <w:rsid w:val="007D1B9F"/>
    <w:rsid w:val="007D3CDD"/>
    <w:rsid w:val="007D3F7C"/>
    <w:rsid w:val="007D5FCA"/>
    <w:rsid w:val="007D74B0"/>
    <w:rsid w:val="007E112C"/>
    <w:rsid w:val="007E3DC4"/>
    <w:rsid w:val="007E3F89"/>
    <w:rsid w:val="007E459C"/>
    <w:rsid w:val="007F1737"/>
    <w:rsid w:val="007F27B8"/>
    <w:rsid w:val="007F4EAA"/>
    <w:rsid w:val="007F5DDE"/>
    <w:rsid w:val="007F609F"/>
    <w:rsid w:val="007F6928"/>
    <w:rsid w:val="00807DA6"/>
    <w:rsid w:val="00813A12"/>
    <w:rsid w:val="0082273A"/>
    <w:rsid w:val="00822CA6"/>
    <w:rsid w:val="0082490C"/>
    <w:rsid w:val="0082515A"/>
    <w:rsid w:val="00830C6A"/>
    <w:rsid w:val="00831B2E"/>
    <w:rsid w:val="008323C5"/>
    <w:rsid w:val="008335B4"/>
    <w:rsid w:val="00835019"/>
    <w:rsid w:val="00842BE3"/>
    <w:rsid w:val="00846198"/>
    <w:rsid w:val="008467E9"/>
    <w:rsid w:val="00846E4E"/>
    <w:rsid w:val="008524E5"/>
    <w:rsid w:val="00853DF1"/>
    <w:rsid w:val="00853E83"/>
    <w:rsid w:val="00856241"/>
    <w:rsid w:val="00857781"/>
    <w:rsid w:val="00862209"/>
    <w:rsid w:val="008631C0"/>
    <w:rsid w:val="008637EF"/>
    <w:rsid w:val="00864A73"/>
    <w:rsid w:val="00870BFC"/>
    <w:rsid w:val="00873A37"/>
    <w:rsid w:val="008741A6"/>
    <w:rsid w:val="008742C6"/>
    <w:rsid w:val="00874DBC"/>
    <w:rsid w:val="00876768"/>
    <w:rsid w:val="008769FD"/>
    <w:rsid w:val="00877601"/>
    <w:rsid w:val="00877B4C"/>
    <w:rsid w:val="00877F4B"/>
    <w:rsid w:val="008811D4"/>
    <w:rsid w:val="008859CD"/>
    <w:rsid w:val="00886833"/>
    <w:rsid w:val="0089019E"/>
    <w:rsid w:val="0089091C"/>
    <w:rsid w:val="0089240D"/>
    <w:rsid w:val="00892976"/>
    <w:rsid w:val="00892DB4"/>
    <w:rsid w:val="00894690"/>
    <w:rsid w:val="008973FE"/>
    <w:rsid w:val="008A05DE"/>
    <w:rsid w:val="008A0FD9"/>
    <w:rsid w:val="008A2B88"/>
    <w:rsid w:val="008B0C24"/>
    <w:rsid w:val="008B0D9B"/>
    <w:rsid w:val="008B24CA"/>
    <w:rsid w:val="008B32E4"/>
    <w:rsid w:val="008B6BA5"/>
    <w:rsid w:val="008B6F3C"/>
    <w:rsid w:val="008C078D"/>
    <w:rsid w:val="008C127B"/>
    <w:rsid w:val="008C19A2"/>
    <w:rsid w:val="008C1B2C"/>
    <w:rsid w:val="008C1D4B"/>
    <w:rsid w:val="008C4B06"/>
    <w:rsid w:val="008C6532"/>
    <w:rsid w:val="008D11BB"/>
    <w:rsid w:val="008E1508"/>
    <w:rsid w:val="008E53E0"/>
    <w:rsid w:val="008E6CC2"/>
    <w:rsid w:val="008E76FF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58EF"/>
    <w:rsid w:val="009066D6"/>
    <w:rsid w:val="00910A55"/>
    <w:rsid w:val="00912190"/>
    <w:rsid w:val="00917E23"/>
    <w:rsid w:val="009212D6"/>
    <w:rsid w:val="00921EF4"/>
    <w:rsid w:val="00927E37"/>
    <w:rsid w:val="00930172"/>
    <w:rsid w:val="00930E22"/>
    <w:rsid w:val="00933909"/>
    <w:rsid w:val="009340F5"/>
    <w:rsid w:val="00934334"/>
    <w:rsid w:val="00935665"/>
    <w:rsid w:val="00935CC8"/>
    <w:rsid w:val="00935DE2"/>
    <w:rsid w:val="00937083"/>
    <w:rsid w:val="0094269C"/>
    <w:rsid w:val="00951542"/>
    <w:rsid w:val="00951BE0"/>
    <w:rsid w:val="00955215"/>
    <w:rsid w:val="00957838"/>
    <w:rsid w:val="00960900"/>
    <w:rsid w:val="00960A98"/>
    <w:rsid w:val="00964388"/>
    <w:rsid w:val="00965BE6"/>
    <w:rsid w:val="00967324"/>
    <w:rsid w:val="00971644"/>
    <w:rsid w:val="00971AC4"/>
    <w:rsid w:val="009779C0"/>
    <w:rsid w:val="0098023A"/>
    <w:rsid w:val="009808BC"/>
    <w:rsid w:val="00983696"/>
    <w:rsid w:val="00987035"/>
    <w:rsid w:val="009942D1"/>
    <w:rsid w:val="00995BBE"/>
    <w:rsid w:val="00997F96"/>
    <w:rsid w:val="009A0568"/>
    <w:rsid w:val="009A2E19"/>
    <w:rsid w:val="009A3909"/>
    <w:rsid w:val="009A4360"/>
    <w:rsid w:val="009A5235"/>
    <w:rsid w:val="009A5AA5"/>
    <w:rsid w:val="009A5DA3"/>
    <w:rsid w:val="009A6F8A"/>
    <w:rsid w:val="009B0F09"/>
    <w:rsid w:val="009B51F0"/>
    <w:rsid w:val="009B5460"/>
    <w:rsid w:val="009B573B"/>
    <w:rsid w:val="009B64A3"/>
    <w:rsid w:val="009C056B"/>
    <w:rsid w:val="009C1283"/>
    <w:rsid w:val="009C4754"/>
    <w:rsid w:val="009C6368"/>
    <w:rsid w:val="009D0E3A"/>
    <w:rsid w:val="009D14F6"/>
    <w:rsid w:val="009D1695"/>
    <w:rsid w:val="009D24B2"/>
    <w:rsid w:val="009D44BA"/>
    <w:rsid w:val="009D7537"/>
    <w:rsid w:val="009E091B"/>
    <w:rsid w:val="009E17F3"/>
    <w:rsid w:val="009E3315"/>
    <w:rsid w:val="009E3376"/>
    <w:rsid w:val="009E38D1"/>
    <w:rsid w:val="009E6B7F"/>
    <w:rsid w:val="009E712C"/>
    <w:rsid w:val="009F1892"/>
    <w:rsid w:val="009F2927"/>
    <w:rsid w:val="009F36B7"/>
    <w:rsid w:val="009F433F"/>
    <w:rsid w:val="009F6344"/>
    <w:rsid w:val="009F7244"/>
    <w:rsid w:val="00A01890"/>
    <w:rsid w:val="00A022A7"/>
    <w:rsid w:val="00A046B6"/>
    <w:rsid w:val="00A046BA"/>
    <w:rsid w:val="00A0477E"/>
    <w:rsid w:val="00A118DB"/>
    <w:rsid w:val="00A1207D"/>
    <w:rsid w:val="00A123BB"/>
    <w:rsid w:val="00A14791"/>
    <w:rsid w:val="00A15010"/>
    <w:rsid w:val="00A200E1"/>
    <w:rsid w:val="00A20807"/>
    <w:rsid w:val="00A21C75"/>
    <w:rsid w:val="00A2347A"/>
    <w:rsid w:val="00A23B1D"/>
    <w:rsid w:val="00A25896"/>
    <w:rsid w:val="00A31D43"/>
    <w:rsid w:val="00A32494"/>
    <w:rsid w:val="00A329AD"/>
    <w:rsid w:val="00A330ED"/>
    <w:rsid w:val="00A337A2"/>
    <w:rsid w:val="00A421FD"/>
    <w:rsid w:val="00A45A90"/>
    <w:rsid w:val="00A46B25"/>
    <w:rsid w:val="00A51DA3"/>
    <w:rsid w:val="00A5221E"/>
    <w:rsid w:val="00A55605"/>
    <w:rsid w:val="00A60B01"/>
    <w:rsid w:val="00A6118D"/>
    <w:rsid w:val="00A62556"/>
    <w:rsid w:val="00A62592"/>
    <w:rsid w:val="00A63C7F"/>
    <w:rsid w:val="00A6440B"/>
    <w:rsid w:val="00A6590E"/>
    <w:rsid w:val="00A67156"/>
    <w:rsid w:val="00A6798D"/>
    <w:rsid w:val="00A67DDC"/>
    <w:rsid w:val="00A701F7"/>
    <w:rsid w:val="00A71C89"/>
    <w:rsid w:val="00A74A91"/>
    <w:rsid w:val="00A77A05"/>
    <w:rsid w:val="00A8443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3DA3"/>
    <w:rsid w:val="00AA5494"/>
    <w:rsid w:val="00AB407A"/>
    <w:rsid w:val="00AB4F53"/>
    <w:rsid w:val="00AB732F"/>
    <w:rsid w:val="00AC46D0"/>
    <w:rsid w:val="00AC60E1"/>
    <w:rsid w:val="00AC692D"/>
    <w:rsid w:val="00AD06C2"/>
    <w:rsid w:val="00AD32F1"/>
    <w:rsid w:val="00AD46A7"/>
    <w:rsid w:val="00AD590E"/>
    <w:rsid w:val="00AD669C"/>
    <w:rsid w:val="00AD6A6E"/>
    <w:rsid w:val="00AD7DE4"/>
    <w:rsid w:val="00AE0AEA"/>
    <w:rsid w:val="00AE2200"/>
    <w:rsid w:val="00AE2651"/>
    <w:rsid w:val="00AE3205"/>
    <w:rsid w:val="00AE45CF"/>
    <w:rsid w:val="00AE7DAE"/>
    <w:rsid w:val="00AF1018"/>
    <w:rsid w:val="00AF176A"/>
    <w:rsid w:val="00AF3438"/>
    <w:rsid w:val="00AF4A32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1C65"/>
    <w:rsid w:val="00B26B94"/>
    <w:rsid w:val="00B27888"/>
    <w:rsid w:val="00B303E6"/>
    <w:rsid w:val="00B314EC"/>
    <w:rsid w:val="00B315CC"/>
    <w:rsid w:val="00B317F7"/>
    <w:rsid w:val="00B319A7"/>
    <w:rsid w:val="00B322D0"/>
    <w:rsid w:val="00B33964"/>
    <w:rsid w:val="00B34C9F"/>
    <w:rsid w:val="00B36A19"/>
    <w:rsid w:val="00B40398"/>
    <w:rsid w:val="00B4090F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35B6"/>
    <w:rsid w:val="00B744D0"/>
    <w:rsid w:val="00B74E1A"/>
    <w:rsid w:val="00B7541B"/>
    <w:rsid w:val="00B756F3"/>
    <w:rsid w:val="00B75D36"/>
    <w:rsid w:val="00B75D98"/>
    <w:rsid w:val="00B76508"/>
    <w:rsid w:val="00B80DAE"/>
    <w:rsid w:val="00B82C08"/>
    <w:rsid w:val="00B82EDB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A7CFB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D59D7"/>
    <w:rsid w:val="00BD7B1F"/>
    <w:rsid w:val="00BE091C"/>
    <w:rsid w:val="00BE17B2"/>
    <w:rsid w:val="00BE25A3"/>
    <w:rsid w:val="00BE5C50"/>
    <w:rsid w:val="00BE6E03"/>
    <w:rsid w:val="00BE741D"/>
    <w:rsid w:val="00BF4480"/>
    <w:rsid w:val="00C00A77"/>
    <w:rsid w:val="00C06AE4"/>
    <w:rsid w:val="00C07C33"/>
    <w:rsid w:val="00C15FC9"/>
    <w:rsid w:val="00C16AC2"/>
    <w:rsid w:val="00C16E97"/>
    <w:rsid w:val="00C213CC"/>
    <w:rsid w:val="00C22C7C"/>
    <w:rsid w:val="00C23B15"/>
    <w:rsid w:val="00C245FD"/>
    <w:rsid w:val="00C24F5D"/>
    <w:rsid w:val="00C30007"/>
    <w:rsid w:val="00C3548B"/>
    <w:rsid w:val="00C40050"/>
    <w:rsid w:val="00C40563"/>
    <w:rsid w:val="00C41225"/>
    <w:rsid w:val="00C422E0"/>
    <w:rsid w:val="00C42756"/>
    <w:rsid w:val="00C43192"/>
    <w:rsid w:val="00C44FAB"/>
    <w:rsid w:val="00C46BB4"/>
    <w:rsid w:val="00C5077E"/>
    <w:rsid w:val="00C5091D"/>
    <w:rsid w:val="00C51B92"/>
    <w:rsid w:val="00C521F5"/>
    <w:rsid w:val="00C53060"/>
    <w:rsid w:val="00C53B47"/>
    <w:rsid w:val="00C560BD"/>
    <w:rsid w:val="00C60909"/>
    <w:rsid w:val="00C660C2"/>
    <w:rsid w:val="00C67F6C"/>
    <w:rsid w:val="00C7007E"/>
    <w:rsid w:val="00C72759"/>
    <w:rsid w:val="00C73861"/>
    <w:rsid w:val="00C73EC1"/>
    <w:rsid w:val="00C73F2A"/>
    <w:rsid w:val="00C7756B"/>
    <w:rsid w:val="00C8107A"/>
    <w:rsid w:val="00C83AE7"/>
    <w:rsid w:val="00C85D86"/>
    <w:rsid w:val="00C87758"/>
    <w:rsid w:val="00C9097A"/>
    <w:rsid w:val="00C92177"/>
    <w:rsid w:val="00C92EF9"/>
    <w:rsid w:val="00C943A5"/>
    <w:rsid w:val="00C9565F"/>
    <w:rsid w:val="00C9649E"/>
    <w:rsid w:val="00C97820"/>
    <w:rsid w:val="00CA10EC"/>
    <w:rsid w:val="00CA12BD"/>
    <w:rsid w:val="00CA2BCC"/>
    <w:rsid w:val="00CA53B3"/>
    <w:rsid w:val="00CA5A76"/>
    <w:rsid w:val="00CA6E64"/>
    <w:rsid w:val="00CA7986"/>
    <w:rsid w:val="00CB0035"/>
    <w:rsid w:val="00CB05D7"/>
    <w:rsid w:val="00CB1156"/>
    <w:rsid w:val="00CB2378"/>
    <w:rsid w:val="00CB7728"/>
    <w:rsid w:val="00CB7F27"/>
    <w:rsid w:val="00CC2E51"/>
    <w:rsid w:val="00CC2E64"/>
    <w:rsid w:val="00CC520D"/>
    <w:rsid w:val="00CC6AFE"/>
    <w:rsid w:val="00CC78A3"/>
    <w:rsid w:val="00CD1BFF"/>
    <w:rsid w:val="00CD25CE"/>
    <w:rsid w:val="00CD5461"/>
    <w:rsid w:val="00CD783C"/>
    <w:rsid w:val="00CD7A9F"/>
    <w:rsid w:val="00CE0265"/>
    <w:rsid w:val="00CE186F"/>
    <w:rsid w:val="00CE20B7"/>
    <w:rsid w:val="00CE2C2F"/>
    <w:rsid w:val="00CE5DAE"/>
    <w:rsid w:val="00CF2381"/>
    <w:rsid w:val="00CF27D3"/>
    <w:rsid w:val="00CF631E"/>
    <w:rsid w:val="00CF738D"/>
    <w:rsid w:val="00CF73E2"/>
    <w:rsid w:val="00D016C7"/>
    <w:rsid w:val="00D0277A"/>
    <w:rsid w:val="00D033A3"/>
    <w:rsid w:val="00D041D3"/>
    <w:rsid w:val="00D044AE"/>
    <w:rsid w:val="00D04784"/>
    <w:rsid w:val="00D05CFE"/>
    <w:rsid w:val="00D1017A"/>
    <w:rsid w:val="00D12A1B"/>
    <w:rsid w:val="00D12F07"/>
    <w:rsid w:val="00D16F82"/>
    <w:rsid w:val="00D225B7"/>
    <w:rsid w:val="00D22A12"/>
    <w:rsid w:val="00D22D59"/>
    <w:rsid w:val="00D24CE0"/>
    <w:rsid w:val="00D30850"/>
    <w:rsid w:val="00D35D17"/>
    <w:rsid w:val="00D36584"/>
    <w:rsid w:val="00D36A50"/>
    <w:rsid w:val="00D400EC"/>
    <w:rsid w:val="00D41698"/>
    <w:rsid w:val="00D419FB"/>
    <w:rsid w:val="00D44FD5"/>
    <w:rsid w:val="00D451F2"/>
    <w:rsid w:val="00D52C30"/>
    <w:rsid w:val="00D54E49"/>
    <w:rsid w:val="00D56B34"/>
    <w:rsid w:val="00D57112"/>
    <w:rsid w:val="00D601DC"/>
    <w:rsid w:val="00D6164B"/>
    <w:rsid w:val="00D62A84"/>
    <w:rsid w:val="00D63865"/>
    <w:rsid w:val="00D64381"/>
    <w:rsid w:val="00D6647B"/>
    <w:rsid w:val="00D700EA"/>
    <w:rsid w:val="00D71AFB"/>
    <w:rsid w:val="00D73890"/>
    <w:rsid w:val="00D7582A"/>
    <w:rsid w:val="00D80429"/>
    <w:rsid w:val="00D82A6D"/>
    <w:rsid w:val="00D82B1B"/>
    <w:rsid w:val="00D84180"/>
    <w:rsid w:val="00D843EB"/>
    <w:rsid w:val="00D84F10"/>
    <w:rsid w:val="00D85CE4"/>
    <w:rsid w:val="00D956F7"/>
    <w:rsid w:val="00DA0387"/>
    <w:rsid w:val="00DA1F0C"/>
    <w:rsid w:val="00DA2195"/>
    <w:rsid w:val="00DA26CF"/>
    <w:rsid w:val="00DA5F47"/>
    <w:rsid w:val="00DA69A5"/>
    <w:rsid w:val="00DA7882"/>
    <w:rsid w:val="00DA7F51"/>
    <w:rsid w:val="00DB294A"/>
    <w:rsid w:val="00DB38BE"/>
    <w:rsid w:val="00DB430B"/>
    <w:rsid w:val="00DB4681"/>
    <w:rsid w:val="00DB4823"/>
    <w:rsid w:val="00DB4B29"/>
    <w:rsid w:val="00DB6797"/>
    <w:rsid w:val="00DB6822"/>
    <w:rsid w:val="00DB754E"/>
    <w:rsid w:val="00DC1844"/>
    <w:rsid w:val="00DC2527"/>
    <w:rsid w:val="00DC2C2D"/>
    <w:rsid w:val="00DC5CC6"/>
    <w:rsid w:val="00DC5DD0"/>
    <w:rsid w:val="00DD127A"/>
    <w:rsid w:val="00DD7D1B"/>
    <w:rsid w:val="00DE026B"/>
    <w:rsid w:val="00DE08D5"/>
    <w:rsid w:val="00DE0AB3"/>
    <w:rsid w:val="00DE157C"/>
    <w:rsid w:val="00DE25F8"/>
    <w:rsid w:val="00DE2A8C"/>
    <w:rsid w:val="00DE3875"/>
    <w:rsid w:val="00DE5016"/>
    <w:rsid w:val="00DE57CA"/>
    <w:rsid w:val="00DF47B0"/>
    <w:rsid w:val="00DF4F72"/>
    <w:rsid w:val="00DF6129"/>
    <w:rsid w:val="00E0052C"/>
    <w:rsid w:val="00E01E10"/>
    <w:rsid w:val="00E037CE"/>
    <w:rsid w:val="00E03E17"/>
    <w:rsid w:val="00E04F7B"/>
    <w:rsid w:val="00E050F3"/>
    <w:rsid w:val="00E061CA"/>
    <w:rsid w:val="00E06816"/>
    <w:rsid w:val="00E075B0"/>
    <w:rsid w:val="00E079DF"/>
    <w:rsid w:val="00E1034A"/>
    <w:rsid w:val="00E1089A"/>
    <w:rsid w:val="00E117A5"/>
    <w:rsid w:val="00E13613"/>
    <w:rsid w:val="00E136CF"/>
    <w:rsid w:val="00E160D8"/>
    <w:rsid w:val="00E169D8"/>
    <w:rsid w:val="00E16A48"/>
    <w:rsid w:val="00E16C80"/>
    <w:rsid w:val="00E20EBB"/>
    <w:rsid w:val="00E22A74"/>
    <w:rsid w:val="00E23721"/>
    <w:rsid w:val="00E24175"/>
    <w:rsid w:val="00E27687"/>
    <w:rsid w:val="00E27BB5"/>
    <w:rsid w:val="00E27C14"/>
    <w:rsid w:val="00E3134B"/>
    <w:rsid w:val="00E31CF4"/>
    <w:rsid w:val="00E35EAF"/>
    <w:rsid w:val="00E36246"/>
    <w:rsid w:val="00E362C3"/>
    <w:rsid w:val="00E371CC"/>
    <w:rsid w:val="00E40A34"/>
    <w:rsid w:val="00E42AE6"/>
    <w:rsid w:val="00E43425"/>
    <w:rsid w:val="00E479A3"/>
    <w:rsid w:val="00E47C0B"/>
    <w:rsid w:val="00E51942"/>
    <w:rsid w:val="00E53438"/>
    <w:rsid w:val="00E53780"/>
    <w:rsid w:val="00E54816"/>
    <w:rsid w:val="00E5647A"/>
    <w:rsid w:val="00E569C9"/>
    <w:rsid w:val="00E56E0F"/>
    <w:rsid w:val="00E6382E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620E"/>
    <w:rsid w:val="00E8792C"/>
    <w:rsid w:val="00E93320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C4C48"/>
    <w:rsid w:val="00EC6D11"/>
    <w:rsid w:val="00EC729D"/>
    <w:rsid w:val="00ED022C"/>
    <w:rsid w:val="00ED5FA4"/>
    <w:rsid w:val="00ED6C70"/>
    <w:rsid w:val="00ED6F50"/>
    <w:rsid w:val="00ED7B71"/>
    <w:rsid w:val="00EE016E"/>
    <w:rsid w:val="00EE0B18"/>
    <w:rsid w:val="00EE0CC5"/>
    <w:rsid w:val="00EE1422"/>
    <w:rsid w:val="00EE1E15"/>
    <w:rsid w:val="00EE5D8D"/>
    <w:rsid w:val="00EE6C89"/>
    <w:rsid w:val="00F001DF"/>
    <w:rsid w:val="00F00799"/>
    <w:rsid w:val="00F00ADE"/>
    <w:rsid w:val="00F11124"/>
    <w:rsid w:val="00F122C9"/>
    <w:rsid w:val="00F127FD"/>
    <w:rsid w:val="00F12CBE"/>
    <w:rsid w:val="00F16856"/>
    <w:rsid w:val="00F173AD"/>
    <w:rsid w:val="00F17FD8"/>
    <w:rsid w:val="00F20B0E"/>
    <w:rsid w:val="00F20C8F"/>
    <w:rsid w:val="00F2209D"/>
    <w:rsid w:val="00F234E2"/>
    <w:rsid w:val="00F303F0"/>
    <w:rsid w:val="00F3056F"/>
    <w:rsid w:val="00F30939"/>
    <w:rsid w:val="00F314A0"/>
    <w:rsid w:val="00F3393A"/>
    <w:rsid w:val="00F33ADF"/>
    <w:rsid w:val="00F3475E"/>
    <w:rsid w:val="00F366ED"/>
    <w:rsid w:val="00F36F86"/>
    <w:rsid w:val="00F37ADC"/>
    <w:rsid w:val="00F401D2"/>
    <w:rsid w:val="00F402B4"/>
    <w:rsid w:val="00F42608"/>
    <w:rsid w:val="00F440D5"/>
    <w:rsid w:val="00F450A0"/>
    <w:rsid w:val="00F51D6C"/>
    <w:rsid w:val="00F52A6E"/>
    <w:rsid w:val="00F55F08"/>
    <w:rsid w:val="00F5724C"/>
    <w:rsid w:val="00F60629"/>
    <w:rsid w:val="00F649C0"/>
    <w:rsid w:val="00F65421"/>
    <w:rsid w:val="00F65CA2"/>
    <w:rsid w:val="00F66EC0"/>
    <w:rsid w:val="00F67B48"/>
    <w:rsid w:val="00F70521"/>
    <w:rsid w:val="00F70732"/>
    <w:rsid w:val="00F711F3"/>
    <w:rsid w:val="00F716DB"/>
    <w:rsid w:val="00F71DFF"/>
    <w:rsid w:val="00F7207C"/>
    <w:rsid w:val="00F72716"/>
    <w:rsid w:val="00F75BDB"/>
    <w:rsid w:val="00F7655E"/>
    <w:rsid w:val="00F77A3D"/>
    <w:rsid w:val="00F77CC1"/>
    <w:rsid w:val="00F81F7E"/>
    <w:rsid w:val="00F81F99"/>
    <w:rsid w:val="00F855A3"/>
    <w:rsid w:val="00F860DE"/>
    <w:rsid w:val="00F901FF"/>
    <w:rsid w:val="00F90F0D"/>
    <w:rsid w:val="00F91FB3"/>
    <w:rsid w:val="00F978B3"/>
    <w:rsid w:val="00FA2D80"/>
    <w:rsid w:val="00FB5A80"/>
    <w:rsid w:val="00FB625A"/>
    <w:rsid w:val="00FC031A"/>
    <w:rsid w:val="00FC739B"/>
    <w:rsid w:val="00FD18A7"/>
    <w:rsid w:val="00FD1FD2"/>
    <w:rsid w:val="00FD3619"/>
    <w:rsid w:val="00FD3FF7"/>
    <w:rsid w:val="00FD50DA"/>
    <w:rsid w:val="00FE0903"/>
    <w:rsid w:val="00FE13A4"/>
    <w:rsid w:val="00FE1D9B"/>
    <w:rsid w:val="00FE34B9"/>
    <w:rsid w:val="00FF038F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68E45E"/>
  <w14:defaultImageDpi w14:val="96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E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B137-D6A9-4424-AF60-72583D16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3013</Words>
  <Characters>16043</Characters>
  <Application>Microsoft Office Word</Application>
  <DocSecurity>0</DocSecurity>
  <Lines>1008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DI2008-</vt:lpstr>
    </vt:vector>
  </TitlesOfParts>
  <Company>ACT Government</Company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DI2008-</dc:title>
  <dc:subject/>
  <dc:creator>ACT Government</dc:creator>
  <cp:keywords/>
  <dc:description/>
  <cp:lastModifiedBy>Moxon, KarenL</cp:lastModifiedBy>
  <cp:revision>4</cp:revision>
  <cp:lastPrinted>2014-05-30T01:35:00Z</cp:lastPrinted>
  <dcterms:created xsi:type="dcterms:W3CDTF">2020-08-31T03:09:00Z</dcterms:created>
  <dcterms:modified xsi:type="dcterms:W3CDTF">2020-08-31T03:09:00Z</dcterms:modified>
</cp:coreProperties>
</file>