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0949D" w14:textId="4122C999" w:rsidR="00F10CB2" w:rsidRDefault="005671DD">
      <w:pPr>
        <w:spacing w:before="120"/>
        <w:rPr>
          <w:rFonts w:ascii="Arial" w:hAnsi="Arial" w:cs="Arial"/>
        </w:rPr>
      </w:pPr>
      <w:bookmarkStart w:id="0" w:name="_Toc44738651"/>
      <w:bookmarkStart w:id="1" w:name="_GoBack"/>
      <w:bookmarkEnd w:id="1"/>
      <w:r>
        <w:rPr>
          <w:rFonts w:ascii="Arial" w:hAnsi="Arial" w:cs="Arial"/>
        </w:rPr>
        <w:t xml:space="preserve"> </w:t>
      </w:r>
      <w:r w:rsidR="00F10CB2">
        <w:rPr>
          <w:rFonts w:ascii="Arial" w:hAnsi="Arial" w:cs="Arial"/>
        </w:rPr>
        <w:t>Australian Capital Territory</w:t>
      </w:r>
    </w:p>
    <w:p w14:paraId="7C720673" w14:textId="6FA131D4" w:rsidR="00F10CB2" w:rsidRPr="00DC241E" w:rsidRDefault="00EB3974">
      <w:pPr>
        <w:pStyle w:val="Billname"/>
        <w:spacing w:before="700"/>
      </w:pPr>
      <w:r w:rsidRPr="00DC241E">
        <w:t>Official Visitor</w:t>
      </w:r>
      <w:r w:rsidR="00F10CB2" w:rsidRPr="00DC241E">
        <w:t xml:space="preserve"> </w:t>
      </w:r>
      <w:r w:rsidRPr="00DC241E">
        <w:t>Guidelines 20</w:t>
      </w:r>
      <w:r w:rsidR="00232B57" w:rsidRPr="00DC241E">
        <w:t>20</w:t>
      </w:r>
    </w:p>
    <w:p w14:paraId="3D6E6B8E" w14:textId="58EC09D2" w:rsidR="00F10CB2" w:rsidRPr="00DC241E" w:rsidRDefault="00F10CB2" w:rsidP="00D47F13">
      <w:pPr>
        <w:spacing w:before="340"/>
        <w:rPr>
          <w:rFonts w:ascii="Arial" w:hAnsi="Arial" w:cs="Arial"/>
          <w:b/>
          <w:bCs/>
        </w:rPr>
      </w:pPr>
      <w:r w:rsidRPr="00DC241E">
        <w:rPr>
          <w:rFonts w:ascii="Arial" w:hAnsi="Arial" w:cs="Arial"/>
          <w:b/>
          <w:bCs/>
        </w:rPr>
        <w:t>Disallowable instrument DI</w:t>
      </w:r>
      <w:r w:rsidR="00EB3974" w:rsidRPr="00DC241E">
        <w:rPr>
          <w:rFonts w:ascii="Arial" w:hAnsi="Arial" w:cs="Arial"/>
          <w:b/>
          <w:bCs/>
          <w:iCs/>
        </w:rPr>
        <w:t>20</w:t>
      </w:r>
      <w:r w:rsidR="00EA10CF" w:rsidRPr="00DC241E">
        <w:rPr>
          <w:rFonts w:ascii="Arial" w:hAnsi="Arial" w:cs="Arial"/>
          <w:b/>
          <w:bCs/>
          <w:iCs/>
        </w:rPr>
        <w:t>20</w:t>
      </w:r>
      <w:r w:rsidRPr="00DC241E">
        <w:rPr>
          <w:rFonts w:ascii="Arial" w:hAnsi="Arial" w:cs="Arial"/>
          <w:b/>
          <w:bCs/>
        </w:rPr>
        <w:t>–</w:t>
      </w:r>
      <w:r w:rsidR="00D0406F">
        <w:rPr>
          <w:rFonts w:ascii="Arial" w:hAnsi="Arial" w:cs="Arial"/>
          <w:b/>
          <w:bCs/>
        </w:rPr>
        <w:t>259</w:t>
      </w:r>
    </w:p>
    <w:p w14:paraId="5020F124" w14:textId="77777777" w:rsidR="00F10CB2" w:rsidRPr="00DC241E" w:rsidRDefault="00F10CB2" w:rsidP="00CD4E55">
      <w:pPr>
        <w:pStyle w:val="madeunder"/>
        <w:spacing w:before="300" w:after="0"/>
      </w:pPr>
      <w:r w:rsidRPr="00DC241E">
        <w:t xml:space="preserve">made under the  </w:t>
      </w:r>
    </w:p>
    <w:p w14:paraId="3D1EF926" w14:textId="56E3EB2F" w:rsidR="00D44C93" w:rsidRDefault="00361DDA" w:rsidP="00CD4E55">
      <w:pPr>
        <w:pStyle w:val="CoverActName"/>
        <w:spacing w:before="320" w:after="0"/>
        <w:rPr>
          <w:rFonts w:cs="Arial"/>
          <w:sz w:val="20"/>
        </w:rPr>
      </w:pPr>
      <w:r w:rsidRPr="00DC241E">
        <w:rPr>
          <w:rFonts w:cs="Arial"/>
          <w:sz w:val="20"/>
        </w:rPr>
        <w:t>Official Visitor Act 2012</w:t>
      </w:r>
      <w:r w:rsidR="00F10CB2" w:rsidRPr="00DC241E">
        <w:rPr>
          <w:rFonts w:cs="Arial"/>
          <w:sz w:val="20"/>
        </w:rPr>
        <w:t xml:space="preserve">, </w:t>
      </w:r>
      <w:r w:rsidRPr="00DC241E">
        <w:rPr>
          <w:rFonts w:cs="Arial"/>
          <w:sz w:val="20"/>
        </w:rPr>
        <w:t xml:space="preserve">s </w:t>
      </w:r>
      <w:r w:rsidR="00AF1728" w:rsidRPr="00DC241E">
        <w:rPr>
          <w:rFonts w:cs="Arial"/>
          <w:sz w:val="20"/>
        </w:rPr>
        <w:t xml:space="preserve">23F (Minister may make guidelines) </w:t>
      </w:r>
    </w:p>
    <w:p w14:paraId="47355CAE" w14:textId="6C24702D" w:rsidR="00D44C93" w:rsidRPr="008E6A4F" w:rsidRDefault="00D44C93" w:rsidP="00CD4E55">
      <w:pPr>
        <w:pStyle w:val="CoverActName"/>
        <w:spacing w:before="320" w:after="0"/>
        <w:rPr>
          <w:rFonts w:cs="Arial"/>
          <w:sz w:val="28"/>
          <w:szCs w:val="28"/>
        </w:rPr>
      </w:pPr>
      <w:r w:rsidRPr="008E6A4F">
        <w:rPr>
          <w:rFonts w:cs="Arial"/>
          <w:sz w:val="28"/>
          <w:szCs w:val="28"/>
        </w:rPr>
        <w:t>EXPLANATORY STATEMENT</w:t>
      </w:r>
    </w:p>
    <w:p w14:paraId="2F44F9C3" w14:textId="77777777" w:rsidR="00F10CB2" w:rsidRPr="00D44C93" w:rsidRDefault="00F10CB2" w:rsidP="00CD4E55">
      <w:pPr>
        <w:pStyle w:val="N-line3"/>
        <w:pBdr>
          <w:bottom w:val="none" w:sz="0" w:space="0" w:color="auto"/>
        </w:pBdr>
        <w:spacing w:before="60"/>
        <w:rPr>
          <w:szCs w:val="24"/>
        </w:rPr>
      </w:pPr>
    </w:p>
    <w:p w14:paraId="042E7C5E" w14:textId="6A4124CF" w:rsidR="00F10CB2" w:rsidRDefault="00F10CB2">
      <w:pPr>
        <w:pStyle w:val="N-line3"/>
        <w:pBdr>
          <w:top w:val="single" w:sz="12" w:space="1" w:color="auto"/>
          <w:bottom w:val="none" w:sz="0" w:space="0" w:color="auto"/>
        </w:pBdr>
      </w:pPr>
    </w:p>
    <w:p w14:paraId="602E02C6" w14:textId="00C2426B" w:rsidR="00D44C93" w:rsidRPr="00A6585F" w:rsidRDefault="005610FC" w:rsidP="00D44C93">
      <w:pPr>
        <w:pStyle w:val="CoverActName"/>
        <w:spacing w:before="320" w:after="0"/>
        <w:rPr>
          <w:rFonts w:cs="Arial"/>
          <w:sz w:val="28"/>
          <w:szCs w:val="28"/>
        </w:rPr>
      </w:pPr>
      <w:r>
        <w:rPr>
          <w:rFonts w:cs="Arial"/>
          <w:sz w:val="28"/>
          <w:szCs w:val="28"/>
        </w:rPr>
        <w:t>Introduction</w:t>
      </w:r>
    </w:p>
    <w:p w14:paraId="428F9EC4" w14:textId="0D21C850" w:rsidR="00D44C93" w:rsidRDefault="00D44C93" w:rsidP="00D44C93">
      <w:pPr>
        <w:rPr>
          <w:bCs/>
        </w:rPr>
      </w:pPr>
    </w:p>
    <w:p w14:paraId="39D01828" w14:textId="5F7DEFD7" w:rsidR="005610FC" w:rsidRDefault="005610FC" w:rsidP="00D44C93">
      <w:pPr>
        <w:rPr>
          <w:rFonts w:ascii="Arial" w:hAnsi="Arial" w:cs="Arial"/>
        </w:rPr>
      </w:pPr>
      <w:r>
        <w:rPr>
          <w:rFonts w:ascii="Arial" w:hAnsi="Arial" w:cs="Arial"/>
        </w:rPr>
        <w:t xml:space="preserve">Section 23F of the </w:t>
      </w:r>
      <w:r>
        <w:rPr>
          <w:rFonts w:ascii="Arial" w:hAnsi="Arial" w:cs="Arial"/>
          <w:i/>
          <w:iCs/>
        </w:rPr>
        <w:t xml:space="preserve">Official Visitor Act 2012 </w:t>
      </w:r>
      <w:r>
        <w:rPr>
          <w:rFonts w:ascii="Arial" w:hAnsi="Arial" w:cs="Arial"/>
        </w:rPr>
        <w:t>(the Act) provides that the Minister may, after consulting the operational Minister for a visitable place, make guidelines about a range of matters including visits by an official visitor for the visitable place, and the inspection of records relating to entitled people at a visitable place by an official visitor for the place.</w:t>
      </w:r>
    </w:p>
    <w:p w14:paraId="7D66ED42" w14:textId="70A8FB3A" w:rsidR="00A72E42" w:rsidRDefault="00A72E42" w:rsidP="00D44C93">
      <w:pPr>
        <w:rPr>
          <w:rFonts w:ascii="Arial" w:hAnsi="Arial" w:cs="Arial"/>
        </w:rPr>
      </w:pPr>
    </w:p>
    <w:p w14:paraId="1DBAE2D3" w14:textId="0E3B9BA7" w:rsidR="00A72E42" w:rsidRPr="00A72E42" w:rsidRDefault="00A72E42" w:rsidP="00D44C93">
      <w:pPr>
        <w:rPr>
          <w:rFonts w:ascii="Arial" w:hAnsi="Arial" w:cs="Arial"/>
        </w:rPr>
      </w:pPr>
      <w:r>
        <w:rPr>
          <w:rFonts w:ascii="Arial" w:hAnsi="Arial" w:cs="Arial"/>
        </w:rPr>
        <w:t xml:space="preserve">These Guidelines have been made following consultations with the operational Ministers for </w:t>
      </w:r>
      <w:r w:rsidR="001D6D79">
        <w:rPr>
          <w:rFonts w:ascii="Arial" w:hAnsi="Arial" w:cs="Arial"/>
        </w:rPr>
        <w:t>visitable</w:t>
      </w:r>
      <w:r>
        <w:rPr>
          <w:rFonts w:ascii="Arial" w:hAnsi="Arial" w:cs="Arial"/>
        </w:rPr>
        <w:t xml:space="preserve"> place</w:t>
      </w:r>
      <w:r w:rsidR="001D6D79">
        <w:rPr>
          <w:rFonts w:ascii="Arial" w:hAnsi="Arial" w:cs="Arial"/>
        </w:rPr>
        <w:t>s</w:t>
      </w:r>
      <w:r w:rsidR="00BE6C47">
        <w:rPr>
          <w:rFonts w:ascii="Arial" w:hAnsi="Arial" w:cs="Arial"/>
        </w:rPr>
        <w:t>:</w:t>
      </w:r>
      <w:r>
        <w:rPr>
          <w:rFonts w:ascii="Arial" w:hAnsi="Arial" w:cs="Arial"/>
        </w:rPr>
        <w:t xml:space="preserve"> the Minister for Children, Youth and Families, the Minister for Disability, and the Minister for Housing and Suburban Development. The Minister administering the Act is also the operational Minister for visitable place</w:t>
      </w:r>
      <w:r w:rsidR="001D6D79">
        <w:rPr>
          <w:rFonts w:ascii="Arial" w:hAnsi="Arial" w:cs="Arial"/>
        </w:rPr>
        <w:t>s</w:t>
      </w:r>
      <w:r>
        <w:rPr>
          <w:rFonts w:ascii="Arial" w:hAnsi="Arial" w:cs="Arial"/>
        </w:rPr>
        <w:t xml:space="preserve"> in the </w:t>
      </w:r>
      <w:r>
        <w:rPr>
          <w:rFonts w:ascii="Arial" w:hAnsi="Arial" w:cs="Arial"/>
          <w:i/>
          <w:iCs/>
        </w:rPr>
        <w:t>Corrections Management Act 2007</w:t>
      </w:r>
      <w:r>
        <w:rPr>
          <w:rFonts w:ascii="Arial" w:hAnsi="Arial" w:cs="Arial"/>
        </w:rPr>
        <w:t xml:space="preserve"> and the </w:t>
      </w:r>
      <w:r>
        <w:rPr>
          <w:rFonts w:ascii="Arial" w:hAnsi="Arial" w:cs="Arial"/>
          <w:i/>
          <w:iCs/>
        </w:rPr>
        <w:t>Mental Health Act 2015</w:t>
      </w:r>
      <w:r>
        <w:rPr>
          <w:rFonts w:ascii="Arial" w:hAnsi="Arial" w:cs="Arial"/>
        </w:rPr>
        <w:t>.</w:t>
      </w:r>
    </w:p>
    <w:p w14:paraId="28723CF7" w14:textId="77777777" w:rsidR="005610FC" w:rsidRDefault="005610FC" w:rsidP="00D44C93">
      <w:pPr>
        <w:rPr>
          <w:rFonts w:ascii="Arial" w:hAnsi="Arial" w:cs="Arial"/>
        </w:rPr>
      </w:pPr>
    </w:p>
    <w:p w14:paraId="1D75F61C" w14:textId="7348B0D2" w:rsidR="00D51C36" w:rsidRDefault="00C447B0" w:rsidP="00D44C93">
      <w:pPr>
        <w:rPr>
          <w:rFonts w:ascii="Arial" w:hAnsi="Arial" w:cs="Arial"/>
        </w:rPr>
      </w:pPr>
      <w:r>
        <w:rPr>
          <w:rFonts w:ascii="Arial" w:hAnsi="Arial" w:cs="Arial"/>
        </w:rPr>
        <w:t xml:space="preserve">These Guidelines consolidate and replace previous guidelines which regulated official visitors in </w:t>
      </w:r>
      <w:r w:rsidR="00286B48">
        <w:rPr>
          <w:rFonts w:ascii="Arial" w:hAnsi="Arial" w:cs="Arial"/>
        </w:rPr>
        <w:t>particular</w:t>
      </w:r>
      <w:r>
        <w:rPr>
          <w:rFonts w:ascii="Arial" w:hAnsi="Arial" w:cs="Arial"/>
        </w:rPr>
        <w:t xml:space="preserve"> operational areas. </w:t>
      </w:r>
      <w:r w:rsidR="00D51C36">
        <w:rPr>
          <w:rFonts w:ascii="Arial" w:hAnsi="Arial" w:cs="Arial"/>
        </w:rPr>
        <w:t xml:space="preserve">The </w:t>
      </w:r>
      <w:r w:rsidR="00286B48">
        <w:rPr>
          <w:rFonts w:ascii="Arial" w:hAnsi="Arial" w:cs="Arial"/>
        </w:rPr>
        <w:t>G</w:t>
      </w:r>
      <w:r w:rsidR="00D51C36">
        <w:rPr>
          <w:rFonts w:ascii="Arial" w:hAnsi="Arial" w:cs="Arial"/>
        </w:rPr>
        <w:t xml:space="preserve">uidelines no longer include details of visitable places, which are instead </w:t>
      </w:r>
      <w:r w:rsidR="00286B48">
        <w:rPr>
          <w:rFonts w:ascii="Arial" w:hAnsi="Arial" w:cs="Arial"/>
        </w:rPr>
        <w:t>required to be kept in a register</w:t>
      </w:r>
      <w:r w:rsidR="00D51C36">
        <w:rPr>
          <w:rFonts w:ascii="Arial" w:hAnsi="Arial" w:cs="Arial"/>
        </w:rPr>
        <w:t xml:space="preserve">, </w:t>
      </w:r>
      <w:r w:rsidR="00245831">
        <w:rPr>
          <w:rFonts w:ascii="Arial" w:hAnsi="Arial" w:cs="Arial"/>
        </w:rPr>
        <w:t>which must be made available to official visitors and others who have a need to access this information. This</w:t>
      </w:r>
      <w:r w:rsidR="00D51C36">
        <w:rPr>
          <w:rFonts w:ascii="Arial" w:hAnsi="Arial" w:cs="Arial"/>
        </w:rPr>
        <w:t xml:space="preserve"> protects the privacy of </w:t>
      </w:r>
      <w:r w:rsidR="008E6A4F">
        <w:rPr>
          <w:rFonts w:ascii="Arial" w:hAnsi="Arial" w:cs="Arial"/>
        </w:rPr>
        <w:t>entitled</w:t>
      </w:r>
      <w:r w:rsidR="00D51C36">
        <w:rPr>
          <w:rFonts w:ascii="Arial" w:hAnsi="Arial" w:cs="Arial"/>
        </w:rPr>
        <w:t xml:space="preserve"> people.</w:t>
      </w:r>
    </w:p>
    <w:p w14:paraId="38CA37B4" w14:textId="77777777" w:rsidR="00D51C36" w:rsidRDefault="00D51C36" w:rsidP="00D44C93">
      <w:pPr>
        <w:rPr>
          <w:rFonts w:ascii="Arial" w:hAnsi="Arial" w:cs="Arial"/>
        </w:rPr>
      </w:pPr>
    </w:p>
    <w:p w14:paraId="75EDCA55" w14:textId="63562BF6" w:rsidR="00D51C36" w:rsidRDefault="00C447B0" w:rsidP="00C71BB7">
      <w:pPr>
        <w:rPr>
          <w:rFonts w:ascii="Arial" w:hAnsi="Arial" w:cs="Arial"/>
        </w:rPr>
      </w:pPr>
      <w:r>
        <w:rPr>
          <w:rFonts w:ascii="Arial" w:hAnsi="Arial" w:cs="Arial"/>
        </w:rPr>
        <w:t>The</w:t>
      </w:r>
      <w:r w:rsidR="00D51C36">
        <w:rPr>
          <w:rFonts w:ascii="Arial" w:hAnsi="Arial" w:cs="Arial"/>
        </w:rPr>
        <w:t>se Guidelines</w:t>
      </w:r>
      <w:r>
        <w:rPr>
          <w:rFonts w:ascii="Arial" w:hAnsi="Arial" w:cs="Arial"/>
        </w:rPr>
        <w:t xml:space="preserve"> also provide a more detailed regime for </w:t>
      </w:r>
      <w:r w:rsidR="00C71BB7">
        <w:rPr>
          <w:rFonts w:ascii="Arial" w:hAnsi="Arial" w:cs="Arial"/>
        </w:rPr>
        <w:t xml:space="preserve">compliance with </w:t>
      </w:r>
      <w:r w:rsidR="005610FC">
        <w:rPr>
          <w:rFonts w:ascii="Arial" w:hAnsi="Arial" w:cs="Arial"/>
        </w:rPr>
        <w:t>sub</w:t>
      </w:r>
      <w:r w:rsidR="00C71BB7">
        <w:rPr>
          <w:rFonts w:ascii="Arial" w:hAnsi="Arial" w:cs="Arial"/>
        </w:rPr>
        <w:t>section</w:t>
      </w:r>
      <w:r w:rsidR="005610FC">
        <w:rPr>
          <w:rFonts w:ascii="Arial" w:hAnsi="Arial" w:cs="Arial"/>
        </w:rPr>
        <w:t>s</w:t>
      </w:r>
      <w:r w:rsidR="00C71BB7">
        <w:rPr>
          <w:rFonts w:ascii="Arial" w:hAnsi="Arial" w:cs="Arial"/>
        </w:rPr>
        <w:t xml:space="preserve"> 15</w:t>
      </w:r>
      <w:r w:rsidR="005610FC">
        <w:rPr>
          <w:rFonts w:ascii="Arial" w:hAnsi="Arial" w:cs="Arial"/>
        </w:rPr>
        <w:t xml:space="preserve"> </w:t>
      </w:r>
      <w:r w:rsidR="00C71BB7">
        <w:rPr>
          <w:rFonts w:ascii="Arial" w:hAnsi="Arial" w:cs="Arial"/>
        </w:rPr>
        <w:t>(2) a</w:t>
      </w:r>
      <w:r w:rsidR="005610FC">
        <w:rPr>
          <w:rFonts w:ascii="Arial" w:hAnsi="Arial" w:cs="Arial"/>
        </w:rPr>
        <w:t>n</w:t>
      </w:r>
      <w:r w:rsidR="00C71BB7">
        <w:rPr>
          <w:rFonts w:ascii="Arial" w:hAnsi="Arial" w:cs="Arial"/>
        </w:rPr>
        <w:t xml:space="preserve">d (3) of the </w:t>
      </w:r>
      <w:r w:rsidR="00C71BB7" w:rsidRPr="008E6A4F">
        <w:rPr>
          <w:rFonts w:ascii="Arial" w:hAnsi="Arial" w:cs="Arial"/>
          <w:i/>
          <w:iCs/>
        </w:rPr>
        <w:t>Official Visitor Act 2012</w:t>
      </w:r>
      <w:r w:rsidR="005610FC">
        <w:rPr>
          <w:rFonts w:ascii="Arial" w:hAnsi="Arial" w:cs="Arial"/>
        </w:rPr>
        <w:t xml:space="preserve"> (the Act)</w:t>
      </w:r>
      <w:r w:rsidR="00C71BB7">
        <w:rPr>
          <w:rFonts w:ascii="Arial" w:hAnsi="Arial" w:cs="Arial"/>
        </w:rPr>
        <w:t xml:space="preserve">, relating to the </w:t>
      </w:r>
      <w:r>
        <w:rPr>
          <w:rFonts w:ascii="Arial" w:hAnsi="Arial" w:cs="Arial"/>
        </w:rPr>
        <w:t>inspection of records without consent in limited circumstances</w:t>
      </w:r>
      <w:r w:rsidR="00C71BB7">
        <w:rPr>
          <w:rFonts w:ascii="Arial" w:hAnsi="Arial" w:cs="Arial"/>
        </w:rPr>
        <w:t xml:space="preserve">. </w:t>
      </w:r>
    </w:p>
    <w:p w14:paraId="45DD02C2" w14:textId="4ABF9ED3" w:rsidR="005610FC" w:rsidRDefault="005610FC" w:rsidP="00C71BB7">
      <w:pPr>
        <w:rPr>
          <w:rFonts w:ascii="Arial" w:hAnsi="Arial" w:cs="Arial"/>
        </w:rPr>
      </w:pPr>
    </w:p>
    <w:p w14:paraId="343CD008" w14:textId="2829A3F3" w:rsidR="005610FC" w:rsidRPr="008E6A4F" w:rsidRDefault="005610FC" w:rsidP="00C71BB7">
      <w:pPr>
        <w:rPr>
          <w:rFonts w:ascii="Arial" w:hAnsi="Arial" w:cs="Arial"/>
          <w:b/>
          <w:bCs/>
          <w:sz w:val="28"/>
          <w:szCs w:val="22"/>
        </w:rPr>
      </w:pPr>
      <w:r w:rsidRPr="008E6A4F">
        <w:rPr>
          <w:rFonts w:ascii="Arial" w:hAnsi="Arial" w:cs="Arial"/>
          <w:b/>
          <w:bCs/>
          <w:sz w:val="28"/>
          <w:szCs w:val="22"/>
        </w:rPr>
        <w:t>Human Rights</w:t>
      </w:r>
    </w:p>
    <w:p w14:paraId="439D0AF5" w14:textId="157F1018" w:rsidR="00D51C36" w:rsidRDefault="00D51C36" w:rsidP="00D44C93">
      <w:pPr>
        <w:rPr>
          <w:rFonts w:ascii="Arial" w:hAnsi="Arial" w:cs="Arial"/>
        </w:rPr>
      </w:pPr>
    </w:p>
    <w:p w14:paraId="259B9082" w14:textId="3591144C" w:rsidR="00D51C36" w:rsidRDefault="00C71BB7" w:rsidP="00D51C36">
      <w:pPr>
        <w:rPr>
          <w:rFonts w:ascii="Arial" w:hAnsi="Arial" w:cs="Arial"/>
        </w:rPr>
      </w:pPr>
      <w:r w:rsidRPr="00C71BB7">
        <w:rPr>
          <w:rFonts w:ascii="Arial" w:hAnsi="Arial" w:cs="Arial"/>
        </w:rPr>
        <w:t>Powers to inspect re</w:t>
      </w:r>
      <w:r>
        <w:rPr>
          <w:rFonts w:ascii="Arial" w:hAnsi="Arial" w:cs="Arial"/>
        </w:rPr>
        <w:t>c</w:t>
      </w:r>
      <w:r w:rsidRPr="00C71BB7">
        <w:rPr>
          <w:rFonts w:ascii="Arial" w:hAnsi="Arial" w:cs="Arial"/>
        </w:rPr>
        <w:t xml:space="preserve">ords </w:t>
      </w:r>
      <w:r>
        <w:rPr>
          <w:rFonts w:ascii="Arial" w:hAnsi="Arial" w:cs="Arial"/>
        </w:rPr>
        <w:t xml:space="preserve">relating to an entitled person </w:t>
      </w:r>
      <w:r w:rsidRPr="00C71BB7">
        <w:rPr>
          <w:rFonts w:ascii="Arial" w:hAnsi="Arial" w:cs="Arial"/>
        </w:rPr>
        <w:t xml:space="preserve">without </w:t>
      </w:r>
      <w:r w:rsidR="001D6D79">
        <w:rPr>
          <w:rFonts w:ascii="Arial" w:hAnsi="Arial" w:cs="Arial"/>
        </w:rPr>
        <w:t xml:space="preserve">engage and reasonably limit the right to privacy. These provisions were introduced </w:t>
      </w:r>
      <w:r>
        <w:rPr>
          <w:rFonts w:ascii="Arial" w:hAnsi="Arial" w:cs="Arial"/>
        </w:rPr>
        <w:t xml:space="preserve">to serve an important and legitimate purpose of safeguarding the welfare of entitled people </w:t>
      </w:r>
      <w:r w:rsidR="00286B48">
        <w:rPr>
          <w:rFonts w:ascii="Arial" w:hAnsi="Arial" w:cs="Arial"/>
        </w:rPr>
        <w:t xml:space="preserve">in visitable places </w:t>
      </w:r>
      <w:r>
        <w:rPr>
          <w:rFonts w:ascii="Arial" w:hAnsi="Arial" w:cs="Arial"/>
        </w:rPr>
        <w:t xml:space="preserve">in situations </w:t>
      </w:r>
      <w:r w:rsidR="00D51C36" w:rsidRPr="00D51C36">
        <w:rPr>
          <w:rFonts w:ascii="Arial" w:hAnsi="Arial" w:cs="Arial"/>
        </w:rPr>
        <w:t xml:space="preserve">where </w:t>
      </w:r>
      <w:r w:rsidR="00286B48">
        <w:rPr>
          <w:rFonts w:ascii="Arial" w:hAnsi="Arial" w:cs="Arial"/>
        </w:rPr>
        <w:t>they</w:t>
      </w:r>
      <w:r w:rsidR="00D51C36" w:rsidRPr="00D51C36">
        <w:rPr>
          <w:rFonts w:ascii="Arial" w:hAnsi="Arial" w:cs="Arial"/>
        </w:rPr>
        <w:t xml:space="preserve"> are not able to </w:t>
      </w:r>
      <w:r w:rsidR="00D51C36" w:rsidRPr="00D51C36">
        <w:rPr>
          <w:rFonts w:ascii="Arial" w:hAnsi="Arial" w:cs="Arial"/>
        </w:rPr>
        <w:lastRenderedPageBreak/>
        <w:t>communicate or raise concerns about their treatment</w:t>
      </w:r>
      <w:r>
        <w:rPr>
          <w:rFonts w:ascii="Arial" w:hAnsi="Arial" w:cs="Arial"/>
        </w:rPr>
        <w:t xml:space="preserve">. </w:t>
      </w:r>
      <w:r w:rsidR="00286B48">
        <w:rPr>
          <w:rFonts w:ascii="Arial" w:hAnsi="Arial" w:cs="Arial"/>
        </w:rPr>
        <w:t xml:space="preserve">This is particularly relevant in situations where entitled people have </w:t>
      </w:r>
      <w:r w:rsidR="0082083A">
        <w:rPr>
          <w:rFonts w:ascii="Arial" w:hAnsi="Arial" w:cs="Arial"/>
        </w:rPr>
        <w:t xml:space="preserve">severe or profound </w:t>
      </w:r>
      <w:r w:rsidR="00286B48">
        <w:rPr>
          <w:rFonts w:ascii="Arial" w:hAnsi="Arial" w:cs="Arial"/>
        </w:rPr>
        <w:t>intellectual disability</w:t>
      </w:r>
      <w:r w:rsidR="0082083A">
        <w:rPr>
          <w:rFonts w:ascii="Arial" w:hAnsi="Arial" w:cs="Arial"/>
        </w:rPr>
        <w:t>,</w:t>
      </w:r>
      <w:r w:rsidR="00286B48">
        <w:rPr>
          <w:rFonts w:ascii="Arial" w:hAnsi="Arial" w:cs="Arial"/>
        </w:rPr>
        <w:t xml:space="preserve"> or are experiencing acute mental illness</w:t>
      </w:r>
      <w:r w:rsidR="0082083A">
        <w:rPr>
          <w:rFonts w:ascii="Arial" w:hAnsi="Arial" w:cs="Arial"/>
        </w:rPr>
        <w:t>,</w:t>
      </w:r>
      <w:r w:rsidR="001D6D79">
        <w:rPr>
          <w:rFonts w:ascii="Arial" w:hAnsi="Arial" w:cs="Arial"/>
        </w:rPr>
        <w:t xml:space="preserve"> and are not able to provide consent</w:t>
      </w:r>
      <w:r w:rsidR="00286B48">
        <w:rPr>
          <w:rFonts w:ascii="Arial" w:hAnsi="Arial" w:cs="Arial"/>
        </w:rPr>
        <w:t xml:space="preserve">. </w:t>
      </w:r>
      <w:r>
        <w:rPr>
          <w:rFonts w:ascii="Arial" w:hAnsi="Arial" w:cs="Arial"/>
        </w:rPr>
        <w:t xml:space="preserve">In such circumstances it may be important for an official visitor to </w:t>
      </w:r>
      <w:r w:rsidR="00286B48">
        <w:rPr>
          <w:rFonts w:ascii="Arial" w:hAnsi="Arial" w:cs="Arial"/>
        </w:rPr>
        <w:t>inspect</w:t>
      </w:r>
      <w:r>
        <w:rPr>
          <w:rFonts w:ascii="Arial" w:hAnsi="Arial" w:cs="Arial"/>
        </w:rPr>
        <w:t xml:space="preserve"> records</w:t>
      </w:r>
      <w:r w:rsidR="001D6D79">
        <w:rPr>
          <w:rFonts w:ascii="Arial" w:hAnsi="Arial" w:cs="Arial"/>
        </w:rPr>
        <w:t xml:space="preserve"> without consent t</w:t>
      </w:r>
      <w:r>
        <w:rPr>
          <w:rFonts w:ascii="Arial" w:hAnsi="Arial" w:cs="Arial"/>
        </w:rPr>
        <w:t xml:space="preserve">o ensure that </w:t>
      </w:r>
      <w:r w:rsidR="00D51C36" w:rsidRPr="00D51C36">
        <w:rPr>
          <w:rFonts w:ascii="Arial" w:hAnsi="Arial" w:cs="Arial"/>
        </w:rPr>
        <w:t xml:space="preserve">there are no systemic concerns and that entitled people are being treated </w:t>
      </w:r>
      <w:r>
        <w:rPr>
          <w:rFonts w:ascii="Arial" w:hAnsi="Arial" w:cs="Arial"/>
        </w:rPr>
        <w:t>appropriately.</w:t>
      </w:r>
    </w:p>
    <w:p w14:paraId="070F8CAF" w14:textId="0E2CADA7" w:rsidR="00A6585F" w:rsidRDefault="00A6585F" w:rsidP="00D51C36">
      <w:pPr>
        <w:rPr>
          <w:rFonts w:ascii="Arial" w:hAnsi="Arial" w:cs="Arial"/>
        </w:rPr>
      </w:pPr>
      <w:r>
        <w:rPr>
          <w:rFonts w:ascii="Arial" w:hAnsi="Arial" w:cs="Arial"/>
        </w:rPr>
        <w:br/>
        <w:t>The Act includes a range of safeguards around the exercise of this power, and the guidelines provide further detail and guidance about the effect of these provisions to ensure that any limitation on the right to privacy is proportionate and tightly constrained.</w:t>
      </w:r>
    </w:p>
    <w:p w14:paraId="368460FD" w14:textId="3C70F140" w:rsidR="00A6585F" w:rsidRDefault="00A6585F" w:rsidP="00D51C36">
      <w:pPr>
        <w:rPr>
          <w:rFonts w:ascii="Arial" w:hAnsi="Arial" w:cs="Arial"/>
        </w:rPr>
      </w:pPr>
    </w:p>
    <w:p w14:paraId="6C1EFA02" w14:textId="72F60665" w:rsidR="00A6585F" w:rsidRPr="00DC241E" w:rsidRDefault="00A6585F" w:rsidP="00A6585F">
      <w:pPr>
        <w:tabs>
          <w:tab w:val="left" w:pos="4320"/>
        </w:tabs>
        <w:rPr>
          <w:rFonts w:ascii="Arial" w:hAnsi="Arial" w:cs="Arial"/>
        </w:rPr>
      </w:pPr>
      <w:r>
        <w:rPr>
          <w:rFonts w:ascii="Arial" w:hAnsi="Arial" w:cs="Arial"/>
        </w:rPr>
        <w:t xml:space="preserve">The Guidelines confirm that taking reasonable steps to seek the consent of a person </w:t>
      </w:r>
      <w:r w:rsidRPr="00DC241E">
        <w:rPr>
          <w:rFonts w:ascii="Arial" w:hAnsi="Arial" w:cs="Arial"/>
        </w:rPr>
        <w:t>would usually require the official visitor to meet and ask the entitled person for consent to inspect their records</w:t>
      </w:r>
      <w:r w:rsidR="0082083A">
        <w:rPr>
          <w:rFonts w:ascii="Arial" w:hAnsi="Arial" w:cs="Arial"/>
        </w:rPr>
        <w:t xml:space="preserve"> and to assess whether the person is able to communicate</w:t>
      </w:r>
      <w:r w:rsidRPr="00DC241E">
        <w:rPr>
          <w:rFonts w:ascii="Arial" w:hAnsi="Arial" w:cs="Arial"/>
        </w:rPr>
        <w:t xml:space="preserve">. </w:t>
      </w:r>
      <w:r>
        <w:rPr>
          <w:rFonts w:ascii="Arial" w:hAnsi="Arial" w:cs="Arial"/>
        </w:rPr>
        <w:t>The Guidelines require official visitors to ensure</w:t>
      </w:r>
      <w:r w:rsidRPr="00DC241E">
        <w:rPr>
          <w:rFonts w:ascii="Arial" w:hAnsi="Arial" w:cs="Arial"/>
        </w:rPr>
        <w:t xml:space="preserve"> that any special communication needs of the person are accommodated, for example if the official visitor is aware of any technology or supports that the person uses to communicate, the official visitor must ensure that these are utilised.</w:t>
      </w:r>
    </w:p>
    <w:p w14:paraId="7B69FF75" w14:textId="77777777" w:rsidR="00A6585F" w:rsidRPr="00DC241E" w:rsidRDefault="00A6585F" w:rsidP="00A6585F">
      <w:pPr>
        <w:tabs>
          <w:tab w:val="left" w:pos="4320"/>
        </w:tabs>
        <w:rPr>
          <w:rFonts w:ascii="Arial" w:hAnsi="Arial" w:cs="Arial"/>
        </w:rPr>
      </w:pPr>
    </w:p>
    <w:p w14:paraId="2C7A1887" w14:textId="2C692A29" w:rsidR="00A6585F" w:rsidRDefault="00A6585F" w:rsidP="00A6585F">
      <w:pPr>
        <w:tabs>
          <w:tab w:val="left" w:pos="4320"/>
        </w:tabs>
        <w:rPr>
          <w:rFonts w:ascii="Arial" w:hAnsi="Arial" w:cs="Arial"/>
        </w:rPr>
      </w:pPr>
      <w:r>
        <w:rPr>
          <w:rFonts w:ascii="Arial" w:hAnsi="Arial" w:cs="Arial"/>
        </w:rPr>
        <w:t>The Guidelines confirm that a</w:t>
      </w:r>
      <w:r w:rsidRPr="00DC241E">
        <w:rPr>
          <w:rFonts w:ascii="Arial" w:hAnsi="Arial" w:cs="Arial"/>
        </w:rPr>
        <w:t xml:space="preserve"> young person under 18 may be able to consent to the inspection of their own records, depending on their level of maturity and understanding of the decision. This must be assessed on an individual basis as there is no fixed age limit for this decision.</w:t>
      </w:r>
    </w:p>
    <w:p w14:paraId="59833A37" w14:textId="1A5D403A" w:rsidR="00A6585F" w:rsidRDefault="00A6585F" w:rsidP="00A6585F">
      <w:pPr>
        <w:tabs>
          <w:tab w:val="left" w:pos="4320"/>
        </w:tabs>
        <w:rPr>
          <w:rFonts w:ascii="Arial" w:hAnsi="Arial" w:cs="Arial"/>
        </w:rPr>
      </w:pPr>
    </w:p>
    <w:p w14:paraId="0675A84C" w14:textId="38312ACB" w:rsidR="00A6585F" w:rsidRDefault="00A6585F" w:rsidP="00A6585F">
      <w:pPr>
        <w:tabs>
          <w:tab w:val="left" w:pos="4320"/>
        </w:tabs>
        <w:rPr>
          <w:rFonts w:ascii="Arial" w:hAnsi="Arial" w:cs="Arial"/>
        </w:rPr>
      </w:pPr>
      <w:r>
        <w:rPr>
          <w:rFonts w:ascii="Arial" w:hAnsi="Arial" w:cs="Arial"/>
        </w:rPr>
        <w:t xml:space="preserve">Particular provisions of the guidelines apply where records are health records, and the guidelines confirm that the privacy principles under the </w:t>
      </w:r>
      <w:r w:rsidRPr="00691E33">
        <w:rPr>
          <w:rFonts w:ascii="Arial" w:hAnsi="Arial" w:cs="Arial"/>
          <w:i/>
          <w:iCs/>
        </w:rPr>
        <w:t xml:space="preserve">Health Records </w:t>
      </w:r>
      <w:r w:rsidR="00A72E42">
        <w:rPr>
          <w:rFonts w:ascii="Arial" w:hAnsi="Arial" w:cs="Arial"/>
          <w:i/>
          <w:iCs/>
        </w:rPr>
        <w:t>(</w:t>
      </w:r>
      <w:r w:rsidRPr="00691E33">
        <w:rPr>
          <w:rFonts w:ascii="Arial" w:hAnsi="Arial" w:cs="Arial"/>
          <w:i/>
          <w:iCs/>
        </w:rPr>
        <w:t>Privacy and Access</w:t>
      </w:r>
      <w:r w:rsidR="00A72E42">
        <w:rPr>
          <w:rFonts w:ascii="Arial" w:hAnsi="Arial" w:cs="Arial"/>
          <w:i/>
          <w:iCs/>
        </w:rPr>
        <w:t>)</w:t>
      </w:r>
      <w:r w:rsidRPr="00691E33">
        <w:rPr>
          <w:rFonts w:ascii="Arial" w:hAnsi="Arial" w:cs="Arial"/>
          <w:i/>
          <w:iCs/>
        </w:rPr>
        <w:t xml:space="preserve"> Act</w:t>
      </w:r>
      <w:r>
        <w:rPr>
          <w:rFonts w:ascii="Arial" w:hAnsi="Arial" w:cs="Arial"/>
        </w:rPr>
        <w:t xml:space="preserve"> </w:t>
      </w:r>
      <w:r w:rsidR="00691E33" w:rsidRPr="00691E33">
        <w:rPr>
          <w:rFonts w:ascii="Arial" w:hAnsi="Arial" w:cs="Arial"/>
          <w:i/>
          <w:iCs/>
        </w:rPr>
        <w:t>1997</w:t>
      </w:r>
      <w:r w:rsidR="00691E33">
        <w:rPr>
          <w:rFonts w:ascii="Arial" w:hAnsi="Arial" w:cs="Arial"/>
        </w:rPr>
        <w:t xml:space="preserve"> </w:t>
      </w:r>
      <w:r>
        <w:rPr>
          <w:rFonts w:ascii="Arial" w:hAnsi="Arial" w:cs="Arial"/>
        </w:rPr>
        <w:t xml:space="preserve">will apply </w:t>
      </w:r>
      <w:r w:rsidR="00691E33">
        <w:rPr>
          <w:rFonts w:ascii="Arial" w:hAnsi="Arial" w:cs="Arial"/>
        </w:rPr>
        <w:t>where an official visitor makes a copy of a health record.</w:t>
      </w:r>
    </w:p>
    <w:p w14:paraId="3B1F86C4" w14:textId="4381ED1D" w:rsidR="00286B48" w:rsidRDefault="00286B48" w:rsidP="00A6585F">
      <w:pPr>
        <w:tabs>
          <w:tab w:val="left" w:pos="4320"/>
        </w:tabs>
        <w:rPr>
          <w:rFonts w:ascii="Arial" w:hAnsi="Arial" w:cs="Arial"/>
        </w:rPr>
      </w:pPr>
    </w:p>
    <w:p w14:paraId="6A723831" w14:textId="3378C877" w:rsidR="00286B48" w:rsidRPr="00DC241E" w:rsidRDefault="00286B48" w:rsidP="00A6585F">
      <w:pPr>
        <w:tabs>
          <w:tab w:val="left" w:pos="4320"/>
        </w:tabs>
        <w:rPr>
          <w:rFonts w:ascii="Arial" w:hAnsi="Arial" w:cs="Arial"/>
        </w:rPr>
      </w:pPr>
      <w:r>
        <w:rPr>
          <w:rFonts w:ascii="Arial" w:hAnsi="Arial" w:cs="Arial"/>
        </w:rPr>
        <w:t>The Guidelines also provide guidance about how official visitors can inform entitled people about the inspection of their records, particularly in situations where an entitled person may have fluctuating capacity</w:t>
      </w:r>
      <w:r w:rsidR="00691E33">
        <w:rPr>
          <w:rFonts w:ascii="Arial" w:hAnsi="Arial" w:cs="Arial"/>
        </w:rPr>
        <w:t xml:space="preserve"> and may later be able to understand that an inspection has occurred</w:t>
      </w:r>
      <w:r>
        <w:rPr>
          <w:rFonts w:ascii="Arial" w:hAnsi="Arial" w:cs="Arial"/>
        </w:rPr>
        <w:t xml:space="preserve">. </w:t>
      </w:r>
    </w:p>
    <w:p w14:paraId="19C0593B" w14:textId="180F7CE0" w:rsidR="00A6585F" w:rsidRDefault="00A6585F" w:rsidP="00A6585F">
      <w:pPr>
        <w:tabs>
          <w:tab w:val="left" w:pos="4320"/>
        </w:tabs>
        <w:rPr>
          <w:rFonts w:ascii="Arial" w:hAnsi="Arial" w:cs="Arial"/>
        </w:rPr>
      </w:pPr>
    </w:p>
    <w:p w14:paraId="25364996" w14:textId="4E42A8A5" w:rsidR="00A6585F" w:rsidRDefault="00A6585F" w:rsidP="00A6585F">
      <w:pPr>
        <w:tabs>
          <w:tab w:val="left" w:pos="4320"/>
        </w:tabs>
        <w:rPr>
          <w:rFonts w:ascii="Arial" w:hAnsi="Arial" w:cs="Arial"/>
        </w:rPr>
      </w:pPr>
      <w:r>
        <w:rPr>
          <w:rFonts w:ascii="Arial" w:hAnsi="Arial" w:cs="Arial"/>
        </w:rPr>
        <w:t xml:space="preserve">These provisions of the Guidelines have been carefully considered </w:t>
      </w:r>
      <w:r w:rsidR="00691E33">
        <w:rPr>
          <w:rFonts w:ascii="Arial" w:hAnsi="Arial" w:cs="Arial"/>
        </w:rPr>
        <w:t xml:space="preserve">to </w:t>
      </w:r>
      <w:r>
        <w:rPr>
          <w:rFonts w:ascii="Arial" w:hAnsi="Arial" w:cs="Arial"/>
        </w:rPr>
        <w:t xml:space="preserve">ensure that the powers will be exercised in a way that is proportionate and consistent with the </w:t>
      </w:r>
      <w:r w:rsidRPr="00691E33">
        <w:rPr>
          <w:rFonts w:ascii="Arial" w:hAnsi="Arial" w:cs="Arial"/>
          <w:i/>
          <w:iCs/>
        </w:rPr>
        <w:t>Human Rights Act 2004</w:t>
      </w:r>
      <w:r>
        <w:rPr>
          <w:rFonts w:ascii="Arial" w:hAnsi="Arial" w:cs="Arial"/>
        </w:rPr>
        <w:t>.</w:t>
      </w:r>
    </w:p>
    <w:p w14:paraId="4357AB48" w14:textId="7AC1884B" w:rsidR="00A6585F" w:rsidRDefault="00A6585F" w:rsidP="00A6585F">
      <w:pPr>
        <w:tabs>
          <w:tab w:val="left" w:pos="4320"/>
        </w:tabs>
        <w:rPr>
          <w:rFonts w:ascii="Arial" w:hAnsi="Arial" w:cs="Arial"/>
        </w:rPr>
      </w:pPr>
    </w:p>
    <w:p w14:paraId="6D969483" w14:textId="1982CF88" w:rsidR="00A6585F" w:rsidRPr="00A6585F" w:rsidRDefault="00A6585F" w:rsidP="00A6585F">
      <w:pPr>
        <w:tabs>
          <w:tab w:val="left" w:pos="4320"/>
        </w:tabs>
        <w:rPr>
          <w:rFonts w:ascii="Arial" w:hAnsi="Arial" w:cs="Arial"/>
          <w:b/>
          <w:bCs/>
          <w:sz w:val="28"/>
          <w:szCs w:val="28"/>
        </w:rPr>
      </w:pPr>
      <w:r w:rsidRPr="00A6585F">
        <w:rPr>
          <w:rFonts w:ascii="Arial" w:hAnsi="Arial" w:cs="Arial"/>
          <w:b/>
          <w:bCs/>
          <w:sz w:val="28"/>
          <w:szCs w:val="28"/>
        </w:rPr>
        <w:t>Detail</w:t>
      </w:r>
    </w:p>
    <w:bookmarkEnd w:id="0"/>
    <w:p w14:paraId="3A5C00EE" w14:textId="695B1B70" w:rsidR="009137DF" w:rsidRPr="00292049" w:rsidRDefault="009137DF" w:rsidP="00292049">
      <w:pPr>
        <w:pStyle w:val="ListParagraph"/>
        <w:numPr>
          <w:ilvl w:val="0"/>
          <w:numId w:val="27"/>
        </w:numPr>
        <w:shd w:val="clear" w:color="auto" w:fill="D9D9D9"/>
        <w:spacing w:before="480" w:after="60"/>
        <w:rPr>
          <w:rFonts w:ascii="Arial" w:hAnsi="Arial" w:cs="Arial"/>
        </w:rPr>
      </w:pPr>
      <w:r w:rsidRPr="00292049">
        <w:rPr>
          <w:rFonts w:ascii="Arial" w:hAnsi="Arial" w:cs="Arial"/>
          <w:b/>
        </w:rPr>
        <w:t>Purpose</w:t>
      </w:r>
    </w:p>
    <w:p w14:paraId="4FF42CCF" w14:textId="46B461AC" w:rsidR="00BE5E8A" w:rsidRDefault="00D44C93" w:rsidP="00232478">
      <w:pPr>
        <w:tabs>
          <w:tab w:val="left" w:pos="4320"/>
        </w:tabs>
        <w:rPr>
          <w:rFonts w:ascii="Arial" w:hAnsi="Arial" w:cs="Arial"/>
        </w:rPr>
      </w:pPr>
      <w:r>
        <w:rPr>
          <w:rFonts w:ascii="Arial" w:hAnsi="Arial" w:cs="Arial"/>
        </w:rPr>
        <w:t xml:space="preserve">This section sets out the purpose of the Guidelines which </w:t>
      </w:r>
      <w:r w:rsidR="00BB6D99">
        <w:rPr>
          <w:rFonts w:ascii="Arial" w:hAnsi="Arial" w:cs="Arial"/>
        </w:rPr>
        <w:t xml:space="preserve">provide guidance on </w:t>
      </w:r>
      <w:r>
        <w:rPr>
          <w:rFonts w:ascii="Arial" w:hAnsi="Arial" w:cs="Arial"/>
        </w:rPr>
        <w:t xml:space="preserve">the </w:t>
      </w:r>
      <w:r w:rsidR="00A76A50" w:rsidRPr="00DC241E">
        <w:rPr>
          <w:rFonts w:ascii="Arial" w:hAnsi="Arial" w:cs="Arial"/>
        </w:rPr>
        <w:t xml:space="preserve">visit processes and handling of complaints by official visitors appointed under the </w:t>
      </w:r>
      <w:r w:rsidR="00A76A50" w:rsidRPr="00DC241E">
        <w:rPr>
          <w:rFonts w:ascii="Arial" w:hAnsi="Arial" w:cs="Arial"/>
          <w:i/>
          <w:iCs/>
        </w:rPr>
        <w:t>Official Visitor Act 2012</w:t>
      </w:r>
      <w:r>
        <w:rPr>
          <w:rFonts w:ascii="Arial" w:hAnsi="Arial" w:cs="Arial"/>
        </w:rPr>
        <w:t xml:space="preserve"> and referred to in </w:t>
      </w:r>
      <w:r w:rsidR="00BB6D99">
        <w:rPr>
          <w:rFonts w:ascii="Arial" w:hAnsi="Arial" w:cs="Arial"/>
        </w:rPr>
        <w:t>O</w:t>
      </w:r>
      <w:r>
        <w:rPr>
          <w:rFonts w:ascii="Arial" w:hAnsi="Arial" w:cs="Arial"/>
        </w:rPr>
        <w:t xml:space="preserve">perational </w:t>
      </w:r>
      <w:r w:rsidR="00BB6D99">
        <w:rPr>
          <w:rFonts w:ascii="Arial" w:hAnsi="Arial" w:cs="Arial"/>
        </w:rPr>
        <w:t>A</w:t>
      </w:r>
      <w:r>
        <w:rPr>
          <w:rFonts w:ascii="Arial" w:hAnsi="Arial" w:cs="Arial"/>
        </w:rPr>
        <w:t>cts.</w:t>
      </w:r>
      <w:r w:rsidR="00000722" w:rsidRPr="00DC241E">
        <w:rPr>
          <w:rFonts w:ascii="Arial" w:hAnsi="Arial" w:cs="Arial"/>
        </w:rPr>
        <w:t xml:space="preserve"> </w:t>
      </w:r>
    </w:p>
    <w:p w14:paraId="1113E738" w14:textId="77777777" w:rsidR="008E6A4F" w:rsidRPr="00DC241E" w:rsidRDefault="008E6A4F" w:rsidP="00232478">
      <w:pPr>
        <w:tabs>
          <w:tab w:val="left" w:pos="4320"/>
        </w:tabs>
        <w:rPr>
          <w:rFonts w:ascii="Arial" w:hAnsi="Arial" w:cs="Arial"/>
        </w:rPr>
      </w:pPr>
    </w:p>
    <w:p w14:paraId="5D187F59" w14:textId="6684EDF7" w:rsidR="009137DF" w:rsidRPr="00292049" w:rsidRDefault="009137DF" w:rsidP="00292049">
      <w:pPr>
        <w:pStyle w:val="ListParagraph"/>
        <w:numPr>
          <w:ilvl w:val="0"/>
          <w:numId w:val="27"/>
        </w:numPr>
        <w:shd w:val="clear" w:color="auto" w:fill="D9D9D9"/>
        <w:spacing w:before="480" w:after="60"/>
        <w:rPr>
          <w:rFonts w:ascii="Arial" w:hAnsi="Arial" w:cs="Arial"/>
          <w:b/>
        </w:rPr>
      </w:pPr>
      <w:r w:rsidRPr="00292049">
        <w:rPr>
          <w:rFonts w:ascii="Arial" w:hAnsi="Arial" w:cs="Arial"/>
          <w:b/>
        </w:rPr>
        <w:lastRenderedPageBreak/>
        <w:t>Legislative Framework</w:t>
      </w:r>
    </w:p>
    <w:p w14:paraId="6085EFA5" w14:textId="77777777" w:rsidR="00B85CB1" w:rsidRDefault="00B85CB1" w:rsidP="00B85CB1">
      <w:pPr>
        <w:pStyle w:val="ListParagraph"/>
        <w:tabs>
          <w:tab w:val="left" w:pos="4320"/>
        </w:tabs>
        <w:ind w:left="360"/>
        <w:rPr>
          <w:rFonts w:ascii="Arial" w:hAnsi="Arial" w:cs="Arial"/>
        </w:rPr>
      </w:pPr>
    </w:p>
    <w:p w14:paraId="24EF3A04" w14:textId="59F04862" w:rsidR="001E074B" w:rsidRDefault="00D44C93" w:rsidP="00B85CB1">
      <w:pPr>
        <w:pStyle w:val="ListParagraph"/>
        <w:tabs>
          <w:tab w:val="left" w:pos="4320"/>
        </w:tabs>
        <w:ind w:left="360"/>
        <w:rPr>
          <w:rFonts w:ascii="Arial" w:hAnsi="Arial" w:cs="Arial"/>
        </w:rPr>
      </w:pPr>
      <w:r>
        <w:rPr>
          <w:rFonts w:ascii="Arial" w:hAnsi="Arial" w:cs="Arial"/>
        </w:rPr>
        <w:t xml:space="preserve">This section sets out the legislation making up the Official Visitor Scheme, which includes the </w:t>
      </w:r>
      <w:r w:rsidRPr="00691E33">
        <w:rPr>
          <w:rFonts w:ascii="Arial" w:hAnsi="Arial" w:cs="Arial"/>
          <w:i/>
          <w:iCs/>
        </w:rPr>
        <w:t>Official Visitor Act 2012</w:t>
      </w:r>
      <w:r>
        <w:rPr>
          <w:rFonts w:ascii="Arial" w:hAnsi="Arial" w:cs="Arial"/>
        </w:rPr>
        <w:t xml:space="preserve"> and </w:t>
      </w:r>
      <w:r w:rsidR="00691E33">
        <w:rPr>
          <w:rFonts w:ascii="Arial" w:hAnsi="Arial" w:cs="Arial"/>
        </w:rPr>
        <w:t>O</w:t>
      </w:r>
      <w:r>
        <w:rPr>
          <w:rFonts w:ascii="Arial" w:hAnsi="Arial" w:cs="Arial"/>
        </w:rPr>
        <w:t xml:space="preserve">perational </w:t>
      </w:r>
      <w:r w:rsidR="00691E33">
        <w:rPr>
          <w:rFonts w:ascii="Arial" w:hAnsi="Arial" w:cs="Arial"/>
        </w:rPr>
        <w:t>A</w:t>
      </w:r>
      <w:r>
        <w:rPr>
          <w:rFonts w:ascii="Arial" w:hAnsi="Arial" w:cs="Arial"/>
        </w:rPr>
        <w:t>cts being the</w:t>
      </w:r>
      <w:r w:rsidR="001E074B">
        <w:rPr>
          <w:rFonts w:ascii="Arial" w:hAnsi="Arial" w:cs="Arial"/>
        </w:rPr>
        <w:t>:</w:t>
      </w:r>
    </w:p>
    <w:p w14:paraId="05C2B836" w14:textId="77777777" w:rsidR="001E074B" w:rsidRPr="00B85CB1" w:rsidRDefault="001E074B" w:rsidP="00B85CB1">
      <w:pPr>
        <w:pStyle w:val="ListParagraph"/>
        <w:tabs>
          <w:tab w:val="left" w:pos="4320"/>
        </w:tabs>
        <w:ind w:left="360"/>
        <w:rPr>
          <w:rFonts w:ascii="Arial" w:hAnsi="Arial" w:cs="Arial"/>
        </w:rPr>
      </w:pPr>
    </w:p>
    <w:p w14:paraId="6A9AEA84" w14:textId="31AA0878" w:rsidR="00BE5E8A" w:rsidRPr="00DC241E" w:rsidRDefault="00BE5E8A" w:rsidP="00BE5E8A">
      <w:pPr>
        <w:pStyle w:val="ListParagraph"/>
        <w:numPr>
          <w:ilvl w:val="0"/>
          <w:numId w:val="10"/>
        </w:numPr>
        <w:tabs>
          <w:tab w:val="left" w:pos="4320"/>
        </w:tabs>
        <w:rPr>
          <w:rFonts w:ascii="Arial" w:hAnsi="Arial" w:cs="Arial"/>
        </w:rPr>
      </w:pPr>
      <w:r w:rsidRPr="00DC241E">
        <w:rPr>
          <w:rFonts w:ascii="Arial" w:hAnsi="Arial" w:cs="Arial"/>
          <w:i/>
          <w:iCs/>
        </w:rPr>
        <w:t>Children and Young People Act 2008</w:t>
      </w:r>
      <w:r w:rsidRPr="00DC241E">
        <w:rPr>
          <w:rFonts w:ascii="Arial" w:hAnsi="Arial" w:cs="Arial"/>
        </w:rPr>
        <w:t xml:space="preserve"> </w:t>
      </w:r>
    </w:p>
    <w:p w14:paraId="77C38F2F" w14:textId="77777777" w:rsidR="001E074B" w:rsidRPr="00DC241E" w:rsidRDefault="00BE5E8A" w:rsidP="001E074B">
      <w:pPr>
        <w:pStyle w:val="ListParagraph"/>
        <w:numPr>
          <w:ilvl w:val="0"/>
          <w:numId w:val="10"/>
        </w:numPr>
        <w:tabs>
          <w:tab w:val="left" w:pos="4320"/>
        </w:tabs>
        <w:rPr>
          <w:rFonts w:ascii="Arial" w:hAnsi="Arial" w:cs="Arial"/>
        </w:rPr>
      </w:pPr>
      <w:r w:rsidRPr="001E074B">
        <w:rPr>
          <w:rFonts w:ascii="Arial" w:hAnsi="Arial" w:cs="Arial"/>
          <w:i/>
          <w:iCs/>
        </w:rPr>
        <w:t>Corrections Management Act 2007</w:t>
      </w:r>
      <w:r w:rsidRPr="001E074B">
        <w:rPr>
          <w:rFonts w:ascii="Arial" w:hAnsi="Arial" w:cs="Arial"/>
        </w:rPr>
        <w:t xml:space="preserve"> </w:t>
      </w:r>
    </w:p>
    <w:p w14:paraId="4F879858" w14:textId="4D175078" w:rsidR="00BE5E8A" w:rsidRPr="001E074B" w:rsidRDefault="00BE5E8A" w:rsidP="001E074B">
      <w:pPr>
        <w:pStyle w:val="ListParagraph"/>
        <w:numPr>
          <w:ilvl w:val="0"/>
          <w:numId w:val="10"/>
        </w:numPr>
        <w:tabs>
          <w:tab w:val="left" w:pos="4320"/>
        </w:tabs>
        <w:rPr>
          <w:rFonts w:ascii="Arial" w:hAnsi="Arial" w:cs="Arial"/>
        </w:rPr>
      </w:pPr>
      <w:r w:rsidRPr="001E074B">
        <w:rPr>
          <w:rFonts w:ascii="Arial" w:hAnsi="Arial" w:cs="Arial"/>
          <w:i/>
          <w:iCs/>
        </w:rPr>
        <w:t>Disability Services Act 1991</w:t>
      </w:r>
      <w:r w:rsidRPr="001E074B">
        <w:rPr>
          <w:rFonts w:ascii="Arial" w:hAnsi="Arial" w:cs="Arial"/>
        </w:rPr>
        <w:t xml:space="preserve"> </w:t>
      </w:r>
    </w:p>
    <w:p w14:paraId="555E70FA" w14:textId="6A0CC3F2" w:rsidR="00BE5E8A" w:rsidRPr="00DC241E" w:rsidRDefault="00BE5E8A" w:rsidP="00BE5E8A">
      <w:pPr>
        <w:pStyle w:val="ListParagraph"/>
        <w:numPr>
          <w:ilvl w:val="0"/>
          <w:numId w:val="10"/>
        </w:numPr>
        <w:tabs>
          <w:tab w:val="left" w:pos="4320"/>
        </w:tabs>
        <w:rPr>
          <w:rFonts w:ascii="Arial" w:hAnsi="Arial" w:cs="Arial"/>
        </w:rPr>
      </w:pPr>
      <w:r w:rsidRPr="00DC241E">
        <w:rPr>
          <w:rFonts w:ascii="Arial" w:hAnsi="Arial" w:cs="Arial"/>
          <w:i/>
          <w:iCs/>
        </w:rPr>
        <w:t>Housing Assistance Act 2007</w:t>
      </w:r>
      <w:r w:rsidRPr="00DC241E">
        <w:rPr>
          <w:rFonts w:ascii="Arial" w:hAnsi="Arial" w:cs="Arial"/>
        </w:rPr>
        <w:t xml:space="preserve"> </w:t>
      </w:r>
    </w:p>
    <w:p w14:paraId="61F0C1FF" w14:textId="333A4FCF" w:rsidR="00292049" w:rsidRDefault="00BE5E8A" w:rsidP="00161BC6">
      <w:pPr>
        <w:pStyle w:val="ListParagraph"/>
        <w:numPr>
          <w:ilvl w:val="0"/>
          <w:numId w:val="10"/>
        </w:numPr>
        <w:tabs>
          <w:tab w:val="left" w:pos="4320"/>
        </w:tabs>
        <w:rPr>
          <w:rFonts w:ascii="Arial" w:hAnsi="Arial" w:cs="Arial"/>
        </w:rPr>
      </w:pPr>
      <w:r w:rsidRPr="001E074B">
        <w:rPr>
          <w:rFonts w:ascii="Arial" w:hAnsi="Arial" w:cs="Arial"/>
          <w:i/>
          <w:iCs/>
        </w:rPr>
        <w:t>Mental Health Act 2015</w:t>
      </w:r>
      <w:r w:rsidRPr="001E074B">
        <w:rPr>
          <w:rFonts w:ascii="Arial" w:hAnsi="Arial" w:cs="Arial"/>
        </w:rPr>
        <w:t xml:space="preserve"> </w:t>
      </w:r>
    </w:p>
    <w:p w14:paraId="5F147E7B" w14:textId="77777777" w:rsidR="001E074B" w:rsidRPr="001E074B" w:rsidRDefault="001E074B" w:rsidP="001E074B">
      <w:pPr>
        <w:pStyle w:val="ListParagraph"/>
        <w:tabs>
          <w:tab w:val="left" w:pos="4320"/>
        </w:tabs>
        <w:rPr>
          <w:rFonts w:ascii="Arial" w:hAnsi="Arial" w:cs="Arial"/>
        </w:rPr>
      </w:pPr>
    </w:p>
    <w:p w14:paraId="496A064F" w14:textId="099AC0C0" w:rsidR="009137DF" w:rsidRPr="00292049" w:rsidRDefault="00BE5E8A" w:rsidP="00292049">
      <w:pPr>
        <w:pStyle w:val="ListParagraph"/>
        <w:numPr>
          <w:ilvl w:val="0"/>
          <w:numId w:val="27"/>
        </w:numPr>
        <w:shd w:val="clear" w:color="auto" w:fill="D9D9D9"/>
        <w:spacing w:before="480" w:after="60"/>
        <w:rPr>
          <w:rFonts w:ascii="Arial" w:hAnsi="Arial" w:cs="Arial"/>
          <w:b/>
        </w:rPr>
      </w:pPr>
      <w:r w:rsidRPr="00292049">
        <w:rPr>
          <w:rFonts w:ascii="Arial" w:hAnsi="Arial" w:cs="Arial"/>
          <w:b/>
        </w:rPr>
        <w:t>S</w:t>
      </w:r>
      <w:r w:rsidR="009137DF" w:rsidRPr="00292049">
        <w:rPr>
          <w:rFonts w:ascii="Arial" w:hAnsi="Arial" w:cs="Arial"/>
          <w:b/>
        </w:rPr>
        <w:t>tatement of Intent</w:t>
      </w:r>
    </w:p>
    <w:p w14:paraId="31F71E64" w14:textId="77777777" w:rsidR="00691E33" w:rsidRDefault="00691E33" w:rsidP="00232478">
      <w:pPr>
        <w:tabs>
          <w:tab w:val="left" w:pos="4320"/>
        </w:tabs>
        <w:rPr>
          <w:rFonts w:ascii="Arial" w:hAnsi="Arial" w:cs="Arial"/>
        </w:rPr>
      </w:pPr>
    </w:p>
    <w:p w14:paraId="076F0833" w14:textId="307FCD63" w:rsidR="001C38D0" w:rsidRPr="00DC241E" w:rsidRDefault="00D44C93" w:rsidP="00232478">
      <w:pPr>
        <w:tabs>
          <w:tab w:val="left" w:pos="4320"/>
        </w:tabs>
        <w:rPr>
          <w:rFonts w:ascii="Arial" w:hAnsi="Arial" w:cs="Arial"/>
        </w:rPr>
      </w:pPr>
      <w:r>
        <w:rPr>
          <w:rFonts w:ascii="Arial" w:hAnsi="Arial" w:cs="Arial"/>
        </w:rPr>
        <w:t>This section</w:t>
      </w:r>
      <w:r w:rsidR="00691E33">
        <w:rPr>
          <w:rFonts w:ascii="Arial" w:hAnsi="Arial" w:cs="Arial"/>
        </w:rPr>
        <w:t xml:space="preserve"> sets out the intent of the Guidelines</w:t>
      </w:r>
      <w:r w:rsidR="00C137D0" w:rsidRPr="00DC241E">
        <w:rPr>
          <w:rFonts w:ascii="Arial" w:hAnsi="Arial" w:cs="Arial"/>
        </w:rPr>
        <w:t xml:space="preserve">. </w:t>
      </w:r>
      <w:r w:rsidR="00691E33">
        <w:rPr>
          <w:rFonts w:ascii="Arial" w:hAnsi="Arial" w:cs="Arial"/>
        </w:rPr>
        <w:t xml:space="preserve">It confirms that </w:t>
      </w:r>
      <w:r w:rsidR="00691E33" w:rsidRPr="00DC241E">
        <w:rPr>
          <w:rFonts w:ascii="Arial" w:hAnsi="Arial" w:cs="Arial"/>
        </w:rPr>
        <w:t>official visitors play a vital role in safeguarding and promoting the interests of vulnerable people in our community who find themselves in difficult circumstances. The official visitors seek to identify, monitor and resolve service issues locally, using early intervention and resolution practices, and with a view to improve service quality</w:t>
      </w:r>
    </w:p>
    <w:p w14:paraId="441030B3" w14:textId="77777777" w:rsidR="00B85CB1" w:rsidRPr="00292049" w:rsidRDefault="00B85CB1" w:rsidP="00B85CB1">
      <w:pPr>
        <w:pStyle w:val="ListParagraph"/>
        <w:numPr>
          <w:ilvl w:val="0"/>
          <w:numId w:val="27"/>
        </w:numPr>
        <w:shd w:val="clear" w:color="auto" w:fill="D9D9D9"/>
        <w:spacing w:before="480" w:after="60"/>
        <w:rPr>
          <w:rFonts w:ascii="Arial" w:hAnsi="Arial" w:cs="Arial"/>
          <w:b/>
        </w:rPr>
      </w:pPr>
      <w:r w:rsidRPr="00292049">
        <w:rPr>
          <w:rFonts w:ascii="Arial" w:hAnsi="Arial" w:cs="Arial"/>
          <w:b/>
        </w:rPr>
        <w:t>Functions of Official Visitors</w:t>
      </w:r>
    </w:p>
    <w:p w14:paraId="3AE190FD" w14:textId="0BFA5051" w:rsidR="00B85CB1" w:rsidRPr="00691E33" w:rsidRDefault="00691E33" w:rsidP="00691E33">
      <w:pPr>
        <w:spacing w:after="240"/>
        <w:rPr>
          <w:rFonts w:ascii="Arial" w:hAnsi="Arial" w:cs="Arial"/>
          <w:szCs w:val="24"/>
        </w:rPr>
      </w:pPr>
      <w:r>
        <w:rPr>
          <w:rFonts w:ascii="Arial" w:hAnsi="Arial" w:cs="Arial"/>
          <w:szCs w:val="24"/>
        </w:rPr>
        <w:t xml:space="preserve">This section sets out the functions of official visitors and the principles that guide their conduct as set out in the </w:t>
      </w:r>
      <w:r w:rsidRPr="00691E33">
        <w:rPr>
          <w:rFonts w:ascii="Arial" w:hAnsi="Arial" w:cs="Arial"/>
          <w:i/>
          <w:iCs/>
          <w:szCs w:val="24"/>
        </w:rPr>
        <w:t>Official Visitor Act 2012</w:t>
      </w:r>
      <w:r>
        <w:rPr>
          <w:rFonts w:ascii="Arial" w:hAnsi="Arial" w:cs="Arial"/>
          <w:szCs w:val="24"/>
        </w:rPr>
        <w:t>.</w:t>
      </w:r>
      <w:r w:rsidR="00B85CB1" w:rsidRPr="00691E33">
        <w:rPr>
          <w:rFonts w:ascii="Arial" w:hAnsi="Arial" w:cs="Arial"/>
          <w:szCs w:val="24"/>
        </w:rPr>
        <w:t xml:space="preserve"> </w:t>
      </w:r>
    </w:p>
    <w:p w14:paraId="654C9655" w14:textId="77777777" w:rsidR="00B85CB1" w:rsidRDefault="00B85CB1" w:rsidP="00B85CB1">
      <w:pPr>
        <w:pStyle w:val="ListParagraph"/>
        <w:spacing w:after="240"/>
        <w:rPr>
          <w:rFonts w:ascii="Arial" w:hAnsi="Arial" w:cs="Arial"/>
          <w:szCs w:val="24"/>
        </w:rPr>
      </w:pPr>
    </w:p>
    <w:p w14:paraId="2B273FE3" w14:textId="6F7F1A09" w:rsidR="00504D60" w:rsidRPr="00B85CB1" w:rsidRDefault="00B85CB1" w:rsidP="00B85CB1">
      <w:pPr>
        <w:pStyle w:val="ListParagraph"/>
        <w:numPr>
          <w:ilvl w:val="0"/>
          <w:numId w:val="27"/>
        </w:numPr>
        <w:shd w:val="clear" w:color="auto" w:fill="D9D9D9"/>
        <w:spacing w:before="480" w:after="60"/>
        <w:rPr>
          <w:rFonts w:ascii="Arial" w:hAnsi="Arial" w:cs="Arial"/>
          <w:b/>
        </w:rPr>
      </w:pPr>
      <w:r w:rsidRPr="00B85CB1">
        <w:rPr>
          <w:rFonts w:ascii="Arial" w:hAnsi="Arial" w:cs="Arial"/>
          <w:b/>
        </w:rPr>
        <w:t>Entitled Persons</w:t>
      </w:r>
    </w:p>
    <w:p w14:paraId="4955AE12" w14:textId="636F3517" w:rsidR="00D623D2" w:rsidRDefault="00691E33" w:rsidP="00537CFE">
      <w:pPr>
        <w:tabs>
          <w:tab w:val="left" w:pos="4320"/>
        </w:tabs>
        <w:rPr>
          <w:rStyle w:val="charBoldItals"/>
          <w:rFonts w:ascii="Arial" w:hAnsi="Arial" w:cs="Arial"/>
          <w:b w:val="0"/>
          <w:i w:val="0"/>
        </w:rPr>
      </w:pPr>
      <w:r>
        <w:rPr>
          <w:rFonts w:ascii="Arial" w:hAnsi="Arial" w:cs="Arial"/>
        </w:rPr>
        <w:t>This section sets out the different definitions of ‘entitled persons’ which are specific to particular operational areas and are drawn from the Operational Acts.</w:t>
      </w:r>
    </w:p>
    <w:p w14:paraId="660877A0" w14:textId="7357BBDC" w:rsidR="00D623D2" w:rsidRPr="00B85CB1" w:rsidRDefault="00B85CB1" w:rsidP="00B85CB1">
      <w:pPr>
        <w:pStyle w:val="ListParagraph"/>
        <w:numPr>
          <w:ilvl w:val="0"/>
          <w:numId w:val="27"/>
        </w:numPr>
        <w:shd w:val="clear" w:color="auto" w:fill="D9D9D9"/>
        <w:spacing w:before="480" w:after="60"/>
        <w:rPr>
          <w:rFonts w:ascii="Arial" w:hAnsi="Arial" w:cs="Arial"/>
          <w:b/>
          <w:bCs/>
          <w:iCs/>
        </w:rPr>
      </w:pPr>
      <w:r w:rsidRPr="00B85CB1">
        <w:rPr>
          <w:rFonts w:ascii="Arial" w:hAnsi="Arial" w:cs="Arial"/>
          <w:b/>
          <w:bCs/>
          <w:iCs/>
        </w:rPr>
        <w:t>Visitable places</w:t>
      </w:r>
    </w:p>
    <w:p w14:paraId="2AD84F28" w14:textId="3A07D791" w:rsidR="00691E33" w:rsidRPr="00DC241E" w:rsidRDefault="001E074B" w:rsidP="00691E33">
      <w:pPr>
        <w:tabs>
          <w:tab w:val="left" w:pos="4320"/>
        </w:tabs>
        <w:rPr>
          <w:rStyle w:val="charBoldItals"/>
          <w:rFonts w:ascii="Arial" w:hAnsi="Arial" w:cs="Arial"/>
          <w:b w:val="0"/>
          <w:bCs/>
          <w:i w:val="0"/>
          <w:iCs/>
        </w:rPr>
      </w:pPr>
      <w:r w:rsidRPr="001E074B">
        <w:rPr>
          <w:rStyle w:val="charBoldItals"/>
          <w:rFonts w:ascii="Arial" w:hAnsi="Arial" w:cs="Arial"/>
          <w:b w:val="0"/>
          <w:i w:val="0"/>
        </w:rPr>
        <w:t>Th</w:t>
      </w:r>
      <w:r w:rsidR="00691E33">
        <w:rPr>
          <w:rStyle w:val="charBoldItals"/>
          <w:rFonts w:ascii="Arial" w:hAnsi="Arial" w:cs="Arial"/>
          <w:b w:val="0"/>
          <w:i w:val="0"/>
        </w:rPr>
        <w:t>is section sets out the definitions of visitable places which are drawn from the</w:t>
      </w:r>
      <w:r w:rsidRPr="001E074B">
        <w:rPr>
          <w:rStyle w:val="charBoldItals"/>
          <w:rFonts w:ascii="Arial" w:hAnsi="Arial" w:cs="Arial"/>
          <w:b w:val="0"/>
          <w:i w:val="0"/>
        </w:rPr>
        <w:t xml:space="preserve"> Operational </w:t>
      </w:r>
      <w:r>
        <w:rPr>
          <w:rStyle w:val="charBoldItals"/>
          <w:rFonts w:ascii="Arial" w:hAnsi="Arial" w:cs="Arial"/>
          <w:b w:val="0"/>
          <w:i w:val="0"/>
        </w:rPr>
        <w:t>A</w:t>
      </w:r>
      <w:r w:rsidRPr="001E074B">
        <w:rPr>
          <w:rStyle w:val="charBoldItals"/>
          <w:rFonts w:ascii="Arial" w:hAnsi="Arial" w:cs="Arial"/>
          <w:b w:val="0"/>
          <w:i w:val="0"/>
        </w:rPr>
        <w:t>cts</w:t>
      </w:r>
      <w:r w:rsidR="00691E33">
        <w:rPr>
          <w:rStyle w:val="charBoldItals"/>
          <w:rFonts w:ascii="Arial" w:hAnsi="Arial" w:cs="Arial"/>
          <w:b w:val="0"/>
          <w:i w:val="0"/>
        </w:rPr>
        <w:t>.</w:t>
      </w:r>
    </w:p>
    <w:p w14:paraId="1CCA39A9" w14:textId="74B3DC01" w:rsidR="0017718B" w:rsidRPr="0017718B" w:rsidRDefault="0017718B" w:rsidP="0017718B">
      <w:pPr>
        <w:pStyle w:val="ListParagraph"/>
        <w:numPr>
          <w:ilvl w:val="0"/>
          <w:numId w:val="27"/>
        </w:numPr>
        <w:shd w:val="clear" w:color="auto" w:fill="D9D9D9"/>
        <w:spacing w:before="480" w:after="60"/>
        <w:rPr>
          <w:rFonts w:ascii="Arial" w:hAnsi="Arial" w:cs="Arial"/>
          <w:b/>
          <w:bCs/>
          <w:iCs/>
        </w:rPr>
      </w:pPr>
      <w:r w:rsidRPr="0017718B">
        <w:rPr>
          <w:rFonts w:ascii="Arial" w:hAnsi="Arial" w:cs="Arial"/>
          <w:b/>
          <w:bCs/>
          <w:iCs/>
        </w:rPr>
        <w:t>Register of Visitable Places</w:t>
      </w:r>
    </w:p>
    <w:p w14:paraId="1219BD03" w14:textId="77777777" w:rsidR="0017718B" w:rsidRDefault="0017718B" w:rsidP="00B85CB1">
      <w:pPr>
        <w:tabs>
          <w:tab w:val="left" w:pos="4320"/>
        </w:tabs>
        <w:rPr>
          <w:rFonts w:ascii="Arial" w:hAnsi="Arial" w:cs="Arial"/>
        </w:rPr>
      </w:pPr>
    </w:p>
    <w:p w14:paraId="469846F6" w14:textId="2C33A37E" w:rsidR="00B85CB1" w:rsidRPr="00A72E42" w:rsidRDefault="00AA3BF3" w:rsidP="00AA3BF3">
      <w:pPr>
        <w:tabs>
          <w:tab w:val="left" w:pos="4320"/>
        </w:tabs>
        <w:rPr>
          <w:rFonts w:ascii="Arial" w:hAnsi="Arial" w:cs="Arial"/>
        </w:rPr>
      </w:pPr>
      <w:r>
        <w:rPr>
          <w:rFonts w:ascii="Arial" w:hAnsi="Arial" w:cs="Arial"/>
        </w:rPr>
        <w:t xml:space="preserve">This section provides details about what must be included in the Register kept by </w:t>
      </w:r>
      <w:r w:rsidR="00B85CB1" w:rsidRPr="00DC241E">
        <w:rPr>
          <w:rFonts w:ascii="Arial" w:hAnsi="Arial" w:cs="Arial"/>
        </w:rPr>
        <w:t xml:space="preserve">the relevant Director-General for an </w:t>
      </w:r>
      <w:r>
        <w:rPr>
          <w:rFonts w:ascii="Arial" w:hAnsi="Arial" w:cs="Arial"/>
        </w:rPr>
        <w:t>O</w:t>
      </w:r>
      <w:r w:rsidR="00B85CB1" w:rsidRPr="00DC241E">
        <w:rPr>
          <w:rFonts w:ascii="Arial" w:hAnsi="Arial" w:cs="Arial"/>
        </w:rPr>
        <w:t xml:space="preserve">perational Act </w:t>
      </w:r>
      <w:r>
        <w:rPr>
          <w:rFonts w:ascii="Arial" w:hAnsi="Arial" w:cs="Arial"/>
        </w:rPr>
        <w:t>under s</w:t>
      </w:r>
      <w:r w:rsidR="00A72E42">
        <w:rPr>
          <w:rFonts w:ascii="Arial" w:hAnsi="Arial" w:cs="Arial"/>
        </w:rPr>
        <w:t xml:space="preserve">ection </w:t>
      </w:r>
      <w:r>
        <w:rPr>
          <w:rFonts w:ascii="Arial" w:hAnsi="Arial" w:cs="Arial"/>
        </w:rPr>
        <w:t xml:space="preserve">23 of the </w:t>
      </w:r>
      <w:r w:rsidRPr="008E6A4F">
        <w:rPr>
          <w:rFonts w:ascii="Arial" w:hAnsi="Arial" w:cs="Arial"/>
          <w:i/>
          <w:iCs/>
        </w:rPr>
        <w:t>Official Visitor Act 2012</w:t>
      </w:r>
      <w:r w:rsidR="00A72E42">
        <w:rPr>
          <w:rFonts w:ascii="Arial" w:hAnsi="Arial" w:cs="Arial"/>
        </w:rPr>
        <w:t>.</w:t>
      </w:r>
    </w:p>
    <w:p w14:paraId="5B22A33C" w14:textId="67945625" w:rsidR="00AA3BF3" w:rsidRDefault="00AA3BF3" w:rsidP="00AA3BF3">
      <w:pPr>
        <w:tabs>
          <w:tab w:val="left" w:pos="4320"/>
        </w:tabs>
        <w:rPr>
          <w:rFonts w:ascii="Arial" w:hAnsi="Arial" w:cs="Arial"/>
        </w:rPr>
      </w:pPr>
    </w:p>
    <w:p w14:paraId="40B9B7A9" w14:textId="540AC4EA" w:rsidR="00AA3BF3" w:rsidRDefault="00AA3BF3" w:rsidP="00AA3BF3">
      <w:pPr>
        <w:tabs>
          <w:tab w:val="left" w:pos="4320"/>
        </w:tabs>
        <w:rPr>
          <w:rFonts w:ascii="Arial" w:hAnsi="Arial" w:cs="Arial"/>
        </w:rPr>
      </w:pPr>
      <w:r>
        <w:rPr>
          <w:rFonts w:ascii="Arial" w:hAnsi="Arial" w:cs="Arial"/>
        </w:rPr>
        <w:t>This section also clarifies how places that are visitable places under more than one Operational Act may be visited, to avoid duplication of visits and how reports should be made by official visitors in these circumstances.</w:t>
      </w:r>
    </w:p>
    <w:p w14:paraId="44147585" w14:textId="4866A35B" w:rsidR="00AA3BF3" w:rsidRPr="00DC241E" w:rsidRDefault="00AA3BF3" w:rsidP="00AA3BF3">
      <w:pPr>
        <w:pStyle w:val="aDef"/>
        <w:ind w:left="0"/>
        <w:rPr>
          <w:rStyle w:val="charBoldItals"/>
          <w:rFonts w:ascii="Arial" w:hAnsi="Arial" w:cs="Arial"/>
          <w:b w:val="0"/>
          <w:bCs/>
          <w:i w:val="0"/>
          <w:iCs/>
        </w:rPr>
      </w:pPr>
      <w:r>
        <w:rPr>
          <w:rStyle w:val="charBoldItals"/>
          <w:rFonts w:ascii="Arial" w:hAnsi="Arial" w:cs="Arial"/>
          <w:b w:val="0"/>
          <w:bCs/>
          <w:i w:val="0"/>
          <w:iCs/>
        </w:rPr>
        <w:t>It provides that w</w:t>
      </w:r>
      <w:r w:rsidRPr="00DC241E">
        <w:rPr>
          <w:rStyle w:val="charBoldItals"/>
          <w:rFonts w:ascii="Arial" w:hAnsi="Arial" w:cs="Arial"/>
          <w:b w:val="0"/>
          <w:bCs/>
          <w:i w:val="0"/>
          <w:iCs/>
        </w:rPr>
        <w:t xml:space="preserve">here a place is a visitable place under more than one Operational Act, the Directors-General for the relevant operational areas may, </w:t>
      </w:r>
      <w:r w:rsidRPr="00DC241E">
        <w:rPr>
          <w:rStyle w:val="charBoldItals"/>
          <w:rFonts w:ascii="Arial" w:hAnsi="Arial" w:cs="Arial"/>
          <w:b w:val="0"/>
          <w:bCs/>
          <w:i w:val="0"/>
          <w:iCs/>
        </w:rPr>
        <w:lastRenderedPageBreak/>
        <w:t>by agreement, specify in the Register that the visitable place is to be visited primarily by official visitors under a particular Operational Act.</w:t>
      </w:r>
    </w:p>
    <w:p w14:paraId="5FED5059" w14:textId="47E777D9" w:rsidR="00AA3BF3" w:rsidRPr="00DC241E" w:rsidRDefault="00AA3BF3" w:rsidP="00AA3BF3">
      <w:pPr>
        <w:pStyle w:val="aDef"/>
        <w:ind w:left="0"/>
        <w:rPr>
          <w:rStyle w:val="charBoldItals"/>
          <w:rFonts w:ascii="Arial" w:hAnsi="Arial" w:cs="Arial"/>
          <w:b w:val="0"/>
          <w:bCs/>
          <w:i w:val="0"/>
          <w:iCs/>
        </w:rPr>
      </w:pPr>
      <w:r w:rsidRPr="00DC241E">
        <w:rPr>
          <w:rStyle w:val="charBoldItals"/>
          <w:rFonts w:ascii="Arial" w:hAnsi="Arial" w:cs="Arial"/>
          <w:b w:val="0"/>
          <w:bCs/>
          <w:i w:val="0"/>
          <w:iCs/>
        </w:rPr>
        <w:t xml:space="preserve">Where the Register does not specify who should visit a visitable place that is visitable under more than one Operational Act, </w:t>
      </w:r>
      <w:r>
        <w:rPr>
          <w:rStyle w:val="charBoldItals"/>
          <w:rFonts w:ascii="Arial" w:hAnsi="Arial" w:cs="Arial"/>
          <w:b w:val="0"/>
          <w:bCs/>
          <w:i w:val="0"/>
          <w:iCs/>
        </w:rPr>
        <w:t xml:space="preserve">the Guidelines provide that </w:t>
      </w:r>
      <w:r w:rsidRPr="00DC241E">
        <w:rPr>
          <w:rStyle w:val="charBoldItals"/>
          <w:rFonts w:ascii="Arial" w:hAnsi="Arial" w:cs="Arial"/>
          <w:b w:val="0"/>
          <w:bCs/>
          <w:i w:val="0"/>
          <w:iCs/>
        </w:rPr>
        <w:t>arrangements may be made by official visitors, in consultation with the</w:t>
      </w:r>
      <w:r w:rsidR="00563494">
        <w:rPr>
          <w:rStyle w:val="charBoldItals"/>
          <w:rFonts w:ascii="Arial" w:hAnsi="Arial" w:cs="Arial"/>
          <w:b w:val="0"/>
          <w:bCs/>
          <w:i w:val="0"/>
          <w:iCs/>
        </w:rPr>
        <w:t xml:space="preserve"> Official Visitors</w:t>
      </w:r>
      <w:r w:rsidRPr="00DC241E">
        <w:rPr>
          <w:rStyle w:val="charBoldItals"/>
          <w:rFonts w:ascii="Arial" w:hAnsi="Arial" w:cs="Arial"/>
          <w:b w:val="0"/>
          <w:bCs/>
          <w:i w:val="0"/>
          <w:iCs/>
        </w:rPr>
        <w:t xml:space="preserve"> Board </w:t>
      </w:r>
      <w:r w:rsidR="00563494">
        <w:rPr>
          <w:rStyle w:val="charBoldItals"/>
          <w:rFonts w:ascii="Arial" w:hAnsi="Arial" w:cs="Arial"/>
          <w:b w:val="0"/>
          <w:bCs/>
          <w:i w:val="0"/>
          <w:iCs/>
        </w:rPr>
        <w:t xml:space="preserve">(the Board) </w:t>
      </w:r>
      <w:r w:rsidRPr="00DC241E">
        <w:rPr>
          <w:rStyle w:val="charBoldItals"/>
          <w:rFonts w:ascii="Arial" w:hAnsi="Arial" w:cs="Arial"/>
          <w:b w:val="0"/>
          <w:bCs/>
          <w:i w:val="0"/>
          <w:iCs/>
        </w:rPr>
        <w:t>and operating entities, to ensure effective use of resources and avoid unnecessary duplication of visits.</w:t>
      </w:r>
    </w:p>
    <w:p w14:paraId="0922DCA8" w14:textId="5D803665" w:rsidR="00504D60" w:rsidRPr="00292049" w:rsidRDefault="00504D60" w:rsidP="00292049">
      <w:pPr>
        <w:pStyle w:val="ListParagraph"/>
        <w:numPr>
          <w:ilvl w:val="0"/>
          <w:numId w:val="27"/>
        </w:numPr>
        <w:shd w:val="clear" w:color="auto" w:fill="D9D9D9"/>
        <w:spacing w:before="480" w:after="60"/>
        <w:rPr>
          <w:rFonts w:ascii="Arial" w:hAnsi="Arial" w:cs="Arial"/>
          <w:b/>
        </w:rPr>
      </w:pPr>
      <w:r w:rsidRPr="00292049">
        <w:rPr>
          <w:rFonts w:ascii="Arial" w:hAnsi="Arial" w:cs="Arial"/>
          <w:b/>
        </w:rPr>
        <w:t>Assistance to Official Visitors</w:t>
      </w:r>
    </w:p>
    <w:p w14:paraId="2CF7A9E4" w14:textId="49B78A03" w:rsidR="00995C08" w:rsidRPr="00DC241E" w:rsidRDefault="00AA3BF3" w:rsidP="00AA3BF3">
      <w:pPr>
        <w:autoSpaceDE w:val="0"/>
        <w:autoSpaceDN w:val="0"/>
        <w:adjustRightInd w:val="0"/>
        <w:rPr>
          <w:rFonts w:ascii="Arial" w:hAnsi="Arial" w:cs="Arial"/>
          <w:szCs w:val="24"/>
        </w:rPr>
      </w:pPr>
      <w:r>
        <w:rPr>
          <w:rFonts w:ascii="Arial" w:hAnsi="Arial" w:cs="Arial"/>
          <w:szCs w:val="24"/>
        </w:rPr>
        <w:t>This section sets out the ways in which official visitors appointed in relation to one Operational Act may visit visitable places under another Operational Act. It also sets out the assistance that must be provided by a visitable place to the Official Visitor.</w:t>
      </w:r>
    </w:p>
    <w:p w14:paraId="66962A93" w14:textId="69CDE1C8" w:rsidR="00504D60" w:rsidRPr="00292049" w:rsidRDefault="00292049" w:rsidP="00292049">
      <w:pPr>
        <w:pStyle w:val="ListParagraph"/>
        <w:numPr>
          <w:ilvl w:val="0"/>
          <w:numId w:val="27"/>
        </w:numPr>
        <w:shd w:val="clear" w:color="auto" w:fill="D9D9D9"/>
        <w:spacing w:before="480" w:after="60"/>
        <w:rPr>
          <w:rFonts w:ascii="Arial" w:hAnsi="Arial" w:cs="Arial"/>
          <w:b/>
        </w:rPr>
      </w:pPr>
      <w:r w:rsidRPr="00292049">
        <w:rPr>
          <w:rFonts w:ascii="Arial" w:hAnsi="Arial" w:cs="Arial"/>
          <w:b/>
        </w:rPr>
        <w:t>C</w:t>
      </w:r>
      <w:r w:rsidR="00504D60" w:rsidRPr="00292049">
        <w:rPr>
          <w:rFonts w:ascii="Arial" w:hAnsi="Arial" w:cs="Arial"/>
          <w:b/>
        </w:rPr>
        <w:t xml:space="preserve">onditions of entering a visitable place </w:t>
      </w:r>
    </w:p>
    <w:p w14:paraId="07ADF2D6" w14:textId="0609FDE0" w:rsidR="00C74E38" w:rsidRDefault="00995C08" w:rsidP="00AA3BF3">
      <w:pPr>
        <w:autoSpaceDE w:val="0"/>
        <w:autoSpaceDN w:val="0"/>
        <w:adjustRightInd w:val="0"/>
        <w:spacing w:before="120" w:after="120"/>
        <w:rPr>
          <w:rFonts w:ascii="Arial" w:hAnsi="Arial" w:cs="Arial"/>
          <w:szCs w:val="24"/>
          <w:lang w:eastAsia="en-AU"/>
        </w:rPr>
      </w:pPr>
      <w:r w:rsidRPr="00DC241E">
        <w:rPr>
          <w:rFonts w:ascii="Arial" w:hAnsi="Arial" w:cs="Arial"/>
          <w:szCs w:val="24"/>
          <w:lang w:eastAsia="en-AU"/>
        </w:rPr>
        <w:t>An official visitor may, at any reasonable time, enter a visitable place, following a complaint or at the official visitor’s own initiative.</w:t>
      </w:r>
      <w:r w:rsidR="00C74E38" w:rsidRPr="00DC241E">
        <w:rPr>
          <w:rFonts w:ascii="Arial" w:hAnsi="Arial" w:cs="Arial"/>
          <w:szCs w:val="24"/>
          <w:lang w:eastAsia="en-AU"/>
        </w:rPr>
        <w:t xml:space="preserve"> </w:t>
      </w:r>
    </w:p>
    <w:p w14:paraId="746F3CE8" w14:textId="182FF223" w:rsidR="00AA3BF3" w:rsidRDefault="00AA3BF3" w:rsidP="00AA3BF3">
      <w:pPr>
        <w:autoSpaceDE w:val="0"/>
        <w:autoSpaceDN w:val="0"/>
        <w:adjustRightInd w:val="0"/>
        <w:spacing w:before="120" w:after="120"/>
        <w:rPr>
          <w:rFonts w:ascii="Arial" w:hAnsi="Arial" w:cs="Arial"/>
          <w:szCs w:val="24"/>
          <w:lang w:eastAsia="en-AU"/>
        </w:rPr>
      </w:pPr>
      <w:r>
        <w:rPr>
          <w:rFonts w:ascii="Arial" w:hAnsi="Arial" w:cs="Arial"/>
          <w:szCs w:val="24"/>
          <w:lang w:eastAsia="en-AU"/>
        </w:rPr>
        <w:t>This section provides further guidance for official visitors about determining what is a ‘reasonable time’ to visit. It provides particular guidance on the way in which visits may be conducted, other than through a face to face visit, should this be necessary during an emergency situation.</w:t>
      </w:r>
    </w:p>
    <w:p w14:paraId="4F967870" w14:textId="75936B63" w:rsidR="00BB6D99" w:rsidRDefault="00AA3BF3" w:rsidP="00AA3BF3">
      <w:pPr>
        <w:autoSpaceDE w:val="0"/>
        <w:autoSpaceDN w:val="0"/>
        <w:adjustRightInd w:val="0"/>
        <w:spacing w:before="120" w:after="120"/>
        <w:rPr>
          <w:rFonts w:ascii="Arial" w:hAnsi="Arial" w:cs="Arial"/>
          <w:szCs w:val="24"/>
          <w:lang w:eastAsia="en-AU"/>
        </w:rPr>
      </w:pPr>
      <w:r>
        <w:rPr>
          <w:rFonts w:ascii="Arial" w:hAnsi="Arial" w:cs="Arial"/>
          <w:szCs w:val="24"/>
          <w:lang w:eastAsia="en-AU"/>
        </w:rPr>
        <w:t>This section provides guidance on the kind of assistance that may be provided by the Board in such situations.</w:t>
      </w:r>
    </w:p>
    <w:p w14:paraId="64A28E23" w14:textId="0E684DA4" w:rsidR="00504D60" w:rsidRPr="00DC241E" w:rsidRDefault="00BB6D99" w:rsidP="00BB6D99">
      <w:pPr>
        <w:autoSpaceDE w:val="0"/>
        <w:autoSpaceDN w:val="0"/>
        <w:adjustRightInd w:val="0"/>
        <w:spacing w:before="120" w:after="120"/>
        <w:rPr>
          <w:rFonts w:ascii="Arial" w:hAnsi="Arial" w:cs="Arial"/>
        </w:rPr>
      </w:pPr>
      <w:r>
        <w:rPr>
          <w:rFonts w:ascii="Arial" w:hAnsi="Arial" w:cs="Arial"/>
          <w:szCs w:val="24"/>
          <w:lang w:eastAsia="en-AU"/>
        </w:rPr>
        <w:t>This section also provides particular guidance regarding visits by the homelessness official visitor.</w:t>
      </w:r>
    </w:p>
    <w:p w14:paraId="1CD876EE" w14:textId="5A6D035B" w:rsidR="00504D60" w:rsidRPr="00292049" w:rsidRDefault="00504D60" w:rsidP="00292049">
      <w:pPr>
        <w:pStyle w:val="ListParagraph"/>
        <w:numPr>
          <w:ilvl w:val="0"/>
          <w:numId w:val="27"/>
        </w:numPr>
        <w:shd w:val="clear" w:color="auto" w:fill="D9D9D9"/>
        <w:spacing w:before="480" w:after="60"/>
        <w:rPr>
          <w:rFonts w:ascii="Arial" w:hAnsi="Arial" w:cs="Arial"/>
        </w:rPr>
      </w:pPr>
      <w:r w:rsidRPr="00292049">
        <w:rPr>
          <w:rFonts w:ascii="Arial" w:hAnsi="Arial" w:cs="Arial"/>
          <w:b/>
        </w:rPr>
        <w:t>Obligations of an operating entity</w:t>
      </w:r>
    </w:p>
    <w:p w14:paraId="7E7637DF" w14:textId="77777777" w:rsidR="0017718B" w:rsidRDefault="0017718B" w:rsidP="00B67707">
      <w:pPr>
        <w:tabs>
          <w:tab w:val="left" w:pos="4320"/>
        </w:tabs>
        <w:rPr>
          <w:rFonts w:ascii="Arial" w:hAnsi="Arial" w:cs="Arial"/>
        </w:rPr>
      </w:pPr>
    </w:p>
    <w:p w14:paraId="77D30E13" w14:textId="0B284DD1" w:rsidR="00BB6D99" w:rsidRPr="00DC241E" w:rsidRDefault="00BB6D99" w:rsidP="00BB6D99">
      <w:pPr>
        <w:tabs>
          <w:tab w:val="left" w:pos="4320"/>
        </w:tabs>
        <w:rPr>
          <w:rFonts w:ascii="Arial" w:hAnsi="Arial" w:cs="Arial"/>
          <w:szCs w:val="24"/>
        </w:rPr>
      </w:pPr>
      <w:r>
        <w:rPr>
          <w:rFonts w:ascii="Arial" w:hAnsi="Arial" w:cs="Arial"/>
        </w:rPr>
        <w:t xml:space="preserve">This section sets out the obligations of operating entities who operate visitable places. These obligations are drawn from the </w:t>
      </w:r>
      <w:r w:rsidRPr="00BB6D99">
        <w:rPr>
          <w:rFonts w:ascii="Arial" w:hAnsi="Arial" w:cs="Arial"/>
          <w:i/>
          <w:iCs/>
        </w:rPr>
        <w:t>Official Visitor Act 2012</w:t>
      </w:r>
      <w:r>
        <w:rPr>
          <w:rFonts w:ascii="Arial" w:hAnsi="Arial" w:cs="Arial"/>
        </w:rPr>
        <w:t xml:space="preserve"> and </w:t>
      </w:r>
      <w:r w:rsidR="00563494">
        <w:rPr>
          <w:rFonts w:ascii="Arial" w:hAnsi="Arial" w:cs="Arial"/>
        </w:rPr>
        <w:t xml:space="preserve">the </w:t>
      </w:r>
      <w:r>
        <w:rPr>
          <w:rFonts w:ascii="Arial" w:hAnsi="Arial" w:cs="Arial"/>
        </w:rPr>
        <w:t>Operati</w:t>
      </w:r>
      <w:r w:rsidR="00563494">
        <w:rPr>
          <w:rFonts w:ascii="Arial" w:hAnsi="Arial" w:cs="Arial"/>
        </w:rPr>
        <w:t>onal</w:t>
      </w:r>
      <w:r>
        <w:rPr>
          <w:rFonts w:ascii="Arial" w:hAnsi="Arial" w:cs="Arial"/>
        </w:rPr>
        <w:t xml:space="preserve"> Acts.</w:t>
      </w:r>
    </w:p>
    <w:p w14:paraId="518E758B" w14:textId="3CC303AD" w:rsidR="00504D60" w:rsidRPr="00292049" w:rsidRDefault="00292049" w:rsidP="00292049">
      <w:pPr>
        <w:pStyle w:val="ListParagraph"/>
        <w:numPr>
          <w:ilvl w:val="0"/>
          <w:numId w:val="27"/>
        </w:numPr>
        <w:shd w:val="clear" w:color="auto" w:fill="D9D9D9"/>
        <w:spacing w:before="480" w:after="60"/>
        <w:rPr>
          <w:rFonts w:ascii="Arial" w:hAnsi="Arial" w:cs="Arial"/>
          <w:b/>
        </w:rPr>
      </w:pPr>
      <w:r w:rsidRPr="00292049">
        <w:rPr>
          <w:rFonts w:ascii="Arial" w:hAnsi="Arial" w:cs="Arial"/>
          <w:b/>
        </w:rPr>
        <w:t>R</w:t>
      </w:r>
      <w:r w:rsidR="00504D60" w:rsidRPr="00292049">
        <w:rPr>
          <w:rFonts w:ascii="Arial" w:hAnsi="Arial" w:cs="Arial"/>
          <w:b/>
        </w:rPr>
        <w:t xml:space="preserve">ecord inspection during a visit </w:t>
      </w:r>
    </w:p>
    <w:p w14:paraId="2823755C" w14:textId="77777777" w:rsidR="00BB6D99" w:rsidRDefault="00BB6D99" w:rsidP="00925554">
      <w:pPr>
        <w:tabs>
          <w:tab w:val="left" w:pos="4320"/>
        </w:tabs>
        <w:rPr>
          <w:rFonts w:ascii="Arial" w:hAnsi="Arial" w:cs="Arial"/>
        </w:rPr>
      </w:pPr>
    </w:p>
    <w:p w14:paraId="3760BE7A" w14:textId="1BF20A84" w:rsidR="00A03247" w:rsidRDefault="00BB6D99" w:rsidP="00925554">
      <w:pPr>
        <w:tabs>
          <w:tab w:val="left" w:pos="4320"/>
        </w:tabs>
        <w:rPr>
          <w:rFonts w:ascii="Arial" w:hAnsi="Arial" w:cs="Arial"/>
        </w:rPr>
      </w:pPr>
      <w:r>
        <w:rPr>
          <w:rFonts w:ascii="Arial" w:hAnsi="Arial" w:cs="Arial"/>
        </w:rPr>
        <w:t>This section provides guidance regarding the way in which official visitors may exercise powers to inspect a record without the consent of an entitled person. It confirms that r</w:t>
      </w:r>
      <w:r w:rsidR="00FB2E22" w:rsidRPr="00DC241E">
        <w:rPr>
          <w:rFonts w:ascii="Arial" w:hAnsi="Arial" w:cs="Arial"/>
        </w:rPr>
        <w:t xml:space="preserve">ecords may only be accessed without consent in very limited circumstances. </w:t>
      </w:r>
    </w:p>
    <w:p w14:paraId="2F8A3CC0" w14:textId="65496093" w:rsidR="00BB6D99" w:rsidRDefault="00BB6D99" w:rsidP="00925554">
      <w:pPr>
        <w:tabs>
          <w:tab w:val="left" w:pos="4320"/>
        </w:tabs>
        <w:rPr>
          <w:rFonts w:ascii="Arial" w:hAnsi="Arial" w:cs="Arial"/>
        </w:rPr>
      </w:pPr>
    </w:p>
    <w:p w14:paraId="0AD40F44" w14:textId="4483DBFF" w:rsidR="00BB6D99" w:rsidRPr="00DC241E" w:rsidRDefault="00BB6D99" w:rsidP="00BB6D99">
      <w:pPr>
        <w:tabs>
          <w:tab w:val="left" w:pos="4320"/>
        </w:tabs>
        <w:rPr>
          <w:rFonts w:ascii="Arial" w:hAnsi="Arial" w:cs="Arial"/>
        </w:rPr>
      </w:pPr>
      <w:r>
        <w:rPr>
          <w:rFonts w:ascii="Arial" w:hAnsi="Arial" w:cs="Arial"/>
        </w:rPr>
        <w:t>This section provides guidance on the process of seeking consent, and what is required to take reasonable steps to find out if the entitled person consents. It confirms that special communication needs must be accommodated. It notes that a young person under 18 may be able to provide consent, and notes that this must be assessed on an individual basis.</w:t>
      </w:r>
    </w:p>
    <w:p w14:paraId="658AD7A8" w14:textId="66014B25" w:rsidR="002A07BE" w:rsidRDefault="002A07BE" w:rsidP="00925554">
      <w:pPr>
        <w:tabs>
          <w:tab w:val="left" w:pos="4320"/>
        </w:tabs>
        <w:rPr>
          <w:rFonts w:ascii="Arial" w:hAnsi="Arial" w:cs="Arial"/>
        </w:rPr>
      </w:pPr>
    </w:p>
    <w:p w14:paraId="4AFC533F" w14:textId="41B634D4" w:rsidR="00BB6D99" w:rsidRPr="00DC241E" w:rsidRDefault="00BB6D99" w:rsidP="00925554">
      <w:pPr>
        <w:tabs>
          <w:tab w:val="left" w:pos="4320"/>
        </w:tabs>
        <w:rPr>
          <w:rFonts w:ascii="Arial" w:hAnsi="Arial" w:cs="Arial"/>
        </w:rPr>
      </w:pPr>
      <w:r>
        <w:rPr>
          <w:rFonts w:ascii="Arial" w:hAnsi="Arial" w:cs="Arial"/>
        </w:rPr>
        <w:t>This section also provides guidance on the requirement for the official visitor to make reasonable attempts to let the entitled person know that the records have been accessed without consent, and the way in which a visitable place may keep a record of such access.</w:t>
      </w:r>
    </w:p>
    <w:p w14:paraId="2C7353FA" w14:textId="77777777" w:rsidR="002B55EB" w:rsidRPr="00DC241E" w:rsidRDefault="002B55EB" w:rsidP="00232478">
      <w:pPr>
        <w:tabs>
          <w:tab w:val="left" w:pos="4320"/>
        </w:tabs>
        <w:rPr>
          <w:rFonts w:ascii="Arial" w:hAnsi="Arial" w:cs="Arial"/>
        </w:rPr>
      </w:pPr>
    </w:p>
    <w:p w14:paraId="3EE98DFF" w14:textId="2C10EB54" w:rsidR="00BB6D99" w:rsidRPr="008E6A4F" w:rsidRDefault="00BB6D99" w:rsidP="00BB6D99">
      <w:pPr>
        <w:tabs>
          <w:tab w:val="left" w:pos="4320"/>
        </w:tabs>
        <w:rPr>
          <w:rFonts w:ascii="Arial" w:hAnsi="Arial" w:cs="Arial"/>
        </w:rPr>
      </w:pPr>
      <w:r w:rsidRPr="008E6A4F">
        <w:rPr>
          <w:rFonts w:ascii="Arial" w:hAnsi="Arial" w:cs="Arial"/>
        </w:rPr>
        <w:t xml:space="preserve">This section provides guidance on the operation of the </w:t>
      </w:r>
    </w:p>
    <w:p w14:paraId="343C9CA3" w14:textId="435A24DC" w:rsidR="009C15AC" w:rsidRDefault="005C56BA" w:rsidP="009C15AC">
      <w:pPr>
        <w:tabs>
          <w:tab w:val="left" w:pos="4320"/>
        </w:tabs>
        <w:rPr>
          <w:rFonts w:ascii="Arial" w:hAnsi="Arial" w:cs="Arial"/>
        </w:rPr>
      </w:pPr>
      <w:r w:rsidRPr="00DC241E">
        <w:rPr>
          <w:rFonts w:ascii="Arial" w:hAnsi="Arial" w:cs="Arial"/>
          <w:i/>
          <w:iCs/>
        </w:rPr>
        <w:t>Health Records (Privacy and Access) Act 1997</w:t>
      </w:r>
      <w:r w:rsidRPr="00DC241E">
        <w:rPr>
          <w:rFonts w:ascii="Arial" w:hAnsi="Arial" w:cs="Arial"/>
        </w:rPr>
        <w:t xml:space="preserve"> </w:t>
      </w:r>
      <w:r w:rsidR="00BB6D99">
        <w:rPr>
          <w:rFonts w:ascii="Arial" w:hAnsi="Arial" w:cs="Arial"/>
        </w:rPr>
        <w:t>where the record inspected is a health record</w:t>
      </w:r>
      <w:r w:rsidR="00563494">
        <w:rPr>
          <w:rFonts w:ascii="Arial" w:hAnsi="Arial" w:cs="Arial"/>
        </w:rPr>
        <w:t>.</w:t>
      </w:r>
    </w:p>
    <w:p w14:paraId="4E5CABAA" w14:textId="54327FDC" w:rsidR="00BB6D99" w:rsidRDefault="00BB6D99" w:rsidP="009C15AC">
      <w:pPr>
        <w:tabs>
          <w:tab w:val="left" w:pos="4320"/>
        </w:tabs>
        <w:rPr>
          <w:rFonts w:ascii="Arial" w:hAnsi="Arial" w:cs="Arial"/>
        </w:rPr>
      </w:pPr>
    </w:p>
    <w:p w14:paraId="63B104A4" w14:textId="71B2E7F5" w:rsidR="00274B47" w:rsidRPr="00DC241E" w:rsidRDefault="00BB6D99" w:rsidP="009C15AC">
      <w:pPr>
        <w:tabs>
          <w:tab w:val="left" w:pos="4320"/>
        </w:tabs>
        <w:rPr>
          <w:rFonts w:ascii="Arial" w:hAnsi="Arial" w:cs="Arial"/>
        </w:rPr>
      </w:pPr>
      <w:r>
        <w:rPr>
          <w:rFonts w:ascii="Arial" w:hAnsi="Arial" w:cs="Arial"/>
        </w:rPr>
        <w:t xml:space="preserve">It also provides guidance regarding records that are sensitive information under </w:t>
      </w:r>
      <w:r w:rsidR="001E2AC2">
        <w:rPr>
          <w:rFonts w:ascii="Arial" w:hAnsi="Arial" w:cs="Arial"/>
        </w:rPr>
        <w:t>section 8</w:t>
      </w:r>
      <w:r w:rsidR="009C15AC" w:rsidRPr="00DC241E">
        <w:rPr>
          <w:rFonts w:ascii="Arial" w:hAnsi="Arial" w:cs="Arial"/>
        </w:rPr>
        <w:t xml:space="preserve">45 of the </w:t>
      </w:r>
      <w:r w:rsidR="009C15AC" w:rsidRPr="00DC241E">
        <w:rPr>
          <w:rFonts w:ascii="Arial" w:hAnsi="Arial" w:cs="Arial"/>
          <w:i/>
          <w:iCs/>
        </w:rPr>
        <w:t>Children and Young People Act 2008</w:t>
      </w:r>
      <w:r w:rsidR="00274B47" w:rsidRPr="00DC241E">
        <w:rPr>
          <w:rFonts w:ascii="Arial" w:hAnsi="Arial" w:cs="Arial"/>
          <w:i/>
          <w:iCs/>
        </w:rPr>
        <w:t>.</w:t>
      </w:r>
    </w:p>
    <w:p w14:paraId="7E88E598" w14:textId="1C062B7E" w:rsidR="00052993" w:rsidRPr="00292049" w:rsidRDefault="00052993" w:rsidP="00292049">
      <w:pPr>
        <w:pStyle w:val="ListParagraph"/>
        <w:numPr>
          <w:ilvl w:val="0"/>
          <w:numId w:val="27"/>
        </w:numPr>
        <w:shd w:val="clear" w:color="auto" w:fill="D9D9D9"/>
        <w:spacing w:before="480" w:after="60"/>
        <w:rPr>
          <w:rFonts w:ascii="Arial" w:hAnsi="Arial" w:cs="Arial"/>
          <w:b/>
        </w:rPr>
      </w:pPr>
      <w:r w:rsidRPr="00292049">
        <w:rPr>
          <w:rFonts w:ascii="Arial" w:hAnsi="Arial" w:cs="Arial"/>
          <w:b/>
        </w:rPr>
        <w:t>Complaints</w:t>
      </w:r>
    </w:p>
    <w:p w14:paraId="4971E8FD" w14:textId="436EDF96" w:rsidR="00052993" w:rsidRDefault="001E2AC2" w:rsidP="00232478">
      <w:pPr>
        <w:tabs>
          <w:tab w:val="left" w:pos="4320"/>
        </w:tabs>
        <w:rPr>
          <w:rFonts w:ascii="Arial" w:hAnsi="Arial" w:cs="Arial"/>
        </w:rPr>
      </w:pPr>
      <w:r>
        <w:rPr>
          <w:rFonts w:ascii="Arial" w:hAnsi="Arial" w:cs="Arial"/>
        </w:rPr>
        <w:t>This section provides guidance on the circumstances in which a complaint can be made and investigated by an official visitor.</w:t>
      </w:r>
    </w:p>
    <w:p w14:paraId="0F84680B" w14:textId="5E86357A" w:rsidR="001E2AC2" w:rsidRDefault="001E2AC2" w:rsidP="00232478">
      <w:pPr>
        <w:tabs>
          <w:tab w:val="left" w:pos="4320"/>
        </w:tabs>
        <w:rPr>
          <w:rFonts w:ascii="Arial" w:hAnsi="Arial" w:cs="Arial"/>
        </w:rPr>
      </w:pPr>
    </w:p>
    <w:p w14:paraId="5DBE6960" w14:textId="56D657E0" w:rsidR="001E2AC2" w:rsidRDefault="001E2AC2" w:rsidP="00232478">
      <w:pPr>
        <w:tabs>
          <w:tab w:val="left" w:pos="4320"/>
        </w:tabs>
        <w:rPr>
          <w:rFonts w:ascii="Arial" w:hAnsi="Arial" w:cs="Arial"/>
        </w:rPr>
      </w:pPr>
      <w:r>
        <w:rPr>
          <w:rFonts w:ascii="Arial" w:hAnsi="Arial" w:cs="Arial"/>
        </w:rPr>
        <w:t>It provides guidance on the referral of complaints to other investigative bodies and on dealing with frivolous, vexatious or dishonest complaints. It provides detail of the process for resolving, withdrawing</w:t>
      </w:r>
      <w:r w:rsidR="005E18C0">
        <w:rPr>
          <w:rFonts w:ascii="Arial" w:hAnsi="Arial" w:cs="Arial"/>
        </w:rPr>
        <w:t xml:space="preserve">, </w:t>
      </w:r>
      <w:r>
        <w:rPr>
          <w:rFonts w:ascii="Arial" w:hAnsi="Arial" w:cs="Arial"/>
        </w:rPr>
        <w:t>closing</w:t>
      </w:r>
      <w:r w:rsidR="005E18C0">
        <w:rPr>
          <w:rFonts w:ascii="Arial" w:hAnsi="Arial" w:cs="Arial"/>
        </w:rPr>
        <w:t xml:space="preserve"> and re-opening</w:t>
      </w:r>
      <w:r>
        <w:rPr>
          <w:rFonts w:ascii="Arial" w:hAnsi="Arial" w:cs="Arial"/>
        </w:rPr>
        <w:t xml:space="preserve"> complaints.</w:t>
      </w:r>
    </w:p>
    <w:p w14:paraId="1A22A736" w14:textId="3E75944A" w:rsidR="001E2AC2" w:rsidRDefault="001E2AC2" w:rsidP="00232478">
      <w:pPr>
        <w:tabs>
          <w:tab w:val="left" w:pos="4320"/>
        </w:tabs>
        <w:rPr>
          <w:rFonts w:ascii="Arial" w:hAnsi="Arial" w:cs="Arial"/>
        </w:rPr>
      </w:pPr>
    </w:p>
    <w:p w14:paraId="6A220FE0" w14:textId="6EC548B3" w:rsidR="0043575A" w:rsidRPr="00DC241E" w:rsidRDefault="001E2AC2" w:rsidP="001E2AC2">
      <w:pPr>
        <w:tabs>
          <w:tab w:val="left" w:pos="4320"/>
        </w:tabs>
        <w:rPr>
          <w:rFonts w:ascii="Arial" w:hAnsi="Arial" w:cs="Arial"/>
        </w:rPr>
      </w:pPr>
      <w:r>
        <w:rPr>
          <w:rFonts w:ascii="Arial" w:hAnsi="Arial" w:cs="Arial"/>
        </w:rPr>
        <w:t>This section also provides guidance on the range of reports that must be made if the</w:t>
      </w:r>
      <w:r w:rsidR="0043575A" w:rsidRPr="00DC241E">
        <w:rPr>
          <w:rFonts w:ascii="Arial" w:hAnsi="Arial" w:cs="Arial"/>
        </w:rPr>
        <w:t xml:space="preserve"> official visitor believes </w:t>
      </w:r>
      <w:r>
        <w:rPr>
          <w:rFonts w:ascii="Arial" w:hAnsi="Arial" w:cs="Arial"/>
        </w:rPr>
        <w:t>a</w:t>
      </w:r>
      <w:r w:rsidR="0043575A" w:rsidRPr="00DC241E">
        <w:rPr>
          <w:rFonts w:ascii="Arial" w:hAnsi="Arial" w:cs="Arial"/>
        </w:rPr>
        <w:t xml:space="preserve"> </w:t>
      </w:r>
      <w:r>
        <w:rPr>
          <w:rFonts w:ascii="Arial" w:hAnsi="Arial" w:cs="Arial"/>
        </w:rPr>
        <w:t xml:space="preserve">visitable </w:t>
      </w:r>
      <w:r w:rsidR="0043575A" w:rsidRPr="00DC241E">
        <w:rPr>
          <w:rFonts w:ascii="Arial" w:hAnsi="Arial" w:cs="Arial"/>
        </w:rPr>
        <w:t>place is non-compliant</w:t>
      </w:r>
      <w:r>
        <w:rPr>
          <w:rFonts w:ascii="Arial" w:hAnsi="Arial" w:cs="Arial"/>
        </w:rPr>
        <w:t>.</w:t>
      </w:r>
    </w:p>
    <w:p w14:paraId="1B003AC0" w14:textId="3DC14977" w:rsidR="003F125B" w:rsidRPr="00CE3099" w:rsidRDefault="00CE3099" w:rsidP="00CE3099">
      <w:pPr>
        <w:pStyle w:val="ListParagraph"/>
        <w:numPr>
          <w:ilvl w:val="0"/>
          <w:numId w:val="27"/>
        </w:numPr>
        <w:shd w:val="clear" w:color="auto" w:fill="D9D9D9"/>
        <w:spacing w:before="480" w:after="60"/>
        <w:rPr>
          <w:rFonts w:ascii="Arial" w:hAnsi="Arial" w:cs="Arial"/>
          <w:b/>
        </w:rPr>
      </w:pPr>
      <w:r>
        <w:rPr>
          <w:rFonts w:ascii="Arial" w:hAnsi="Arial" w:cs="Arial"/>
          <w:b/>
        </w:rPr>
        <w:t>Reporting</w:t>
      </w:r>
    </w:p>
    <w:p w14:paraId="68FB6100" w14:textId="77777777" w:rsidR="00CE3099" w:rsidRDefault="00CE3099" w:rsidP="00E720B3">
      <w:pPr>
        <w:tabs>
          <w:tab w:val="left" w:pos="4320"/>
        </w:tabs>
        <w:rPr>
          <w:rFonts w:ascii="Arial" w:hAnsi="Arial" w:cs="Arial"/>
          <w:u w:val="single"/>
        </w:rPr>
      </w:pPr>
    </w:p>
    <w:p w14:paraId="32231D47" w14:textId="77777777" w:rsidR="005E18C0" w:rsidRPr="005E18C0" w:rsidRDefault="005E18C0" w:rsidP="00E720B3">
      <w:pPr>
        <w:tabs>
          <w:tab w:val="left" w:pos="4320"/>
        </w:tabs>
        <w:rPr>
          <w:rFonts w:ascii="Arial" w:hAnsi="Arial" w:cs="Arial"/>
        </w:rPr>
      </w:pPr>
      <w:r w:rsidRPr="005E18C0">
        <w:rPr>
          <w:rFonts w:ascii="Arial" w:hAnsi="Arial" w:cs="Arial"/>
        </w:rPr>
        <w:t>This section provides guidance on the reporting requirements of the official visitors, board and Ministers.</w:t>
      </w:r>
    </w:p>
    <w:p w14:paraId="5A8FB988" w14:textId="77777777" w:rsidR="005E18C0" w:rsidRPr="005E18C0" w:rsidRDefault="005E18C0" w:rsidP="00E720B3">
      <w:pPr>
        <w:tabs>
          <w:tab w:val="left" w:pos="4320"/>
        </w:tabs>
        <w:rPr>
          <w:rFonts w:ascii="Arial" w:hAnsi="Arial" w:cs="Arial"/>
        </w:rPr>
      </w:pPr>
    </w:p>
    <w:p w14:paraId="42B7C7A5" w14:textId="65820FD3" w:rsidR="005E18C0" w:rsidRPr="005E18C0" w:rsidRDefault="005E18C0" w:rsidP="00E720B3">
      <w:pPr>
        <w:tabs>
          <w:tab w:val="left" w:pos="4320"/>
        </w:tabs>
        <w:rPr>
          <w:rFonts w:ascii="Arial" w:hAnsi="Arial" w:cs="Arial"/>
        </w:rPr>
      </w:pPr>
      <w:r w:rsidRPr="005E18C0">
        <w:rPr>
          <w:rFonts w:ascii="Arial" w:hAnsi="Arial" w:cs="Arial"/>
        </w:rPr>
        <w:t>It sets out the requirements for quarterly reports that must be prepared by the official visitors for the operational Minister, and summary reports to be provided to the Minister for the Official Visitor Scheme</w:t>
      </w:r>
    </w:p>
    <w:p w14:paraId="17185677" w14:textId="49A5F1C9" w:rsidR="005E18C0" w:rsidRDefault="005E18C0" w:rsidP="00E720B3">
      <w:pPr>
        <w:tabs>
          <w:tab w:val="left" w:pos="4320"/>
        </w:tabs>
        <w:rPr>
          <w:rFonts w:ascii="Arial" w:hAnsi="Arial" w:cs="Arial"/>
        </w:rPr>
      </w:pPr>
    </w:p>
    <w:p w14:paraId="619F0ED7" w14:textId="32905E27" w:rsidR="00E720B3" w:rsidRDefault="005E18C0" w:rsidP="005E18C0">
      <w:pPr>
        <w:tabs>
          <w:tab w:val="left" w:pos="4320"/>
        </w:tabs>
        <w:rPr>
          <w:rFonts w:ascii="Arial" w:hAnsi="Arial" w:cs="Arial"/>
        </w:rPr>
      </w:pPr>
      <w:r>
        <w:rPr>
          <w:rFonts w:ascii="Arial" w:hAnsi="Arial" w:cs="Arial"/>
        </w:rPr>
        <w:t>It provides guidance on protecting privacy of eligible persons in reports.</w:t>
      </w:r>
    </w:p>
    <w:p w14:paraId="6778BDEE" w14:textId="1E1B4368" w:rsidR="005E18C0" w:rsidRDefault="005E18C0" w:rsidP="005E18C0">
      <w:pPr>
        <w:tabs>
          <w:tab w:val="left" w:pos="4320"/>
        </w:tabs>
        <w:rPr>
          <w:rFonts w:ascii="Arial" w:hAnsi="Arial" w:cs="Arial"/>
        </w:rPr>
      </w:pPr>
    </w:p>
    <w:p w14:paraId="16F5AE7F" w14:textId="79B742B1" w:rsidR="005E18C0" w:rsidRDefault="005E18C0" w:rsidP="005E18C0">
      <w:pPr>
        <w:tabs>
          <w:tab w:val="left" w:pos="4320"/>
        </w:tabs>
        <w:rPr>
          <w:rFonts w:ascii="Arial" w:hAnsi="Arial" w:cs="Arial"/>
        </w:rPr>
      </w:pPr>
      <w:r>
        <w:rPr>
          <w:rFonts w:ascii="Arial" w:hAnsi="Arial" w:cs="Arial"/>
        </w:rPr>
        <w:t xml:space="preserve">This section also sets out requirements for the Annual </w:t>
      </w:r>
      <w:r w:rsidR="00563494">
        <w:rPr>
          <w:rFonts w:ascii="Arial" w:hAnsi="Arial" w:cs="Arial"/>
        </w:rPr>
        <w:t>R</w:t>
      </w:r>
      <w:r>
        <w:rPr>
          <w:rFonts w:ascii="Arial" w:hAnsi="Arial" w:cs="Arial"/>
        </w:rPr>
        <w:t xml:space="preserve">eport which is to be provided by the </w:t>
      </w:r>
      <w:r w:rsidR="00563494">
        <w:rPr>
          <w:rFonts w:ascii="Arial" w:hAnsi="Arial" w:cs="Arial"/>
        </w:rPr>
        <w:t>Board</w:t>
      </w:r>
      <w:r>
        <w:rPr>
          <w:rFonts w:ascii="Arial" w:hAnsi="Arial" w:cs="Arial"/>
        </w:rPr>
        <w:t xml:space="preserve"> to the Minister, and presented to the Assembly. </w:t>
      </w:r>
    </w:p>
    <w:sectPr w:rsidR="005E18C0" w:rsidSect="00DC241E">
      <w:headerReference w:type="even" r:id="rId8"/>
      <w:headerReference w:type="default" r:id="rId9"/>
      <w:footerReference w:type="even" r:id="rId10"/>
      <w:footerReference w:type="default" r:id="rId11"/>
      <w:headerReference w:type="first" r:id="rId12"/>
      <w:footerReference w:type="first" r:id="rId13"/>
      <w:pgSz w:w="11907" w:h="16839" w:code="9"/>
      <w:pgMar w:top="1440" w:right="1800" w:bottom="1440" w:left="180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C76F9" w14:textId="77777777" w:rsidR="006D1169" w:rsidRDefault="006D1169" w:rsidP="00F10CB2">
      <w:r>
        <w:separator/>
      </w:r>
    </w:p>
  </w:endnote>
  <w:endnote w:type="continuationSeparator" w:id="0">
    <w:p w14:paraId="17CE33EF" w14:textId="77777777" w:rsidR="006D1169" w:rsidRDefault="006D1169" w:rsidP="00F10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9543" w14:textId="77777777" w:rsidR="00DD1150" w:rsidRDefault="00DD11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31355"/>
      <w:docPartObj>
        <w:docPartGallery w:val="Page Numbers (Bottom of Page)"/>
        <w:docPartUnique/>
      </w:docPartObj>
    </w:sdtPr>
    <w:sdtEndPr>
      <w:rPr>
        <w:noProof/>
      </w:rPr>
    </w:sdtEndPr>
    <w:sdtContent>
      <w:p w14:paraId="130F043B" w14:textId="2F340BB0" w:rsidR="00DC241E" w:rsidRDefault="00DC2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4B4961" w14:textId="0D4A1F48" w:rsidR="00AB075D" w:rsidRPr="00DD1150" w:rsidRDefault="00DD1150" w:rsidP="00DD1150">
    <w:pPr>
      <w:pStyle w:val="Footer"/>
      <w:jc w:val="center"/>
      <w:rPr>
        <w:rFonts w:cs="Arial"/>
        <w:sz w:val="14"/>
      </w:rPr>
    </w:pPr>
    <w:r w:rsidRPr="00DD1150">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C51480" w14:textId="6AB06CC8" w:rsidR="00DD1150" w:rsidRPr="00DD1150" w:rsidRDefault="00DD1150" w:rsidP="00DD1150">
    <w:pPr>
      <w:pStyle w:val="Footer"/>
      <w:jc w:val="center"/>
      <w:rPr>
        <w:rFonts w:cs="Arial"/>
        <w:sz w:val="14"/>
      </w:rPr>
    </w:pPr>
    <w:r w:rsidRPr="00DD1150">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731C11" w14:textId="77777777" w:rsidR="006D1169" w:rsidRDefault="006D1169" w:rsidP="00F10CB2">
      <w:r>
        <w:separator/>
      </w:r>
    </w:p>
  </w:footnote>
  <w:footnote w:type="continuationSeparator" w:id="0">
    <w:p w14:paraId="49611CF5" w14:textId="77777777" w:rsidR="006D1169" w:rsidRDefault="006D1169" w:rsidP="00F10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71961" w14:textId="29008351" w:rsidR="00AB075D" w:rsidRDefault="00AB07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FF3C" w14:textId="13BA7F83" w:rsidR="00AB075D" w:rsidRDefault="00AB07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52C7C" w14:textId="223366EE" w:rsidR="00AB075D" w:rsidRDefault="00AB07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26206AF"/>
    <w:multiLevelType w:val="hybridMultilevel"/>
    <w:tmpl w:val="40461B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7153BC"/>
    <w:multiLevelType w:val="hybridMultilevel"/>
    <w:tmpl w:val="17A222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5"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400F88"/>
    <w:multiLevelType w:val="hybridMultilevel"/>
    <w:tmpl w:val="1C4E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F451A9"/>
    <w:multiLevelType w:val="hybridMultilevel"/>
    <w:tmpl w:val="8A2ADC90"/>
    <w:lvl w:ilvl="0" w:tplc="2EBA11C2">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80708DB"/>
    <w:multiLevelType w:val="hybridMultilevel"/>
    <w:tmpl w:val="EB98D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D931D7"/>
    <w:multiLevelType w:val="hybridMultilevel"/>
    <w:tmpl w:val="925C6A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4709E0"/>
    <w:multiLevelType w:val="hybridMultilevel"/>
    <w:tmpl w:val="25DA6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5356D2"/>
    <w:multiLevelType w:val="hybridMultilevel"/>
    <w:tmpl w:val="E618D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2385057"/>
    <w:multiLevelType w:val="multilevel"/>
    <w:tmpl w:val="D4009D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3"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14"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15"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16" w15:restartNumberingAfterBreak="0">
    <w:nsid w:val="3FD51966"/>
    <w:multiLevelType w:val="hybridMultilevel"/>
    <w:tmpl w:val="43C89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8D7C68"/>
    <w:multiLevelType w:val="hybridMultilevel"/>
    <w:tmpl w:val="FC807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D610F6"/>
    <w:multiLevelType w:val="hybridMultilevel"/>
    <w:tmpl w:val="9B7EC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B64628D"/>
    <w:multiLevelType w:val="hybridMultilevel"/>
    <w:tmpl w:val="3228AB5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CF3CFF"/>
    <w:multiLevelType w:val="hybridMultilevel"/>
    <w:tmpl w:val="4D6E01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60051E"/>
    <w:multiLevelType w:val="hybridMultilevel"/>
    <w:tmpl w:val="E0B4E9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0054E7"/>
    <w:multiLevelType w:val="hybridMultilevel"/>
    <w:tmpl w:val="D264F4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15:restartNumberingAfterBreak="0">
    <w:nsid w:val="76B1397C"/>
    <w:multiLevelType w:val="hybridMultilevel"/>
    <w:tmpl w:val="12326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98B0992"/>
    <w:multiLevelType w:val="hybridMultilevel"/>
    <w:tmpl w:val="9168E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AE323F7"/>
    <w:multiLevelType w:val="hybridMultilevel"/>
    <w:tmpl w:val="C3B81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5"/>
  </w:num>
  <w:num w:numId="5">
    <w:abstractNumId w:val="23"/>
  </w:num>
  <w:num w:numId="6">
    <w:abstractNumId w:val="3"/>
  </w:num>
  <w:num w:numId="7">
    <w:abstractNumId w:val="13"/>
  </w:num>
  <w:num w:numId="8">
    <w:abstractNumId w:val="14"/>
  </w:num>
  <w:num w:numId="9">
    <w:abstractNumId w:val="12"/>
  </w:num>
  <w:num w:numId="10">
    <w:abstractNumId w:val="22"/>
  </w:num>
  <w:num w:numId="11">
    <w:abstractNumId w:val="19"/>
  </w:num>
  <w:num w:numId="12">
    <w:abstractNumId w:val="10"/>
  </w:num>
  <w:num w:numId="13">
    <w:abstractNumId w:val="9"/>
  </w:num>
  <w:num w:numId="14">
    <w:abstractNumId w:val="17"/>
  </w:num>
  <w:num w:numId="15">
    <w:abstractNumId w:val="20"/>
  </w:num>
  <w:num w:numId="16">
    <w:abstractNumId w:val="25"/>
  </w:num>
  <w:num w:numId="17">
    <w:abstractNumId w:val="21"/>
  </w:num>
  <w:num w:numId="18">
    <w:abstractNumId w:val="26"/>
  </w:num>
  <w:num w:numId="19">
    <w:abstractNumId w:val="1"/>
  </w:num>
  <w:num w:numId="20">
    <w:abstractNumId w:val="24"/>
  </w:num>
  <w:num w:numId="21">
    <w:abstractNumId w:val="11"/>
  </w:num>
  <w:num w:numId="22">
    <w:abstractNumId w:val="8"/>
  </w:num>
  <w:num w:numId="23">
    <w:abstractNumId w:val="2"/>
  </w:num>
  <w:num w:numId="24">
    <w:abstractNumId w:val="18"/>
  </w:num>
  <w:num w:numId="25">
    <w:abstractNumId w:val="6"/>
  </w:num>
  <w:num w:numId="26">
    <w:abstractNumId w:val="1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85C"/>
    <w:rsid w:val="00000722"/>
    <w:rsid w:val="0000563A"/>
    <w:rsid w:val="00021035"/>
    <w:rsid w:val="000213F1"/>
    <w:rsid w:val="00022B16"/>
    <w:rsid w:val="00025CD7"/>
    <w:rsid w:val="00035389"/>
    <w:rsid w:val="000374FF"/>
    <w:rsid w:val="000465F9"/>
    <w:rsid w:val="00052993"/>
    <w:rsid w:val="00062875"/>
    <w:rsid w:val="00063C22"/>
    <w:rsid w:val="00067395"/>
    <w:rsid w:val="00067F68"/>
    <w:rsid w:val="0007441A"/>
    <w:rsid w:val="00085A53"/>
    <w:rsid w:val="00094FE0"/>
    <w:rsid w:val="000A1A69"/>
    <w:rsid w:val="000B1A8C"/>
    <w:rsid w:val="000B1EFB"/>
    <w:rsid w:val="000B6367"/>
    <w:rsid w:val="000C22CE"/>
    <w:rsid w:val="000D1D75"/>
    <w:rsid w:val="000D22B4"/>
    <w:rsid w:val="000E0E57"/>
    <w:rsid w:val="000F1F13"/>
    <w:rsid w:val="00161BC6"/>
    <w:rsid w:val="0017131E"/>
    <w:rsid w:val="001725BA"/>
    <w:rsid w:val="001729BA"/>
    <w:rsid w:val="00175C7B"/>
    <w:rsid w:val="0017718B"/>
    <w:rsid w:val="00180CAA"/>
    <w:rsid w:val="00183A91"/>
    <w:rsid w:val="0018438C"/>
    <w:rsid w:val="00194AC7"/>
    <w:rsid w:val="001962A9"/>
    <w:rsid w:val="001C38D0"/>
    <w:rsid w:val="001D540F"/>
    <w:rsid w:val="001D6D79"/>
    <w:rsid w:val="001E074B"/>
    <w:rsid w:val="001E2AC2"/>
    <w:rsid w:val="001E612C"/>
    <w:rsid w:val="001F5DE8"/>
    <w:rsid w:val="001F7AA1"/>
    <w:rsid w:val="002002AD"/>
    <w:rsid w:val="00214D2D"/>
    <w:rsid w:val="00216EFA"/>
    <w:rsid w:val="00231F33"/>
    <w:rsid w:val="00232478"/>
    <w:rsid w:val="00232B57"/>
    <w:rsid w:val="002402A4"/>
    <w:rsid w:val="00241A41"/>
    <w:rsid w:val="00245831"/>
    <w:rsid w:val="00274B47"/>
    <w:rsid w:val="00283180"/>
    <w:rsid w:val="00286B48"/>
    <w:rsid w:val="00290DF5"/>
    <w:rsid w:val="00292049"/>
    <w:rsid w:val="002A07BE"/>
    <w:rsid w:val="002A6E28"/>
    <w:rsid w:val="002B4399"/>
    <w:rsid w:val="002B55EB"/>
    <w:rsid w:val="002C0165"/>
    <w:rsid w:val="002C2FB8"/>
    <w:rsid w:val="002C6513"/>
    <w:rsid w:val="002D6B99"/>
    <w:rsid w:val="003000D4"/>
    <w:rsid w:val="00312594"/>
    <w:rsid w:val="00321A57"/>
    <w:rsid w:val="00323F62"/>
    <w:rsid w:val="0032505F"/>
    <w:rsid w:val="00325508"/>
    <w:rsid w:val="003337AD"/>
    <w:rsid w:val="0033786A"/>
    <w:rsid w:val="00337B0E"/>
    <w:rsid w:val="00351A83"/>
    <w:rsid w:val="00361DDA"/>
    <w:rsid w:val="00363D35"/>
    <w:rsid w:val="00371F33"/>
    <w:rsid w:val="00397DC3"/>
    <w:rsid w:val="003A74A7"/>
    <w:rsid w:val="003B2FE5"/>
    <w:rsid w:val="003D188F"/>
    <w:rsid w:val="003E3C66"/>
    <w:rsid w:val="003F0C54"/>
    <w:rsid w:val="003F125B"/>
    <w:rsid w:val="003F2928"/>
    <w:rsid w:val="004024FE"/>
    <w:rsid w:val="004332D2"/>
    <w:rsid w:val="0043575A"/>
    <w:rsid w:val="00443726"/>
    <w:rsid w:val="004856CF"/>
    <w:rsid w:val="00492BDB"/>
    <w:rsid w:val="004A194B"/>
    <w:rsid w:val="004A615D"/>
    <w:rsid w:val="004B05EB"/>
    <w:rsid w:val="004B4188"/>
    <w:rsid w:val="004B5F7C"/>
    <w:rsid w:val="004B7C34"/>
    <w:rsid w:val="004C5C65"/>
    <w:rsid w:val="004E4B85"/>
    <w:rsid w:val="004E7DB5"/>
    <w:rsid w:val="00502611"/>
    <w:rsid w:val="00504D60"/>
    <w:rsid w:val="00507A00"/>
    <w:rsid w:val="005229B4"/>
    <w:rsid w:val="0053119C"/>
    <w:rsid w:val="00537CFE"/>
    <w:rsid w:val="005438BC"/>
    <w:rsid w:val="00547414"/>
    <w:rsid w:val="005610FC"/>
    <w:rsid w:val="00563494"/>
    <w:rsid w:val="005671DD"/>
    <w:rsid w:val="00576C83"/>
    <w:rsid w:val="005808E8"/>
    <w:rsid w:val="00580F89"/>
    <w:rsid w:val="00583F1A"/>
    <w:rsid w:val="00583F29"/>
    <w:rsid w:val="00584178"/>
    <w:rsid w:val="0058779D"/>
    <w:rsid w:val="005879AE"/>
    <w:rsid w:val="005914FE"/>
    <w:rsid w:val="005978B5"/>
    <w:rsid w:val="005A2E54"/>
    <w:rsid w:val="005C184A"/>
    <w:rsid w:val="005C56BA"/>
    <w:rsid w:val="005D16AF"/>
    <w:rsid w:val="005D5E6F"/>
    <w:rsid w:val="005E18C0"/>
    <w:rsid w:val="005F2CEE"/>
    <w:rsid w:val="00606275"/>
    <w:rsid w:val="00615042"/>
    <w:rsid w:val="0062659A"/>
    <w:rsid w:val="00627F0C"/>
    <w:rsid w:val="00633A5A"/>
    <w:rsid w:val="00635AF8"/>
    <w:rsid w:val="00645A71"/>
    <w:rsid w:val="00647DE6"/>
    <w:rsid w:val="00667281"/>
    <w:rsid w:val="00677A83"/>
    <w:rsid w:val="006827C0"/>
    <w:rsid w:val="00684588"/>
    <w:rsid w:val="00691E33"/>
    <w:rsid w:val="00696D22"/>
    <w:rsid w:val="006A6AB0"/>
    <w:rsid w:val="006B20A2"/>
    <w:rsid w:val="006C76E8"/>
    <w:rsid w:val="006D1169"/>
    <w:rsid w:val="006D6C70"/>
    <w:rsid w:val="006F7FFC"/>
    <w:rsid w:val="00700FA4"/>
    <w:rsid w:val="00704DC3"/>
    <w:rsid w:val="0072003E"/>
    <w:rsid w:val="007219B2"/>
    <w:rsid w:val="00730A3E"/>
    <w:rsid w:val="007329EA"/>
    <w:rsid w:val="00746C3F"/>
    <w:rsid w:val="00751139"/>
    <w:rsid w:val="00751EE3"/>
    <w:rsid w:val="007872D1"/>
    <w:rsid w:val="007901A4"/>
    <w:rsid w:val="007A4002"/>
    <w:rsid w:val="007A517E"/>
    <w:rsid w:val="007D6030"/>
    <w:rsid w:val="007E66AA"/>
    <w:rsid w:val="008050F9"/>
    <w:rsid w:val="00810C1A"/>
    <w:rsid w:val="008131E6"/>
    <w:rsid w:val="0082083A"/>
    <w:rsid w:val="00843B0E"/>
    <w:rsid w:val="00846D87"/>
    <w:rsid w:val="0085051E"/>
    <w:rsid w:val="008674B8"/>
    <w:rsid w:val="00870CCC"/>
    <w:rsid w:val="00880FFF"/>
    <w:rsid w:val="00884B74"/>
    <w:rsid w:val="008A50D9"/>
    <w:rsid w:val="008B40D1"/>
    <w:rsid w:val="008D05B9"/>
    <w:rsid w:val="008D05E3"/>
    <w:rsid w:val="008D0CB0"/>
    <w:rsid w:val="008D32D3"/>
    <w:rsid w:val="008D38FB"/>
    <w:rsid w:val="008E6A4F"/>
    <w:rsid w:val="008F331F"/>
    <w:rsid w:val="008F6722"/>
    <w:rsid w:val="00904439"/>
    <w:rsid w:val="009137DF"/>
    <w:rsid w:val="00915EE1"/>
    <w:rsid w:val="00925554"/>
    <w:rsid w:val="009319BD"/>
    <w:rsid w:val="00961795"/>
    <w:rsid w:val="0096311C"/>
    <w:rsid w:val="00965F70"/>
    <w:rsid w:val="00991FB8"/>
    <w:rsid w:val="00995C08"/>
    <w:rsid w:val="009B61ED"/>
    <w:rsid w:val="009C1469"/>
    <w:rsid w:val="009C15AC"/>
    <w:rsid w:val="009C67F6"/>
    <w:rsid w:val="009D430B"/>
    <w:rsid w:val="009E4195"/>
    <w:rsid w:val="009F302A"/>
    <w:rsid w:val="00A02F5D"/>
    <w:rsid w:val="00A03247"/>
    <w:rsid w:val="00A05608"/>
    <w:rsid w:val="00A0585C"/>
    <w:rsid w:val="00A109E5"/>
    <w:rsid w:val="00A1115F"/>
    <w:rsid w:val="00A364D6"/>
    <w:rsid w:val="00A40438"/>
    <w:rsid w:val="00A46BE7"/>
    <w:rsid w:val="00A6585F"/>
    <w:rsid w:val="00A72E42"/>
    <w:rsid w:val="00A76A50"/>
    <w:rsid w:val="00A87B6E"/>
    <w:rsid w:val="00AA3BF3"/>
    <w:rsid w:val="00AB075D"/>
    <w:rsid w:val="00AB69A5"/>
    <w:rsid w:val="00AC527E"/>
    <w:rsid w:val="00AD16B4"/>
    <w:rsid w:val="00AD4B56"/>
    <w:rsid w:val="00AF1728"/>
    <w:rsid w:val="00AF4DFA"/>
    <w:rsid w:val="00AF5706"/>
    <w:rsid w:val="00AF6387"/>
    <w:rsid w:val="00B23565"/>
    <w:rsid w:val="00B30B9A"/>
    <w:rsid w:val="00B4490B"/>
    <w:rsid w:val="00B55542"/>
    <w:rsid w:val="00B6600A"/>
    <w:rsid w:val="00B67707"/>
    <w:rsid w:val="00B77D69"/>
    <w:rsid w:val="00B85CB1"/>
    <w:rsid w:val="00B92107"/>
    <w:rsid w:val="00BA4D64"/>
    <w:rsid w:val="00BA52F5"/>
    <w:rsid w:val="00BB241F"/>
    <w:rsid w:val="00BB5635"/>
    <w:rsid w:val="00BB5AAC"/>
    <w:rsid w:val="00BB6D99"/>
    <w:rsid w:val="00BE2A50"/>
    <w:rsid w:val="00BE5E8A"/>
    <w:rsid w:val="00BE6C47"/>
    <w:rsid w:val="00BF574C"/>
    <w:rsid w:val="00C0770E"/>
    <w:rsid w:val="00C137D0"/>
    <w:rsid w:val="00C41B1B"/>
    <w:rsid w:val="00C447B0"/>
    <w:rsid w:val="00C5006A"/>
    <w:rsid w:val="00C56673"/>
    <w:rsid w:val="00C70A86"/>
    <w:rsid w:val="00C71BB7"/>
    <w:rsid w:val="00C74E38"/>
    <w:rsid w:val="00CA6178"/>
    <w:rsid w:val="00CB2E2D"/>
    <w:rsid w:val="00CD4E55"/>
    <w:rsid w:val="00CE3099"/>
    <w:rsid w:val="00CE3C45"/>
    <w:rsid w:val="00CE5AC0"/>
    <w:rsid w:val="00D0406F"/>
    <w:rsid w:val="00D40B28"/>
    <w:rsid w:val="00D44C93"/>
    <w:rsid w:val="00D47F13"/>
    <w:rsid w:val="00D51C36"/>
    <w:rsid w:val="00D5313F"/>
    <w:rsid w:val="00D538C4"/>
    <w:rsid w:val="00D5570F"/>
    <w:rsid w:val="00D623D2"/>
    <w:rsid w:val="00D7124D"/>
    <w:rsid w:val="00D91A91"/>
    <w:rsid w:val="00D96B78"/>
    <w:rsid w:val="00DB4494"/>
    <w:rsid w:val="00DC241E"/>
    <w:rsid w:val="00DD1150"/>
    <w:rsid w:val="00DE366D"/>
    <w:rsid w:val="00E11DEE"/>
    <w:rsid w:val="00E16E03"/>
    <w:rsid w:val="00E24FC1"/>
    <w:rsid w:val="00E40C9D"/>
    <w:rsid w:val="00E4566D"/>
    <w:rsid w:val="00E556F2"/>
    <w:rsid w:val="00E611A2"/>
    <w:rsid w:val="00E64E59"/>
    <w:rsid w:val="00E6606E"/>
    <w:rsid w:val="00E720B3"/>
    <w:rsid w:val="00E93DBF"/>
    <w:rsid w:val="00EA10CF"/>
    <w:rsid w:val="00EA7999"/>
    <w:rsid w:val="00EB218B"/>
    <w:rsid w:val="00EB3974"/>
    <w:rsid w:val="00EC14B7"/>
    <w:rsid w:val="00ED60C5"/>
    <w:rsid w:val="00ED7054"/>
    <w:rsid w:val="00EF167D"/>
    <w:rsid w:val="00F04A79"/>
    <w:rsid w:val="00F06CB4"/>
    <w:rsid w:val="00F10CB2"/>
    <w:rsid w:val="00F15AC3"/>
    <w:rsid w:val="00F2208A"/>
    <w:rsid w:val="00F34950"/>
    <w:rsid w:val="00F547DF"/>
    <w:rsid w:val="00F6320D"/>
    <w:rsid w:val="00F74946"/>
    <w:rsid w:val="00FA335B"/>
    <w:rsid w:val="00FB267E"/>
    <w:rsid w:val="00FB2E22"/>
    <w:rsid w:val="00FC66A9"/>
    <w:rsid w:val="00FD3D19"/>
    <w:rsid w:val="00FD5449"/>
    <w:rsid w:val="00FE47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22506B9"/>
  <w15:docId w15:val="{5BC8232B-60A8-4E6E-B4CF-50BB3608B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5AC3"/>
    <w:rPr>
      <w:sz w:val="24"/>
      <w:lang w:eastAsia="en-US"/>
    </w:rPr>
  </w:style>
  <w:style w:type="paragraph" w:styleId="Heading1">
    <w:name w:val="heading 1"/>
    <w:basedOn w:val="Normal"/>
    <w:next w:val="Normal"/>
    <w:qFormat/>
    <w:rsid w:val="00F15AC3"/>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F15AC3"/>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F15AC3"/>
    <w:pPr>
      <w:keepNext/>
      <w:pBdr>
        <w:right w:val="single" w:sz="4" w:space="4" w:color="auto"/>
      </w:pBdr>
      <w:outlineLvl w:val="2"/>
    </w:pPr>
    <w:rPr>
      <w:i/>
      <w:iCs/>
      <w:sz w:val="22"/>
      <w:szCs w:val="22"/>
    </w:rPr>
  </w:style>
  <w:style w:type="paragraph" w:styleId="Heading4">
    <w:name w:val="heading 4"/>
    <w:basedOn w:val="Normal"/>
    <w:next w:val="Normal"/>
    <w:qFormat/>
    <w:rsid w:val="00F15AC3"/>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15AC3"/>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F15AC3"/>
    <w:pPr>
      <w:tabs>
        <w:tab w:val="left" w:pos="2880"/>
      </w:tabs>
      <w:spacing w:before="120" w:after="60" w:line="240" w:lineRule="exact"/>
    </w:pPr>
    <w:rPr>
      <w:rFonts w:ascii="Arial" w:hAnsi="Arial"/>
      <w:sz w:val="18"/>
    </w:rPr>
  </w:style>
  <w:style w:type="paragraph" w:customStyle="1" w:styleId="Billname">
    <w:name w:val="Billname"/>
    <w:basedOn w:val="Normal"/>
    <w:uiPriority w:val="99"/>
    <w:rsid w:val="00F15AC3"/>
    <w:pPr>
      <w:tabs>
        <w:tab w:val="left" w:pos="2400"/>
        <w:tab w:val="left" w:pos="2880"/>
      </w:tabs>
      <w:spacing w:before="1220" w:after="100"/>
    </w:pPr>
    <w:rPr>
      <w:rFonts w:ascii="Arial" w:hAnsi="Arial"/>
      <w:b/>
      <w:sz w:val="40"/>
    </w:rPr>
  </w:style>
  <w:style w:type="paragraph" w:customStyle="1" w:styleId="Amain">
    <w:name w:val="A main"/>
    <w:basedOn w:val="Normal"/>
    <w:rsid w:val="00F15AC3"/>
    <w:pPr>
      <w:tabs>
        <w:tab w:val="right" w:pos="500"/>
        <w:tab w:val="left" w:pos="700"/>
      </w:tabs>
      <w:spacing w:before="80" w:after="60"/>
      <w:ind w:left="700" w:hanging="700"/>
      <w:jc w:val="both"/>
      <w:outlineLvl w:val="5"/>
    </w:pPr>
  </w:style>
  <w:style w:type="paragraph" w:customStyle="1" w:styleId="N-line3">
    <w:name w:val="N-line3"/>
    <w:basedOn w:val="Normal"/>
    <w:next w:val="Normal"/>
    <w:rsid w:val="00F15AC3"/>
    <w:pPr>
      <w:pBdr>
        <w:bottom w:val="single" w:sz="12" w:space="1" w:color="auto"/>
      </w:pBdr>
      <w:jc w:val="both"/>
    </w:pPr>
  </w:style>
  <w:style w:type="paragraph" w:customStyle="1" w:styleId="madeunder">
    <w:name w:val="made under"/>
    <w:basedOn w:val="Normal"/>
    <w:rsid w:val="00F15AC3"/>
    <w:pPr>
      <w:spacing w:before="180" w:after="60"/>
      <w:jc w:val="both"/>
    </w:pPr>
  </w:style>
  <w:style w:type="paragraph" w:customStyle="1" w:styleId="CoverActName">
    <w:name w:val="CoverActName"/>
    <w:basedOn w:val="Normal"/>
    <w:rsid w:val="00F15AC3"/>
    <w:pPr>
      <w:tabs>
        <w:tab w:val="left" w:pos="2600"/>
      </w:tabs>
      <w:spacing w:before="200" w:after="60"/>
      <w:jc w:val="both"/>
    </w:pPr>
    <w:rPr>
      <w:rFonts w:ascii="Arial" w:hAnsi="Arial"/>
      <w:b/>
    </w:rPr>
  </w:style>
  <w:style w:type="paragraph" w:customStyle="1" w:styleId="06Copyright">
    <w:name w:val="06Copyright"/>
    <w:basedOn w:val="Normal"/>
    <w:rsid w:val="00F15AC3"/>
    <w:pPr>
      <w:tabs>
        <w:tab w:val="left" w:pos="2880"/>
      </w:tabs>
    </w:pPr>
  </w:style>
  <w:style w:type="paragraph" w:customStyle="1" w:styleId="Apara">
    <w:name w:val="A para"/>
    <w:basedOn w:val="Normal"/>
    <w:rsid w:val="00F15AC3"/>
    <w:pPr>
      <w:numPr>
        <w:ilvl w:val="6"/>
        <w:numId w:val="9"/>
      </w:numPr>
      <w:spacing w:before="80" w:after="60"/>
      <w:jc w:val="both"/>
      <w:outlineLvl w:val="6"/>
    </w:pPr>
  </w:style>
  <w:style w:type="paragraph" w:customStyle="1" w:styleId="Asubpara">
    <w:name w:val="A subpara"/>
    <w:basedOn w:val="Normal"/>
    <w:rsid w:val="00F15AC3"/>
    <w:pPr>
      <w:numPr>
        <w:ilvl w:val="7"/>
        <w:numId w:val="9"/>
      </w:numPr>
      <w:spacing w:before="80" w:after="60"/>
      <w:jc w:val="both"/>
      <w:outlineLvl w:val="7"/>
    </w:pPr>
  </w:style>
  <w:style w:type="paragraph" w:customStyle="1" w:styleId="Asubsubpara">
    <w:name w:val="A subsubpara"/>
    <w:basedOn w:val="Normal"/>
    <w:rsid w:val="00F15AC3"/>
    <w:pPr>
      <w:numPr>
        <w:ilvl w:val="8"/>
        <w:numId w:val="9"/>
      </w:numPr>
      <w:spacing w:before="80" w:after="60"/>
      <w:jc w:val="both"/>
      <w:outlineLvl w:val="8"/>
    </w:pPr>
  </w:style>
  <w:style w:type="paragraph" w:customStyle="1" w:styleId="AH5Sec">
    <w:name w:val="A H5 Sec"/>
    <w:basedOn w:val="Normal"/>
    <w:next w:val="Amain"/>
    <w:rsid w:val="00F15AC3"/>
    <w:pPr>
      <w:keepNext/>
      <w:numPr>
        <w:ilvl w:val="4"/>
        <w:numId w:val="1"/>
      </w:numPr>
      <w:spacing w:before="180" w:after="60"/>
      <w:outlineLvl w:val="4"/>
    </w:pPr>
    <w:rPr>
      <w:rFonts w:ascii="Arial" w:hAnsi="Arial"/>
      <w:b/>
    </w:rPr>
  </w:style>
  <w:style w:type="paragraph" w:styleId="Header">
    <w:name w:val="header"/>
    <w:basedOn w:val="Normal"/>
    <w:semiHidden/>
    <w:rsid w:val="00F15AC3"/>
    <w:pPr>
      <w:tabs>
        <w:tab w:val="left" w:pos="2880"/>
        <w:tab w:val="center" w:pos="4153"/>
        <w:tab w:val="right" w:pos="8306"/>
      </w:tabs>
    </w:pPr>
  </w:style>
  <w:style w:type="paragraph" w:customStyle="1" w:styleId="ref">
    <w:name w:val="ref"/>
    <w:basedOn w:val="Normal"/>
    <w:next w:val="Normal"/>
    <w:rsid w:val="00F15AC3"/>
    <w:pPr>
      <w:spacing w:after="60"/>
      <w:jc w:val="both"/>
    </w:pPr>
    <w:rPr>
      <w:sz w:val="18"/>
    </w:rPr>
  </w:style>
  <w:style w:type="character" w:customStyle="1" w:styleId="CharDivText">
    <w:name w:val="CharDivText"/>
    <w:basedOn w:val="DefaultParagraphFont"/>
    <w:rsid w:val="00F15AC3"/>
  </w:style>
  <w:style w:type="paragraph" w:customStyle="1" w:styleId="CoverInForce">
    <w:name w:val="CoverInForce"/>
    <w:basedOn w:val="Normal"/>
    <w:rsid w:val="00F15AC3"/>
    <w:pPr>
      <w:tabs>
        <w:tab w:val="left" w:pos="2600"/>
      </w:tabs>
      <w:spacing w:before="200" w:after="60"/>
      <w:jc w:val="both"/>
    </w:pPr>
    <w:rPr>
      <w:rFonts w:ascii="Arial" w:hAnsi="Arial"/>
    </w:rPr>
  </w:style>
  <w:style w:type="paragraph" w:customStyle="1" w:styleId="AFHdg">
    <w:name w:val="AFHdg"/>
    <w:basedOn w:val="Normal"/>
    <w:rsid w:val="00F15AC3"/>
    <w:pPr>
      <w:tabs>
        <w:tab w:val="left" w:pos="2600"/>
      </w:tabs>
      <w:spacing w:before="80" w:after="60"/>
      <w:jc w:val="both"/>
    </w:pPr>
    <w:rPr>
      <w:rFonts w:ascii="Arial" w:hAnsi="Arial"/>
      <w:b/>
      <w:sz w:val="32"/>
    </w:rPr>
  </w:style>
  <w:style w:type="paragraph" w:customStyle="1" w:styleId="ApprFormHd">
    <w:name w:val="ApprFormHd"/>
    <w:basedOn w:val="Normal"/>
    <w:rsid w:val="00F15AC3"/>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F15AC3"/>
  </w:style>
  <w:style w:type="paragraph" w:customStyle="1" w:styleId="Aparabullet">
    <w:name w:val="A para bullet"/>
    <w:basedOn w:val="Normal"/>
    <w:rsid w:val="00F15AC3"/>
    <w:pPr>
      <w:numPr>
        <w:numId w:val="4"/>
      </w:numPr>
    </w:pPr>
  </w:style>
  <w:style w:type="paragraph" w:styleId="TOC1">
    <w:name w:val="toc 1"/>
    <w:basedOn w:val="Normal"/>
    <w:next w:val="Normal"/>
    <w:autoRedefine/>
    <w:semiHidden/>
    <w:rsid w:val="00F15AC3"/>
  </w:style>
  <w:style w:type="paragraph" w:styleId="TOC2">
    <w:name w:val="toc 2"/>
    <w:basedOn w:val="Normal"/>
    <w:next w:val="Normal"/>
    <w:autoRedefine/>
    <w:semiHidden/>
    <w:rsid w:val="00F15AC3"/>
    <w:pPr>
      <w:ind w:left="240"/>
    </w:pPr>
  </w:style>
  <w:style w:type="paragraph" w:styleId="TOC3">
    <w:name w:val="toc 3"/>
    <w:basedOn w:val="Normal"/>
    <w:next w:val="Normal"/>
    <w:autoRedefine/>
    <w:semiHidden/>
    <w:rsid w:val="00F15AC3"/>
    <w:pPr>
      <w:ind w:left="480"/>
    </w:pPr>
  </w:style>
  <w:style w:type="paragraph" w:styleId="TOC4">
    <w:name w:val="toc 4"/>
    <w:basedOn w:val="Normal"/>
    <w:next w:val="Normal"/>
    <w:autoRedefine/>
    <w:semiHidden/>
    <w:rsid w:val="00F15AC3"/>
    <w:pPr>
      <w:ind w:left="720"/>
    </w:pPr>
  </w:style>
  <w:style w:type="paragraph" w:styleId="TOC5">
    <w:name w:val="toc 5"/>
    <w:basedOn w:val="Normal"/>
    <w:next w:val="Normal"/>
    <w:autoRedefine/>
    <w:semiHidden/>
    <w:rsid w:val="00F15AC3"/>
    <w:pPr>
      <w:ind w:left="960"/>
    </w:pPr>
  </w:style>
  <w:style w:type="paragraph" w:styleId="TOC6">
    <w:name w:val="toc 6"/>
    <w:basedOn w:val="Normal"/>
    <w:next w:val="Normal"/>
    <w:autoRedefine/>
    <w:semiHidden/>
    <w:rsid w:val="00F15AC3"/>
    <w:pPr>
      <w:ind w:left="1200"/>
    </w:pPr>
  </w:style>
  <w:style w:type="paragraph" w:styleId="TOC7">
    <w:name w:val="toc 7"/>
    <w:basedOn w:val="Normal"/>
    <w:next w:val="Normal"/>
    <w:autoRedefine/>
    <w:semiHidden/>
    <w:rsid w:val="00F15AC3"/>
    <w:pPr>
      <w:ind w:left="1440"/>
    </w:pPr>
  </w:style>
  <w:style w:type="paragraph" w:styleId="TOC8">
    <w:name w:val="toc 8"/>
    <w:basedOn w:val="Normal"/>
    <w:next w:val="Normal"/>
    <w:autoRedefine/>
    <w:semiHidden/>
    <w:rsid w:val="00F15AC3"/>
    <w:pPr>
      <w:ind w:left="1680"/>
    </w:pPr>
  </w:style>
  <w:style w:type="paragraph" w:styleId="TOC9">
    <w:name w:val="toc 9"/>
    <w:basedOn w:val="Normal"/>
    <w:next w:val="Normal"/>
    <w:autoRedefine/>
    <w:semiHidden/>
    <w:rsid w:val="00F15AC3"/>
    <w:pPr>
      <w:ind w:left="1920"/>
    </w:pPr>
  </w:style>
  <w:style w:type="character" w:styleId="Hyperlink">
    <w:name w:val="Hyperlink"/>
    <w:basedOn w:val="DefaultParagraphFont"/>
    <w:semiHidden/>
    <w:rsid w:val="00F15AC3"/>
    <w:rPr>
      <w:color w:val="0000FF"/>
      <w:u w:val="single"/>
    </w:rPr>
  </w:style>
  <w:style w:type="paragraph" w:styleId="BodyTextIndent">
    <w:name w:val="Body Text Indent"/>
    <w:basedOn w:val="Normal"/>
    <w:semiHidden/>
    <w:rsid w:val="00F15AC3"/>
    <w:pPr>
      <w:spacing w:before="120" w:after="60"/>
      <w:ind w:left="709"/>
    </w:pPr>
  </w:style>
  <w:style w:type="paragraph" w:customStyle="1" w:styleId="Minister">
    <w:name w:val="Minister"/>
    <w:basedOn w:val="Normal"/>
    <w:rsid w:val="00F15AC3"/>
    <w:pPr>
      <w:spacing w:before="880" w:after="60"/>
      <w:jc w:val="right"/>
    </w:pPr>
    <w:rPr>
      <w:caps/>
      <w:szCs w:val="24"/>
    </w:rPr>
  </w:style>
  <w:style w:type="paragraph" w:customStyle="1" w:styleId="DateLine">
    <w:name w:val="DateLine"/>
    <w:basedOn w:val="Normal"/>
    <w:rsid w:val="00F15AC3"/>
    <w:pPr>
      <w:tabs>
        <w:tab w:val="left" w:pos="4320"/>
      </w:tabs>
      <w:spacing w:before="80" w:after="60"/>
      <w:jc w:val="both"/>
    </w:pPr>
    <w:rPr>
      <w:szCs w:val="24"/>
    </w:rPr>
  </w:style>
  <w:style w:type="paragraph" w:customStyle="1" w:styleId="MinisterWord">
    <w:name w:val="MinisterWord"/>
    <w:basedOn w:val="Normal"/>
    <w:rsid w:val="00F15AC3"/>
    <w:pPr>
      <w:tabs>
        <w:tab w:val="left" w:pos="2880"/>
      </w:tabs>
      <w:jc w:val="right"/>
    </w:pPr>
    <w:rPr>
      <w:szCs w:val="24"/>
    </w:rPr>
  </w:style>
  <w:style w:type="character" w:styleId="FollowedHyperlink">
    <w:name w:val="FollowedHyperlink"/>
    <w:basedOn w:val="DefaultParagraphFont"/>
    <w:semiHidden/>
    <w:rsid w:val="00F15AC3"/>
    <w:rPr>
      <w:color w:val="800080"/>
      <w:u w:val="single"/>
    </w:rPr>
  </w:style>
  <w:style w:type="character" w:styleId="FootnoteReference">
    <w:name w:val="footnote reference"/>
    <w:basedOn w:val="DefaultParagraphFont"/>
    <w:semiHidden/>
    <w:rsid w:val="00F15AC3"/>
    <w:rPr>
      <w:rFonts w:ascii="Times New Roman" w:hAnsi="Times New Roman" w:cs="Times New Roman"/>
      <w:sz w:val="24"/>
      <w:szCs w:val="24"/>
      <w:vertAlign w:val="superscript"/>
    </w:rPr>
  </w:style>
  <w:style w:type="paragraph" w:styleId="FootnoteText">
    <w:name w:val="footnote text"/>
    <w:basedOn w:val="Normal"/>
    <w:semiHidden/>
    <w:rsid w:val="00F15AC3"/>
    <w:pPr>
      <w:spacing w:before="80" w:after="60"/>
      <w:jc w:val="both"/>
    </w:pPr>
    <w:rPr>
      <w:szCs w:val="24"/>
    </w:rPr>
  </w:style>
  <w:style w:type="paragraph" w:customStyle="1" w:styleId="ShadedSchClause">
    <w:name w:val="Shaded Sch Clause"/>
    <w:basedOn w:val="Normal"/>
    <w:next w:val="Normal"/>
    <w:rsid w:val="00F15AC3"/>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F15AC3"/>
  </w:style>
  <w:style w:type="paragraph" w:styleId="ListParagraph">
    <w:name w:val="List Paragraph"/>
    <w:basedOn w:val="Normal"/>
    <w:uiPriority w:val="34"/>
    <w:qFormat/>
    <w:rsid w:val="00BE5E8A"/>
    <w:pPr>
      <w:ind w:left="720"/>
      <w:contextualSpacing/>
    </w:pPr>
  </w:style>
  <w:style w:type="paragraph" w:customStyle="1" w:styleId="aDef">
    <w:name w:val="aDef"/>
    <w:basedOn w:val="Normal"/>
    <w:link w:val="aDefChar"/>
    <w:rsid w:val="0096311C"/>
    <w:pPr>
      <w:spacing w:before="140"/>
      <w:ind w:left="1100"/>
      <w:jc w:val="both"/>
    </w:pPr>
  </w:style>
  <w:style w:type="paragraph" w:customStyle="1" w:styleId="Idefpara">
    <w:name w:val="I def para"/>
    <w:basedOn w:val="Normal"/>
    <w:rsid w:val="0096311C"/>
    <w:pPr>
      <w:tabs>
        <w:tab w:val="right" w:pos="1400"/>
        <w:tab w:val="left" w:pos="1600"/>
      </w:tabs>
      <w:spacing w:before="140"/>
      <w:ind w:left="1600" w:hanging="1600"/>
      <w:jc w:val="both"/>
    </w:pPr>
  </w:style>
  <w:style w:type="character" w:customStyle="1" w:styleId="charBoldItals">
    <w:name w:val="charBoldItals"/>
    <w:basedOn w:val="DefaultParagraphFont"/>
    <w:rsid w:val="0096311C"/>
    <w:rPr>
      <w:b/>
      <w:i/>
    </w:rPr>
  </w:style>
  <w:style w:type="character" w:customStyle="1" w:styleId="charCitHyperlinkAbbrev">
    <w:name w:val="charCitHyperlinkAbbrev"/>
    <w:basedOn w:val="Hyperlink"/>
    <w:uiPriority w:val="1"/>
    <w:rsid w:val="0096311C"/>
    <w:rPr>
      <w:color w:val="0000FF" w:themeColor="hyperlink"/>
      <w:u w:val="none"/>
    </w:rPr>
  </w:style>
  <w:style w:type="character" w:customStyle="1" w:styleId="charCitHyperlinkItal">
    <w:name w:val="charCitHyperlinkItal"/>
    <w:basedOn w:val="Hyperlink"/>
    <w:uiPriority w:val="1"/>
    <w:rsid w:val="0096311C"/>
    <w:rPr>
      <w:i/>
      <w:color w:val="0000FF" w:themeColor="hyperlink"/>
      <w:u w:val="none"/>
    </w:rPr>
  </w:style>
  <w:style w:type="paragraph" w:customStyle="1" w:styleId="aDefpara">
    <w:name w:val="aDef para"/>
    <w:basedOn w:val="Apara"/>
    <w:rsid w:val="00F34950"/>
    <w:pPr>
      <w:numPr>
        <w:ilvl w:val="0"/>
        <w:numId w:val="0"/>
      </w:numPr>
      <w:tabs>
        <w:tab w:val="right" w:pos="1400"/>
        <w:tab w:val="left" w:pos="1600"/>
      </w:tabs>
      <w:spacing w:before="140" w:after="0"/>
      <w:ind w:left="1600" w:hanging="1600"/>
    </w:pPr>
  </w:style>
  <w:style w:type="character" w:customStyle="1" w:styleId="aDefChar">
    <w:name w:val="aDef Char"/>
    <w:basedOn w:val="DefaultParagraphFont"/>
    <w:link w:val="aDef"/>
    <w:locked/>
    <w:rsid w:val="00F34950"/>
    <w:rPr>
      <w:sz w:val="24"/>
      <w:lang w:eastAsia="en-US"/>
    </w:rPr>
  </w:style>
  <w:style w:type="character" w:styleId="CommentReference">
    <w:name w:val="annotation reference"/>
    <w:basedOn w:val="DefaultParagraphFont"/>
    <w:uiPriority w:val="99"/>
    <w:semiHidden/>
    <w:unhideWhenUsed/>
    <w:rsid w:val="00995C08"/>
    <w:rPr>
      <w:sz w:val="16"/>
      <w:szCs w:val="16"/>
    </w:rPr>
  </w:style>
  <w:style w:type="paragraph" w:styleId="CommentText">
    <w:name w:val="annotation text"/>
    <w:basedOn w:val="Normal"/>
    <w:link w:val="CommentTextChar"/>
    <w:uiPriority w:val="99"/>
    <w:semiHidden/>
    <w:unhideWhenUsed/>
    <w:rsid w:val="00995C08"/>
    <w:rPr>
      <w:sz w:val="20"/>
    </w:rPr>
  </w:style>
  <w:style w:type="character" w:customStyle="1" w:styleId="CommentTextChar">
    <w:name w:val="Comment Text Char"/>
    <w:basedOn w:val="DefaultParagraphFont"/>
    <w:link w:val="CommentText"/>
    <w:uiPriority w:val="99"/>
    <w:semiHidden/>
    <w:rsid w:val="00995C08"/>
    <w:rPr>
      <w:lang w:eastAsia="en-US"/>
    </w:rPr>
  </w:style>
  <w:style w:type="paragraph" w:styleId="CommentSubject">
    <w:name w:val="annotation subject"/>
    <w:basedOn w:val="CommentText"/>
    <w:next w:val="CommentText"/>
    <w:link w:val="CommentSubjectChar"/>
    <w:uiPriority w:val="99"/>
    <w:semiHidden/>
    <w:unhideWhenUsed/>
    <w:rsid w:val="00995C08"/>
    <w:rPr>
      <w:b/>
      <w:bCs/>
    </w:rPr>
  </w:style>
  <w:style w:type="character" w:customStyle="1" w:styleId="CommentSubjectChar">
    <w:name w:val="Comment Subject Char"/>
    <w:basedOn w:val="CommentTextChar"/>
    <w:link w:val="CommentSubject"/>
    <w:uiPriority w:val="99"/>
    <w:semiHidden/>
    <w:rsid w:val="00995C08"/>
    <w:rPr>
      <w:b/>
      <w:bCs/>
      <w:lang w:eastAsia="en-US"/>
    </w:rPr>
  </w:style>
  <w:style w:type="paragraph" w:styleId="BalloonText">
    <w:name w:val="Balloon Text"/>
    <w:basedOn w:val="Normal"/>
    <w:link w:val="BalloonTextChar"/>
    <w:uiPriority w:val="99"/>
    <w:semiHidden/>
    <w:unhideWhenUsed/>
    <w:rsid w:val="00995C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C08"/>
    <w:rPr>
      <w:rFonts w:ascii="Segoe UI" w:hAnsi="Segoe UI" w:cs="Segoe UI"/>
      <w:sz w:val="18"/>
      <w:szCs w:val="18"/>
      <w:lang w:eastAsia="en-US"/>
    </w:rPr>
  </w:style>
  <w:style w:type="character" w:customStyle="1" w:styleId="FooterChar">
    <w:name w:val="Footer Char"/>
    <w:basedOn w:val="DefaultParagraphFont"/>
    <w:link w:val="Footer"/>
    <w:uiPriority w:val="99"/>
    <w:rsid w:val="00DC241E"/>
    <w:rPr>
      <w:rFonts w:ascii="Arial" w:hAnsi="Arial"/>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8054190">
      <w:bodyDiv w:val="1"/>
      <w:marLeft w:val="0"/>
      <w:marRight w:val="0"/>
      <w:marTop w:val="0"/>
      <w:marBottom w:val="0"/>
      <w:divBdr>
        <w:top w:val="none" w:sz="0" w:space="0" w:color="auto"/>
        <w:left w:val="none" w:sz="0" w:space="0" w:color="auto"/>
        <w:bottom w:val="none" w:sz="0" w:space="0" w:color="auto"/>
        <w:right w:val="none" w:sz="0" w:space="0" w:color="auto"/>
      </w:divBdr>
    </w:div>
    <w:div w:id="707994350">
      <w:bodyDiv w:val="1"/>
      <w:marLeft w:val="0"/>
      <w:marRight w:val="0"/>
      <w:marTop w:val="0"/>
      <w:marBottom w:val="0"/>
      <w:divBdr>
        <w:top w:val="none" w:sz="0" w:space="0" w:color="auto"/>
        <w:left w:val="none" w:sz="0" w:space="0" w:color="auto"/>
        <w:bottom w:val="none" w:sz="0" w:space="0" w:color="auto"/>
        <w:right w:val="none" w:sz="0" w:space="0" w:color="auto"/>
      </w:divBdr>
    </w:div>
    <w:div w:id="1101997137">
      <w:bodyDiv w:val="1"/>
      <w:marLeft w:val="0"/>
      <w:marRight w:val="0"/>
      <w:marTop w:val="0"/>
      <w:marBottom w:val="0"/>
      <w:divBdr>
        <w:top w:val="none" w:sz="0" w:space="0" w:color="auto"/>
        <w:left w:val="none" w:sz="0" w:space="0" w:color="auto"/>
        <w:bottom w:val="none" w:sz="0" w:space="0" w:color="auto"/>
        <w:right w:val="none" w:sz="0" w:space="0" w:color="auto"/>
      </w:divBdr>
    </w:div>
    <w:div w:id="1306006610">
      <w:bodyDiv w:val="1"/>
      <w:marLeft w:val="0"/>
      <w:marRight w:val="0"/>
      <w:marTop w:val="0"/>
      <w:marBottom w:val="0"/>
      <w:divBdr>
        <w:top w:val="none" w:sz="0" w:space="0" w:color="auto"/>
        <w:left w:val="none" w:sz="0" w:space="0" w:color="auto"/>
        <w:bottom w:val="none" w:sz="0" w:space="0" w:color="auto"/>
        <w:right w:val="none" w:sz="0" w:space="0" w:color="auto"/>
      </w:divBdr>
    </w:div>
    <w:div w:id="1388067228">
      <w:bodyDiv w:val="1"/>
      <w:marLeft w:val="0"/>
      <w:marRight w:val="0"/>
      <w:marTop w:val="0"/>
      <w:marBottom w:val="0"/>
      <w:divBdr>
        <w:top w:val="none" w:sz="0" w:space="0" w:color="auto"/>
        <w:left w:val="none" w:sz="0" w:space="0" w:color="auto"/>
        <w:bottom w:val="none" w:sz="0" w:space="0" w:color="auto"/>
        <w:right w:val="none" w:sz="0" w:space="0" w:color="auto"/>
      </w:divBdr>
    </w:div>
    <w:div w:id="1702975742">
      <w:bodyDiv w:val="1"/>
      <w:marLeft w:val="0"/>
      <w:marRight w:val="0"/>
      <w:marTop w:val="0"/>
      <w:marBottom w:val="0"/>
      <w:divBdr>
        <w:top w:val="none" w:sz="0" w:space="0" w:color="auto"/>
        <w:left w:val="none" w:sz="0" w:space="0" w:color="auto"/>
        <w:bottom w:val="none" w:sz="0" w:space="0" w:color="auto"/>
        <w:right w:val="none" w:sz="0" w:space="0" w:color="auto"/>
      </w:divBdr>
    </w:div>
    <w:div w:id="1737120935">
      <w:bodyDiv w:val="1"/>
      <w:marLeft w:val="0"/>
      <w:marRight w:val="0"/>
      <w:marTop w:val="0"/>
      <w:marBottom w:val="0"/>
      <w:divBdr>
        <w:top w:val="none" w:sz="0" w:space="0" w:color="auto"/>
        <w:left w:val="none" w:sz="0" w:space="0" w:color="auto"/>
        <w:bottom w:val="none" w:sz="0" w:space="0" w:color="auto"/>
        <w:right w:val="none" w:sz="0" w:space="0" w:color="auto"/>
      </w:divBdr>
    </w:div>
    <w:div w:id="203799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2EC2B-8FA2-4B4F-9BAA-85EFB8F5F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1605</Words>
  <Characters>8675</Characters>
  <Application>Microsoft Office Word</Application>
  <DocSecurity>0</DocSecurity>
  <Lines>203</Lines>
  <Paragraphs>67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Moxon, KarenL</cp:lastModifiedBy>
  <cp:revision>4</cp:revision>
  <cp:lastPrinted>2020-02-21T01:01:00Z</cp:lastPrinted>
  <dcterms:created xsi:type="dcterms:W3CDTF">2020-09-01T05:58:00Z</dcterms:created>
  <dcterms:modified xsi:type="dcterms:W3CDTF">2020-09-01T05:58:00Z</dcterms:modified>
</cp:coreProperties>
</file>