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15F1" w14:textId="77777777" w:rsidR="00867B7D" w:rsidRPr="008C3B92" w:rsidRDefault="00867B7D" w:rsidP="00867B7D">
      <w:pPr>
        <w:spacing w:after="0"/>
        <w:rPr>
          <w:rFonts w:ascii="Arial" w:hAnsi="Arial" w:cs="Arial"/>
          <w:b/>
          <w:bCs/>
          <w:sz w:val="24"/>
          <w:szCs w:val="24"/>
        </w:rPr>
      </w:pPr>
      <w:bookmarkStart w:id="0" w:name="_GoBack"/>
      <w:bookmarkEnd w:id="0"/>
    </w:p>
    <w:p w14:paraId="209A9BC4" w14:textId="77777777" w:rsidR="00867B7D" w:rsidRPr="008C3B92" w:rsidRDefault="00867B7D" w:rsidP="00867B7D">
      <w:pPr>
        <w:spacing w:after="0"/>
        <w:rPr>
          <w:rFonts w:ascii="Arial" w:hAnsi="Arial" w:cs="Arial"/>
          <w:b/>
          <w:bCs/>
          <w:sz w:val="24"/>
          <w:szCs w:val="24"/>
        </w:rPr>
      </w:pPr>
    </w:p>
    <w:p w14:paraId="6656602E" w14:textId="77777777"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1AB4A479" w14:textId="77777777" w:rsidR="00867B7D" w:rsidRPr="00BB387E" w:rsidRDefault="00867B7D" w:rsidP="00867B7D">
      <w:pPr>
        <w:spacing w:after="0"/>
        <w:jc w:val="center"/>
        <w:rPr>
          <w:rFonts w:ascii="Arial" w:hAnsi="Arial" w:cs="Arial"/>
          <w:b/>
          <w:sz w:val="24"/>
          <w:szCs w:val="24"/>
        </w:rPr>
      </w:pPr>
    </w:p>
    <w:p w14:paraId="1F166EAE" w14:textId="77777777" w:rsidR="00867B7D" w:rsidRPr="00BB387E" w:rsidRDefault="00867B7D" w:rsidP="00867B7D">
      <w:pPr>
        <w:spacing w:after="0"/>
        <w:jc w:val="center"/>
        <w:rPr>
          <w:rFonts w:ascii="Arial" w:hAnsi="Arial" w:cs="Arial"/>
          <w:b/>
          <w:sz w:val="24"/>
          <w:szCs w:val="24"/>
        </w:rPr>
      </w:pPr>
    </w:p>
    <w:p w14:paraId="3AA0CFF2" w14:textId="77777777" w:rsidR="00867B7D" w:rsidRPr="00BB387E" w:rsidRDefault="00867B7D" w:rsidP="00867B7D">
      <w:pPr>
        <w:spacing w:after="0"/>
        <w:jc w:val="center"/>
        <w:rPr>
          <w:rFonts w:ascii="Arial" w:hAnsi="Arial" w:cs="Arial"/>
          <w:b/>
          <w:sz w:val="24"/>
          <w:szCs w:val="24"/>
        </w:rPr>
      </w:pPr>
    </w:p>
    <w:p w14:paraId="46563C5F" w14:textId="77777777" w:rsidR="00867B7D" w:rsidRPr="00BB387E" w:rsidRDefault="00867B7D" w:rsidP="00867B7D">
      <w:pPr>
        <w:spacing w:after="0"/>
        <w:jc w:val="center"/>
        <w:rPr>
          <w:rFonts w:ascii="Arial" w:hAnsi="Arial" w:cs="Arial"/>
          <w:b/>
          <w:sz w:val="24"/>
          <w:szCs w:val="24"/>
        </w:rPr>
      </w:pPr>
    </w:p>
    <w:p w14:paraId="7556F0F5" w14:textId="77777777" w:rsidR="00867B7D" w:rsidRPr="00BB387E" w:rsidRDefault="00867B7D" w:rsidP="00867B7D">
      <w:pPr>
        <w:spacing w:after="0"/>
        <w:jc w:val="center"/>
        <w:rPr>
          <w:rFonts w:ascii="Arial" w:hAnsi="Arial" w:cs="Arial"/>
          <w:b/>
          <w:bCs/>
          <w:sz w:val="24"/>
          <w:szCs w:val="24"/>
        </w:rPr>
      </w:pPr>
    </w:p>
    <w:p w14:paraId="2366EF27" w14:textId="77777777" w:rsidR="00867B7D" w:rsidRPr="00BB387E" w:rsidRDefault="00867B7D" w:rsidP="00867B7D">
      <w:pPr>
        <w:spacing w:after="0"/>
        <w:jc w:val="center"/>
        <w:rPr>
          <w:rFonts w:ascii="Arial" w:hAnsi="Arial" w:cs="Arial"/>
          <w:b/>
          <w:bCs/>
          <w:sz w:val="24"/>
          <w:szCs w:val="24"/>
        </w:rPr>
      </w:pPr>
    </w:p>
    <w:p w14:paraId="3EF1604B" w14:textId="77777777"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D07EEC5" w14:textId="77777777" w:rsidR="00867B7D" w:rsidRPr="00BB387E" w:rsidRDefault="00867B7D" w:rsidP="00867B7D">
      <w:pPr>
        <w:spacing w:after="0"/>
        <w:jc w:val="center"/>
        <w:rPr>
          <w:rFonts w:ascii="Arial" w:hAnsi="Arial" w:cs="Arial"/>
          <w:b/>
          <w:sz w:val="24"/>
          <w:szCs w:val="24"/>
        </w:rPr>
      </w:pPr>
      <w:r w:rsidRPr="00BB387E">
        <w:rPr>
          <w:rFonts w:ascii="Arial" w:hAnsi="Arial" w:cs="Arial"/>
          <w:b/>
          <w:bCs/>
          <w:sz w:val="24"/>
          <w:szCs w:val="24"/>
        </w:rPr>
        <w:t>AUSTRALIAN CAPITAL TERRITORY</w:t>
      </w:r>
    </w:p>
    <w:p w14:paraId="445FC705" w14:textId="77777777" w:rsidR="00867B7D" w:rsidRPr="00BB387E" w:rsidRDefault="00867B7D" w:rsidP="00867B7D">
      <w:pPr>
        <w:spacing w:after="0"/>
        <w:jc w:val="center"/>
        <w:rPr>
          <w:rFonts w:ascii="Arial" w:hAnsi="Arial" w:cs="Arial"/>
          <w:b/>
          <w:sz w:val="24"/>
          <w:szCs w:val="24"/>
        </w:rPr>
      </w:pPr>
    </w:p>
    <w:p w14:paraId="2962E149" w14:textId="77777777" w:rsidR="00867B7D" w:rsidRPr="00BB387E" w:rsidRDefault="00867B7D" w:rsidP="00867B7D">
      <w:pPr>
        <w:spacing w:after="0"/>
        <w:jc w:val="center"/>
        <w:rPr>
          <w:rFonts w:ascii="Arial" w:hAnsi="Arial" w:cs="Arial"/>
          <w:b/>
          <w:sz w:val="24"/>
          <w:szCs w:val="24"/>
        </w:rPr>
      </w:pPr>
    </w:p>
    <w:p w14:paraId="51697886" w14:textId="77777777" w:rsidR="00867B7D" w:rsidRPr="00BB387E" w:rsidRDefault="00867B7D" w:rsidP="00867B7D">
      <w:pPr>
        <w:spacing w:after="0"/>
        <w:jc w:val="center"/>
        <w:rPr>
          <w:rFonts w:ascii="Arial" w:hAnsi="Arial" w:cs="Arial"/>
          <w:b/>
          <w:sz w:val="24"/>
          <w:szCs w:val="24"/>
        </w:rPr>
      </w:pPr>
    </w:p>
    <w:p w14:paraId="56417FB3" w14:textId="77777777" w:rsidR="00867B7D" w:rsidRPr="00BB387E" w:rsidRDefault="00867B7D" w:rsidP="00867B7D">
      <w:pPr>
        <w:spacing w:after="0"/>
        <w:jc w:val="center"/>
        <w:rPr>
          <w:rFonts w:ascii="Arial" w:hAnsi="Arial" w:cs="Arial"/>
          <w:b/>
          <w:sz w:val="24"/>
          <w:szCs w:val="24"/>
        </w:rPr>
      </w:pPr>
    </w:p>
    <w:p w14:paraId="29CCD9C2" w14:textId="77777777" w:rsidR="00867B7D" w:rsidRPr="00BB387E" w:rsidRDefault="00867B7D" w:rsidP="00867B7D">
      <w:pPr>
        <w:spacing w:after="0"/>
        <w:jc w:val="center"/>
        <w:rPr>
          <w:rFonts w:ascii="Arial" w:hAnsi="Arial" w:cs="Arial"/>
          <w:b/>
          <w:sz w:val="24"/>
          <w:szCs w:val="24"/>
        </w:rPr>
      </w:pPr>
    </w:p>
    <w:p w14:paraId="32CAB840" w14:textId="77777777" w:rsidR="00867B7D" w:rsidRPr="00BB387E" w:rsidRDefault="00867B7D" w:rsidP="00867B7D">
      <w:pPr>
        <w:spacing w:after="0"/>
        <w:jc w:val="center"/>
        <w:rPr>
          <w:rFonts w:ascii="Arial" w:hAnsi="Arial" w:cs="Arial"/>
          <w:b/>
          <w:sz w:val="24"/>
          <w:szCs w:val="24"/>
        </w:rPr>
      </w:pPr>
    </w:p>
    <w:p w14:paraId="260B41BF" w14:textId="77777777" w:rsidR="00867B7D" w:rsidRPr="00BB387E" w:rsidRDefault="00867B7D" w:rsidP="00867B7D">
      <w:pPr>
        <w:spacing w:after="0"/>
        <w:jc w:val="center"/>
        <w:rPr>
          <w:rFonts w:ascii="Arial" w:hAnsi="Arial" w:cs="Arial"/>
          <w:b/>
          <w:sz w:val="24"/>
          <w:szCs w:val="24"/>
        </w:rPr>
      </w:pPr>
    </w:p>
    <w:p w14:paraId="18E615B4" w14:textId="77777777" w:rsidR="00867B7D" w:rsidRPr="00BB387E" w:rsidRDefault="00867B7D" w:rsidP="00867B7D">
      <w:pPr>
        <w:spacing w:after="0"/>
        <w:jc w:val="center"/>
        <w:rPr>
          <w:rFonts w:ascii="Arial" w:hAnsi="Arial" w:cs="Arial"/>
          <w:b/>
          <w:sz w:val="24"/>
          <w:szCs w:val="24"/>
        </w:rPr>
      </w:pPr>
    </w:p>
    <w:p w14:paraId="4DDB61A6" w14:textId="77777777" w:rsidR="00867B7D" w:rsidRPr="00BB387E" w:rsidRDefault="00867B7D" w:rsidP="00867B7D">
      <w:pPr>
        <w:spacing w:after="0"/>
        <w:jc w:val="center"/>
        <w:rPr>
          <w:rFonts w:ascii="Arial" w:hAnsi="Arial" w:cs="Arial"/>
          <w:b/>
          <w:sz w:val="24"/>
          <w:szCs w:val="24"/>
        </w:rPr>
      </w:pPr>
    </w:p>
    <w:p w14:paraId="743DED2D" w14:textId="77777777" w:rsidR="00867B7D" w:rsidRPr="00BB387E" w:rsidRDefault="00867B7D" w:rsidP="00867B7D">
      <w:pPr>
        <w:spacing w:after="0"/>
        <w:jc w:val="center"/>
        <w:rPr>
          <w:rFonts w:ascii="Arial" w:hAnsi="Arial" w:cs="Arial"/>
          <w:b/>
          <w:sz w:val="24"/>
          <w:szCs w:val="24"/>
        </w:rPr>
      </w:pPr>
    </w:p>
    <w:p w14:paraId="06C0C951" w14:textId="6A3DF266" w:rsidR="00867B7D" w:rsidRPr="00741C4A" w:rsidRDefault="00867B7D" w:rsidP="00867B7D">
      <w:pPr>
        <w:spacing w:after="0"/>
        <w:jc w:val="center"/>
        <w:rPr>
          <w:rFonts w:ascii="Arial" w:hAnsi="Arial" w:cs="Arial"/>
          <w:b/>
          <w:bCs/>
          <w:sz w:val="24"/>
          <w:szCs w:val="24"/>
        </w:rPr>
      </w:pPr>
      <w:r>
        <w:rPr>
          <w:rFonts w:ascii="Arial" w:hAnsi="Arial" w:cs="Arial"/>
          <w:b/>
          <w:bCs/>
          <w:sz w:val="24"/>
          <w:szCs w:val="24"/>
        </w:rPr>
        <w:t>Residential Tenancies (COVID-19 Emergency Response) Declaration 2020</w:t>
      </w:r>
      <w:r w:rsidR="001219EF">
        <w:rPr>
          <w:rFonts w:ascii="Arial" w:hAnsi="Arial" w:cs="Arial"/>
          <w:b/>
          <w:bCs/>
          <w:sz w:val="24"/>
          <w:szCs w:val="24"/>
        </w:rPr>
        <w:t> </w:t>
      </w:r>
      <w:r w:rsidR="009D43D2">
        <w:rPr>
          <w:rFonts w:ascii="Arial" w:hAnsi="Arial" w:cs="Arial"/>
          <w:b/>
          <w:bCs/>
          <w:sz w:val="24"/>
          <w:szCs w:val="24"/>
        </w:rPr>
        <w:t>(No</w:t>
      </w:r>
      <w:r w:rsidR="001219EF">
        <w:rPr>
          <w:rFonts w:ascii="Arial" w:hAnsi="Arial" w:cs="Arial"/>
          <w:b/>
          <w:bCs/>
          <w:sz w:val="24"/>
          <w:szCs w:val="24"/>
        </w:rPr>
        <w:t> </w:t>
      </w:r>
      <w:r w:rsidR="00BC7437">
        <w:rPr>
          <w:rFonts w:ascii="Arial" w:hAnsi="Arial" w:cs="Arial"/>
          <w:b/>
          <w:bCs/>
          <w:sz w:val="24"/>
          <w:szCs w:val="24"/>
        </w:rPr>
        <w:t>3</w:t>
      </w:r>
      <w:r w:rsidR="009D43D2">
        <w:rPr>
          <w:rFonts w:ascii="Arial" w:hAnsi="Arial" w:cs="Arial"/>
          <w:b/>
          <w:bCs/>
          <w:sz w:val="24"/>
          <w:szCs w:val="24"/>
        </w:rPr>
        <w:t>)</w:t>
      </w:r>
    </w:p>
    <w:p w14:paraId="2CF7E68B" w14:textId="77777777" w:rsidR="00867B7D" w:rsidRPr="00BB387E" w:rsidRDefault="00867B7D" w:rsidP="00867B7D">
      <w:pPr>
        <w:spacing w:after="0"/>
        <w:jc w:val="center"/>
        <w:rPr>
          <w:rFonts w:ascii="Arial" w:hAnsi="Arial" w:cs="Arial"/>
          <w:b/>
          <w:bCs/>
          <w:sz w:val="24"/>
          <w:szCs w:val="24"/>
        </w:rPr>
      </w:pPr>
    </w:p>
    <w:p w14:paraId="3D542C3A" w14:textId="77777777" w:rsidR="00867B7D" w:rsidRPr="00BB387E" w:rsidRDefault="00867B7D" w:rsidP="00867B7D">
      <w:pPr>
        <w:spacing w:after="0"/>
        <w:jc w:val="center"/>
        <w:rPr>
          <w:rFonts w:ascii="Arial" w:hAnsi="Arial" w:cs="Arial"/>
          <w:b/>
          <w:sz w:val="24"/>
          <w:szCs w:val="24"/>
        </w:rPr>
      </w:pPr>
    </w:p>
    <w:p w14:paraId="61317CB8" w14:textId="77777777" w:rsidR="00867B7D" w:rsidRPr="00BB387E" w:rsidRDefault="00867B7D" w:rsidP="00867B7D">
      <w:pPr>
        <w:spacing w:after="0"/>
        <w:jc w:val="center"/>
        <w:rPr>
          <w:rFonts w:ascii="Arial" w:hAnsi="Arial" w:cs="Arial"/>
          <w:b/>
          <w:bCs/>
          <w:sz w:val="24"/>
          <w:szCs w:val="24"/>
        </w:rPr>
      </w:pPr>
    </w:p>
    <w:p w14:paraId="428A7BE8" w14:textId="77777777" w:rsidR="00867B7D" w:rsidRDefault="00867B7D" w:rsidP="00867B7D">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55C03DAF" w14:textId="77777777" w:rsidR="00867B7D" w:rsidRPr="00BB387E" w:rsidRDefault="00867B7D" w:rsidP="00867B7D">
      <w:pPr>
        <w:spacing w:after="0"/>
        <w:jc w:val="center"/>
        <w:rPr>
          <w:rFonts w:ascii="Arial" w:hAnsi="Arial" w:cs="Arial"/>
          <w:b/>
          <w:sz w:val="24"/>
          <w:szCs w:val="24"/>
        </w:rPr>
      </w:pPr>
    </w:p>
    <w:p w14:paraId="4B0B4A93" w14:textId="77777777" w:rsidR="00867B7D" w:rsidRPr="00BB387E" w:rsidRDefault="00867B7D" w:rsidP="00867B7D">
      <w:pPr>
        <w:spacing w:after="0"/>
        <w:jc w:val="center"/>
        <w:rPr>
          <w:rFonts w:ascii="Arial" w:hAnsi="Arial" w:cs="Arial"/>
          <w:b/>
          <w:sz w:val="24"/>
          <w:szCs w:val="24"/>
        </w:rPr>
      </w:pPr>
    </w:p>
    <w:p w14:paraId="0B38C7BE" w14:textId="77777777" w:rsidR="00867B7D" w:rsidRPr="00BB387E" w:rsidRDefault="00867B7D" w:rsidP="00867B7D">
      <w:pPr>
        <w:spacing w:after="0"/>
        <w:jc w:val="center"/>
        <w:rPr>
          <w:rFonts w:ascii="Arial" w:hAnsi="Arial" w:cs="Arial"/>
          <w:b/>
          <w:sz w:val="24"/>
          <w:szCs w:val="24"/>
        </w:rPr>
      </w:pPr>
    </w:p>
    <w:p w14:paraId="1C536B70" w14:textId="77777777" w:rsidR="00867B7D" w:rsidRPr="000F15F1" w:rsidRDefault="00867B7D" w:rsidP="00867B7D">
      <w:pPr>
        <w:spacing w:after="0"/>
        <w:jc w:val="center"/>
        <w:rPr>
          <w:rFonts w:ascii="Arial" w:hAnsi="Arial" w:cs="Arial"/>
          <w:b/>
          <w:sz w:val="24"/>
          <w:szCs w:val="24"/>
        </w:rPr>
      </w:pPr>
    </w:p>
    <w:p w14:paraId="474D6FFE" w14:textId="77777777" w:rsidR="00867B7D" w:rsidRPr="000F15F1" w:rsidRDefault="00867B7D" w:rsidP="00867B7D">
      <w:pPr>
        <w:keepNext/>
        <w:widowControl w:val="0"/>
        <w:spacing w:after="0"/>
        <w:jc w:val="center"/>
        <w:outlineLvl w:val="7"/>
        <w:rPr>
          <w:rFonts w:ascii="Arial" w:hAnsi="Arial" w:cs="Arial"/>
          <w:b/>
          <w:bCs/>
          <w:sz w:val="24"/>
          <w:szCs w:val="24"/>
        </w:rPr>
      </w:pPr>
    </w:p>
    <w:p w14:paraId="00CE47FB" w14:textId="77777777" w:rsidR="00867B7D" w:rsidRPr="000F15F1" w:rsidRDefault="00867B7D" w:rsidP="00867B7D">
      <w:pPr>
        <w:keepNext/>
        <w:widowControl w:val="0"/>
        <w:spacing w:after="0"/>
        <w:jc w:val="center"/>
        <w:outlineLvl w:val="7"/>
        <w:rPr>
          <w:rFonts w:ascii="Arial" w:hAnsi="Arial" w:cs="Arial"/>
          <w:b/>
          <w:bCs/>
          <w:sz w:val="24"/>
          <w:szCs w:val="24"/>
        </w:rPr>
      </w:pPr>
    </w:p>
    <w:p w14:paraId="04AC2075" w14:textId="77777777" w:rsidR="00867B7D" w:rsidRPr="000F15F1" w:rsidRDefault="00867B7D" w:rsidP="00867B7D">
      <w:pPr>
        <w:keepNext/>
        <w:widowControl w:val="0"/>
        <w:spacing w:after="0"/>
        <w:ind w:right="686"/>
        <w:jc w:val="right"/>
        <w:outlineLvl w:val="7"/>
        <w:rPr>
          <w:rFonts w:ascii="Arial" w:hAnsi="Arial" w:cs="Arial"/>
          <w:b/>
          <w:bCs/>
          <w:sz w:val="24"/>
          <w:szCs w:val="24"/>
        </w:rPr>
      </w:pPr>
      <w:r w:rsidRPr="000F15F1">
        <w:rPr>
          <w:rFonts w:ascii="Arial" w:hAnsi="Arial" w:cs="Arial"/>
          <w:b/>
          <w:bCs/>
          <w:sz w:val="24"/>
          <w:szCs w:val="24"/>
        </w:rPr>
        <w:t>Presented by</w:t>
      </w:r>
    </w:p>
    <w:p w14:paraId="5A65EBCA" w14:textId="77777777" w:rsidR="00867B7D" w:rsidRPr="000F15F1" w:rsidRDefault="00867B7D" w:rsidP="00867B7D">
      <w:pPr>
        <w:spacing w:after="0"/>
        <w:ind w:right="686"/>
        <w:jc w:val="right"/>
        <w:rPr>
          <w:rFonts w:ascii="Arial" w:hAnsi="Arial" w:cs="Arial"/>
          <w:b/>
          <w:bCs/>
          <w:sz w:val="24"/>
          <w:szCs w:val="24"/>
        </w:rPr>
      </w:pPr>
      <w:r w:rsidRPr="000F15F1">
        <w:rPr>
          <w:rFonts w:ascii="Arial" w:hAnsi="Arial" w:cs="Arial"/>
          <w:b/>
          <w:bCs/>
          <w:sz w:val="24"/>
          <w:szCs w:val="24"/>
        </w:rPr>
        <w:t>Gordon Ramsay MLA</w:t>
      </w:r>
    </w:p>
    <w:p w14:paraId="13138E11" w14:textId="77777777" w:rsidR="00867B7D" w:rsidRPr="000F15F1" w:rsidRDefault="00867B7D" w:rsidP="00867B7D">
      <w:pPr>
        <w:spacing w:after="0" w:line="240" w:lineRule="auto"/>
        <w:rPr>
          <w:rFonts w:ascii="Arial" w:hAnsi="Arial" w:cs="Arial"/>
          <w:b/>
          <w:bCs/>
          <w:sz w:val="24"/>
          <w:szCs w:val="24"/>
          <w:u w:val="single"/>
        </w:rPr>
        <w:sectPr w:rsidR="00867B7D" w:rsidRPr="000F15F1" w:rsidSect="00DC591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9" w:footer="675" w:gutter="0"/>
          <w:pgNumType w:start="1"/>
          <w:cols w:space="708"/>
          <w:docGrid w:linePitch="360"/>
        </w:sectPr>
      </w:pPr>
      <w:r w:rsidRPr="000F15F1">
        <w:rPr>
          <w:rFonts w:ascii="Arial" w:hAnsi="Arial" w:cs="Arial"/>
          <w:b/>
          <w:bCs/>
          <w:sz w:val="24"/>
          <w:szCs w:val="24"/>
          <w:u w:val="single"/>
        </w:rPr>
        <w:br w:type="page"/>
      </w:r>
    </w:p>
    <w:p w14:paraId="703DE90E" w14:textId="043E569E" w:rsidR="00867B7D" w:rsidRPr="000F15F1" w:rsidRDefault="00867B7D" w:rsidP="00867B7D">
      <w:pPr>
        <w:pStyle w:val="Heading1"/>
        <w:jc w:val="center"/>
      </w:pPr>
      <w:r w:rsidRPr="000F15F1">
        <w:lastRenderedPageBreak/>
        <w:t>Residential Tenancies (COVID-19 Emergency Response) Declaration 2020</w:t>
      </w:r>
      <w:r w:rsidR="009D43D2">
        <w:t xml:space="preserve"> (No </w:t>
      </w:r>
      <w:r w:rsidR="00417BBA">
        <w:t>3</w:t>
      </w:r>
      <w:r w:rsidR="009D43D2">
        <w:t>)</w:t>
      </w:r>
    </w:p>
    <w:p w14:paraId="1222B7D9" w14:textId="77777777" w:rsidR="00867B7D" w:rsidRPr="000F15F1" w:rsidRDefault="00867B7D" w:rsidP="00867B7D">
      <w:pPr>
        <w:spacing w:after="0"/>
        <w:contextualSpacing/>
        <w:rPr>
          <w:rFonts w:ascii="Arial" w:hAnsi="Arial" w:cs="Arial"/>
          <w:bCs/>
          <w:sz w:val="24"/>
          <w:szCs w:val="24"/>
        </w:rPr>
      </w:pPr>
    </w:p>
    <w:p w14:paraId="58F3B9C0" w14:textId="77777777" w:rsidR="00867B7D" w:rsidRPr="000F15F1" w:rsidRDefault="00867B7D" w:rsidP="00867B7D">
      <w:pPr>
        <w:pStyle w:val="Heading2"/>
      </w:pPr>
      <w:r w:rsidRPr="000F15F1">
        <w:t>OVERVIEW OF THE DECLARATION</w:t>
      </w:r>
    </w:p>
    <w:p w14:paraId="1929E440" w14:textId="06D09250" w:rsidR="00867B7D" w:rsidRDefault="00867B7D" w:rsidP="00867B7D">
      <w:pPr>
        <w:spacing w:after="120"/>
        <w:ind w:right="-45"/>
        <w:rPr>
          <w:rFonts w:ascii="Arial" w:hAnsi="Arial" w:cs="Arial"/>
          <w:i/>
          <w:sz w:val="24"/>
          <w:szCs w:val="24"/>
        </w:rPr>
      </w:pPr>
      <w:r>
        <w:rPr>
          <w:rFonts w:ascii="Arial" w:hAnsi="Arial" w:cs="Arial"/>
          <w:iCs/>
          <w:sz w:val="24"/>
          <w:szCs w:val="24"/>
        </w:rPr>
        <w:t xml:space="preserve">The </w:t>
      </w:r>
      <w:r w:rsidRPr="00201107">
        <w:rPr>
          <w:rFonts w:ascii="Arial" w:hAnsi="Arial" w:cs="Arial"/>
          <w:i/>
          <w:sz w:val="24"/>
          <w:szCs w:val="24"/>
        </w:rPr>
        <w:t>Residential Tenancies (COVID-19 Emergency Response) Declaration 2020</w:t>
      </w:r>
      <w:r w:rsidR="009D43D2">
        <w:rPr>
          <w:rFonts w:ascii="Arial" w:hAnsi="Arial" w:cs="Arial"/>
          <w:i/>
          <w:sz w:val="24"/>
          <w:szCs w:val="24"/>
        </w:rPr>
        <w:t xml:space="preserve"> (No</w:t>
      </w:r>
      <w:r w:rsidR="001219EF">
        <w:rPr>
          <w:rFonts w:ascii="Arial" w:hAnsi="Arial" w:cs="Arial"/>
          <w:i/>
          <w:sz w:val="24"/>
          <w:szCs w:val="24"/>
        </w:rPr>
        <w:t> </w:t>
      </w:r>
      <w:r w:rsidR="00EA45A3">
        <w:rPr>
          <w:rFonts w:ascii="Arial" w:hAnsi="Arial" w:cs="Arial"/>
          <w:i/>
          <w:sz w:val="24"/>
          <w:szCs w:val="24"/>
        </w:rPr>
        <w:t>3</w:t>
      </w:r>
      <w:r w:rsidR="009D43D2">
        <w:rPr>
          <w:rFonts w:ascii="Arial" w:hAnsi="Arial" w:cs="Arial"/>
          <w:i/>
          <w:sz w:val="24"/>
          <w:szCs w:val="24"/>
        </w:rPr>
        <w:t>)</w:t>
      </w:r>
      <w:r>
        <w:rPr>
          <w:rFonts w:ascii="Arial" w:hAnsi="Arial" w:cs="Arial"/>
          <w:iCs/>
          <w:sz w:val="24"/>
          <w:szCs w:val="24"/>
        </w:rPr>
        <w:t xml:space="preserve"> (the Declaration) is a disallowable instrument made under section 156 of the </w:t>
      </w:r>
      <w:r>
        <w:rPr>
          <w:rFonts w:ascii="Arial" w:hAnsi="Arial" w:cs="Arial"/>
          <w:i/>
          <w:sz w:val="24"/>
          <w:szCs w:val="24"/>
        </w:rPr>
        <w:t xml:space="preserve">Residential Tenancies Act 1997 </w:t>
      </w:r>
      <w:r w:rsidRPr="004C0C26">
        <w:rPr>
          <w:rFonts w:ascii="Arial" w:hAnsi="Arial" w:cs="Arial"/>
          <w:iCs/>
          <w:sz w:val="24"/>
          <w:szCs w:val="24"/>
        </w:rPr>
        <w:t>(RTA).</w:t>
      </w:r>
      <w:r>
        <w:rPr>
          <w:rFonts w:ascii="Arial" w:hAnsi="Arial" w:cs="Arial"/>
          <w:i/>
          <w:sz w:val="24"/>
          <w:szCs w:val="24"/>
        </w:rPr>
        <w:t xml:space="preserve"> </w:t>
      </w:r>
    </w:p>
    <w:p w14:paraId="6A443687" w14:textId="4D99F4C3" w:rsidR="009D43D2" w:rsidRPr="009A2FB2" w:rsidRDefault="002257FA" w:rsidP="009D43D2">
      <w:pPr>
        <w:spacing w:after="120"/>
        <w:ind w:right="-45"/>
        <w:rPr>
          <w:rFonts w:ascii="Arial" w:hAnsi="Arial" w:cs="Arial"/>
          <w:iCs/>
          <w:sz w:val="24"/>
          <w:szCs w:val="24"/>
        </w:rPr>
      </w:pPr>
      <w:r>
        <w:rPr>
          <w:rFonts w:ascii="Arial" w:hAnsi="Arial" w:cs="Arial"/>
          <w:iCs/>
          <w:sz w:val="24"/>
          <w:szCs w:val="24"/>
        </w:rPr>
        <w:t>The Declaration implements</w:t>
      </w:r>
      <w:r w:rsidRPr="002257FA">
        <w:rPr>
          <w:rFonts w:ascii="Arial" w:hAnsi="Arial" w:cs="Arial"/>
          <w:iCs/>
          <w:sz w:val="24"/>
          <w:szCs w:val="24"/>
        </w:rPr>
        <w:t xml:space="preserve"> </w:t>
      </w:r>
      <w:r>
        <w:rPr>
          <w:rFonts w:ascii="Arial" w:hAnsi="Arial" w:cs="Arial"/>
          <w:iCs/>
          <w:sz w:val="24"/>
          <w:szCs w:val="24"/>
        </w:rPr>
        <w:t xml:space="preserve">a number of </w:t>
      </w:r>
      <w:r w:rsidRPr="002257FA">
        <w:rPr>
          <w:rFonts w:ascii="Arial" w:hAnsi="Arial" w:cs="Arial"/>
          <w:iCs/>
          <w:sz w:val="24"/>
          <w:szCs w:val="24"/>
        </w:rPr>
        <w:t>transitional measures to</w:t>
      </w:r>
      <w:r>
        <w:rPr>
          <w:rFonts w:ascii="Arial" w:hAnsi="Arial" w:cs="Arial"/>
          <w:iCs/>
          <w:sz w:val="24"/>
          <w:szCs w:val="24"/>
        </w:rPr>
        <w:t xml:space="preserve"> provide </w:t>
      </w:r>
      <w:r w:rsidRPr="002257FA">
        <w:rPr>
          <w:rFonts w:ascii="Arial" w:hAnsi="Arial" w:cs="Arial"/>
          <w:iCs/>
          <w:sz w:val="24"/>
          <w:szCs w:val="24"/>
        </w:rPr>
        <w:t xml:space="preserve">support </w:t>
      </w:r>
      <w:r>
        <w:rPr>
          <w:rFonts w:ascii="Arial" w:hAnsi="Arial" w:cs="Arial"/>
          <w:iCs/>
          <w:sz w:val="24"/>
          <w:szCs w:val="24"/>
        </w:rPr>
        <w:t xml:space="preserve">to </w:t>
      </w:r>
      <w:r w:rsidRPr="002257FA">
        <w:rPr>
          <w:rFonts w:ascii="Arial" w:hAnsi="Arial" w:cs="Arial"/>
          <w:iCs/>
          <w:sz w:val="24"/>
          <w:szCs w:val="24"/>
        </w:rPr>
        <w:t xml:space="preserve">residential tenants and </w:t>
      </w:r>
      <w:r w:rsidR="0026510B">
        <w:rPr>
          <w:rFonts w:ascii="Arial" w:hAnsi="Arial" w:cs="Arial"/>
          <w:iCs/>
          <w:sz w:val="24"/>
          <w:szCs w:val="24"/>
        </w:rPr>
        <w:t>lessors</w:t>
      </w:r>
      <w:r w:rsidRPr="002257FA">
        <w:rPr>
          <w:rFonts w:ascii="Arial" w:hAnsi="Arial" w:cs="Arial"/>
          <w:iCs/>
          <w:sz w:val="24"/>
          <w:szCs w:val="24"/>
        </w:rPr>
        <w:t xml:space="preserve"> </w:t>
      </w:r>
      <w:r w:rsidR="00412481">
        <w:rPr>
          <w:rFonts w:ascii="Arial" w:hAnsi="Arial" w:cs="Arial"/>
          <w:iCs/>
          <w:sz w:val="24"/>
          <w:szCs w:val="24"/>
        </w:rPr>
        <w:t>at</w:t>
      </w:r>
      <w:r>
        <w:rPr>
          <w:rFonts w:ascii="Arial" w:hAnsi="Arial" w:cs="Arial"/>
          <w:iCs/>
          <w:sz w:val="24"/>
          <w:szCs w:val="24"/>
        </w:rPr>
        <w:t xml:space="preserve"> the</w:t>
      </w:r>
      <w:r w:rsidR="00412481">
        <w:rPr>
          <w:rFonts w:ascii="Arial" w:hAnsi="Arial" w:cs="Arial"/>
          <w:iCs/>
          <w:sz w:val="24"/>
          <w:szCs w:val="24"/>
        </w:rPr>
        <w:t xml:space="preserve"> end of the</w:t>
      </w:r>
      <w:r>
        <w:rPr>
          <w:rFonts w:ascii="Arial" w:hAnsi="Arial" w:cs="Arial"/>
          <w:iCs/>
          <w:sz w:val="24"/>
          <w:szCs w:val="24"/>
        </w:rPr>
        <w:t xml:space="preserve"> </w:t>
      </w:r>
      <w:r w:rsidRPr="002257FA">
        <w:rPr>
          <w:rFonts w:ascii="Arial" w:hAnsi="Arial" w:cs="Arial"/>
          <w:iCs/>
          <w:sz w:val="24"/>
          <w:szCs w:val="24"/>
        </w:rPr>
        <w:t>COVID-19 eviction moratorium</w:t>
      </w:r>
      <w:r w:rsidR="0045425B">
        <w:rPr>
          <w:rStyle w:val="FootnoteReference"/>
          <w:rFonts w:ascii="Arial" w:hAnsi="Arial" w:cs="Arial"/>
          <w:iCs/>
          <w:sz w:val="24"/>
          <w:szCs w:val="24"/>
        </w:rPr>
        <w:footnoteReference w:id="1"/>
      </w:r>
      <w:r w:rsidR="00412481">
        <w:rPr>
          <w:rFonts w:ascii="Arial" w:hAnsi="Arial" w:cs="Arial"/>
          <w:iCs/>
          <w:sz w:val="24"/>
          <w:szCs w:val="24"/>
        </w:rPr>
        <w:t>. Whil</w:t>
      </w:r>
      <w:r w:rsidR="00FF05FA">
        <w:rPr>
          <w:rFonts w:ascii="Arial" w:hAnsi="Arial" w:cs="Arial"/>
          <w:iCs/>
          <w:sz w:val="24"/>
          <w:szCs w:val="24"/>
        </w:rPr>
        <w:t>e</w:t>
      </w:r>
      <w:r w:rsidR="00412481">
        <w:rPr>
          <w:rFonts w:ascii="Arial" w:hAnsi="Arial" w:cs="Arial"/>
          <w:iCs/>
          <w:sz w:val="24"/>
          <w:szCs w:val="24"/>
        </w:rPr>
        <w:t xml:space="preserve"> some of the transitional measures have been extended from the </w:t>
      </w:r>
      <w:r w:rsidR="0045425B" w:rsidRPr="00FF05FA">
        <w:rPr>
          <w:rFonts w:ascii="Arial" w:hAnsi="Arial" w:cs="Arial"/>
          <w:iCs/>
          <w:sz w:val="24"/>
          <w:szCs w:val="24"/>
        </w:rPr>
        <w:t>moratorium period</w:t>
      </w:r>
      <w:r w:rsidR="00412481">
        <w:rPr>
          <w:rFonts w:ascii="Arial" w:hAnsi="Arial" w:cs="Arial"/>
          <w:iCs/>
          <w:sz w:val="24"/>
          <w:szCs w:val="24"/>
        </w:rPr>
        <w:t xml:space="preserve">, the Declaration </w:t>
      </w:r>
      <w:r w:rsidR="004D20B4">
        <w:rPr>
          <w:rFonts w:ascii="Arial" w:hAnsi="Arial" w:cs="Arial"/>
          <w:iCs/>
          <w:sz w:val="24"/>
          <w:szCs w:val="24"/>
        </w:rPr>
        <w:t>implements the following additional</w:t>
      </w:r>
      <w:r w:rsidR="00412481">
        <w:rPr>
          <w:rFonts w:ascii="Arial" w:hAnsi="Arial" w:cs="Arial"/>
          <w:iCs/>
          <w:sz w:val="24"/>
          <w:szCs w:val="24"/>
        </w:rPr>
        <w:t xml:space="preserve"> measures</w:t>
      </w:r>
      <w:r w:rsidR="009A2FB2" w:rsidRPr="009A2FB2">
        <w:rPr>
          <w:rFonts w:ascii="Arial" w:hAnsi="Arial" w:cs="Arial"/>
          <w:iCs/>
          <w:sz w:val="24"/>
          <w:szCs w:val="24"/>
        </w:rPr>
        <w:t>:</w:t>
      </w:r>
    </w:p>
    <w:p w14:paraId="0EB1FD8F" w14:textId="16B2D34F" w:rsidR="006D0380" w:rsidRPr="006D0380" w:rsidRDefault="006D0380" w:rsidP="009A2FB2">
      <w:pPr>
        <w:pStyle w:val="ListParagraph"/>
        <w:numPr>
          <w:ilvl w:val="0"/>
          <w:numId w:val="5"/>
        </w:numPr>
        <w:spacing w:after="120"/>
        <w:ind w:right="-45"/>
        <w:rPr>
          <w:rFonts w:ascii="Arial" w:hAnsi="Arial" w:cs="Arial"/>
          <w:iCs/>
          <w:sz w:val="24"/>
          <w:szCs w:val="24"/>
        </w:rPr>
      </w:pPr>
      <w:r>
        <w:rPr>
          <w:rFonts w:ascii="Arial" w:hAnsi="Arial" w:cs="Arial"/>
          <w:sz w:val="24"/>
          <w:szCs w:val="24"/>
        </w:rPr>
        <w:t xml:space="preserve">the operation of </w:t>
      </w:r>
      <w:r w:rsidRPr="00593714">
        <w:rPr>
          <w:rFonts w:ascii="Arial" w:hAnsi="Arial" w:cs="Arial"/>
          <w:sz w:val="24"/>
          <w:szCs w:val="24"/>
        </w:rPr>
        <w:t>section 8</w:t>
      </w:r>
      <w:r w:rsidR="00057129">
        <w:rPr>
          <w:rFonts w:ascii="Arial" w:hAnsi="Arial" w:cs="Arial"/>
          <w:sz w:val="24"/>
          <w:szCs w:val="24"/>
        </w:rPr>
        <w:t xml:space="preserve"> </w:t>
      </w:r>
      <w:r w:rsidRPr="00593714">
        <w:rPr>
          <w:rFonts w:ascii="Arial" w:hAnsi="Arial" w:cs="Arial"/>
          <w:sz w:val="24"/>
          <w:szCs w:val="24"/>
        </w:rPr>
        <w:t>(1)</w:t>
      </w:r>
      <w:r w:rsidR="00057129">
        <w:rPr>
          <w:rFonts w:ascii="Arial" w:hAnsi="Arial" w:cs="Arial"/>
          <w:sz w:val="24"/>
          <w:szCs w:val="24"/>
        </w:rPr>
        <w:t xml:space="preserve"> </w:t>
      </w:r>
      <w:r w:rsidRPr="00593714">
        <w:rPr>
          <w:rFonts w:ascii="Arial" w:hAnsi="Arial" w:cs="Arial"/>
          <w:sz w:val="24"/>
          <w:szCs w:val="24"/>
        </w:rPr>
        <w:t>(a)</w:t>
      </w:r>
      <w:r w:rsidR="00057129">
        <w:rPr>
          <w:rFonts w:ascii="Arial" w:hAnsi="Arial" w:cs="Arial"/>
          <w:sz w:val="24"/>
          <w:szCs w:val="24"/>
        </w:rPr>
        <w:t xml:space="preserve"> </w:t>
      </w:r>
      <w:r w:rsidRPr="00593714">
        <w:rPr>
          <w:rFonts w:ascii="Arial" w:hAnsi="Arial" w:cs="Arial"/>
          <w:sz w:val="24"/>
          <w:szCs w:val="24"/>
        </w:rPr>
        <w:t xml:space="preserve">(i) </w:t>
      </w:r>
      <w:r w:rsidR="00057129" w:rsidRPr="00593714">
        <w:rPr>
          <w:rFonts w:ascii="Arial" w:hAnsi="Arial" w:cs="Arial"/>
          <w:sz w:val="24"/>
          <w:szCs w:val="24"/>
        </w:rPr>
        <w:t>of the RTA</w:t>
      </w:r>
      <w:r w:rsidR="00057129">
        <w:rPr>
          <w:rFonts w:ascii="Arial" w:hAnsi="Arial" w:cs="Arial"/>
          <w:sz w:val="24"/>
          <w:szCs w:val="24"/>
        </w:rPr>
        <w:t xml:space="preserve"> </w:t>
      </w:r>
      <w:r w:rsidR="00497028">
        <w:rPr>
          <w:rFonts w:ascii="Arial" w:hAnsi="Arial" w:cs="Arial"/>
          <w:sz w:val="24"/>
          <w:szCs w:val="24"/>
        </w:rPr>
        <w:t xml:space="preserve">is modified </w:t>
      </w:r>
      <w:r>
        <w:rPr>
          <w:rFonts w:ascii="Arial" w:hAnsi="Arial" w:cs="Arial"/>
          <w:sz w:val="24"/>
          <w:szCs w:val="24"/>
        </w:rPr>
        <w:t xml:space="preserve">so that tenants under a fixed term residential tenancy agreement </w:t>
      </w:r>
      <w:r w:rsidR="00057129">
        <w:rPr>
          <w:rFonts w:ascii="Arial" w:hAnsi="Arial" w:cs="Arial"/>
          <w:sz w:val="24"/>
          <w:szCs w:val="24"/>
        </w:rPr>
        <w:t>that began before 6 April 2020 will now gain the benefit of an amendment to the RTA which commenced on 6 April 2020</w:t>
      </w:r>
      <w:r w:rsidR="001E7D6A">
        <w:rPr>
          <w:rFonts w:ascii="Arial" w:hAnsi="Arial" w:cs="Arial"/>
          <w:sz w:val="24"/>
          <w:szCs w:val="24"/>
        </w:rPr>
        <w:t xml:space="preserve">. This </w:t>
      </w:r>
      <w:r w:rsidR="00057129">
        <w:rPr>
          <w:rFonts w:ascii="Arial" w:hAnsi="Arial" w:cs="Arial"/>
          <w:sz w:val="24"/>
          <w:szCs w:val="24"/>
        </w:rPr>
        <w:t xml:space="preserve">limits the amount of rent that a lessor </w:t>
      </w:r>
      <w:r w:rsidRPr="00B95C8B">
        <w:rPr>
          <w:rFonts w:ascii="Arial" w:hAnsi="Arial" w:cs="Arial"/>
          <w:sz w:val="24"/>
          <w:szCs w:val="24"/>
        </w:rPr>
        <w:t>can require in advance</w:t>
      </w:r>
      <w:r w:rsidR="00057129">
        <w:rPr>
          <w:rFonts w:ascii="Arial" w:hAnsi="Arial" w:cs="Arial"/>
          <w:sz w:val="24"/>
          <w:szCs w:val="24"/>
        </w:rPr>
        <w:t xml:space="preserve"> to 2 weeks’ rent</w:t>
      </w:r>
      <w:r w:rsidRPr="00B95C8B">
        <w:rPr>
          <w:rFonts w:ascii="Arial" w:hAnsi="Arial" w:cs="Arial"/>
          <w:sz w:val="24"/>
          <w:szCs w:val="24"/>
        </w:rPr>
        <w:t>, unless the tenant nominates a longer period</w:t>
      </w:r>
      <w:r>
        <w:rPr>
          <w:rFonts w:ascii="Arial" w:hAnsi="Arial" w:cs="Arial"/>
          <w:sz w:val="24"/>
          <w:szCs w:val="24"/>
        </w:rPr>
        <w:t>;</w:t>
      </w:r>
    </w:p>
    <w:p w14:paraId="29A580EF" w14:textId="3FF479B6" w:rsidR="006D0380" w:rsidRDefault="006D0380" w:rsidP="009A2FB2">
      <w:pPr>
        <w:pStyle w:val="ListParagraph"/>
        <w:numPr>
          <w:ilvl w:val="0"/>
          <w:numId w:val="5"/>
        </w:numPr>
        <w:spacing w:after="120"/>
        <w:ind w:right="-45"/>
        <w:rPr>
          <w:rFonts w:ascii="Arial" w:hAnsi="Arial" w:cs="Arial"/>
          <w:iCs/>
          <w:sz w:val="24"/>
          <w:szCs w:val="24"/>
        </w:rPr>
      </w:pPr>
      <w:r w:rsidRPr="006D0380">
        <w:rPr>
          <w:rFonts w:ascii="Arial" w:hAnsi="Arial" w:cs="Arial"/>
          <w:iCs/>
          <w:sz w:val="24"/>
          <w:szCs w:val="24"/>
        </w:rPr>
        <w:t xml:space="preserve">a transitional period </w:t>
      </w:r>
      <w:r w:rsidR="00497028">
        <w:rPr>
          <w:rFonts w:ascii="Arial" w:hAnsi="Arial" w:cs="Arial"/>
          <w:iCs/>
          <w:sz w:val="24"/>
          <w:szCs w:val="24"/>
        </w:rPr>
        <w:t xml:space="preserve">is implemented </w:t>
      </w:r>
      <w:r w:rsidRPr="006D0380">
        <w:rPr>
          <w:rFonts w:ascii="Arial" w:hAnsi="Arial" w:cs="Arial"/>
          <w:iCs/>
          <w:sz w:val="24"/>
          <w:szCs w:val="24"/>
        </w:rPr>
        <w:t>which commences at the end of the existing moratorium period on 22 October 2020</w:t>
      </w:r>
      <w:r>
        <w:rPr>
          <w:rFonts w:ascii="Arial" w:hAnsi="Arial" w:cs="Arial"/>
          <w:iCs/>
          <w:sz w:val="24"/>
          <w:szCs w:val="24"/>
        </w:rPr>
        <w:t>. The transitional period will provide</w:t>
      </w:r>
      <w:r w:rsidRPr="006D0380">
        <w:rPr>
          <w:rFonts w:ascii="Arial" w:hAnsi="Arial" w:cs="Arial"/>
          <w:iCs/>
          <w:sz w:val="24"/>
          <w:szCs w:val="24"/>
        </w:rPr>
        <w:t xml:space="preserve"> tenants who were COVID-19 impacted during the moratorium period with a longer timeframe to work towards clearing any rental debt before they could face eviction on the basis of arrears that accrued before or during the moratorium period</w:t>
      </w:r>
      <w:r>
        <w:rPr>
          <w:rFonts w:ascii="Arial" w:hAnsi="Arial" w:cs="Arial"/>
          <w:iCs/>
          <w:sz w:val="24"/>
          <w:szCs w:val="24"/>
        </w:rPr>
        <w:t>;</w:t>
      </w:r>
    </w:p>
    <w:p w14:paraId="06247AFC" w14:textId="144BDB71" w:rsidR="006D0380" w:rsidRPr="006D0380" w:rsidRDefault="00497028" w:rsidP="009A2FB2">
      <w:pPr>
        <w:pStyle w:val="ListParagraph"/>
        <w:numPr>
          <w:ilvl w:val="0"/>
          <w:numId w:val="5"/>
        </w:numPr>
        <w:spacing w:after="120"/>
        <w:ind w:right="-45"/>
        <w:rPr>
          <w:rFonts w:ascii="Arial" w:hAnsi="Arial" w:cs="Arial"/>
          <w:iCs/>
          <w:sz w:val="24"/>
          <w:szCs w:val="24"/>
        </w:rPr>
      </w:pPr>
      <w:r>
        <w:rPr>
          <w:rFonts w:ascii="Arial" w:hAnsi="Arial" w:cs="Arial"/>
          <w:iCs/>
          <w:sz w:val="24"/>
          <w:szCs w:val="24"/>
        </w:rPr>
        <w:t>a tenant may apply</w:t>
      </w:r>
      <w:r w:rsidR="006D0380">
        <w:rPr>
          <w:rFonts w:ascii="Arial" w:hAnsi="Arial" w:cs="Arial"/>
          <w:sz w:val="24"/>
          <w:szCs w:val="24"/>
        </w:rPr>
        <w:t xml:space="preserve"> to </w:t>
      </w:r>
      <w:r w:rsidR="005E3D95">
        <w:rPr>
          <w:rFonts w:ascii="Arial" w:hAnsi="Arial" w:cs="Arial"/>
          <w:sz w:val="24"/>
          <w:szCs w:val="24"/>
        </w:rPr>
        <w:t>the ACT Civil and Administrative Tribunal (</w:t>
      </w:r>
      <w:r w:rsidR="006D0380">
        <w:rPr>
          <w:rFonts w:ascii="Arial" w:hAnsi="Arial" w:cs="Arial"/>
          <w:sz w:val="24"/>
          <w:szCs w:val="24"/>
        </w:rPr>
        <w:t>ACAT</w:t>
      </w:r>
      <w:r w:rsidR="005E3D95">
        <w:rPr>
          <w:rFonts w:ascii="Arial" w:hAnsi="Arial" w:cs="Arial"/>
          <w:sz w:val="24"/>
          <w:szCs w:val="24"/>
        </w:rPr>
        <w:t>)</w:t>
      </w:r>
      <w:r w:rsidR="006D0380">
        <w:rPr>
          <w:rFonts w:ascii="Arial" w:hAnsi="Arial" w:cs="Arial"/>
          <w:sz w:val="24"/>
          <w:szCs w:val="24"/>
        </w:rPr>
        <w:t xml:space="preserve"> to vary or set aside an order made by ACAT before the moratorium period. This measure applies to an order made in </w:t>
      </w:r>
      <w:r w:rsidR="006D0380" w:rsidRPr="00075A93">
        <w:rPr>
          <w:rFonts w:ascii="Arial" w:hAnsi="Arial" w:cs="Arial"/>
          <w:sz w:val="24"/>
          <w:szCs w:val="24"/>
        </w:rPr>
        <w:t xml:space="preserve">relation to a tenant’s failure to pay rent for </w:t>
      </w:r>
      <w:r w:rsidR="00611E8B">
        <w:rPr>
          <w:rFonts w:ascii="Arial" w:hAnsi="Arial" w:cs="Arial"/>
          <w:sz w:val="24"/>
          <w:szCs w:val="24"/>
        </w:rPr>
        <w:t xml:space="preserve">a </w:t>
      </w:r>
      <w:r w:rsidR="006D0380" w:rsidRPr="00075A93">
        <w:rPr>
          <w:rFonts w:ascii="Arial" w:hAnsi="Arial" w:cs="Arial"/>
          <w:sz w:val="24"/>
          <w:szCs w:val="24"/>
        </w:rPr>
        <w:t xml:space="preserve">premises under a residential tenancy agreement </w:t>
      </w:r>
      <w:r w:rsidR="006D0380">
        <w:rPr>
          <w:rFonts w:ascii="Arial" w:hAnsi="Arial" w:cs="Arial"/>
          <w:sz w:val="24"/>
          <w:szCs w:val="24"/>
        </w:rPr>
        <w:t xml:space="preserve">where that order was suspended under </w:t>
      </w:r>
      <w:r w:rsidR="00611E8B">
        <w:rPr>
          <w:rFonts w:ascii="Arial" w:hAnsi="Arial" w:cs="Arial"/>
          <w:sz w:val="24"/>
          <w:szCs w:val="24"/>
        </w:rPr>
        <w:t xml:space="preserve">the </w:t>
      </w:r>
      <w:r w:rsidR="00611E8B" w:rsidRPr="009A2FB2">
        <w:rPr>
          <w:rFonts w:ascii="Arial" w:hAnsi="Arial" w:cs="Arial"/>
          <w:i/>
          <w:sz w:val="24"/>
          <w:szCs w:val="24"/>
        </w:rPr>
        <w:t xml:space="preserve">Residential Tenancies (COVID-19 Emergency Response) Declaration 2020 </w:t>
      </w:r>
      <w:r w:rsidR="00611E8B" w:rsidRPr="009A2FB2">
        <w:rPr>
          <w:rFonts w:ascii="Arial" w:hAnsi="Arial" w:cs="Arial"/>
          <w:iCs/>
          <w:sz w:val="24"/>
          <w:szCs w:val="24"/>
        </w:rPr>
        <w:t xml:space="preserve">(the </w:t>
      </w:r>
      <w:r w:rsidR="00611E8B">
        <w:rPr>
          <w:rFonts w:ascii="Arial" w:hAnsi="Arial" w:cs="Arial"/>
          <w:iCs/>
          <w:sz w:val="24"/>
          <w:szCs w:val="24"/>
        </w:rPr>
        <w:t>First</w:t>
      </w:r>
      <w:r w:rsidR="00611E8B" w:rsidRPr="009A2FB2">
        <w:rPr>
          <w:rFonts w:ascii="Arial" w:hAnsi="Arial" w:cs="Arial"/>
          <w:iCs/>
          <w:sz w:val="24"/>
          <w:szCs w:val="24"/>
        </w:rPr>
        <w:t xml:space="preserve"> Declaration)</w:t>
      </w:r>
      <w:r w:rsidR="00611E8B">
        <w:rPr>
          <w:rFonts w:ascii="Arial" w:hAnsi="Arial" w:cs="Arial"/>
          <w:iCs/>
          <w:sz w:val="24"/>
          <w:szCs w:val="24"/>
        </w:rPr>
        <w:t xml:space="preserve"> or the </w:t>
      </w:r>
      <w:r w:rsidR="0067110D" w:rsidRPr="009D1D4B">
        <w:rPr>
          <w:rFonts w:ascii="Arial" w:hAnsi="Arial" w:cs="Arial"/>
          <w:i/>
          <w:sz w:val="24"/>
          <w:szCs w:val="24"/>
        </w:rPr>
        <w:t>Residential Tenancies (COVID-19 Emergency Response) Declaration 2020 (No 2)</w:t>
      </w:r>
      <w:r w:rsidR="0067110D" w:rsidRPr="0067110D">
        <w:rPr>
          <w:rFonts w:ascii="Arial" w:hAnsi="Arial" w:cs="Arial"/>
          <w:iCs/>
          <w:sz w:val="24"/>
          <w:szCs w:val="24"/>
        </w:rPr>
        <w:t xml:space="preserve"> </w:t>
      </w:r>
      <w:r w:rsidR="00FF05FA">
        <w:rPr>
          <w:rFonts w:ascii="Arial" w:hAnsi="Arial" w:cs="Arial"/>
          <w:iCs/>
          <w:sz w:val="24"/>
          <w:szCs w:val="24"/>
        </w:rPr>
        <w:t xml:space="preserve">(the </w:t>
      </w:r>
      <w:r w:rsidR="00611E8B">
        <w:rPr>
          <w:rFonts w:ascii="Arial" w:hAnsi="Arial" w:cs="Arial"/>
          <w:iCs/>
          <w:sz w:val="24"/>
          <w:szCs w:val="24"/>
        </w:rPr>
        <w:t>Second Declaration</w:t>
      </w:r>
      <w:r w:rsidR="00FF05FA">
        <w:rPr>
          <w:rFonts w:ascii="Arial" w:hAnsi="Arial" w:cs="Arial"/>
          <w:iCs/>
          <w:sz w:val="24"/>
          <w:szCs w:val="24"/>
        </w:rPr>
        <w:t>)</w:t>
      </w:r>
      <w:r w:rsidR="006D0380">
        <w:rPr>
          <w:rFonts w:ascii="Arial" w:hAnsi="Arial" w:cs="Arial"/>
          <w:sz w:val="24"/>
          <w:szCs w:val="24"/>
        </w:rPr>
        <w:t>; and</w:t>
      </w:r>
    </w:p>
    <w:p w14:paraId="42EA45A2" w14:textId="1C481182" w:rsidR="00F67370" w:rsidRDefault="00F67370" w:rsidP="009A2FB2">
      <w:pPr>
        <w:pStyle w:val="ListParagraph"/>
        <w:numPr>
          <w:ilvl w:val="0"/>
          <w:numId w:val="5"/>
        </w:numPr>
        <w:spacing w:after="120"/>
        <w:ind w:right="-45"/>
        <w:rPr>
          <w:rFonts w:ascii="Arial" w:hAnsi="Arial" w:cs="Arial"/>
          <w:iCs/>
          <w:sz w:val="24"/>
          <w:szCs w:val="24"/>
        </w:rPr>
      </w:pPr>
      <w:r>
        <w:rPr>
          <w:rFonts w:ascii="Arial" w:hAnsi="Arial" w:cs="Arial"/>
          <w:iCs/>
          <w:sz w:val="24"/>
          <w:szCs w:val="24"/>
        </w:rPr>
        <w:t>modifying the operation of section 49 of the RTA so that ACAT is required</w:t>
      </w:r>
      <w:r w:rsidR="006D0380" w:rsidRPr="006D0380">
        <w:rPr>
          <w:rFonts w:ascii="Arial" w:hAnsi="Arial" w:cs="Arial"/>
          <w:iCs/>
          <w:sz w:val="24"/>
          <w:szCs w:val="24"/>
        </w:rPr>
        <w:t xml:space="preserve"> to consider </w:t>
      </w:r>
      <w:r w:rsidR="00806F2F">
        <w:rPr>
          <w:rFonts w:ascii="Arial" w:hAnsi="Arial" w:cs="Arial"/>
          <w:iCs/>
          <w:sz w:val="24"/>
          <w:szCs w:val="24"/>
        </w:rPr>
        <w:t xml:space="preserve">the </w:t>
      </w:r>
      <w:r w:rsidR="006D0380" w:rsidRPr="006D0380">
        <w:rPr>
          <w:rFonts w:ascii="Arial" w:hAnsi="Arial" w:cs="Arial"/>
          <w:iCs/>
          <w:sz w:val="24"/>
          <w:szCs w:val="24"/>
        </w:rPr>
        <w:t xml:space="preserve">making </w:t>
      </w:r>
      <w:r w:rsidR="00806F2F">
        <w:rPr>
          <w:rFonts w:ascii="Arial" w:hAnsi="Arial" w:cs="Arial"/>
          <w:iCs/>
          <w:sz w:val="24"/>
          <w:szCs w:val="24"/>
        </w:rPr>
        <w:t xml:space="preserve">of </w:t>
      </w:r>
      <w:r w:rsidR="006D0380" w:rsidRPr="006D0380">
        <w:rPr>
          <w:rFonts w:ascii="Arial" w:hAnsi="Arial" w:cs="Arial"/>
          <w:iCs/>
          <w:sz w:val="24"/>
          <w:szCs w:val="24"/>
        </w:rPr>
        <w:t xml:space="preserve">a payment order </w:t>
      </w:r>
      <w:r w:rsidRPr="006D0380">
        <w:rPr>
          <w:rFonts w:ascii="Arial" w:hAnsi="Arial" w:cs="Arial"/>
          <w:iCs/>
          <w:sz w:val="24"/>
          <w:szCs w:val="24"/>
        </w:rPr>
        <w:t xml:space="preserve">as an alternative to making a termination and possession order </w:t>
      </w:r>
      <w:r w:rsidR="006D0380" w:rsidRPr="006D0380">
        <w:rPr>
          <w:rFonts w:ascii="Arial" w:hAnsi="Arial" w:cs="Arial"/>
          <w:iCs/>
          <w:sz w:val="24"/>
          <w:szCs w:val="24"/>
        </w:rPr>
        <w:t>for a tenant who was a member of an impacted household during the moratorium period</w:t>
      </w:r>
      <w:r w:rsidR="006D0380">
        <w:rPr>
          <w:rFonts w:ascii="Arial" w:hAnsi="Arial" w:cs="Arial"/>
          <w:iCs/>
          <w:sz w:val="24"/>
          <w:szCs w:val="24"/>
        </w:rPr>
        <w:t>.</w:t>
      </w:r>
    </w:p>
    <w:p w14:paraId="276E2F7E" w14:textId="3DEA3475" w:rsidR="009D43D2" w:rsidRPr="00326022" w:rsidRDefault="004F519E" w:rsidP="00867B7D">
      <w:pPr>
        <w:spacing w:after="120"/>
        <w:ind w:right="-45"/>
        <w:rPr>
          <w:rFonts w:ascii="Arial" w:hAnsi="Arial" w:cs="Arial"/>
          <w:iCs/>
          <w:sz w:val="24"/>
          <w:szCs w:val="24"/>
        </w:rPr>
      </w:pPr>
      <w:r>
        <w:rPr>
          <w:rFonts w:ascii="Arial" w:hAnsi="Arial" w:cs="Arial"/>
          <w:iCs/>
          <w:sz w:val="24"/>
          <w:szCs w:val="24"/>
        </w:rPr>
        <w:br/>
      </w:r>
      <w:r w:rsidR="00D53755">
        <w:rPr>
          <w:rFonts w:ascii="Arial" w:hAnsi="Arial" w:cs="Arial"/>
          <w:iCs/>
          <w:sz w:val="24"/>
          <w:szCs w:val="24"/>
        </w:rPr>
        <w:t>In line with the National Cabinet decision to implement a 6-month moratorium on evictions</w:t>
      </w:r>
      <w:r w:rsidR="00FF05FA">
        <w:rPr>
          <w:rFonts w:ascii="Arial" w:hAnsi="Arial" w:cs="Arial"/>
          <w:iCs/>
          <w:sz w:val="24"/>
          <w:szCs w:val="24"/>
        </w:rPr>
        <w:t xml:space="preserve"> for renal arrears</w:t>
      </w:r>
      <w:r w:rsidR="00D53755">
        <w:rPr>
          <w:rFonts w:ascii="Arial" w:hAnsi="Arial" w:cs="Arial"/>
          <w:iCs/>
          <w:sz w:val="24"/>
          <w:szCs w:val="24"/>
        </w:rPr>
        <w:t>, the</w:t>
      </w:r>
      <w:r w:rsidR="0041258B">
        <w:rPr>
          <w:rFonts w:ascii="Arial" w:hAnsi="Arial" w:cs="Arial"/>
          <w:iCs/>
          <w:sz w:val="24"/>
          <w:szCs w:val="24"/>
        </w:rPr>
        <w:t xml:space="preserve"> First and Second Declaration</w:t>
      </w:r>
      <w:r w:rsidR="007308DB">
        <w:rPr>
          <w:rFonts w:ascii="Arial" w:hAnsi="Arial" w:cs="Arial"/>
          <w:iCs/>
          <w:sz w:val="24"/>
          <w:szCs w:val="24"/>
        </w:rPr>
        <w:t>s</w:t>
      </w:r>
      <w:r w:rsidR="00D53755">
        <w:rPr>
          <w:rFonts w:ascii="Arial" w:hAnsi="Arial" w:cs="Arial"/>
          <w:iCs/>
          <w:sz w:val="24"/>
          <w:szCs w:val="24"/>
        </w:rPr>
        <w:t xml:space="preserve"> implemented </w:t>
      </w:r>
      <w:r w:rsidR="00D53755" w:rsidRPr="00326022">
        <w:rPr>
          <w:rFonts w:ascii="Arial" w:hAnsi="Arial" w:cs="Arial"/>
          <w:iCs/>
          <w:sz w:val="24"/>
          <w:szCs w:val="24"/>
        </w:rPr>
        <w:t xml:space="preserve">a 6-month moratorium </w:t>
      </w:r>
      <w:r w:rsidR="00D53755">
        <w:rPr>
          <w:rFonts w:ascii="Arial" w:hAnsi="Arial" w:cs="Arial"/>
          <w:iCs/>
          <w:sz w:val="24"/>
          <w:szCs w:val="24"/>
        </w:rPr>
        <w:t xml:space="preserve">period for </w:t>
      </w:r>
      <w:r w:rsidR="00D53755" w:rsidRPr="00326022">
        <w:rPr>
          <w:rFonts w:ascii="Arial" w:hAnsi="Arial" w:cs="Arial"/>
          <w:iCs/>
          <w:sz w:val="24"/>
          <w:szCs w:val="24"/>
        </w:rPr>
        <w:t>COVID-19</w:t>
      </w:r>
      <w:r w:rsidR="00D53755">
        <w:rPr>
          <w:rFonts w:ascii="Arial" w:hAnsi="Arial" w:cs="Arial"/>
          <w:iCs/>
          <w:sz w:val="24"/>
          <w:szCs w:val="24"/>
        </w:rPr>
        <w:t xml:space="preserve"> impacted households until 22 October 2020</w:t>
      </w:r>
      <w:r w:rsidR="00D53755" w:rsidRPr="00326022">
        <w:rPr>
          <w:rFonts w:ascii="Arial" w:hAnsi="Arial" w:cs="Arial"/>
          <w:iCs/>
          <w:sz w:val="24"/>
          <w:szCs w:val="24"/>
        </w:rPr>
        <w:t>.</w:t>
      </w:r>
      <w:r w:rsidR="0045425B">
        <w:rPr>
          <w:rStyle w:val="FootnoteReference"/>
          <w:rFonts w:ascii="Arial" w:hAnsi="Arial" w:cs="Arial"/>
          <w:iCs/>
          <w:sz w:val="24"/>
          <w:szCs w:val="24"/>
        </w:rPr>
        <w:footnoteReference w:id="2"/>
      </w:r>
      <w:r w:rsidR="00D53755" w:rsidRPr="00326022">
        <w:rPr>
          <w:rFonts w:ascii="Arial" w:hAnsi="Arial" w:cs="Arial"/>
          <w:iCs/>
          <w:sz w:val="24"/>
          <w:szCs w:val="24"/>
        </w:rPr>
        <w:t xml:space="preserve"> </w:t>
      </w:r>
      <w:r w:rsidR="00F67370" w:rsidRPr="00326022">
        <w:rPr>
          <w:rFonts w:ascii="Arial" w:hAnsi="Arial" w:cs="Arial"/>
          <w:iCs/>
          <w:sz w:val="24"/>
          <w:szCs w:val="24"/>
        </w:rPr>
        <w:t>Th</w:t>
      </w:r>
      <w:r w:rsidR="00FF05FA">
        <w:rPr>
          <w:rFonts w:ascii="Arial" w:hAnsi="Arial" w:cs="Arial"/>
          <w:iCs/>
          <w:sz w:val="24"/>
          <w:szCs w:val="24"/>
        </w:rPr>
        <w:t>is</w:t>
      </w:r>
      <w:r w:rsidR="00F67370" w:rsidRPr="00326022">
        <w:rPr>
          <w:rFonts w:ascii="Arial" w:hAnsi="Arial" w:cs="Arial"/>
          <w:iCs/>
          <w:sz w:val="24"/>
          <w:szCs w:val="24"/>
        </w:rPr>
        <w:t xml:space="preserve"> Declaration implements a transitional period which commences </w:t>
      </w:r>
      <w:r w:rsidR="00D53755">
        <w:rPr>
          <w:rFonts w:ascii="Arial" w:hAnsi="Arial" w:cs="Arial"/>
          <w:iCs/>
          <w:sz w:val="24"/>
          <w:szCs w:val="24"/>
        </w:rPr>
        <w:t xml:space="preserve">on </w:t>
      </w:r>
      <w:r w:rsidR="00F67370" w:rsidRPr="00326022">
        <w:rPr>
          <w:rFonts w:ascii="Arial" w:hAnsi="Arial" w:cs="Arial"/>
          <w:iCs/>
          <w:sz w:val="24"/>
          <w:szCs w:val="24"/>
        </w:rPr>
        <w:t>2</w:t>
      </w:r>
      <w:r w:rsidR="00FC41B7">
        <w:rPr>
          <w:rFonts w:ascii="Arial" w:hAnsi="Arial" w:cs="Arial"/>
          <w:iCs/>
          <w:sz w:val="24"/>
          <w:szCs w:val="24"/>
        </w:rPr>
        <w:t>3</w:t>
      </w:r>
      <w:r w:rsidR="00F67370" w:rsidRPr="00326022">
        <w:rPr>
          <w:rFonts w:ascii="Arial" w:hAnsi="Arial" w:cs="Arial"/>
          <w:iCs/>
          <w:sz w:val="24"/>
          <w:szCs w:val="24"/>
        </w:rPr>
        <w:t xml:space="preserve"> October 2020</w:t>
      </w:r>
      <w:r w:rsidR="00D53755">
        <w:rPr>
          <w:rFonts w:ascii="Arial" w:hAnsi="Arial" w:cs="Arial"/>
          <w:iCs/>
          <w:sz w:val="24"/>
          <w:szCs w:val="24"/>
        </w:rPr>
        <w:t xml:space="preserve"> to</w:t>
      </w:r>
      <w:r w:rsidR="007308DB">
        <w:rPr>
          <w:rFonts w:ascii="Arial" w:hAnsi="Arial" w:cs="Arial"/>
          <w:iCs/>
          <w:sz w:val="24"/>
          <w:szCs w:val="24"/>
        </w:rPr>
        <w:t xml:space="preserve"> </w:t>
      </w:r>
      <w:r w:rsidR="00D53755">
        <w:rPr>
          <w:rFonts w:ascii="Arial" w:hAnsi="Arial" w:cs="Arial"/>
          <w:iCs/>
          <w:sz w:val="24"/>
          <w:szCs w:val="24"/>
        </w:rPr>
        <w:t xml:space="preserve">protect </w:t>
      </w:r>
      <w:r w:rsidR="00F67370" w:rsidRPr="00326022">
        <w:rPr>
          <w:rFonts w:ascii="Arial" w:hAnsi="Arial" w:cs="Arial"/>
          <w:iCs/>
          <w:sz w:val="24"/>
          <w:szCs w:val="24"/>
        </w:rPr>
        <w:t>tenants</w:t>
      </w:r>
      <w:r w:rsidR="00FC2B58">
        <w:rPr>
          <w:rFonts w:ascii="Arial" w:hAnsi="Arial" w:cs="Arial"/>
          <w:iCs/>
          <w:sz w:val="24"/>
          <w:szCs w:val="24"/>
        </w:rPr>
        <w:t xml:space="preserve"> </w:t>
      </w:r>
      <w:r w:rsidR="00FC2B58" w:rsidRPr="00FC2B58">
        <w:rPr>
          <w:rFonts w:ascii="Arial" w:hAnsi="Arial" w:cs="Arial"/>
          <w:iCs/>
          <w:sz w:val="24"/>
          <w:szCs w:val="24"/>
        </w:rPr>
        <w:t xml:space="preserve">who were COVID-19 impacted during the moratorium period </w:t>
      </w:r>
      <w:r w:rsidR="00F67370" w:rsidRPr="00326022">
        <w:rPr>
          <w:rFonts w:ascii="Arial" w:hAnsi="Arial" w:cs="Arial"/>
          <w:iCs/>
          <w:sz w:val="24"/>
          <w:szCs w:val="24"/>
        </w:rPr>
        <w:t>from</w:t>
      </w:r>
      <w:r w:rsidR="00326022" w:rsidRPr="00326022">
        <w:rPr>
          <w:rFonts w:ascii="Arial" w:hAnsi="Arial" w:cs="Arial"/>
          <w:iCs/>
          <w:sz w:val="24"/>
          <w:szCs w:val="24"/>
        </w:rPr>
        <w:t xml:space="preserve"> being evicted for rental arrears accrued before or during the moratorium period.</w:t>
      </w:r>
      <w:r w:rsidR="00D53755">
        <w:rPr>
          <w:rFonts w:ascii="Arial" w:hAnsi="Arial" w:cs="Arial"/>
          <w:iCs/>
          <w:sz w:val="24"/>
          <w:szCs w:val="24"/>
        </w:rPr>
        <w:t xml:space="preserve"> The</w:t>
      </w:r>
      <w:r w:rsidR="00D53755" w:rsidRPr="00D53755">
        <w:rPr>
          <w:rFonts w:ascii="Arial" w:hAnsi="Arial" w:cs="Arial"/>
          <w:iCs/>
          <w:sz w:val="24"/>
          <w:szCs w:val="24"/>
        </w:rPr>
        <w:t xml:space="preserve"> </w:t>
      </w:r>
      <w:r w:rsidR="00D53755" w:rsidRPr="00D53755">
        <w:rPr>
          <w:rFonts w:ascii="Arial" w:hAnsi="Arial" w:cs="Arial"/>
          <w:iCs/>
          <w:sz w:val="24"/>
          <w:szCs w:val="24"/>
        </w:rPr>
        <w:lastRenderedPageBreak/>
        <w:t>transi</w:t>
      </w:r>
      <w:r w:rsidR="00D53755">
        <w:rPr>
          <w:rFonts w:ascii="Arial" w:hAnsi="Arial" w:cs="Arial"/>
          <w:iCs/>
          <w:sz w:val="24"/>
          <w:szCs w:val="24"/>
        </w:rPr>
        <w:t>tional period has been implemented in order to</w:t>
      </w:r>
      <w:r w:rsidR="00D53755" w:rsidRPr="00D53755">
        <w:rPr>
          <w:rFonts w:ascii="Arial" w:hAnsi="Arial" w:cs="Arial"/>
          <w:iCs/>
          <w:sz w:val="24"/>
          <w:szCs w:val="24"/>
        </w:rPr>
        <w:t xml:space="preserve"> ease cost of living pressures for ACT residential tenants who have been impacted by the COVID-19 pandemic</w:t>
      </w:r>
      <w:r w:rsidR="0045425B">
        <w:rPr>
          <w:rFonts w:ascii="Arial" w:hAnsi="Arial" w:cs="Arial"/>
          <w:iCs/>
          <w:sz w:val="24"/>
          <w:szCs w:val="24"/>
        </w:rPr>
        <w:t xml:space="preserve"> and to allow those who have accrued debts during the moratorium with a longer period to address those debts before they will face eviction on the basis of those debts</w:t>
      </w:r>
      <w:r w:rsidR="00D53755">
        <w:rPr>
          <w:rFonts w:ascii="Arial" w:hAnsi="Arial" w:cs="Arial"/>
          <w:iCs/>
          <w:sz w:val="24"/>
          <w:szCs w:val="24"/>
        </w:rPr>
        <w:t>.</w:t>
      </w:r>
    </w:p>
    <w:p w14:paraId="05B9044F" w14:textId="04EBFC29" w:rsidR="006911BE" w:rsidRDefault="00D53755" w:rsidP="00867B7D">
      <w:pPr>
        <w:spacing w:after="120"/>
        <w:ind w:right="-45"/>
        <w:rPr>
          <w:rFonts w:ascii="Arial" w:hAnsi="Arial" w:cs="Arial"/>
          <w:iCs/>
          <w:sz w:val="24"/>
          <w:szCs w:val="24"/>
        </w:rPr>
      </w:pPr>
      <w:r>
        <w:rPr>
          <w:rFonts w:ascii="Arial" w:hAnsi="Arial" w:cs="Arial"/>
          <w:iCs/>
          <w:sz w:val="24"/>
          <w:szCs w:val="24"/>
        </w:rPr>
        <w:t>Some of the transitional measures that have been extended from the Second Declaration include</w:t>
      </w:r>
      <w:r w:rsidR="006911BE" w:rsidRPr="009A2FB2">
        <w:rPr>
          <w:rFonts w:ascii="Arial" w:hAnsi="Arial" w:cs="Arial"/>
          <w:iCs/>
          <w:sz w:val="24"/>
          <w:szCs w:val="24"/>
        </w:rPr>
        <w:t xml:space="preserve"> the COVID-19 temporary rent </w:t>
      </w:r>
      <w:r w:rsidR="006911BE" w:rsidRPr="00326022">
        <w:rPr>
          <w:rFonts w:ascii="Arial" w:hAnsi="Arial" w:cs="Arial"/>
          <w:iCs/>
          <w:sz w:val="24"/>
          <w:szCs w:val="24"/>
        </w:rPr>
        <w:t xml:space="preserve">reduction clause, the restriction on listings in a residential tenancy database and allowing a COVID-19 impacted household to terminate a fixed-term tenancy agreement without penalty by providing their </w:t>
      </w:r>
      <w:r w:rsidR="002D54C9">
        <w:rPr>
          <w:rFonts w:ascii="Arial" w:hAnsi="Arial" w:cs="Arial"/>
          <w:iCs/>
          <w:sz w:val="24"/>
          <w:szCs w:val="24"/>
        </w:rPr>
        <w:t>lessor</w:t>
      </w:r>
      <w:r w:rsidR="006911BE" w:rsidRPr="00326022">
        <w:rPr>
          <w:rFonts w:ascii="Arial" w:hAnsi="Arial" w:cs="Arial"/>
          <w:iCs/>
          <w:sz w:val="24"/>
          <w:szCs w:val="24"/>
        </w:rPr>
        <w:t xml:space="preserve"> with 3 weeks’ notice. The Government considers these measures remain necessary and important safeguards in the current environment.</w:t>
      </w:r>
    </w:p>
    <w:p w14:paraId="2EE01C2D" w14:textId="494B3D87" w:rsidR="00867B7D" w:rsidRPr="008C1888" w:rsidRDefault="00D53755" w:rsidP="00867B7D">
      <w:pPr>
        <w:spacing w:after="120"/>
        <w:ind w:right="-45"/>
        <w:rPr>
          <w:rFonts w:ascii="Arial" w:hAnsi="Arial" w:cs="Arial"/>
          <w:iCs/>
          <w:sz w:val="24"/>
          <w:szCs w:val="24"/>
        </w:rPr>
      </w:pPr>
      <w:r>
        <w:rPr>
          <w:rFonts w:ascii="Arial" w:hAnsi="Arial" w:cs="Arial"/>
          <w:iCs/>
          <w:sz w:val="24"/>
          <w:szCs w:val="24"/>
        </w:rPr>
        <w:t xml:space="preserve">In order to encourage and incentivise </w:t>
      </w:r>
      <w:r w:rsidR="0026510B">
        <w:rPr>
          <w:rFonts w:ascii="Arial" w:hAnsi="Arial" w:cs="Arial"/>
          <w:iCs/>
          <w:sz w:val="24"/>
          <w:szCs w:val="24"/>
        </w:rPr>
        <w:t>lessors and tenants</w:t>
      </w:r>
      <w:r w:rsidR="00867B7D" w:rsidRPr="008C1888">
        <w:rPr>
          <w:rFonts w:ascii="Arial" w:hAnsi="Arial" w:cs="Arial"/>
          <w:iCs/>
          <w:sz w:val="24"/>
          <w:szCs w:val="24"/>
        </w:rPr>
        <w:t xml:space="preserve"> to agree on rent relief, </w:t>
      </w:r>
      <w:r w:rsidR="009D43D2" w:rsidRPr="008C1888">
        <w:rPr>
          <w:rFonts w:ascii="Arial" w:hAnsi="Arial" w:cs="Arial"/>
          <w:iCs/>
          <w:sz w:val="24"/>
          <w:szCs w:val="24"/>
        </w:rPr>
        <w:t>the</w:t>
      </w:r>
      <w:r w:rsidR="008C1888" w:rsidRPr="008C1888">
        <w:rPr>
          <w:rFonts w:ascii="Arial" w:hAnsi="Arial" w:cs="Arial"/>
          <w:iCs/>
          <w:sz w:val="24"/>
          <w:szCs w:val="24"/>
        </w:rPr>
        <w:t xml:space="preserve"> Declaration provides</w:t>
      </w:r>
      <w:r w:rsidR="00867B7D" w:rsidRPr="008C1888">
        <w:rPr>
          <w:rFonts w:ascii="Arial" w:hAnsi="Arial" w:cs="Arial"/>
          <w:iCs/>
          <w:sz w:val="24"/>
          <w:szCs w:val="24"/>
        </w:rPr>
        <w:t xml:space="preserve"> that lessors and tenants are able to vary existing agreements to allow for temporary rent reductions</w:t>
      </w:r>
      <w:r w:rsidR="00FC2B58" w:rsidRPr="008C1888">
        <w:rPr>
          <w:rFonts w:ascii="Arial" w:hAnsi="Arial" w:cs="Arial"/>
          <w:iCs/>
          <w:sz w:val="24"/>
          <w:szCs w:val="24"/>
        </w:rPr>
        <w:t xml:space="preserve"> </w:t>
      </w:r>
      <w:r w:rsidR="00867B7D" w:rsidRPr="008C1888">
        <w:rPr>
          <w:rFonts w:ascii="Arial" w:hAnsi="Arial" w:cs="Arial"/>
          <w:iCs/>
          <w:sz w:val="24"/>
          <w:szCs w:val="24"/>
        </w:rPr>
        <w:t xml:space="preserve">and that there is no impediment to rents reverting to their previous rates after the COVID-19 emergency. </w:t>
      </w:r>
    </w:p>
    <w:p w14:paraId="66A5BB7E" w14:textId="40709C94" w:rsidR="00867B7D" w:rsidRPr="002071B7" w:rsidRDefault="002071B7" w:rsidP="00867B7D">
      <w:pPr>
        <w:spacing w:after="120"/>
        <w:ind w:right="-45"/>
        <w:rPr>
          <w:rFonts w:ascii="Arial" w:hAnsi="Arial" w:cs="Arial"/>
          <w:iCs/>
          <w:sz w:val="24"/>
          <w:szCs w:val="24"/>
        </w:rPr>
      </w:pPr>
      <w:r w:rsidRPr="002071B7">
        <w:rPr>
          <w:rFonts w:ascii="Arial" w:hAnsi="Arial" w:cs="Arial"/>
          <w:iCs/>
          <w:sz w:val="24"/>
          <w:szCs w:val="24"/>
        </w:rPr>
        <w:t>The</w:t>
      </w:r>
      <w:r w:rsidR="00867B7D" w:rsidRPr="002071B7">
        <w:rPr>
          <w:rFonts w:ascii="Arial" w:hAnsi="Arial" w:cs="Arial"/>
          <w:iCs/>
          <w:sz w:val="24"/>
          <w:szCs w:val="24"/>
        </w:rPr>
        <w:t xml:space="preserve"> Declaration also prohibits tenants from being added to residential tenancy databases due to a breach of residential tenancy agreements for failure to pay rent during the moratorium period, where the tenant is a member of a COVID-19 impacted household. </w:t>
      </w:r>
    </w:p>
    <w:p w14:paraId="5A31C4FA" w14:textId="0C7194A9" w:rsidR="00695122" w:rsidRPr="002071B7" w:rsidRDefault="00695122" w:rsidP="00867B7D">
      <w:pPr>
        <w:spacing w:after="120"/>
        <w:ind w:right="-45"/>
        <w:rPr>
          <w:rFonts w:ascii="Arial" w:hAnsi="Arial" w:cs="Arial"/>
          <w:iCs/>
          <w:sz w:val="24"/>
          <w:szCs w:val="24"/>
        </w:rPr>
      </w:pPr>
      <w:r w:rsidRPr="002071B7">
        <w:rPr>
          <w:rFonts w:ascii="Arial" w:hAnsi="Arial" w:cs="Arial"/>
          <w:iCs/>
          <w:sz w:val="24"/>
          <w:szCs w:val="24"/>
        </w:rPr>
        <w:t xml:space="preserve">The Declaration further provides that a COVID-19 impacted household may terminate a fixed-term tenancy agreement </w:t>
      </w:r>
      <w:r w:rsidR="00E070E0">
        <w:rPr>
          <w:rFonts w:ascii="Arial" w:hAnsi="Arial" w:cs="Arial"/>
          <w:iCs/>
          <w:sz w:val="24"/>
          <w:szCs w:val="24"/>
        </w:rPr>
        <w:t xml:space="preserve">during the transitional period </w:t>
      </w:r>
      <w:r w:rsidRPr="002071B7">
        <w:rPr>
          <w:rFonts w:ascii="Arial" w:hAnsi="Arial" w:cs="Arial"/>
          <w:iCs/>
          <w:sz w:val="24"/>
          <w:szCs w:val="24"/>
        </w:rPr>
        <w:t xml:space="preserve">without penalty by providing a </w:t>
      </w:r>
      <w:r w:rsidR="002D54C9">
        <w:rPr>
          <w:rFonts w:ascii="Arial" w:hAnsi="Arial" w:cs="Arial"/>
          <w:iCs/>
          <w:sz w:val="24"/>
          <w:szCs w:val="24"/>
        </w:rPr>
        <w:t>lessor</w:t>
      </w:r>
      <w:r w:rsidRPr="002071B7">
        <w:rPr>
          <w:rFonts w:ascii="Arial" w:hAnsi="Arial" w:cs="Arial"/>
          <w:iCs/>
          <w:sz w:val="24"/>
          <w:szCs w:val="24"/>
        </w:rPr>
        <w:t xml:space="preserve"> with 3 weeks’ notice.</w:t>
      </w:r>
      <w:r w:rsidR="00E070E0">
        <w:rPr>
          <w:rFonts w:ascii="Arial" w:hAnsi="Arial" w:cs="Arial"/>
          <w:iCs/>
          <w:sz w:val="24"/>
          <w:szCs w:val="24"/>
        </w:rPr>
        <w:t xml:space="preserve"> Currently, t</w:t>
      </w:r>
      <w:r w:rsidR="00AE1E11" w:rsidRPr="002071B7">
        <w:rPr>
          <w:rFonts w:ascii="Arial" w:hAnsi="Arial" w:cs="Arial"/>
          <w:iCs/>
          <w:sz w:val="24"/>
          <w:szCs w:val="24"/>
        </w:rPr>
        <w:t xml:space="preserve">enants </w:t>
      </w:r>
      <w:r w:rsidR="0099484A" w:rsidRPr="002071B7">
        <w:rPr>
          <w:rFonts w:ascii="Arial" w:hAnsi="Arial" w:cs="Arial"/>
          <w:iCs/>
          <w:sz w:val="24"/>
          <w:szCs w:val="24"/>
        </w:rPr>
        <w:t xml:space="preserve">can apply to ACAT to seek </w:t>
      </w:r>
      <w:r w:rsidR="00AE1E11" w:rsidRPr="002071B7">
        <w:rPr>
          <w:rFonts w:ascii="Arial" w:hAnsi="Arial" w:cs="Arial"/>
          <w:iCs/>
          <w:sz w:val="24"/>
          <w:szCs w:val="24"/>
        </w:rPr>
        <w:t>early termination of</w:t>
      </w:r>
      <w:r w:rsidRPr="002071B7">
        <w:rPr>
          <w:rFonts w:ascii="Arial" w:hAnsi="Arial" w:cs="Arial"/>
          <w:iCs/>
          <w:sz w:val="24"/>
          <w:szCs w:val="24"/>
        </w:rPr>
        <w:t xml:space="preserve"> fixed-term tenanc</w:t>
      </w:r>
      <w:r w:rsidR="00AE1E11" w:rsidRPr="002071B7">
        <w:rPr>
          <w:rFonts w:ascii="Arial" w:hAnsi="Arial" w:cs="Arial"/>
          <w:iCs/>
          <w:sz w:val="24"/>
          <w:szCs w:val="24"/>
        </w:rPr>
        <w:t>ies</w:t>
      </w:r>
      <w:r w:rsidRPr="002071B7">
        <w:rPr>
          <w:rFonts w:ascii="Arial" w:hAnsi="Arial" w:cs="Arial"/>
          <w:iCs/>
          <w:sz w:val="24"/>
          <w:szCs w:val="24"/>
        </w:rPr>
        <w:t xml:space="preserve"> </w:t>
      </w:r>
      <w:r w:rsidR="0099484A" w:rsidRPr="002071B7">
        <w:rPr>
          <w:rFonts w:ascii="Arial" w:hAnsi="Arial" w:cs="Arial"/>
          <w:iCs/>
          <w:sz w:val="24"/>
          <w:szCs w:val="24"/>
        </w:rPr>
        <w:t xml:space="preserve">on the basis of severe </w:t>
      </w:r>
      <w:r w:rsidRPr="002071B7">
        <w:rPr>
          <w:rFonts w:ascii="Arial" w:hAnsi="Arial" w:cs="Arial"/>
          <w:iCs/>
          <w:sz w:val="24"/>
          <w:szCs w:val="24"/>
        </w:rPr>
        <w:t>hardship.</w:t>
      </w:r>
      <w:r w:rsidR="0099484A" w:rsidRPr="002071B7">
        <w:rPr>
          <w:rFonts w:ascii="Arial" w:hAnsi="Arial" w:cs="Arial"/>
          <w:iCs/>
          <w:sz w:val="24"/>
          <w:szCs w:val="24"/>
        </w:rPr>
        <w:t xml:space="preserve"> This measure will provide an additional support to tenants. </w:t>
      </w:r>
      <w:r w:rsidRPr="002071B7">
        <w:rPr>
          <w:rFonts w:ascii="Arial" w:hAnsi="Arial" w:cs="Arial"/>
          <w:iCs/>
          <w:sz w:val="24"/>
          <w:szCs w:val="24"/>
        </w:rPr>
        <w:t>To ensure that this measure is not misused by those who are not COVID-19 impacted, safeguards have been included in the relevant provision</w:t>
      </w:r>
      <w:r w:rsidR="002C6605" w:rsidRPr="002071B7">
        <w:rPr>
          <w:rFonts w:ascii="Arial" w:hAnsi="Arial" w:cs="Arial"/>
          <w:iCs/>
          <w:sz w:val="24"/>
          <w:szCs w:val="24"/>
        </w:rPr>
        <w:t>s</w:t>
      </w:r>
      <w:r w:rsidRPr="002071B7">
        <w:rPr>
          <w:rFonts w:ascii="Arial" w:hAnsi="Arial" w:cs="Arial"/>
          <w:iCs/>
          <w:sz w:val="24"/>
          <w:szCs w:val="24"/>
        </w:rPr>
        <w:t xml:space="preserve"> so that </w:t>
      </w:r>
      <w:r w:rsidR="00AE1E11" w:rsidRPr="002071B7">
        <w:rPr>
          <w:rFonts w:ascii="Arial" w:hAnsi="Arial" w:cs="Arial"/>
          <w:iCs/>
          <w:sz w:val="24"/>
          <w:szCs w:val="24"/>
        </w:rPr>
        <w:t xml:space="preserve">a tenant is required to provide evidence to their </w:t>
      </w:r>
      <w:r w:rsidR="002D54C9">
        <w:rPr>
          <w:rFonts w:ascii="Arial" w:hAnsi="Arial" w:cs="Arial"/>
          <w:iCs/>
          <w:sz w:val="24"/>
          <w:szCs w:val="24"/>
        </w:rPr>
        <w:t>lessor</w:t>
      </w:r>
      <w:r w:rsidR="00AE1E11" w:rsidRPr="002071B7">
        <w:rPr>
          <w:rFonts w:ascii="Arial" w:hAnsi="Arial" w:cs="Arial"/>
          <w:iCs/>
          <w:sz w:val="24"/>
          <w:szCs w:val="24"/>
        </w:rPr>
        <w:t xml:space="preserve"> to substantiate their claim. </w:t>
      </w:r>
    </w:p>
    <w:p w14:paraId="4DAB3917" w14:textId="72715B85" w:rsidR="00867B7D" w:rsidRPr="000F15F1" w:rsidRDefault="006C6394" w:rsidP="001E7D6A">
      <w:pPr>
        <w:spacing w:after="120"/>
        <w:ind w:right="-45"/>
        <w:rPr>
          <w:rFonts w:ascii="Arial" w:hAnsi="Arial" w:cs="Arial"/>
          <w:b/>
          <w:sz w:val="24"/>
          <w:szCs w:val="24"/>
        </w:rPr>
      </w:pPr>
      <w:r>
        <w:rPr>
          <w:rFonts w:ascii="Arial" w:hAnsi="Arial" w:cs="Arial"/>
          <w:b/>
          <w:sz w:val="24"/>
          <w:szCs w:val="24"/>
        </w:rPr>
        <w:br/>
      </w:r>
      <w:r w:rsidR="00867B7D" w:rsidRPr="000F15F1">
        <w:rPr>
          <w:rFonts w:ascii="Arial" w:hAnsi="Arial" w:cs="Arial"/>
          <w:b/>
          <w:sz w:val="24"/>
          <w:szCs w:val="24"/>
        </w:rPr>
        <w:t>CONSULTATION ON THE PROPOSED APPROACH</w:t>
      </w:r>
    </w:p>
    <w:p w14:paraId="3CBA12F4" w14:textId="3B9768C6" w:rsidR="00867B7D" w:rsidRPr="00E55864" w:rsidRDefault="00867B7D" w:rsidP="00867B7D">
      <w:pPr>
        <w:keepNext/>
        <w:rPr>
          <w:rFonts w:ascii="Arial" w:hAnsi="Arial" w:cs="Arial"/>
          <w:iCs/>
          <w:sz w:val="24"/>
          <w:szCs w:val="24"/>
        </w:rPr>
      </w:pPr>
      <w:r w:rsidRPr="004D337D">
        <w:rPr>
          <w:rFonts w:ascii="Arial" w:hAnsi="Arial" w:cs="Arial"/>
          <w:iCs/>
          <w:sz w:val="24"/>
          <w:szCs w:val="24"/>
        </w:rPr>
        <w:t>In developing the proposed approach</w:t>
      </w:r>
      <w:r w:rsidR="002C6605" w:rsidRPr="004D337D">
        <w:rPr>
          <w:rFonts w:ascii="Arial" w:hAnsi="Arial" w:cs="Arial"/>
          <w:iCs/>
          <w:sz w:val="24"/>
          <w:szCs w:val="24"/>
        </w:rPr>
        <w:t xml:space="preserve"> including </w:t>
      </w:r>
      <w:r w:rsidR="00140322" w:rsidRPr="004D337D">
        <w:rPr>
          <w:rFonts w:ascii="Arial" w:hAnsi="Arial" w:cs="Arial"/>
          <w:iCs/>
          <w:sz w:val="24"/>
          <w:szCs w:val="24"/>
        </w:rPr>
        <w:t>the new measures</w:t>
      </w:r>
      <w:r w:rsidRPr="004D337D">
        <w:rPr>
          <w:rFonts w:ascii="Arial" w:hAnsi="Arial" w:cs="Arial"/>
          <w:iCs/>
          <w:sz w:val="24"/>
          <w:szCs w:val="24"/>
        </w:rPr>
        <w:t>, the Justice and Community Safety Directorate</w:t>
      </w:r>
      <w:r w:rsidR="004D337D" w:rsidRPr="004D337D">
        <w:rPr>
          <w:rFonts w:ascii="Arial" w:hAnsi="Arial" w:cs="Arial"/>
          <w:iCs/>
          <w:sz w:val="24"/>
          <w:szCs w:val="24"/>
        </w:rPr>
        <w:t xml:space="preserve"> (the Directorate)</w:t>
      </w:r>
      <w:r w:rsidRPr="004D337D">
        <w:rPr>
          <w:rFonts w:ascii="Arial" w:hAnsi="Arial" w:cs="Arial"/>
          <w:iCs/>
          <w:sz w:val="24"/>
          <w:szCs w:val="24"/>
        </w:rPr>
        <w:t xml:space="preserve"> </w:t>
      </w:r>
      <w:r w:rsidR="00D06C3F" w:rsidRPr="004D337D">
        <w:rPr>
          <w:rFonts w:ascii="Arial" w:hAnsi="Arial" w:cs="Arial"/>
          <w:iCs/>
          <w:sz w:val="24"/>
          <w:szCs w:val="24"/>
        </w:rPr>
        <w:t xml:space="preserve">either </w:t>
      </w:r>
      <w:r w:rsidRPr="004D337D">
        <w:rPr>
          <w:rFonts w:ascii="Arial" w:hAnsi="Arial" w:cs="Arial"/>
          <w:iCs/>
          <w:sz w:val="24"/>
          <w:szCs w:val="24"/>
        </w:rPr>
        <w:t>consulted</w:t>
      </w:r>
      <w:r w:rsidR="00D06C3F" w:rsidRPr="004D337D">
        <w:rPr>
          <w:rFonts w:ascii="Arial" w:hAnsi="Arial" w:cs="Arial"/>
          <w:iCs/>
          <w:sz w:val="24"/>
          <w:szCs w:val="24"/>
        </w:rPr>
        <w:t xml:space="preserve"> with or </w:t>
      </w:r>
      <w:r w:rsidR="004F29D7" w:rsidRPr="004D337D">
        <w:rPr>
          <w:rFonts w:ascii="Arial" w:hAnsi="Arial" w:cs="Arial"/>
          <w:iCs/>
          <w:sz w:val="24"/>
          <w:szCs w:val="24"/>
        </w:rPr>
        <w:t>considered</w:t>
      </w:r>
      <w:r w:rsidR="00D06C3F" w:rsidRPr="004D337D">
        <w:rPr>
          <w:rFonts w:ascii="Arial" w:hAnsi="Arial" w:cs="Arial"/>
          <w:iCs/>
          <w:sz w:val="24"/>
          <w:szCs w:val="24"/>
        </w:rPr>
        <w:t xml:space="preserve"> </w:t>
      </w:r>
      <w:r w:rsidR="00F32F6C">
        <w:rPr>
          <w:rFonts w:ascii="Arial" w:hAnsi="Arial" w:cs="Arial"/>
          <w:iCs/>
          <w:sz w:val="24"/>
          <w:szCs w:val="24"/>
        </w:rPr>
        <w:t xml:space="preserve"> submissions</w:t>
      </w:r>
      <w:r w:rsidRPr="004D337D">
        <w:rPr>
          <w:rFonts w:ascii="Arial" w:hAnsi="Arial" w:cs="Arial"/>
          <w:iCs/>
          <w:sz w:val="24"/>
          <w:szCs w:val="24"/>
        </w:rPr>
        <w:t xml:space="preserve"> </w:t>
      </w:r>
      <w:r w:rsidR="00D06C3F" w:rsidRPr="004D337D">
        <w:rPr>
          <w:rFonts w:ascii="Arial" w:hAnsi="Arial" w:cs="Arial"/>
          <w:iCs/>
          <w:sz w:val="24"/>
          <w:szCs w:val="24"/>
        </w:rPr>
        <w:t xml:space="preserve">from </w:t>
      </w:r>
      <w:r w:rsidRPr="004D337D">
        <w:rPr>
          <w:rFonts w:ascii="Arial" w:hAnsi="Arial" w:cs="Arial"/>
          <w:iCs/>
          <w:sz w:val="24"/>
          <w:szCs w:val="24"/>
        </w:rPr>
        <w:t xml:space="preserve">the Real Estate Institute of the ACT, the Tenancy Advice Service provided by Legal Aid ACT, </w:t>
      </w:r>
      <w:r w:rsidR="008B1BA1">
        <w:rPr>
          <w:rFonts w:ascii="Arial" w:hAnsi="Arial" w:cs="Arial"/>
          <w:iCs/>
          <w:sz w:val="24"/>
          <w:szCs w:val="24"/>
        </w:rPr>
        <w:t xml:space="preserve">the </w:t>
      </w:r>
      <w:r w:rsidR="004D337D" w:rsidRPr="004D337D">
        <w:rPr>
          <w:rFonts w:ascii="Arial" w:hAnsi="Arial" w:cs="Arial"/>
          <w:iCs/>
          <w:sz w:val="24"/>
          <w:szCs w:val="24"/>
        </w:rPr>
        <w:t xml:space="preserve">Tenants’ Union, </w:t>
      </w:r>
      <w:r w:rsidR="005E3D95">
        <w:rPr>
          <w:rFonts w:ascii="Arial" w:hAnsi="Arial" w:cs="Arial"/>
          <w:iCs/>
          <w:sz w:val="24"/>
          <w:szCs w:val="24"/>
        </w:rPr>
        <w:t>ACAT</w:t>
      </w:r>
      <w:r w:rsidRPr="004D337D">
        <w:rPr>
          <w:rFonts w:ascii="Arial" w:hAnsi="Arial" w:cs="Arial"/>
          <w:iCs/>
          <w:sz w:val="24"/>
          <w:szCs w:val="24"/>
        </w:rPr>
        <w:t>,</w:t>
      </w:r>
      <w:r w:rsidR="004D337D" w:rsidRPr="004D337D">
        <w:rPr>
          <w:rFonts w:ascii="Arial" w:hAnsi="Arial" w:cs="Arial"/>
          <w:iCs/>
          <w:sz w:val="24"/>
          <w:szCs w:val="24"/>
        </w:rPr>
        <w:t xml:space="preserve"> the ACT Human Rights Commission,</w:t>
      </w:r>
      <w:r w:rsidRPr="004D337D">
        <w:rPr>
          <w:rFonts w:ascii="Arial" w:hAnsi="Arial" w:cs="Arial"/>
          <w:iCs/>
          <w:sz w:val="24"/>
          <w:szCs w:val="24"/>
        </w:rPr>
        <w:t xml:space="preserve"> Canberra Community Law</w:t>
      </w:r>
      <w:r w:rsidR="0069554D">
        <w:rPr>
          <w:rFonts w:ascii="Arial" w:hAnsi="Arial" w:cs="Arial"/>
          <w:iCs/>
          <w:sz w:val="24"/>
          <w:szCs w:val="24"/>
        </w:rPr>
        <w:t xml:space="preserve"> and other ACT </w:t>
      </w:r>
      <w:r w:rsidR="007308DB">
        <w:rPr>
          <w:rFonts w:ascii="Arial" w:hAnsi="Arial" w:cs="Arial"/>
          <w:iCs/>
          <w:sz w:val="24"/>
          <w:szCs w:val="24"/>
        </w:rPr>
        <w:t>D</w:t>
      </w:r>
      <w:r w:rsidR="0069554D">
        <w:rPr>
          <w:rFonts w:ascii="Arial" w:hAnsi="Arial" w:cs="Arial"/>
          <w:iCs/>
          <w:sz w:val="24"/>
          <w:szCs w:val="24"/>
        </w:rPr>
        <w:t>irectorates</w:t>
      </w:r>
      <w:r w:rsidRPr="00E55864">
        <w:rPr>
          <w:rFonts w:ascii="Arial" w:hAnsi="Arial" w:cs="Arial"/>
          <w:iCs/>
          <w:sz w:val="24"/>
          <w:szCs w:val="24"/>
        </w:rPr>
        <w:t xml:space="preserve">. This diverse range of stakeholders assisted the Directorate in developing an approach which balances the rights of all parties involved in residential tenancies. </w:t>
      </w:r>
    </w:p>
    <w:p w14:paraId="4C3F6F38" w14:textId="01D104CA" w:rsidR="00867B7D" w:rsidRPr="00E55864" w:rsidRDefault="006C6394" w:rsidP="00867B7D">
      <w:pPr>
        <w:pStyle w:val="Heading2"/>
      </w:pPr>
      <w:r>
        <w:br/>
      </w:r>
      <w:r w:rsidR="00867B7D" w:rsidRPr="00E55864">
        <w:t>COMPATIBILITY WITH HUMAN RIGHTS</w:t>
      </w:r>
    </w:p>
    <w:p w14:paraId="389A91A2" w14:textId="77777777" w:rsidR="00867B7D" w:rsidRPr="00E55864" w:rsidRDefault="00867B7D" w:rsidP="00867B7D">
      <w:pPr>
        <w:shd w:val="clear" w:color="auto" w:fill="FFFFFF"/>
        <w:rPr>
          <w:rFonts w:ascii="Arial" w:hAnsi="Arial" w:cs="Arial"/>
          <w:iCs/>
          <w:sz w:val="24"/>
          <w:szCs w:val="24"/>
        </w:rPr>
      </w:pPr>
      <w:r w:rsidRPr="00E55864">
        <w:rPr>
          <w:rFonts w:ascii="Arial" w:hAnsi="Arial" w:cs="Arial"/>
          <w:iCs/>
          <w:sz w:val="24"/>
          <w:szCs w:val="24"/>
        </w:rPr>
        <w:t xml:space="preserve">The measures in the Declaration positively engage the right to protection of family and children and the right to privacy in the </w:t>
      </w:r>
      <w:r w:rsidRPr="00E55864">
        <w:rPr>
          <w:rFonts w:ascii="Arial" w:hAnsi="Arial" w:cs="Arial"/>
          <w:i/>
          <w:sz w:val="24"/>
          <w:szCs w:val="24"/>
        </w:rPr>
        <w:t>Human Rights Act 2004</w:t>
      </w:r>
      <w:r w:rsidRPr="00E55864">
        <w:rPr>
          <w:rFonts w:ascii="Arial" w:hAnsi="Arial" w:cs="Arial"/>
          <w:iCs/>
          <w:sz w:val="24"/>
          <w:szCs w:val="24"/>
        </w:rPr>
        <w:t xml:space="preserve"> (HRA).</w:t>
      </w:r>
    </w:p>
    <w:p w14:paraId="1CD1C8F9" w14:textId="1C41188A" w:rsidR="00867B7D" w:rsidRPr="00E55864" w:rsidRDefault="000D6D87" w:rsidP="00867B7D">
      <w:pPr>
        <w:shd w:val="clear" w:color="auto" w:fill="FFFFFF"/>
        <w:rPr>
          <w:rFonts w:ascii="Arial" w:hAnsi="Arial" w:cs="Arial"/>
          <w:iCs/>
          <w:sz w:val="24"/>
          <w:szCs w:val="24"/>
        </w:rPr>
      </w:pPr>
      <w:r w:rsidRPr="00E55864">
        <w:rPr>
          <w:rFonts w:ascii="Arial" w:hAnsi="Arial" w:cs="Arial"/>
          <w:iCs/>
          <w:sz w:val="24"/>
          <w:szCs w:val="24"/>
        </w:rPr>
        <w:lastRenderedPageBreak/>
        <w:t xml:space="preserve">A number of measures under the Declaration promote the right to protection of family and children in section 11 of the HRA. </w:t>
      </w:r>
      <w:r w:rsidR="00164717" w:rsidRPr="00E55864">
        <w:rPr>
          <w:rFonts w:ascii="Arial" w:hAnsi="Arial" w:cs="Arial"/>
          <w:iCs/>
          <w:sz w:val="24"/>
          <w:szCs w:val="24"/>
        </w:rPr>
        <w:t>These measures e</w:t>
      </w:r>
      <w:r w:rsidR="00D3047F" w:rsidRPr="00E55864">
        <w:rPr>
          <w:rFonts w:ascii="Arial" w:hAnsi="Arial" w:cs="Arial"/>
          <w:iCs/>
          <w:sz w:val="24"/>
          <w:szCs w:val="24"/>
        </w:rPr>
        <w:t>nabl</w:t>
      </w:r>
      <w:r w:rsidR="00BE611A">
        <w:rPr>
          <w:rFonts w:ascii="Arial" w:hAnsi="Arial" w:cs="Arial"/>
          <w:iCs/>
          <w:sz w:val="24"/>
          <w:szCs w:val="24"/>
        </w:rPr>
        <w:t>e</w:t>
      </w:r>
      <w:r w:rsidR="00D3047F" w:rsidRPr="00E55864">
        <w:rPr>
          <w:rFonts w:ascii="Arial" w:hAnsi="Arial" w:cs="Arial"/>
          <w:iCs/>
          <w:sz w:val="24"/>
          <w:szCs w:val="24"/>
        </w:rPr>
        <w:t xml:space="preserve"> </w:t>
      </w:r>
      <w:r w:rsidR="00867B7D" w:rsidRPr="00E55864">
        <w:rPr>
          <w:rFonts w:ascii="Arial" w:hAnsi="Arial" w:cs="Arial"/>
          <w:iCs/>
          <w:sz w:val="24"/>
          <w:szCs w:val="24"/>
        </w:rPr>
        <w:t xml:space="preserve">parties to a residential tenancy agreement to reduce the rent payable because of the COVID-19 pandemic, </w:t>
      </w:r>
      <w:r w:rsidRPr="00E55864">
        <w:rPr>
          <w:rFonts w:ascii="Arial" w:hAnsi="Arial" w:cs="Arial"/>
          <w:iCs/>
          <w:sz w:val="24"/>
          <w:szCs w:val="24"/>
        </w:rPr>
        <w:t>requir</w:t>
      </w:r>
      <w:r w:rsidR="00BE611A">
        <w:rPr>
          <w:rFonts w:ascii="Arial" w:hAnsi="Arial" w:cs="Arial"/>
          <w:iCs/>
          <w:sz w:val="24"/>
          <w:szCs w:val="24"/>
        </w:rPr>
        <w:t>e</w:t>
      </w:r>
      <w:r w:rsidRPr="00E55864">
        <w:rPr>
          <w:rFonts w:ascii="Arial" w:hAnsi="Arial" w:cs="Arial"/>
          <w:iCs/>
          <w:sz w:val="24"/>
          <w:szCs w:val="24"/>
        </w:rPr>
        <w:t xml:space="preserve"> ACAT to consider payment orders for COVID-19 impacted households </w:t>
      </w:r>
      <w:r w:rsidR="00867B7D" w:rsidRPr="00E55864">
        <w:rPr>
          <w:rFonts w:ascii="Arial" w:hAnsi="Arial" w:cs="Arial"/>
          <w:iCs/>
          <w:sz w:val="24"/>
          <w:szCs w:val="24"/>
        </w:rPr>
        <w:t>and introduc</w:t>
      </w:r>
      <w:r w:rsidR="00BE611A">
        <w:rPr>
          <w:rFonts w:ascii="Arial" w:hAnsi="Arial" w:cs="Arial"/>
          <w:iCs/>
          <w:sz w:val="24"/>
          <w:szCs w:val="24"/>
        </w:rPr>
        <w:t>e</w:t>
      </w:r>
      <w:r w:rsidR="00867B7D" w:rsidRPr="00E55864">
        <w:rPr>
          <w:rFonts w:ascii="Arial" w:hAnsi="Arial" w:cs="Arial"/>
          <w:iCs/>
          <w:sz w:val="24"/>
          <w:szCs w:val="24"/>
        </w:rPr>
        <w:t xml:space="preserve"> a </w:t>
      </w:r>
      <w:r w:rsidRPr="00E55864">
        <w:rPr>
          <w:rFonts w:ascii="Arial" w:hAnsi="Arial" w:cs="Arial"/>
          <w:iCs/>
          <w:sz w:val="24"/>
          <w:szCs w:val="24"/>
        </w:rPr>
        <w:t>transitional period to prohibit</w:t>
      </w:r>
      <w:r w:rsidR="00867B7D" w:rsidRPr="00E55864">
        <w:rPr>
          <w:rFonts w:ascii="Arial" w:hAnsi="Arial" w:cs="Arial"/>
          <w:iCs/>
          <w:sz w:val="24"/>
          <w:szCs w:val="24"/>
        </w:rPr>
        <w:t xml:space="preserve"> evictions due to rent arrears</w:t>
      </w:r>
      <w:r w:rsidRPr="00E55864">
        <w:rPr>
          <w:rFonts w:ascii="Arial" w:hAnsi="Arial" w:cs="Arial"/>
          <w:iCs/>
          <w:sz w:val="24"/>
          <w:szCs w:val="24"/>
        </w:rPr>
        <w:t xml:space="preserve"> accrued before or during the moratorium period</w:t>
      </w:r>
      <w:r w:rsidR="00867B7D" w:rsidRPr="00E55864">
        <w:rPr>
          <w:rFonts w:ascii="Arial" w:hAnsi="Arial" w:cs="Arial"/>
          <w:iCs/>
          <w:sz w:val="24"/>
          <w:szCs w:val="24"/>
        </w:rPr>
        <w:t xml:space="preserve"> for COVID-19 impacted households</w:t>
      </w:r>
      <w:r w:rsidRPr="00E55864">
        <w:rPr>
          <w:rFonts w:ascii="Arial" w:hAnsi="Arial" w:cs="Arial"/>
          <w:iCs/>
          <w:sz w:val="24"/>
          <w:szCs w:val="24"/>
        </w:rPr>
        <w:t xml:space="preserve">. </w:t>
      </w:r>
      <w:r w:rsidR="00867B7D" w:rsidRPr="00E55864">
        <w:rPr>
          <w:rFonts w:ascii="Arial" w:hAnsi="Arial" w:cs="Arial"/>
          <w:iCs/>
          <w:sz w:val="24"/>
          <w:szCs w:val="24"/>
        </w:rPr>
        <w:t xml:space="preserve">These measures prevent evictions and work to keep the family unit together during a period of considerable stress, providing time for families to improve their financial situation or consider their alternative options. The measures also promote the right to privacy and home in section 12 of the HRA. </w:t>
      </w:r>
    </w:p>
    <w:p w14:paraId="3717B91F" w14:textId="77777777" w:rsidR="00867B7D" w:rsidRPr="00E55864" w:rsidRDefault="00867B7D" w:rsidP="00867B7D">
      <w:pPr>
        <w:shd w:val="clear" w:color="auto" w:fill="FFFFFF"/>
        <w:rPr>
          <w:rFonts w:ascii="Arial" w:hAnsi="Arial" w:cs="Arial"/>
          <w:sz w:val="24"/>
          <w:szCs w:val="24"/>
        </w:rPr>
      </w:pPr>
      <w:r w:rsidRPr="00E55864">
        <w:rPr>
          <w:rFonts w:ascii="Arial" w:hAnsi="Arial" w:cs="Arial"/>
          <w:iCs/>
          <w:sz w:val="24"/>
          <w:szCs w:val="24"/>
        </w:rPr>
        <w:t xml:space="preserve">The Declaration also promotes the right to informational privacy which protects the storing, use and sharing of personal and confidential information. Preventing tenants from impacted households from being placed on residential tenancy databases due to a </w:t>
      </w:r>
      <w:r w:rsidRPr="00E55864">
        <w:rPr>
          <w:rFonts w:ascii="Arial" w:hAnsi="Arial" w:cs="Arial"/>
          <w:sz w:val="24"/>
          <w:szCs w:val="24"/>
        </w:rPr>
        <w:t>failure to pay rent during the moratorium period protects their privacy and prevents them from later being treated adversely in the rental market because of COVID-19 pressures that were out of their control.</w:t>
      </w:r>
    </w:p>
    <w:p w14:paraId="2425AABD" w14:textId="0AFBACBD" w:rsidR="00867B7D" w:rsidRPr="00E55864" w:rsidRDefault="00867B7D" w:rsidP="00867B7D">
      <w:pPr>
        <w:shd w:val="clear" w:color="auto" w:fill="FFFFFF"/>
        <w:rPr>
          <w:rFonts w:ascii="Arial" w:hAnsi="Arial" w:cs="Arial"/>
          <w:sz w:val="24"/>
          <w:szCs w:val="24"/>
        </w:rPr>
      </w:pPr>
      <w:r w:rsidRPr="00E55864">
        <w:rPr>
          <w:rFonts w:ascii="Arial" w:hAnsi="Arial" w:cs="Arial"/>
          <w:sz w:val="24"/>
          <w:szCs w:val="24"/>
        </w:rPr>
        <w:t xml:space="preserve">The Declaration also engages and may limit the right to privacy </w:t>
      </w:r>
      <w:r w:rsidR="007C1523" w:rsidRPr="00E55864">
        <w:rPr>
          <w:rFonts w:ascii="Arial" w:hAnsi="Arial" w:cs="Arial"/>
          <w:sz w:val="24"/>
          <w:szCs w:val="24"/>
        </w:rPr>
        <w:t>as</w:t>
      </w:r>
      <w:r w:rsidRPr="00E55864">
        <w:rPr>
          <w:rFonts w:ascii="Arial" w:hAnsi="Arial" w:cs="Arial"/>
          <w:sz w:val="24"/>
          <w:szCs w:val="24"/>
        </w:rPr>
        <w:t xml:space="preserve"> the definition of a household “impacted” by the COVID-19 pandemic in clause </w:t>
      </w:r>
      <w:r w:rsidR="0016280A" w:rsidRPr="00E55864">
        <w:rPr>
          <w:rFonts w:ascii="Arial" w:hAnsi="Arial" w:cs="Arial"/>
          <w:sz w:val="24"/>
          <w:szCs w:val="24"/>
        </w:rPr>
        <w:t>8</w:t>
      </w:r>
      <w:r w:rsidR="007C1523" w:rsidRPr="00E55864">
        <w:rPr>
          <w:rFonts w:ascii="Arial" w:hAnsi="Arial" w:cs="Arial"/>
          <w:sz w:val="24"/>
          <w:szCs w:val="24"/>
        </w:rPr>
        <w:t>, a</w:t>
      </w:r>
      <w:r w:rsidR="00D3047F" w:rsidRPr="00E55864">
        <w:rPr>
          <w:rFonts w:ascii="Arial" w:hAnsi="Arial" w:cs="Arial"/>
          <w:sz w:val="24"/>
          <w:szCs w:val="24"/>
        </w:rPr>
        <w:t xml:space="preserve">nd the </w:t>
      </w:r>
      <w:r w:rsidR="007C1523" w:rsidRPr="00E55864">
        <w:rPr>
          <w:rFonts w:ascii="Arial" w:hAnsi="Arial" w:cs="Arial"/>
          <w:sz w:val="24"/>
          <w:szCs w:val="24"/>
        </w:rPr>
        <w:t>early termination by tenants provision in clause 1</w:t>
      </w:r>
      <w:r w:rsidR="0016280A" w:rsidRPr="00E55864">
        <w:rPr>
          <w:rFonts w:ascii="Arial" w:hAnsi="Arial" w:cs="Arial"/>
          <w:sz w:val="24"/>
          <w:szCs w:val="24"/>
        </w:rPr>
        <w:t>3</w:t>
      </w:r>
      <w:r w:rsidR="007C1523" w:rsidRPr="00E55864">
        <w:rPr>
          <w:rFonts w:ascii="Arial" w:hAnsi="Arial" w:cs="Arial"/>
          <w:sz w:val="24"/>
          <w:szCs w:val="24"/>
        </w:rPr>
        <w:t>,</w:t>
      </w:r>
      <w:r w:rsidRPr="00E55864">
        <w:rPr>
          <w:rFonts w:ascii="Arial" w:hAnsi="Arial" w:cs="Arial"/>
          <w:sz w:val="24"/>
          <w:szCs w:val="24"/>
        </w:rPr>
        <w:t xml:space="preserve"> may require tenants to provide personal information to their real estate agents or </w:t>
      </w:r>
      <w:r w:rsidR="002D54C9">
        <w:rPr>
          <w:rFonts w:ascii="Arial" w:hAnsi="Arial" w:cs="Arial"/>
          <w:sz w:val="24"/>
          <w:szCs w:val="24"/>
        </w:rPr>
        <w:t>lessor</w:t>
      </w:r>
      <w:r w:rsidRPr="00E55864">
        <w:rPr>
          <w:rFonts w:ascii="Arial" w:hAnsi="Arial" w:cs="Arial"/>
          <w:sz w:val="24"/>
          <w:szCs w:val="24"/>
        </w:rPr>
        <w:t xml:space="preserve">s to demonstrate a loss of income and/or that they have been diagnosed with COVID-19 or are caring for someone who has. </w:t>
      </w:r>
    </w:p>
    <w:p w14:paraId="5413CB48" w14:textId="3A9B374A" w:rsidR="00867B7D" w:rsidRPr="00E55864" w:rsidRDefault="00867B7D" w:rsidP="00867B7D">
      <w:pPr>
        <w:shd w:val="clear" w:color="auto" w:fill="FFFFFF"/>
        <w:rPr>
          <w:rFonts w:ascii="Arial" w:hAnsi="Arial" w:cs="Arial"/>
          <w:sz w:val="24"/>
          <w:szCs w:val="24"/>
        </w:rPr>
      </w:pPr>
      <w:r w:rsidRPr="00E55864">
        <w:rPr>
          <w:rFonts w:ascii="Arial" w:hAnsi="Arial" w:cs="Arial"/>
          <w:sz w:val="24"/>
          <w:szCs w:val="24"/>
        </w:rPr>
        <w:t xml:space="preserve">This limitation is reasonable and proportionate in accordance with the test in section 28 of the HRA. The measures in the Declaration have an important purpose, which is to mitigate the risk of homelessness arising from financial stress due to the COVID-19 pandemic. The limitation on the right to privacy is necessary, as </w:t>
      </w:r>
      <w:r w:rsidR="002D54C9">
        <w:rPr>
          <w:rFonts w:ascii="Arial" w:hAnsi="Arial" w:cs="Arial"/>
          <w:sz w:val="24"/>
          <w:szCs w:val="24"/>
        </w:rPr>
        <w:t>lessor</w:t>
      </w:r>
      <w:r w:rsidRPr="00E55864">
        <w:rPr>
          <w:rFonts w:ascii="Arial" w:hAnsi="Arial" w:cs="Arial"/>
          <w:sz w:val="24"/>
          <w:szCs w:val="24"/>
        </w:rPr>
        <w:t xml:space="preserve">s may reasonably expect tenants to demonstrate the reason they </w:t>
      </w:r>
      <w:r w:rsidR="009A1712" w:rsidRPr="00E55864">
        <w:rPr>
          <w:rFonts w:ascii="Arial" w:hAnsi="Arial" w:cs="Arial"/>
          <w:sz w:val="24"/>
          <w:szCs w:val="24"/>
        </w:rPr>
        <w:t xml:space="preserve">need to terminate their fixed term tenancies, </w:t>
      </w:r>
      <w:r w:rsidRPr="00E55864">
        <w:rPr>
          <w:rFonts w:ascii="Arial" w:hAnsi="Arial" w:cs="Arial"/>
          <w:sz w:val="24"/>
          <w:szCs w:val="24"/>
        </w:rPr>
        <w:t xml:space="preserve">require a rent reduction or are in arrears is due to the pandemic. This ensures that </w:t>
      </w:r>
      <w:r w:rsidR="002D54C9">
        <w:rPr>
          <w:rFonts w:ascii="Arial" w:hAnsi="Arial" w:cs="Arial"/>
          <w:sz w:val="24"/>
          <w:szCs w:val="24"/>
        </w:rPr>
        <w:t>lessor</w:t>
      </w:r>
      <w:r w:rsidRPr="00E55864">
        <w:rPr>
          <w:rFonts w:ascii="Arial" w:hAnsi="Arial" w:cs="Arial"/>
          <w:sz w:val="24"/>
          <w:szCs w:val="24"/>
        </w:rPr>
        <w:t xml:space="preserve">s may otherwise exercise their normal statutory rights under residential tenancy law, if circumstances extraneous to the pandemic permit. There are no other reasonably available and less restrictive alternatives that would not require the tenant to provide personal information to a third party. </w:t>
      </w:r>
    </w:p>
    <w:p w14:paraId="166A72F5" w14:textId="77777777" w:rsidR="00867B7D" w:rsidRPr="00C26BE1" w:rsidRDefault="00867B7D" w:rsidP="00867B7D">
      <w:pPr>
        <w:spacing w:after="0" w:line="240" w:lineRule="auto"/>
        <w:rPr>
          <w:rFonts w:asciiTheme="minorHAnsi" w:eastAsiaTheme="majorEastAsia" w:hAnsiTheme="minorHAnsi" w:cs="Arial"/>
          <w:sz w:val="28"/>
          <w:szCs w:val="28"/>
          <w:lang w:eastAsia="en-AU"/>
        </w:rPr>
      </w:pPr>
      <w:bookmarkStart w:id="1" w:name="OLE_LINK1"/>
      <w:r>
        <w:rPr>
          <w:rFonts w:asciiTheme="minorHAnsi" w:hAnsiTheme="minorHAnsi" w:cs="Arial"/>
          <w:b/>
          <w:sz w:val="28"/>
          <w:szCs w:val="28"/>
          <w:lang w:eastAsia="en-AU"/>
        </w:rPr>
        <w:br w:type="page"/>
      </w:r>
      <w:bookmarkEnd w:id="1"/>
    </w:p>
    <w:p w14:paraId="0CC8E6C4" w14:textId="20DCE41B" w:rsidR="00867B7D" w:rsidRDefault="00867B7D" w:rsidP="00867B7D">
      <w:pPr>
        <w:pStyle w:val="Heading2"/>
        <w:pageBreakBefore/>
        <w:spacing w:before="240" w:after="240"/>
      </w:pPr>
      <w:r w:rsidRPr="008C225D">
        <w:lastRenderedPageBreak/>
        <w:t>CLAUSE NOTES</w:t>
      </w:r>
    </w:p>
    <w:p w14:paraId="552797A1" w14:textId="73364FB9" w:rsidR="00AA3379" w:rsidRPr="00AA3379" w:rsidRDefault="00AA3379" w:rsidP="00AA3379">
      <w:pPr>
        <w:pStyle w:val="Heading3"/>
      </w:pPr>
      <w:r w:rsidRPr="00AA3379">
        <w:t xml:space="preserve">Part </w:t>
      </w:r>
      <w:r>
        <w:t>1</w:t>
      </w:r>
      <w:r>
        <w:tab/>
      </w:r>
      <w:r>
        <w:tab/>
        <w:t>Preliminary</w:t>
      </w:r>
    </w:p>
    <w:p w14:paraId="1249A4CE" w14:textId="77777777" w:rsidR="00867B7D" w:rsidRDefault="00867B7D" w:rsidP="00867B7D">
      <w:pPr>
        <w:pStyle w:val="Heading3"/>
      </w:pPr>
      <w:r w:rsidRPr="00ED3B77">
        <w:t>Clause 1</w:t>
      </w:r>
      <w:r w:rsidRPr="00ED3B77">
        <w:tab/>
        <w:t xml:space="preserve">Name of </w:t>
      </w:r>
      <w:r>
        <w:t>instrument</w:t>
      </w:r>
    </w:p>
    <w:p w14:paraId="2E441DC5" w14:textId="5A94CA5D" w:rsidR="00867B7D" w:rsidRPr="007D69CA" w:rsidRDefault="00867B7D" w:rsidP="00867B7D">
      <w:pPr>
        <w:rPr>
          <w:rFonts w:ascii="Arial" w:hAnsi="Arial" w:cs="Arial"/>
          <w:sz w:val="24"/>
          <w:szCs w:val="24"/>
        </w:rPr>
      </w:pPr>
      <w:r w:rsidRPr="0074496A">
        <w:rPr>
          <w:rFonts w:ascii="Arial" w:hAnsi="Arial" w:cs="Arial"/>
          <w:sz w:val="24"/>
          <w:szCs w:val="24"/>
        </w:rPr>
        <w:t xml:space="preserve">This clause is a formal provision setting out the name of the </w:t>
      </w:r>
      <w:r>
        <w:rPr>
          <w:rFonts w:ascii="Arial" w:hAnsi="Arial" w:cs="Arial"/>
          <w:sz w:val="24"/>
          <w:szCs w:val="24"/>
        </w:rPr>
        <w:t>instrument</w:t>
      </w:r>
      <w:r w:rsidRPr="0074496A">
        <w:rPr>
          <w:rFonts w:ascii="Arial" w:hAnsi="Arial" w:cs="Arial"/>
          <w:sz w:val="24"/>
          <w:szCs w:val="24"/>
        </w:rPr>
        <w:t xml:space="preserve"> as the </w:t>
      </w:r>
      <w:r>
        <w:rPr>
          <w:rFonts w:ascii="Arial" w:hAnsi="Arial" w:cs="Arial"/>
          <w:i/>
          <w:iCs/>
          <w:sz w:val="24"/>
          <w:szCs w:val="24"/>
        </w:rPr>
        <w:t>Residential Tenancies (COVID-19 Emergency Response) Declaration 2020</w:t>
      </w:r>
      <w:r w:rsidRPr="007D69CA">
        <w:rPr>
          <w:rFonts w:ascii="Arial" w:hAnsi="Arial" w:cs="Arial"/>
          <w:i/>
          <w:iCs/>
          <w:sz w:val="24"/>
          <w:szCs w:val="24"/>
        </w:rPr>
        <w:t xml:space="preserve"> </w:t>
      </w:r>
      <w:r w:rsidR="009A1712">
        <w:rPr>
          <w:rFonts w:ascii="Arial" w:hAnsi="Arial" w:cs="Arial"/>
          <w:i/>
          <w:iCs/>
          <w:sz w:val="24"/>
          <w:szCs w:val="24"/>
        </w:rPr>
        <w:t xml:space="preserve">(No </w:t>
      </w:r>
      <w:r w:rsidR="008146F5">
        <w:rPr>
          <w:rFonts w:ascii="Arial" w:hAnsi="Arial" w:cs="Arial"/>
          <w:i/>
          <w:iCs/>
          <w:sz w:val="24"/>
          <w:szCs w:val="24"/>
        </w:rPr>
        <w:t>3</w:t>
      </w:r>
      <w:r w:rsidR="009A1712">
        <w:rPr>
          <w:rFonts w:ascii="Arial" w:hAnsi="Arial" w:cs="Arial"/>
          <w:i/>
          <w:iCs/>
          <w:sz w:val="24"/>
          <w:szCs w:val="24"/>
        </w:rPr>
        <w:t xml:space="preserve">) </w:t>
      </w:r>
      <w:r w:rsidRPr="007D69CA">
        <w:rPr>
          <w:rFonts w:ascii="Arial" w:hAnsi="Arial" w:cs="Arial"/>
          <w:sz w:val="24"/>
          <w:szCs w:val="24"/>
        </w:rPr>
        <w:t xml:space="preserve">(the </w:t>
      </w:r>
      <w:r>
        <w:rPr>
          <w:rFonts w:ascii="Arial" w:hAnsi="Arial" w:cs="Arial"/>
          <w:sz w:val="24"/>
          <w:szCs w:val="24"/>
        </w:rPr>
        <w:t>Declaration</w:t>
      </w:r>
      <w:r w:rsidRPr="007D69CA">
        <w:rPr>
          <w:rFonts w:ascii="Arial" w:hAnsi="Arial" w:cs="Arial"/>
          <w:sz w:val="24"/>
          <w:szCs w:val="24"/>
        </w:rPr>
        <w:t>).</w:t>
      </w:r>
    </w:p>
    <w:p w14:paraId="0636EB7B" w14:textId="77777777" w:rsidR="00867B7D" w:rsidRPr="00A62AB2" w:rsidRDefault="00867B7D" w:rsidP="00867B7D">
      <w:pPr>
        <w:pStyle w:val="Heading3"/>
      </w:pPr>
      <w:r w:rsidRPr="00A62AB2">
        <w:t>Clause 2</w:t>
      </w:r>
      <w:r w:rsidRPr="00A62AB2">
        <w:tab/>
        <w:t>Commencement</w:t>
      </w:r>
    </w:p>
    <w:p w14:paraId="46764FC8" w14:textId="04F6645E" w:rsidR="00A62AB2" w:rsidRPr="00A62AB2" w:rsidRDefault="00867B7D" w:rsidP="00867B7D">
      <w:pPr>
        <w:rPr>
          <w:rFonts w:ascii="Arial" w:hAnsi="Arial" w:cs="Arial"/>
          <w:sz w:val="24"/>
          <w:szCs w:val="24"/>
        </w:rPr>
      </w:pPr>
      <w:r w:rsidRPr="00A62AB2">
        <w:rPr>
          <w:rFonts w:ascii="Arial" w:hAnsi="Arial" w:cs="Arial"/>
          <w:sz w:val="24"/>
          <w:szCs w:val="24"/>
        </w:rPr>
        <w:t xml:space="preserve">This clause provides for commencement of the Declaration </w:t>
      </w:r>
      <w:r w:rsidR="0090708B">
        <w:rPr>
          <w:rFonts w:ascii="Arial" w:hAnsi="Arial" w:cs="Arial"/>
          <w:sz w:val="24"/>
          <w:szCs w:val="24"/>
        </w:rPr>
        <w:t xml:space="preserve">(other than </w:t>
      </w:r>
      <w:r w:rsidR="00DA3D9E">
        <w:rPr>
          <w:rFonts w:ascii="Arial" w:hAnsi="Arial" w:cs="Arial"/>
          <w:sz w:val="24"/>
          <w:szCs w:val="24"/>
        </w:rPr>
        <w:t>clause</w:t>
      </w:r>
      <w:r w:rsidR="0090708B">
        <w:rPr>
          <w:rFonts w:ascii="Arial" w:hAnsi="Arial" w:cs="Arial"/>
          <w:sz w:val="24"/>
          <w:szCs w:val="24"/>
        </w:rPr>
        <w:t xml:space="preserve"> 5) </w:t>
      </w:r>
      <w:r w:rsidRPr="00A62AB2">
        <w:rPr>
          <w:rFonts w:ascii="Arial" w:hAnsi="Arial" w:cs="Arial"/>
          <w:sz w:val="24"/>
          <w:szCs w:val="24"/>
        </w:rPr>
        <w:t xml:space="preserve">on </w:t>
      </w:r>
      <w:r w:rsidR="00A62AB2" w:rsidRPr="00A62AB2">
        <w:rPr>
          <w:rFonts w:ascii="Arial" w:hAnsi="Arial" w:cs="Arial"/>
          <w:sz w:val="24"/>
          <w:szCs w:val="24"/>
        </w:rPr>
        <w:t>23 October 2020.</w:t>
      </w:r>
    </w:p>
    <w:p w14:paraId="72309DE0" w14:textId="4CA7EB2D" w:rsidR="00A62AB2" w:rsidRPr="0090708B" w:rsidRDefault="00DA3D9E" w:rsidP="00867B7D">
      <w:pPr>
        <w:rPr>
          <w:rFonts w:ascii="Arial" w:hAnsi="Arial" w:cs="Arial"/>
          <w:sz w:val="24"/>
          <w:szCs w:val="24"/>
        </w:rPr>
      </w:pPr>
      <w:r>
        <w:rPr>
          <w:rFonts w:ascii="Arial" w:hAnsi="Arial" w:cs="Arial"/>
          <w:sz w:val="24"/>
          <w:szCs w:val="24"/>
        </w:rPr>
        <w:t>Clause 5</w:t>
      </w:r>
      <w:r w:rsidR="0090708B" w:rsidRPr="0090708B">
        <w:rPr>
          <w:rFonts w:ascii="Arial" w:hAnsi="Arial" w:cs="Arial"/>
          <w:sz w:val="24"/>
          <w:szCs w:val="24"/>
        </w:rPr>
        <w:t xml:space="preserve"> commences 10 days after the Declaration’s notification day.</w:t>
      </w:r>
    </w:p>
    <w:p w14:paraId="55C2EE8A" w14:textId="4C000959" w:rsidR="00AE5C53" w:rsidRDefault="00AE5C53" w:rsidP="00AE5C53">
      <w:pPr>
        <w:rPr>
          <w:rFonts w:ascii="Arial" w:hAnsi="Arial" w:cs="Arial"/>
          <w:b/>
          <w:bCs/>
          <w:sz w:val="24"/>
          <w:szCs w:val="24"/>
        </w:rPr>
      </w:pPr>
      <w:r w:rsidRPr="005E4D0F">
        <w:rPr>
          <w:rFonts w:ascii="Arial" w:eastAsiaTheme="majorEastAsia" w:hAnsi="Arial" w:cstheme="majorBidi"/>
          <w:b/>
          <w:sz w:val="24"/>
          <w:szCs w:val="24"/>
        </w:rPr>
        <w:t xml:space="preserve">Clause </w:t>
      </w:r>
      <w:r>
        <w:rPr>
          <w:rFonts w:ascii="Arial" w:eastAsiaTheme="majorEastAsia" w:hAnsi="Arial" w:cstheme="majorBidi"/>
          <w:b/>
          <w:sz w:val="24"/>
          <w:szCs w:val="24"/>
        </w:rPr>
        <w:t>3</w:t>
      </w:r>
      <w:r w:rsidRPr="009A1712">
        <w:rPr>
          <w:rFonts w:ascii="Arial" w:hAnsi="Arial" w:cs="Arial"/>
          <w:sz w:val="24"/>
          <w:szCs w:val="24"/>
        </w:rPr>
        <w:tab/>
      </w:r>
      <w:r>
        <w:rPr>
          <w:rFonts w:ascii="Arial" w:hAnsi="Arial" w:cs="Arial"/>
          <w:b/>
          <w:bCs/>
          <w:sz w:val="24"/>
          <w:szCs w:val="24"/>
        </w:rPr>
        <w:t>Expiry</w:t>
      </w:r>
    </w:p>
    <w:p w14:paraId="46F396DA" w14:textId="78140724" w:rsidR="0090708B" w:rsidRPr="009C4CC9" w:rsidRDefault="0090708B" w:rsidP="0090708B">
      <w:pPr>
        <w:rPr>
          <w:rFonts w:ascii="Arial" w:hAnsi="Arial" w:cs="Arial"/>
          <w:sz w:val="24"/>
          <w:szCs w:val="24"/>
        </w:rPr>
      </w:pPr>
      <w:r w:rsidRPr="009C4CC9">
        <w:rPr>
          <w:rFonts w:ascii="Arial" w:hAnsi="Arial" w:cs="Arial"/>
          <w:sz w:val="24"/>
          <w:szCs w:val="24"/>
        </w:rPr>
        <w:t xml:space="preserve">The Declaration expires </w:t>
      </w:r>
      <w:r w:rsidR="002F5393" w:rsidRPr="009C4CC9">
        <w:rPr>
          <w:rFonts w:ascii="Arial" w:hAnsi="Arial" w:cs="Arial"/>
          <w:sz w:val="24"/>
          <w:szCs w:val="24"/>
        </w:rPr>
        <w:t>on the earlier of</w:t>
      </w:r>
      <w:r w:rsidRPr="009C4CC9">
        <w:rPr>
          <w:rFonts w:ascii="Arial" w:hAnsi="Arial" w:cs="Arial"/>
          <w:sz w:val="24"/>
          <w:szCs w:val="24"/>
        </w:rPr>
        <w:t xml:space="preserve"> either the day the transitional period ends</w:t>
      </w:r>
      <w:r w:rsidR="00C174D8">
        <w:rPr>
          <w:rFonts w:ascii="Arial" w:hAnsi="Arial" w:cs="Arial"/>
          <w:sz w:val="24"/>
          <w:szCs w:val="24"/>
        </w:rPr>
        <w:t xml:space="preserve"> (see </w:t>
      </w:r>
      <w:r w:rsidR="002168A0">
        <w:rPr>
          <w:rFonts w:ascii="Arial" w:hAnsi="Arial" w:cs="Arial"/>
          <w:sz w:val="24"/>
          <w:szCs w:val="24"/>
        </w:rPr>
        <w:t>clause</w:t>
      </w:r>
      <w:r w:rsidR="00C174D8">
        <w:rPr>
          <w:rFonts w:ascii="Arial" w:hAnsi="Arial" w:cs="Arial"/>
          <w:sz w:val="24"/>
          <w:szCs w:val="24"/>
        </w:rPr>
        <w:t xml:space="preserve"> 7</w:t>
      </w:r>
      <w:r w:rsidRPr="009C4CC9">
        <w:rPr>
          <w:rFonts w:ascii="Arial" w:hAnsi="Arial" w:cs="Arial"/>
          <w:sz w:val="24"/>
          <w:szCs w:val="24"/>
        </w:rPr>
        <w:t xml:space="preserve">) or </w:t>
      </w:r>
      <w:r w:rsidR="00C174D8">
        <w:rPr>
          <w:rFonts w:ascii="Arial" w:hAnsi="Arial" w:cs="Arial"/>
          <w:sz w:val="24"/>
          <w:szCs w:val="24"/>
        </w:rPr>
        <w:t xml:space="preserve">the day mentioned in </w:t>
      </w:r>
      <w:r w:rsidRPr="009C4CC9">
        <w:rPr>
          <w:rFonts w:ascii="Arial" w:hAnsi="Arial" w:cs="Arial"/>
          <w:sz w:val="24"/>
          <w:szCs w:val="24"/>
        </w:rPr>
        <w:t xml:space="preserve">section 156 (3) of the </w:t>
      </w:r>
      <w:r w:rsidRPr="009C4CC9">
        <w:rPr>
          <w:rFonts w:ascii="Arial" w:hAnsi="Arial" w:cs="Arial"/>
          <w:i/>
          <w:iCs/>
          <w:sz w:val="24"/>
          <w:szCs w:val="24"/>
        </w:rPr>
        <w:t>Residential Tenancies Act 1977</w:t>
      </w:r>
      <w:r w:rsidRPr="009C4CC9">
        <w:rPr>
          <w:rFonts w:ascii="Arial" w:hAnsi="Arial" w:cs="Arial"/>
          <w:sz w:val="24"/>
          <w:szCs w:val="24"/>
        </w:rPr>
        <w:t xml:space="preserve"> (RTA), namely on the day the </w:t>
      </w:r>
      <w:r w:rsidRPr="009C4CC9">
        <w:rPr>
          <w:rFonts w:ascii="Arial" w:hAnsi="Arial" w:cs="Arial"/>
          <w:i/>
          <w:iCs/>
          <w:sz w:val="24"/>
          <w:szCs w:val="24"/>
        </w:rPr>
        <w:t xml:space="preserve">Public Health (Emergency) Declaration 2020 (No 1) </w:t>
      </w:r>
      <w:r w:rsidRPr="009C4CC9">
        <w:rPr>
          <w:rFonts w:ascii="Arial" w:hAnsi="Arial" w:cs="Arial"/>
          <w:sz w:val="24"/>
          <w:szCs w:val="24"/>
        </w:rPr>
        <w:t xml:space="preserve">ends or, if the Minister considers the effect of the COVID-19 pandemic justifies a later day, a later day notified by the Minister but no later than 3 months after the </w:t>
      </w:r>
      <w:r w:rsidRPr="009C4CC9">
        <w:rPr>
          <w:rFonts w:ascii="Arial" w:hAnsi="Arial" w:cs="Arial"/>
          <w:i/>
          <w:iCs/>
          <w:sz w:val="24"/>
          <w:szCs w:val="24"/>
        </w:rPr>
        <w:t xml:space="preserve">Public Health (Emergency) Declaration 2020 (No 1) </w:t>
      </w:r>
      <w:r w:rsidRPr="009C4CC9">
        <w:rPr>
          <w:rFonts w:ascii="Arial" w:hAnsi="Arial" w:cs="Arial"/>
          <w:sz w:val="24"/>
          <w:szCs w:val="24"/>
        </w:rPr>
        <w:t xml:space="preserve">ends. </w:t>
      </w:r>
    </w:p>
    <w:p w14:paraId="373DD82F" w14:textId="2B010B14" w:rsidR="009A1712" w:rsidRDefault="009A1712" w:rsidP="00867B7D">
      <w:pPr>
        <w:rPr>
          <w:rFonts w:ascii="Arial" w:hAnsi="Arial" w:cs="Arial"/>
          <w:b/>
          <w:bCs/>
          <w:sz w:val="24"/>
          <w:szCs w:val="24"/>
        </w:rPr>
      </w:pPr>
      <w:r w:rsidRPr="005E4D0F">
        <w:rPr>
          <w:rFonts w:ascii="Arial" w:eastAsiaTheme="majorEastAsia" w:hAnsi="Arial" w:cstheme="majorBidi"/>
          <w:b/>
          <w:sz w:val="24"/>
          <w:szCs w:val="24"/>
        </w:rPr>
        <w:t xml:space="preserve">Clause </w:t>
      </w:r>
      <w:r w:rsidR="00AE5C53">
        <w:rPr>
          <w:rFonts w:ascii="Arial" w:eastAsiaTheme="majorEastAsia" w:hAnsi="Arial" w:cstheme="majorBidi"/>
          <w:b/>
          <w:sz w:val="24"/>
          <w:szCs w:val="24"/>
        </w:rPr>
        <w:t>4</w:t>
      </w:r>
      <w:r w:rsidRPr="009A1712">
        <w:rPr>
          <w:rFonts w:ascii="Arial" w:hAnsi="Arial" w:cs="Arial"/>
          <w:sz w:val="24"/>
          <w:szCs w:val="24"/>
        </w:rPr>
        <w:tab/>
      </w:r>
      <w:r>
        <w:rPr>
          <w:rFonts w:ascii="Arial" w:hAnsi="Arial" w:cs="Arial"/>
          <w:b/>
          <w:bCs/>
          <w:sz w:val="24"/>
          <w:szCs w:val="24"/>
        </w:rPr>
        <w:t>Revocation</w:t>
      </w:r>
    </w:p>
    <w:p w14:paraId="116EE6B0" w14:textId="7BC0BFC3" w:rsidR="009A1712" w:rsidRPr="009A1712" w:rsidRDefault="009A1712" w:rsidP="00867B7D">
      <w:pPr>
        <w:rPr>
          <w:rFonts w:ascii="Arial" w:hAnsi="Arial" w:cs="Arial"/>
          <w:sz w:val="24"/>
          <w:szCs w:val="24"/>
        </w:rPr>
      </w:pPr>
      <w:r>
        <w:rPr>
          <w:rFonts w:ascii="Arial" w:hAnsi="Arial" w:cs="Arial"/>
          <w:sz w:val="24"/>
          <w:szCs w:val="24"/>
        </w:rPr>
        <w:t xml:space="preserve">This </w:t>
      </w:r>
      <w:r w:rsidR="005E4D0F">
        <w:rPr>
          <w:rFonts w:ascii="Arial" w:hAnsi="Arial" w:cs="Arial"/>
          <w:sz w:val="24"/>
          <w:szCs w:val="24"/>
        </w:rPr>
        <w:t>clause revokes a prior instrument</w:t>
      </w:r>
      <w:r w:rsidR="005E4D0F" w:rsidRPr="005E4D0F">
        <w:rPr>
          <w:rFonts w:ascii="Arial" w:hAnsi="Arial" w:cs="Arial"/>
          <w:sz w:val="24"/>
          <w:szCs w:val="24"/>
        </w:rPr>
        <w:t xml:space="preserve">, </w:t>
      </w:r>
      <w:r w:rsidR="0069554D">
        <w:rPr>
          <w:rFonts w:ascii="Arial" w:hAnsi="Arial" w:cs="Arial"/>
          <w:sz w:val="24"/>
          <w:szCs w:val="24"/>
        </w:rPr>
        <w:t xml:space="preserve">the </w:t>
      </w:r>
      <w:r w:rsidR="00AE5C53" w:rsidRPr="00AE5C53">
        <w:rPr>
          <w:rFonts w:ascii="Arial" w:hAnsi="Arial" w:cs="Arial"/>
          <w:i/>
          <w:iCs/>
          <w:sz w:val="24"/>
          <w:szCs w:val="24"/>
        </w:rPr>
        <w:t xml:space="preserve">Residential Tenancies (COVID-19 Emergency Response) Declaration 2020 (No 2) </w:t>
      </w:r>
      <w:r w:rsidR="00AE5C53" w:rsidRPr="00AE5C53">
        <w:rPr>
          <w:rFonts w:ascii="Arial" w:hAnsi="Arial" w:cs="Arial"/>
          <w:sz w:val="24"/>
          <w:szCs w:val="24"/>
        </w:rPr>
        <w:t>(DI2020-216)</w:t>
      </w:r>
      <w:r w:rsidR="00436C78">
        <w:rPr>
          <w:rFonts w:ascii="Arial" w:hAnsi="Arial" w:cs="Arial"/>
          <w:sz w:val="24"/>
          <w:szCs w:val="24"/>
        </w:rPr>
        <w:t xml:space="preserve"> on 23 October 2020</w:t>
      </w:r>
      <w:r w:rsidR="0069554D">
        <w:rPr>
          <w:rFonts w:ascii="Arial" w:hAnsi="Arial" w:cs="Arial"/>
          <w:sz w:val="24"/>
          <w:szCs w:val="24"/>
        </w:rPr>
        <w:t xml:space="preserve">. </w:t>
      </w:r>
      <w:r w:rsidR="00436C78">
        <w:rPr>
          <w:rFonts w:ascii="Arial" w:hAnsi="Arial" w:cs="Arial"/>
          <w:sz w:val="24"/>
          <w:szCs w:val="24"/>
        </w:rPr>
        <w:t>This is because t</w:t>
      </w:r>
      <w:r w:rsidR="0069554D">
        <w:rPr>
          <w:rFonts w:ascii="Arial" w:hAnsi="Arial" w:cs="Arial"/>
          <w:sz w:val="24"/>
          <w:szCs w:val="24"/>
        </w:rPr>
        <w:t xml:space="preserve">he moratorium period under the </w:t>
      </w:r>
      <w:r w:rsidR="0069554D" w:rsidRPr="00AE5C53">
        <w:rPr>
          <w:rFonts w:ascii="Arial" w:hAnsi="Arial" w:cs="Arial"/>
          <w:i/>
          <w:iCs/>
          <w:sz w:val="24"/>
          <w:szCs w:val="24"/>
        </w:rPr>
        <w:t xml:space="preserve">Residential Tenancies (COVID-19 Emergency Response) Declaration 2020 (No 2) </w:t>
      </w:r>
      <w:r w:rsidR="0069554D" w:rsidRPr="00AE5C53">
        <w:rPr>
          <w:rFonts w:ascii="Arial" w:hAnsi="Arial" w:cs="Arial"/>
          <w:sz w:val="24"/>
          <w:szCs w:val="24"/>
        </w:rPr>
        <w:t>(DI2020-216)</w:t>
      </w:r>
      <w:r w:rsidR="0069554D">
        <w:rPr>
          <w:rFonts w:ascii="Arial" w:hAnsi="Arial" w:cs="Arial"/>
          <w:sz w:val="24"/>
          <w:szCs w:val="24"/>
        </w:rPr>
        <w:t xml:space="preserve"> expires on 22 October 2020</w:t>
      </w:r>
      <w:r w:rsidR="005E4D0F" w:rsidRPr="00AE5C53">
        <w:rPr>
          <w:rFonts w:ascii="Arial" w:hAnsi="Arial" w:cs="Arial"/>
          <w:sz w:val="24"/>
          <w:szCs w:val="24"/>
        </w:rPr>
        <w:t>.</w:t>
      </w:r>
      <w:r w:rsidR="005E4D0F">
        <w:rPr>
          <w:rFonts w:ascii="Arial" w:hAnsi="Arial" w:cs="Arial"/>
          <w:sz w:val="24"/>
          <w:szCs w:val="24"/>
        </w:rPr>
        <w:t xml:space="preserve"> </w:t>
      </w:r>
    </w:p>
    <w:p w14:paraId="5114C805" w14:textId="7587B11D" w:rsidR="00AE5C53" w:rsidRDefault="00AE5C53" w:rsidP="00AE5C53">
      <w:pPr>
        <w:pStyle w:val="Heading3"/>
      </w:pPr>
      <w:r w:rsidRPr="00691699">
        <w:t>Part</w:t>
      </w:r>
      <w:r>
        <w:t xml:space="preserve"> 2</w:t>
      </w:r>
      <w:r>
        <w:tab/>
      </w:r>
      <w:r>
        <w:tab/>
      </w:r>
      <w:r w:rsidR="00164F82">
        <w:t>Rent paid in advance and temporary reduction in rent</w:t>
      </w:r>
    </w:p>
    <w:p w14:paraId="254A46D4" w14:textId="3837C7F5" w:rsidR="00AE5C53" w:rsidRDefault="00AE5C53" w:rsidP="00AE5C53">
      <w:pPr>
        <w:pStyle w:val="Heading3"/>
      </w:pPr>
      <w:r w:rsidRPr="00ED3B77">
        <w:t xml:space="preserve">Clause </w:t>
      </w:r>
      <w:r w:rsidR="00FE65B9">
        <w:t>5</w:t>
      </w:r>
      <w:r w:rsidRPr="00ED3B77">
        <w:tab/>
      </w:r>
      <w:r>
        <w:t xml:space="preserve">Modification of </w:t>
      </w:r>
      <w:r w:rsidR="00FE65B9">
        <w:t>Act, s 8 (1) (a) (i) – amount of rent paid in advance for fixed term agreements</w:t>
      </w:r>
      <w:r>
        <w:t xml:space="preserve"> </w:t>
      </w:r>
    </w:p>
    <w:p w14:paraId="4112879D" w14:textId="4F82394E" w:rsidR="002168A0" w:rsidRDefault="00AE5C53" w:rsidP="00AE5C53">
      <w:pPr>
        <w:rPr>
          <w:rFonts w:ascii="Arial" w:hAnsi="Arial" w:cs="Arial"/>
          <w:sz w:val="24"/>
          <w:szCs w:val="24"/>
        </w:rPr>
      </w:pPr>
      <w:r w:rsidRPr="00593714">
        <w:rPr>
          <w:rFonts w:ascii="Arial" w:hAnsi="Arial" w:cs="Arial"/>
          <w:sz w:val="24"/>
          <w:szCs w:val="24"/>
        </w:rPr>
        <w:t xml:space="preserve">This clause </w:t>
      </w:r>
      <w:r w:rsidR="00753AE6">
        <w:rPr>
          <w:rFonts w:ascii="Arial" w:hAnsi="Arial" w:cs="Arial"/>
          <w:sz w:val="24"/>
          <w:szCs w:val="24"/>
        </w:rPr>
        <w:t xml:space="preserve">modifies the operation of </w:t>
      </w:r>
      <w:r w:rsidRPr="00593714">
        <w:rPr>
          <w:rFonts w:ascii="Arial" w:hAnsi="Arial" w:cs="Arial"/>
          <w:sz w:val="24"/>
          <w:szCs w:val="24"/>
        </w:rPr>
        <w:t>section 8 (1)</w:t>
      </w:r>
      <w:r w:rsidR="00593714" w:rsidRPr="00593714">
        <w:rPr>
          <w:rFonts w:ascii="Arial" w:hAnsi="Arial" w:cs="Arial"/>
          <w:sz w:val="24"/>
          <w:szCs w:val="24"/>
        </w:rPr>
        <w:t xml:space="preserve"> (a) (i)</w:t>
      </w:r>
      <w:r w:rsidRPr="00593714">
        <w:rPr>
          <w:rFonts w:ascii="Arial" w:hAnsi="Arial" w:cs="Arial"/>
          <w:sz w:val="24"/>
          <w:szCs w:val="24"/>
        </w:rPr>
        <w:t xml:space="preserve"> of the RTA</w:t>
      </w:r>
      <w:r w:rsidR="00753AE6">
        <w:rPr>
          <w:rFonts w:ascii="Arial" w:hAnsi="Arial" w:cs="Arial"/>
          <w:sz w:val="24"/>
          <w:szCs w:val="24"/>
        </w:rPr>
        <w:t xml:space="preserve"> </w:t>
      </w:r>
      <w:r w:rsidR="002168A0">
        <w:rPr>
          <w:rFonts w:ascii="Arial" w:hAnsi="Arial" w:cs="Arial"/>
          <w:sz w:val="24"/>
          <w:szCs w:val="24"/>
        </w:rPr>
        <w:t xml:space="preserve">which provides that changes to the standard residential tenancy terms do not apply to a fixed term tenancy until after the expiry of its term. Section 8 (1) (a) (i) is modified so that tenants under a fixed term residential tenancy agreement that began before 6 April 2020 will now gain the benefit of an amendment to schedule 1, clause 28 introduced to the RTA though the </w:t>
      </w:r>
      <w:r w:rsidR="002168A0" w:rsidRPr="00B95C8B">
        <w:rPr>
          <w:rFonts w:ascii="Arial" w:hAnsi="Arial" w:cs="Arial"/>
          <w:i/>
          <w:iCs/>
          <w:sz w:val="24"/>
          <w:szCs w:val="24"/>
        </w:rPr>
        <w:t>Residential Tenancies Amendment Act 2020</w:t>
      </w:r>
      <w:r w:rsidR="002168A0">
        <w:rPr>
          <w:rFonts w:ascii="Arial" w:hAnsi="Arial" w:cs="Arial"/>
          <w:i/>
          <w:iCs/>
          <w:sz w:val="24"/>
          <w:szCs w:val="24"/>
        </w:rPr>
        <w:t xml:space="preserve"> </w:t>
      </w:r>
      <w:r w:rsidR="002168A0">
        <w:rPr>
          <w:rFonts w:ascii="Arial" w:hAnsi="Arial" w:cs="Arial"/>
          <w:sz w:val="24"/>
          <w:szCs w:val="24"/>
        </w:rPr>
        <w:t xml:space="preserve">which commenced on 6 April 2020.  Amended Schedule 1 Clause 28 of the RTA limits the amount of rent that a lessor </w:t>
      </w:r>
      <w:r w:rsidR="002168A0" w:rsidRPr="00B95C8B">
        <w:rPr>
          <w:rFonts w:ascii="Arial" w:hAnsi="Arial" w:cs="Arial"/>
          <w:sz w:val="24"/>
          <w:szCs w:val="24"/>
        </w:rPr>
        <w:t>can require in advance</w:t>
      </w:r>
      <w:r w:rsidR="002168A0">
        <w:rPr>
          <w:rFonts w:ascii="Arial" w:hAnsi="Arial" w:cs="Arial"/>
          <w:sz w:val="24"/>
          <w:szCs w:val="24"/>
        </w:rPr>
        <w:t xml:space="preserve"> to 2 weeks’ rent</w:t>
      </w:r>
      <w:r w:rsidR="002168A0" w:rsidRPr="00B95C8B">
        <w:rPr>
          <w:rFonts w:ascii="Arial" w:hAnsi="Arial" w:cs="Arial"/>
          <w:sz w:val="24"/>
          <w:szCs w:val="24"/>
        </w:rPr>
        <w:t>, unless the tenant nominates a longer period</w:t>
      </w:r>
      <w:r w:rsidR="002168A0">
        <w:rPr>
          <w:rFonts w:ascii="Arial" w:hAnsi="Arial" w:cs="Arial"/>
          <w:sz w:val="24"/>
          <w:szCs w:val="24"/>
        </w:rPr>
        <w:t>.</w:t>
      </w:r>
    </w:p>
    <w:p w14:paraId="2D8BF2C8" w14:textId="59F3175A" w:rsidR="00AE5C53" w:rsidRPr="00FE65B9" w:rsidRDefault="002168A0" w:rsidP="00AE5C53">
      <w:pPr>
        <w:rPr>
          <w:rFonts w:ascii="Arial" w:hAnsi="Arial" w:cs="Arial"/>
          <w:color w:val="FF0000"/>
          <w:sz w:val="24"/>
          <w:szCs w:val="24"/>
        </w:rPr>
      </w:pPr>
      <w:r>
        <w:rPr>
          <w:rFonts w:ascii="Arial" w:hAnsi="Arial" w:cs="Arial"/>
          <w:sz w:val="24"/>
          <w:szCs w:val="24"/>
        </w:rPr>
        <w:lastRenderedPageBreak/>
        <w:t xml:space="preserve">This means that tenants in fixed term tenancies that began before 6 April 2020 will gain the benefit of this amendment along with those in </w:t>
      </w:r>
      <w:r w:rsidR="00E47303" w:rsidRPr="00E47303">
        <w:rPr>
          <w:rFonts w:ascii="Arial" w:hAnsi="Arial" w:cs="Arial"/>
          <w:sz w:val="24"/>
          <w:szCs w:val="24"/>
        </w:rPr>
        <w:t xml:space="preserve">periodic tenancies </w:t>
      </w:r>
      <w:r>
        <w:rPr>
          <w:rFonts w:ascii="Arial" w:hAnsi="Arial" w:cs="Arial"/>
          <w:sz w:val="24"/>
          <w:szCs w:val="24"/>
        </w:rPr>
        <w:t>or</w:t>
      </w:r>
      <w:r w:rsidR="00E47303" w:rsidRPr="00E47303">
        <w:rPr>
          <w:rFonts w:ascii="Arial" w:hAnsi="Arial" w:cs="Arial"/>
          <w:sz w:val="24"/>
          <w:szCs w:val="24"/>
        </w:rPr>
        <w:t xml:space="preserve"> fixed term tenanc</w:t>
      </w:r>
      <w:r>
        <w:rPr>
          <w:rFonts w:ascii="Arial" w:hAnsi="Arial" w:cs="Arial"/>
          <w:sz w:val="24"/>
          <w:szCs w:val="24"/>
        </w:rPr>
        <w:t>ies</w:t>
      </w:r>
      <w:r w:rsidR="00E47303" w:rsidRPr="00E47303">
        <w:rPr>
          <w:rFonts w:ascii="Arial" w:hAnsi="Arial" w:cs="Arial"/>
          <w:sz w:val="24"/>
          <w:szCs w:val="24"/>
        </w:rPr>
        <w:t xml:space="preserve"> that commenced after 6 April 2020</w:t>
      </w:r>
      <w:r w:rsidR="00E47303">
        <w:rPr>
          <w:rFonts w:ascii="Arial" w:hAnsi="Arial" w:cs="Arial"/>
          <w:sz w:val="24"/>
          <w:szCs w:val="24"/>
        </w:rPr>
        <w:t>.</w:t>
      </w:r>
      <w:r w:rsidR="00E21F57">
        <w:rPr>
          <w:rFonts w:ascii="Arial" w:hAnsi="Arial" w:cs="Arial"/>
          <w:sz w:val="24"/>
          <w:szCs w:val="24"/>
        </w:rPr>
        <w:t xml:space="preserve"> </w:t>
      </w:r>
      <w:r w:rsidR="00CC4EAA">
        <w:rPr>
          <w:rFonts w:ascii="Arial" w:hAnsi="Arial" w:cs="Arial"/>
          <w:sz w:val="24"/>
          <w:szCs w:val="24"/>
        </w:rPr>
        <w:br/>
      </w:r>
      <w:r w:rsidR="00CC4EAA">
        <w:rPr>
          <w:rFonts w:ascii="Arial" w:hAnsi="Arial" w:cs="Arial"/>
          <w:sz w:val="24"/>
          <w:szCs w:val="24"/>
        </w:rPr>
        <w:br/>
      </w:r>
      <w:r w:rsidR="00E21F57">
        <w:rPr>
          <w:rFonts w:ascii="Arial" w:hAnsi="Arial" w:cs="Arial"/>
          <w:sz w:val="24"/>
          <w:szCs w:val="24"/>
        </w:rPr>
        <w:t>Pursuant to these amendments</w:t>
      </w:r>
      <w:r w:rsidR="00B95C8B">
        <w:rPr>
          <w:rFonts w:ascii="Arial" w:hAnsi="Arial" w:cs="Arial"/>
          <w:sz w:val="24"/>
          <w:szCs w:val="24"/>
        </w:rPr>
        <w:t xml:space="preserve">, </w:t>
      </w:r>
      <w:r w:rsidR="00E47303">
        <w:rPr>
          <w:rFonts w:ascii="Arial" w:hAnsi="Arial" w:cs="Arial"/>
          <w:sz w:val="24"/>
          <w:szCs w:val="24"/>
        </w:rPr>
        <w:t>tenants</w:t>
      </w:r>
      <w:r w:rsidR="00B95C8B" w:rsidRPr="00B95C8B">
        <w:rPr>
          <w:rFonts w:ascii="Arial" w:hAnsi="Arial" w:cs="Arial"/>
          <w:sz w:val="24"/>
          <w:szCs w:val="24"/>
        </w:rPr>
        <w:t xml:space="preserve"> can now only be required to pay two weeks’ rent in advance, unless the tenant nominates a longer period</w:t>
      </w:r>
      <w:r w:rsidR="00E21F57">
        <w:rPr>
          <w:rFonts w:ascii="Arial" w:hAnsi="Arial" w:cs="Arial"/>
          <w:sz w:val="24"/>
          <w:szCs w:val="24"/>
        </w:rPr>
        <w:t xml:space="preserve"> (for example, if paying more than</w:t>
      </w:r>
      <w:r w:rsidR="00E21F57" w:rsidRPr="00B95C8B">
        <w:rPr>
          <w:rFonts w:ascii="Arial" w:hAnsi="Arial" w:cs="Arial"/>
          <w:sz w:val="24"/>
          <w:szCs w:val="24"/>
        </w:rPr>
        <w:t xml:space="preserve"> two weeks’ rent in advance</w:t>
      </w:r>
      <w:r w:rsidR="00E21F57">
        <w:rPr>
          <w:rFonts w:ascii="Arial" w:hAnsi="Arial" w:cs="Arial"/>
          <w:sz w:val="24"/>
          <w:szCs w:val="24"/>
        </w:rPr>
        <w:t xml:space="preserve"> better aligns with a tenant’s income cycle)</w:t>
      </w:r>
      <w:r w:rsidR="00B95C8B" w:rsidRPr="00B95C8B">
        <w:rPr>
          <w:rFonts w:ascii="Arial" w:hAnsi="Arial" w:cs="Arial"/>
          <w:sz w:val="24"/>
          <w:szCs w:val="24"/>
        </w:rPr>
        <w:t xml:space="preserve">. Previously, </w:t>
      </w:r>
      <w:r w:rsidR="002D54C9">
        <w:rPr>
          <w:rFonts w:ascii="Arial" w:hAnsi="Arial" w:cs="Arial"/>
          <w:sz w:val="24"/>
          <w:szCs w:val="24"/>
        </w:rPr>
        <w:t>lessor</w:t>
      </w:r>
      <w:r w:rsidR="00B95C8B" w:rsidRPr="00B95C8B">
        <w:rPr>
          <w:rFonts w:ascii="Arial" w:hAnsi="Arial" w:cs="Arial"/>
          <w:sz w:val="24"/>
          <w:szCs w:val="24"/>
        </w:rPr>
        <w:t xml:space="preserve">s were able to request </w:t>
      </w:r>
      <w:r w:rsidR="00E21F57">
        <w:rPr>
          <w:rFonts w:ascii="Arial" w:hAnsi="Arial" w:cs="Arial"/>
          <w:sz w:val="24"/>
          <w:szCs w:val="24"/>
        </w:rPr>
        <w:t>one</w:t>
      </w:r>
      <w:r w:rsidR="00B95C8B" w:rsidRPr="00B95C8B">
        <w:rPr>
          <w:rFonts w:ascii="Arial" w:hAnsi="Arial" w:cs="Arial"/>
          <w:sz w:val="24"/>
          <w:szCs w:val="24"/>
        </w:rPr>
        <w:t xml:space="preserve"> months’ rent in </w:t>
      </w:r>
      <w:r w:rsidR="00E47303">
        <w:rPr>
          <w:rFonts w:ascii="Arial" w:hAnsi="Arial" w:cs="Arial"/>
          <w:sz w:val="24"/>
          <w:szCs w:val="24"/>
        </w:rPr>
        <w:t>advance from tenants</w:t>
      </w:r>
      <w:r w:rsidR="00B95C8B" w:rsidRPr="00B95C8B">
        <w:rPr>
          <w:rFonts w:ascii="Arial" w:hAnsi="Arial" w:cs="Arial"/>
          <w:sz w:val="24"/>
          <w:szCs w:val="24"/>
        </w:rPr>
        <w:t>.</w:t>
      </w:r>
      <w:r w:rsidR="00E21F57">
        <w:rPr>
          <w:rFonts w:ascii="Arial" w:hAnsi="Arial" w:cs="Arial"/>
          <w:sz w:val="24"/>
          <w:szCs w:val="24"/>
        </w:rPr>
        <w:t xml:space="preserve"> </w:t>
      </w:r>
      <w:r w:rsidR="00E21F57" w:rsidRPr="00E21F57">
        <w:rPr>
          <w:rFonts w:ascii="Arial" w:hAnsi="Arial" w:cs="Arial"/>
          <w:sz w:val="24"/>
          <w:szCs w:val="24"/>
        </w:rPr>
        <w:t xml:space="preserve">This change means that paying two weeks rent in advance is now the default position. The option to pay more than two weeks in advance would only arise when proactively nominated by the tenant, not at the suggestion or request of the </w:t>
      </w:r>
      <w:r w:rsidR="002D54C9">
        <w:rPr>
          <w:rFonts w:ascii="Arial" w:hAnsi="Arial" w:cs="Arial"/>
          <w:sz w:val="24"/>
          <w:szCs w:val="24"/>
        </w:rPr>
        <w:t>lessor</w:t>
      </w:r>
      <w:r w:rsidR="00756B25">
        <w:rPr>
          <w:rFonts w:ascii="Arial" w:hAnsi="Arial" w:cs="Arial"/>
          <w:sz w:val="24"/>
          <w:szCs w:val="24"/>
        </w:rPr>
        <w:t xml:space="preserve">. </w:t>
      </w:r>
      <w:r w:rsidR="00CC4EAA">
        <w:rPr>
          <w:rFonts w:ascii="Arial" w:hAnsi="Arial" w:cs="Arial"/>
          <w:sz w:val="24"/>
          <w:szCs w:val="24"/>
        </w:rPr>
        <w:br/>
      </w:r>
      <w:r w:rsidR="00CC4EAA">
        <w:rPr>
          <w:rFonts w:ascii="Arial" w:hAnsi="Arial" w:cs="Arial"/>
          <w:sz w:val="24"/>
          <w:szCs w:val="24"/>
        </w:rPr>
        <w:br/>
      </w:r>
      <w:r w:rsidR="000962FC" w:rsidRPr="000962FC">
        <w:rPr>
          <w:rFonts w:ascii="Arial" w:hAnsi="Arial" w:cs="Arial"/>
          <w:sz w:val="24"/>
          <w:szCs w:val="24"/>
        </w:rPr>
        <w:t xml:space="preserve">To </w:t>
      </w:r>
      <w:r w:rsidR="000962FC">
        <w:rPr>
          <w:rFonts w:ascii="Arial" w:hAnsi="Arial" w:cs="Arial"/>
          <w:sz w:val="24"/>
          <w:szCs w:val="24"/>
        </w:rPr>
        <w:t>ease cost of living pressures</w:t>
      </w:r>
      <w:r w:rsidR="004B60E4">
        <w:rPr>
          <w:rFonts w:ascii="Arial" w:hAnsi="Arial" w:cs="Arial"/>
          <w:sz w:val="24"/>
          <w:szCs w:val="24"/>
        </w:rPr>
        <w:t xml:space="preserve"> for tenants</w:t>
      </w:r>
      <w:r w:rsidR="000962FC">
        <w:rPr>
          <w:rFonts w:ascii="Arial" w:hAnsi="Arial" w:cs="Arial"/>
          <w:sz w:val="24"/>
          <w:szCs w:val="24"/>
        </w:rPr>
        <w:t xml:space="preserve">, </w:t>
      </w:r>
      <w:r w:rsidR="00E47303">
        <w:rPr>
          <w:rFonts w:ascii="Arial" w:hAnsi="Arial" w:cs="Arial"/>
          <w:sz w:val="24"/>
          <w:szCs w:val="24"/>
        </w:rPr>
        <w:t xml:space="preserve">this clause </w:t>
      </w:r>
      <w:r w:rsidR="00F04E4C">
        <w:rPr>
          <w:rFonts w:ascii="Arial" w:hAnsi="Arial" w:cs="Arial"/>
          <w:sz w:val="24"/>
          <w:szCs w:val="24"/>
        </w:rPr>
        <w:t>provides</w:t>
      </w:r>
      <w:r w:rsidR="000962FC" w:rsidRPr="000962FC">
        <w:rPr>
          <w:rFonts w:ascii="Arial" w:hAnsi="Arial" w:cs="Arial"/>
          <w:sz w:val="24"/>
          <w:szCs w:val="24"/>
        </w:rPr>
        <w:t xml:space="preserve"> </w:t>
      </w:r>
      <w:r w:rsidR="00E47303">
        <w:rPr>
          <w:rFonts w:ascii="Arial" w:hAnsi="Arial" w:cs="Arial"/>
          <w:sz w:val="24"/>
          <w:szCs w:val="24"/>
        </w:rPr>
        <w:t>a</w:t>
      </w:r>
      <w:r w:rsidR="004B60E4">
        <w:rPr>
          <w:rFonts w:ascii="Arial" w:hAnsi="Arial" w:cs="Arial"/>
          <w:sz w:val="24"/>
          <w:szCs w:val="24"/>
        </w:rPr>
        <w:t>ny</w:t>
      </w:r>
      <w:r w:rsidR="00E47303">
        <w:rPr>
          <w:rFonts w:ascii="Arial" w:hAnsi="Arial" w:cs="Arial"/>
          <w:sz w:val="24"/>
          <w:szCs w:val="24"/>
        </w:rPr>
        <w:t xml:space="preserve"> tenant</w:t>
      </w:r>
      <w:r w:rsidR="009E39C8">
        <w:rPr>
          <w:rFonts w:ascii="Arial" w:hAnsi="Arial" w:cs="Arial"/>
          <w:sz w:val="24"/>
          <w:szCs w:val="24"/>
        </w:rPr>
        <w:t xml:space="preserve"> </w:t>
      </w:r>
      <w:r w:rsidR="00E47303">
        <w:rPr>
          <w:rFonts w:ascii="Arial" w:hAnsi="Arial" w:cs="Arial"/>
          <w:sz w:val="24"/>
          <w:szCs w:val="24"/>
        </w:rPr>
        <w:t xml:space="preserve">in a </w:t>
      </w:r>
      <w:r w:rsidR="000962FC" w:rsidRPr="000962FC">
        <w:rPr>
          <w:rFonts w:ascii="Arial" w:hAnsi="Arial" w:cs="Arial"/>
          <w:sz w:val="24"/>
          <w:szCs w:val="24"/>
        </w:rPr>
        <w:t xml:space="preserve">fixed term </w:t>
      </w:r>
      <w:r w:rsidR="00E47303">
        <w:rPr>
          <w:rFonts w:ascii="Arial" w:hAnsi="Arial" w:cs="Arial"/>
          <w:sz w:val="24"/>
          <w:szCs w:val="24"/>
        </w:rPr>
        <w:t>tenancy</w:t>
      </w:r>
      <w:r w:rsidR="000962FC" w:rsidRPr="000962FC">
        <w:rPr>
          <w:rFonts w:ascii="Arial" w:hAnsi="Arial" w:cs="Arial"/>
          <w:sz w:val="24"/>
          <w:szCs w:val="24"/>
        </w:rPr>
        <w:t xml:space="preserve"> that commenced </w:t>
      </w:r>
      <w:r w:rsidR="00F04E4C">
        <w:rPr>
          <w:rFonts w:ascii="Arial" w:hAnsi="Arial" w:cs="Arial"/>
          <w:sz w:val="24"/>
          <w:szCs w:val="24"/>
        </w:rPr>
        <w:t>prior to</w:t>
      </w:r>
      <w:r w:rsidR="000962FC" w:rsidRPr="000962FC">
        <w:rPr>
          <w:rFonts w:ascii="Arial" w:hAnsi="Arial" w:cs="Arial"/>
          <w:sz w:val="24"/>
          <w:szCs w:val="24"/>
        </w:rPr>
        <w:t xml:space="preserve"> </w:t>
      </w:r>
      <w:r w:rsidR="00F04E4C">
        <w:rPr>
          <w:rFonts w:ascii="Arial" w:hAnsi="Arial" w:cs="Arial"/>
          <w:sz w:val="24"/>
          <w:szCs w:val="24"/>
        </w:rPr>
        <w:t xml:space="preserve">or after </w:t>
      </w:r>
      <w:r w:rsidR="000962FC" w:rsidRPr="000962FC">
        <w:rPr>
          <w:rFonts w:ascii="Arial" w:hAnsi="Arial" w:cs="Arial"/>
          <w:sz w:val="24"/>
          <w:szCs w:val="24"/>
        </w:rPr>
        <w:t xml:space="preserve">6 April 2020 </w:t>
      </w:r>
      <w:r w:rsidR="00F04E4C">
        <w:rPr>
          <w:rFonts w:ascii="Arial" w:hAnsi="Arial" w:cs="Arial"/>
          <w:sz w:val="24"/>
          <w:szCs w:val="24"/>
        </w:rPr>
        <w:t>with the option to</w:t>
      </w:r>
      <w:r w:rsidR="00E47303" w:rsidRPr="00E47303">
        <w:rPr>
          <w:rFonts w:ascii="Arial" w:hAnsi="Arial" w:cs="Arial"/>
          <w:sz w:val="24"/>
          <w:szCs w:val="24"/>
        </w:rPr>
        <w:t xml:space="preserve"> pay two weeks’ rent in advance</w:t>
      </w:r>
      <w:r w:rsidR="00F04E4C">
        <w:rPr>
          <w:rFonts w:ascii="Arial" w:hAnsi="Arial" w:cs="Arial"/>
          <w:sz w:val="24"/>
          <w:szCs w:val="24"/>
        </w:rPr>
        <w:t xml:space="preserve"> (</w:t>
      </w:r>
      <w:r w:rsidR="00E47303" w:rsidRPr="00E47303">
        <w:rPr>
          <w:rFonts w:ascii="Arial" w:hAnsi="Arial" w:cs="Arial"/>
          <w:sz w:val="24"/>
          <w:szCs w:val="24"/>
        </w:rPr>
        <w:t>unless the tenant nominates a longer period</w:t>
      </w:r>
      <w:r w:rsidR="00F04E4C">
        <w:rPr>
          <w:rFonts w:ascii="Arial" w:hAnsi="Arial" w:cs="Arial"/>
          <w:sz w:val="24"/>
          <w:szCs w:val="24"/>
        </w:rPr>
        <w:t>)</w:t>
      </w:r>
      <w:r w:rsidR="00E47303">
        <w:rPr>
          <w:rFonts w:ascii="Arial" w:hAnsi="Arial" w:cs="Arial"/>
          <w:sz w:val="24"/>
          <w:szCs w:val="24"/>
        </w:rPr>
        <w:t>.</w:t>
      </w:r>
      <w:r w:rsidR="00CC4EAA">
        <w:rPr>
          <w:rFonts w:ascii="Arial" w:hAnsi="Arial" w:cs="Arial"/>
          <w:sz w:val="24"/>
          <w:szCs w:val="24"/>
        </w:rPr>
        <w:t xml:space="preserve"> This </w:t>
      </w:r>
      <w:r w:rsidR="008F5F47">
        <w:rPr>
          <w:rFonts w:ascii="Arial" w:hAnsi="Arial" w:cs="Arial"/>
          <w:sz w:val="24"/>
          <w:szCs w:val="24"/>
        </w:rPr>
        <w:t xml:space="preserve">clause </w:t>
      </w:r>
      <w:r w:rsidR="00CC4EAA">
        <w:rPr>
          <w:rFonts w:ascii="Arial" w:hAnsi="Arial" w:cs="Arial"/>
          <w:sz w:val="24"/>
          <w:szCs w:val="24"/>
        </w:rPr>
        <w:t>applies to all tenants regardless of whether the tenant has been impacted by the COVID-19 pandemic (as defined in clause 8).</w:t>
      </w:r>
      <w:r w:rsidR="00316ACC">
        <w:rPr>
          <w:rFonts w:ascii="Arial" w:hAnsi="Arial" w:cs="Arial"/>
          <w:sz w:val="24"/>
          <w:szCs w:val="24"/>
        </w:rPr>
        <w:t xml:space="preserve"> </w:t>
      </w:r>
      <w:r w:rsidR="008F5F47">
        <w:rPr>
          <w:rFonts w:ascii="Arial" w:hAnsi="Arial" w:cs="Arial"/>
          <w:sz w:val="24"/>
          <w:szCs w:val="24"/>
        </w:rPr>
        <w:t xml:space="preserve">The </w:t>
      </w:r>
      <w:r w:rsidR="003C0CE1">
        <w:rPr>
          <w:rFonts w:ascii="Arial" w:hAnsi="Arial" w:cs="Arial"/>
          <w:sz w:val="24"/>
          <w:szCs w:val="24"/>
        </w:rPr>
        <w:t xml:space="preserve">provision has been extended to all tenants due to </w:t>
      </w:r>
      <w:r w:rsidR="008F5F47">
        <w:rPr>
          <w:rFonts w:ascii="Arial" w:hAnsi="Arial" w:cs="Arial"/>
          <w:sz w:val="24"/>
          <w:szCs w:val="24"/>
        </w:rPr>
        <w:t xml:space="preserve">the widespread economic impacts of the </w:t>
      </w:r>
      <w:r w:rsidR="00316ACC">
        <w:rPr>
          <w:rFonts w:ascii="Arial" w:hAnsi="Arial" w:cs="Arial"/>
          <w:sz w:val="24"/>
          <w:szCs w:val="24"/>
        </w:rPr>
        <w:t>COVID-19 pandemic</w:t>
      </w:r>
      <w:r w:rsidR="000D2C96">
        <w:rPr>
          <w:rFonts w:ascii="Arial" w:hAnsi="Arial" w:cs="Arial"/>
          <w:sz w:val="24"/>
          <w:szCs w:val="24"/>
        </w:rPr>
        <w:t xml:space="preserve"> in the ACT</w:t>
      </w:r>
      <w:r w:rsidR="008F5F47">
        <w:rPr>
          <w:rFonts w:ascii="Arial" w:hAnsi="Arial" w:cs="Arial"/>
          <w:sz w:val="24"/>
          <w:szCs w:val="24"/>
        </w:rPr>
        <w:t xml:space="preserve"> (including high levels of </w:t>
      </w:r>
      <w:r w:rsidR="008F5F47" w:rsidRPr="00316ACC">
        <w:rPr>
          <w:rFonts w:ascii="Arial" w:hAnsi="Arial" w:cs="Arial"/>
          <w:sz w:val="24"/>
          <w:szCs w:val="24"/>
        </w:rPr>
        <w:t xml:space="preserve">unemployment </w:t>
      </w:r>
      <w:r w:rsidR="00FC41B7">
        <w:rPr>
          <w:rFonts w:ascii="Arial" w:hAnsi="Arial" w:cs="Arial"/>
          <w:sz w:val="24"/>
          <w:szCs w:val="24"/>
        </w:rPr>
        <w:t xml:space="preserve">and underemployment </w:t>
      </w:r>
      <w:r w:rsidR="008F5F47" w:rsidRPr="00316ACC">
        <w:rPr>
          <w:rFonts w:ascii="Arial" w:hAnsi="Arial" w:cs="Arial"/>
          <w:sz w:val="24"/>
          <w:szCs w:val="24"/>
        </w:rPr>
        <w:t>across a range of sectors</w:t>
      </w:r>
      <w:r w:rsidR="008F5F47">
        <w:rPr>
          <w:rFonts w:ascii="Arial" w:hAnsi="Arial" w:cs="Arial"/>
          <w:sz w:val="24"/>
          <w:szCs w:val="24"/>
        </w:rPr>
        <w:t xml:space="preserve"> in the ACT community</w:t>
      </w:r>
      <w:r w:rsidR="00FC41B7">
        <w:rPr>
          <w:rFonts w:ascii="Arial" w:hAnsi="Arial" w:cs="Arial"/>
          <w:sz w:val="24"/>
          <w:szCs w:val="24"/>
        </w:rPr>
        <w:t xml:space="preserve"> as well as impacts on sole traders</w:t>
      </w:r>
      <w:r w:rsidR="008F5F47">
        <w:rPr>
          <w:rFonts w:ascii="Arial" w:hAnsi="Arial" w:cs="Arial"/>
          <w:sz w:val="24"/>
          <w:szCs w:val="24"/>
        </w:rPr>
        <w:t>)</w:t>
      </w:r>
      <w:r w:rsidR="003C0CE1">
        <w:rPr>
          <w:rFonts w:ascii="Arial" w:hAnsi="Arial" w:cs="Arial"/>
          <w:sz w:val="24"/>
          <w:szCs w:val="24"/>
        </w:rPr>
        <w:t>.</w:t>
      </w:r>
      <w:r w:rsidR="008F5F47">
        <w:rPr>
          <w:rFonts w:ascii="Arial" w:hAnsi="Arial" w:cs="Arial"/>
          <w:sz w:val="24"/>
          <w:szCs w:val="24"/>
        </w:rPr>
        <w:t xml:space="preserve"> </w:t>
      </w:r>
      <w:r w:rsidR="00FC41B7">
        <w:rPr>
          <w:rFonts w:ascii="Arial" w:hAnsi="Arial" w:cs="Arial"/>
          <w:sz w:val="24"/>
          <w:szCs w:val="24"/>
        </w:rPr>
        <w:t xml:space="preserve">These impacts have seen many households lose </w:t>
      </w:r>
      <w:r w:rsidR="00687710">
        <w:rPr>
          <w:rFonts w:ascii="Arial" w:hAnsi="Arial" w:cs="Arial"/>
          <w:sz w:val="24"/>
          <w:szCs w:val="24"/>
        </w:rPr>
        <w:t xml:space="preserve">some </w:t>
      </w:r>
      <w:r w:rsidR="00FC41B7">
        <w:rPr>
          <w:rFonts w:ascii="Arial" w:hAnsi="Arial" w:cs="Arial"/>
          <w:sz w:val="24"/>
          <w:szCs w:val="24"/>
        </w:rPr>
        <w:t xml:space="preserve">income, </w:t>
      </w:r>
      <w:r w:rsidR="00687710">
        <w:rPr>
          <w:rFonts w:ascii="Arial" w:hAnsi="Arial" w:cs="Arial"/>
          <w:sz w:val="24"/>
          <w:szCs w:val="24"/>
        </w:rPr>
        <w:t xml:space="preserve">and experience significant cost of living pressures even </w:t>
      </w:r>
      <w:r w:rsidR="00FC41B7">
        <w:rPr>
          <w:rFonts w:ascii="Arial" w:hAnsi="Arial" w:cs="Arial"/>
          <w:sz w:val="24"/>
          <w:szCs w:val="24"/>
        </w:rPr>
        <w:t xml:space="preserve">though </w:t>
      </w:r>
      <w:r w:rsidR="00687710">
        <w:rPr>
          <w:rFonts w:ascii="Arial" w:hAnsi="Arial" w:cs="Arial"/>
          <w:sz w:val="24"/>
          <w:szCs w:val="24"/>
        </w:rPr>
        <w:t>they</w:t>
      </w:r>
      <w:r w:rsidR="00FC41B7">
        <w:rPr>
          <w:rFonts w:ascii="Arial" w:hAnsi="Arial" w:cs="Arial"/>
          <w:sz w:val="24"/>
          <w:szCs w:val="24"/>
        </w:rPr>
        <w:t xml:space="preserve"> may have not lost sufficient income to meet the definition of impacted household </w:t>
      </w:r>
      <w:r w:rsidR="00687710">
        <w:rPr>
          <w:rFonts w:ascii="Arial" w:hAnsi="Arial" w:cs="Arial"/>
          <w:sz w:val="24"/>
          <w:szCs w:val="24"/>
        </w:rPr>
        <w:t>for the purpose of the D</w:t>
      </w:r>
      <w:r w:rsidR="00FC41B7">
        <w:rPr>
          <w:rFonts w:ascii="Arial" w:hAnsi="Arial" w:cs="Arial"/>
          <w:sz w:val="24"/>
          <w:szCs w:val="24"/>
        </w:rPr>
        <w:t xml:space="preserve">eclaration.  </w:t>
      </w:r>
      <w:r w:rsidR="008F5F47">
        <w:rPr>
          <w:rFonts w:ascii="Arial" w:hAnsi="Arial" w:cs="Arial"/>
          <w:sz w:val="24"/>
          <w:szCs w:val="24"/>
        </w:rPr>
        <w:t>Many</w:t>
      </w:r>
      <w:r w:rsidR="00316ACC">
        <w:rPr>
          <w:rFonts w:ascii="Arial" w:hAnsi="Arial" w:cs="Arial"/>
          <w:sz w:val="24"/>
          <w:szCs w:val="24"/>
        </w:rPr>
        <w:t xml:space="preserve"> tenants</w:t>
      </w:r>
      <w:r w:rsidR="00C1735D">
        <w:rPr>
          <w:rFonts w:ascii="Arial" w:hAnsi="Arial" w:cs="Arial"/>
          <w:sz w:val="24"/>
          <w:szCs w:val="24"/>
        </w:rPr>
        <w:t xml:space="preserve"> </w:t>
      </w:r>
      <w:r w:rsidR="003C0CE1">
        <w:rPr>
          <w:rFonts w:ascii="Arial" w:hAnsi="Arial" w:cs="Arial"/>
          <w:sz w:val="24"/>
          <w:szCs w:val="24"/>
        </w:rPr>
        <w:t>are experiencing</w:t>
      </w:r>
      <w:r w:rsidR="00316ACC" w:rsidRPr="00316ACC">
        <w:rPr>
          <w:rFonts w:ascii="Arial" w:hAnsi="Arial" w:cs="Arial"/>
          <w:sz w:val="24"/>
          <w:szCs w:val="24"/>
        </w:rPr>
        <w:t xml:space="preserve"> financial hardship </w:t>
      </w:r>
      <w:r w:rsidR="00316ACC">
        <w:rPr>
          <w:rFonts w:ascii="Arial" w:hAnsi="Arial" w:cs="Arial"/>
          <w:sz w:val="24"/>
          <w:szCs w:val="24"/>
        </w:rPr>
        <w:t xml:space="preserve">caused by the pandemic and </w:t>
      </w:r>
      <w:r w:rsidR="008F5F47">
        <w:rPr>
          <w:rFonts w:ascii="Arial" w:hAnsi="Arial" w:cs="Arial"/>
          <w:sz w:val="24"/>
          <w:szCs w:val="24"/>
        </w:rPr>
        <w:t xml:space="preserve">the </w:t>
      </w:r>
      <w:r w:rsidR="00316ACC">
        <w:rPr>
          <w:rFonts w:ascii="Arial" w:hAnsi="Arial" w:cs="Arial"/>
          <w:sz w:val="24"/>
          <w:szCs w:val="24"/>
        </w:rPr>
        <w:t xml:space="preserve">associated emergency response measures. </w:t>
      </w:r>
      <w:r w:rsidR="00687710">
        <w:rPr>
          <w:rFonts w:ascii="Arial" w:hAnsi="Arial" w:cs="Arial"/>
          <w:sz w:val="24"/>
          <w:szCs w:val="24"/>
        </w:rPr>
        <w:t xml:space="preserve">By smoothing rental payments overtime, this measure may assist </w:t>
      </w:r>
      <w:r w:rsidR="00436C78">
        <w:rPr>
          <w:rFonts w:ascii="Arial" w:hAnsi="Arial" w:cs="Arial"/>
          <w:sz w:val="24"/>
          <w:szCs w:val="24"/>
        </w:rPr>
        <w:t xml:space="preserve">to </w:t>
      </w:r>
      <w:r w:rsidR="00687710">
        <w:rPr>
          <w:rFonts w:ascii="Arial" w:hAnsi="Arial" w:cs="Arial"/>
          <w:sz w:val="24"/>
          <w:szCs w:val="24"/>
        </w:rPr>
        <w:t xml:space="preserve">ease those cost of living pressures. </w:t>
      </w:r>
    </w:p>
    <w:p w14:paraId="5B6C61BB" w14:textId="49005D53" w:rsidR="00867B7D" w:rsidRDefault="00867B7D" w:rsidP="00867B7D">
      <w:pPr>
        <w:pStyle w:val="Heading3"/>
      </w:pPr>
      <w:r w:rsidRPr="00ED3B77">
        <w:t xml:space="preserve">Clause </w:t>
      </w:r>
      <w:r w:rsidR="00FE65B9">
        <w:t>6</w:t>
      </w:r>
      <w:r w:rsidRPr="00ED3B77">
        <w:tab/>
      </w:r>
      <w:r>
        <w:t xml:space="preserve">Modification of </w:t>
      </w:r>
      <w:r w:rsidR="00FE65B9">
        <w:t xml:space="preserve">Act, </w:t>
      </w:r>
      <w:r>
        <w:t>s 8 (1)</w:t>
      </w:r>
      <w:r w:rsidRPr="00691699">
        <w:t>—</w:t>
      </w:r>
      <w:r>
        <w:t xml:space="preserve">rent reduction clause </w:t>
      </w:r>
    </w:p>
    <w:p w14:paraId="67EE3473" w14:textId="77777777" w:rsidR="00867B7D" w:rsidRPr="00C55858" w:rsidRDefault="00867B7D" w:rsidP="00867B7D">
      <w:pPr>
        <w:rPr>
          <w:rFonts w:ascii="Arial" w:hAnsi="Arial" w:cs="Arial"/>
          <w:sz w:val="24"/>
          <w:szCs w:val="24"/>
        </w:rPr>
      </w:pPr>
      <w:r w:rsidRPr="00C55858">
        <w:rPr>
          <w:rFonts w:ascii="Arial" w:hAnsi="Arial" w:cs="Arial"/>
          <w:sz w:val="24"/>
          <w:szCs w:val="24"/>
        </w:rPr>
        <w:t xml:space="preserve">This clause provides that for section 8 (1) of the RTA, the lessor and tenant may agree to include a COVID-19 temporary rent reduction clause in the residential tenancy agreement. </w:t>
      </w:r>
    </w:p>
    <w:p w14:paraId="385F00BC" w14:textId="77777777" w:rsidR="00867B7D" w:rsidRPr="00C55858" w:rsidRDefault="00867B7D" w:rsidP="00867B7D">
      <w:pPr>
        <w:rPr>
          <w:rFonts w:ascii="Arial" w:hAnsi="Arial" w:cs="Arial"/>
          <w:sz w:val="24"/>
          <w:szCs w:val="24"/>
        </w:rPr>
      </w:pPr>
      <w:r w:rsidRPr="00C55858">
        <w:rPr>
          <w:rFonts w:ascii="Arial" w:hAnsi="Arial" w:cs="Arial"/>
          <w:sz w:val="24"/>
          <w:szCs w:val="24"/>
        </w:rPr>
        <w:t xml:space="preserve">A </w:t>
      </w:r>
      <w:bookmarkStart w:id="2" w:name="_Hlk38026299"/>
      <w:r w:rsidRPr="00C55858">
        <w:rPr>
          <w:rFonts w:ascii="Arial" w:hAnsi="Arial" w:cs="Arial"/>
          <w:sz w:val="24"/>
          <w:szCs w:val="24"/>
        </w:rPr>
        <w:t xml:space="preserve">COVID-19 temporary rent reduction clause </w:t>
      </w:r>
      <w:bookmarkEnd w:id="2"/>
      <w:r w:rsidRPr="00C55858">
        <w:rPr>
          <w:rFonts w:ascii="Arial" w:hAnsi="Arial" w:cs="Arial"/>
          <w:sz w:val="24"/>
          <w:szCs w:val="24"/>
        </w:rPr>
        <w:t>means the following clause:</w:t>
      </w:r>
    </w:p>
    <w:p w14:paraId="2FAC07C9" w14:textId="77777777" w:rsidR="00867B7D" w:rsidRPr="00C55858" w:rsidRDefault="00867B7D" w:rsidP="008A51BD">
      <w:pPr>
        <w:ind w:left="360"/>
        <w:rPr>
          <w:rFonts w:ascii="Arial" w:hAnsi="Arial" w:cs="Arial"/>
          <w:sz w:val="24"/>
          <w:szCs w:val="24"/>
        </w:rPr>
      </w:pPr>
      <w:r w:rsidRPr="00C55858">
        <w:rPr>
          <w:rFonts w:ascii="Arial" w:hAnsi="Arial" w:cs="Arial"/>
          <w:sz w:val="24"/>
          <w:szCs w:val="24"/>
        </w:rPr>
        <w:t xml:space="preserve">Temporary reduction of rent because of COVID-19 pandemic  </w:t>
      </w:r>
    </w:p>
    <w:p w14:paraId="75B37B8A" w14:textId="77777777" w:rsidR="00867B7D" w:rsidRPr="00C55858" w:rsidRDefault="00867B7D" w:rsidP="008A51BD">
      <w:pPr>
        <w:pStyle w:val="ListParagraph"/>
        <w:numPr>
          <w:ilvl w:val="0"/>
          <w:numId w:val="1"/>
        </w:numPr>
        <w:ind w:left="1080"/>
        <w:rPr>
          <w:rFonts w:ascii="Arial" w:hAnsi="Arial" w:cs="Arial"/>
          <w:sz w:val="24"/>
          <w:szCs w:val="24"/>
        </w:rPr>
      </w:pPr>
      <w:r w:rsidRPr="00C55858">
        <w:rPr>
          <w:rFonts w:ascii="Arial" w:hAnsi="Arial" w:cs="Arial"/>
          <w:sz w:val="24"/>
          <w:szCs w:val="24"/>
        </w:rPr>
        <w:t xml:space="preserve">The parties agree that because of financial hardship suffered by the tenant arising from the COVID-19 pandemic, for the period stated in writing by the parties the rent payable under the agreement is reduced to an amount stated in writing by the parties. </w:t>
      </w:r>
    </w:p>
    <w:p w14:paraId="01974EF4" w14:textId="77777777" w:rsidR="00867B7D" w:rsidRPr="00C55858" w:rsidRDefault="00867B7D" w:rsidP="008A51BD">
      <w:pPr>
        <w:pStyle w:val="ListParagraph"/>
        <w:ind w:left="1080"/>
        <w:rPr>
          <w:rFonts w:ascii="Arial" w:hAnsi="Arial" w:cs="Arial"/>
          <w:sz w:val="24"/>
          <w:szCs w:val="24"/>
        </w:rPr>
      </w:pPr>
    </w:p>
    <w:p w14:paraId="24BC96D2" w14:textId="77777777" w:rsidR="00867B7D" w:rsidRPr="00C55858" w:rsidRDefault="00867B7D" w:rsidP="008A51BD">
      <w:pPr>
        <w:pStyle w:val="ListParagraph"/>
        <w:numPr>
          <w:ilvl w:val="0"/>
          <w:numId w:val="1"/>
        </w:numPr>
        <w:ind w:left="1080"/>
        <w:rPr>
          <w:rFonts w:ascii="Arial" w:hAnsi="Arial" w:cs="Arial"/>
          <w:sz w:val="24"/>
          <w:szCs w:val="24"/>
        </w:rPr>
      </w:pPr>
      <w:r w:rsidRPr="00C55858">
        <w:rPr>
          <w:rFonts w:ascii="Arial" w:hAnsi="Arial" w:cs="Arial"/>
          <w:sz w:val="24"/>
          <w:szCs w:val="24"/>
        </w:rPr>
        <w:t>The parties may, in writing, extend the period in which rent is reduced for a further stated period if the tenant continues to suffer financial hardship because of the COVID-19 pandemic.</w:t>
      </w:r>
    </w:p>
    <w:p w14:paraId="71F2C842" w14:textId="77777777" w:rsidR="00867B7D" w:rsidRPr="00FE65B9" w:rsidRDefault="00867B7D" w:rsidP="00867B7D">
      <w:pPr>
        <w:pStyle w:val="ListParagraph"/>
        <w:rPr>
          <w:rFonts w:ascii="Arial" w:hAnsi="Arial" w:cs="Arial"/>
          <w:color w:val="FF0000"/>
          <w:sz w:val="24"/>
          <w:szCs w:val="24"/>
        </w:rPr>
      </w:pPr>
    </w:p>
    <w:p w14:paraId="09F98CBF" w14:textId="77777777" w:rsidR="00867B7D" w:rsidRPr="00C55858" w:rsidRDefault="00867B7D" w:rsidP="00867B7D">
      <w:pPr>
        <w:rPr>
          <w:rFonts w:ascii="Arial" w:hAnsi="Arial" w:cs="Arial"/>
          <w:sz w:val="24"/>
          <w:szCs w:val="24"/>
        </w:rPr>
      </w:pPr>
      <w:r w:rsidRPr="00C55858">
        <w:rPr>
          <w:rFonts w:ascii="Arial" w:hAnsi="Arial" w:cs="Arial"/>
          <w:sz w:val="24"/>
          <w:szCs w:val="24"/>
        </w:rPr>
        <w:lastRenderedPageBreak/>
        <w:t xml:space="preserve">For a COVID-19 temporary rent reduction clause, the reduced rent period (including any extensions) may be for a period longer than the operation of this instrument; the reversion of the rent payable under the residential tenancy agreement to the original rent is not an increase in the rent under the RTA or the agreement; and the amount the rent is reduced by under the agreement between the parties is not arrears of rent or a debt due to the lessor. </w:t>
      </w:r>
    </w:p>
    <w:p w14:paraId="1EB6B1CB" w14:textId="2F884E61" w:rsidR="00FE65B9" w:rsidRDefault="00867B7D" w:rsidP="00867B7D">
      <w:pPr>
        <w:rPr>
          <w:rFonts w:ascii="Arial" w:hAnsi="Arial" w:cs="Arial"/>
          <w:sz w:val="24"/>
          <w:szCs w:val="24"/>
        </w:rPr>
      </w:pPr>
      <w:r w:rsidRPr="00C55858">
        <w:rPr>
          <w:rFonts w:ascii="Arial" w:hAnsi="Arial" w:cs="Arial"/>
          <w:sz w:val="24"/>
          <w:szCs w:val="24"/>
        </w:rPr>
        <w:t xml:space="preserve">The purpose of this clause is to make clear that parties can agree on a temporary rent reduction and that the usual restrictions under the RTA on rent increases will not prevent the rent from reverting to its original amount following the rent reduction period agreed by the parties. Under COVID-19 temporary rent reduction clause, the amount of lost rent during the rent reduction period does not have to </w:t>
      </w:r>
      <w:r w:rsidR="007904A9">
        <w:rPr>
          <w:rFonts w:ascii="Arial" w:hAnsi="Arial" w:cs="Arial"/>
          <w:sz w:val="24"/>
          <w:szCs w:val="24"/>
        </w:rPr>
        <w:t xml:space="preserve">be </w:t>
      </w:r>
      <w:r w:rsidRPr="00C55858">
        <w:rPr>
          <w:rFonts w:ascii="Arial" w:hAnsi="Arial" w:cs="Arial"/>
          <w:sz w:val="24"/>
          <w:szCs w:val="24"/>
        </w:rPr>
        <w:t>paid by the tenant after the period ends</w:t>
      </w:r>
      <w:r w:rsidR="00E125FC">
        <w:rPr>
          <w:rFonts w:ascii="Arial" w:hAnsi="Arial" w:cs="Arial"/>
          <w:sz w:val="24"/>
          <w:szCs w:val="24"/>
        </w:rPr>
        <w:t xml:space="preserve"> (that is, it is a genuine reduction, rather than a rent deferral)</w:t>
      </w:r>
      <w:r w:rsidRPr="00C55858">
        <w:rPr>
          <w:rFonts w:ascii="Arial" w:hAnsi="Arial" w:cs="Arial"/>
          <w:sz w:val="24"/>
          <w:szCs w:val="24"/>
        </w:rPr>
        <w:t>.</w:t>
      </w:r>
    </w:p>
    <w:p w14:paraId="1B33A992" w14:textId="5BF3766C" w:rsidR="0069554D" w:rsidRPr="00BA5012" w:rsidRDefault="00BA5012" w:rsidP="00867B7D">
      <w:pPr>
        <w:rPr>
          <w:rFonts w:ascii="Arial" w:hAnsi="Arial" w:cs="Arial"/>
          <w:sz w:val="24"/>
          <w:szCs w:val="24"/>
        </w:rPr>
      </w:pPr>
      <w:r>
        <w:rPr>
          <w:rFonts w:ascii="Arial" w:hAnsi="Arial" w:cs="Arial"/>
          <w:sz w:val="24"/>
          <w:szCs w:val="24"/>
        </w:rPr>
        <w:t xml:space="preserve">The </w:t>
      </w:r>
      <w:r w:rsidRPr="00C55858">
        <w:rPr>
          <w:rFonts w:ascii="Arial" w:hAnsi="Arial" w:cs="Arial"/>
          <w:sz w:val="24"/>
          <w:szCs w:val="24"/>
        </w:rPr>
        <w:t>COVID-19 temporary rent reduction clause</w:t>
      </w:r>
      <w:r>
        <w:rPr>
          <w:rFonts w:ascii="Arial" w:hAnsi="Arial" w:cs="Arial"/>
          <w:sz w:val="24"/>
          <w:szCs w:val="24"/>
        </w:rPr>
        <w:t xml:space="preserve"> was included in both the</w:t>
      </w:r>
      <w:r w:rsidRPr="00B86788">
        <w:rPr>
          <w:rFonts w:ascii="Arial" w:hAnsi="Arial" w:cs="Arial"/>
          <w:i/>
          <w:iCs/>
          <w:sz w:val="24"/>
          <w:szCs w:val="24"/>
        </w:rPr>
        <w:t xml:space="preserve"> Residential Tenancies (COVID-19 Emergency Response) Declaration 2020 </w:t>
      </w:r>
      <w:r>
        <w:rPr>
          <w:rFonts w:ascii="Arial" w:hAnsi="Arial" w:cs="Arial"/>
          <w:sz w:val="24"/>
          <w:szCs w:val="24"/>
        </w:rPr>
        <w:t xml:space="preserve">and the </w:t>
      </w:r>
      <w:r w:rsidRPr="00B86788">
        <w:rPr>
          <w:rFonts w:ascii="Arial" w:hAnsi="Arial" w:cs="Arial"/>
          <w:i/>
          <w:iCs/>
          <w:sz w:val="24"/>
          <w:szCs w:val="24"/>
        </w:rPr>
        <w:t xml:space="preserve">Residential Tenancies (COVID-19 Emergency Response) Declaration 2020 (No </w:t>
      </w:r>
      <w:r>
        <w:rPr>
          <w:rFonts w:ascii="Arial" w:hAnsi="Arial" w:cs="Arial"/>
          <w:i/>
          <w:iCs/>
          <w:sz w:val="24"/>
          <w:szCs w:val="24"/>
        </w:rPr>
        <w:t>2</w:t>
      </w:r>
      <w:r w:rsidRPr="00B86788">
        <w:rPr>
          <w:rFonts w:ascii="Arial" w:hAnsi="Arial" w:cs="Arial"/>
          <w:i/>
          <w:iCs/>
          <w:sz w:val="24"/>
          <w:szCs w:val="24"/>
        </w:rPr>
        <w:t>)</w:t>
      </w:r>
      <w:r>
        <w:rPr>
          <w:rFonts w:ascii="Arial" w:hAnsi="Arial" w:cs="Arial"/>
          <w:sz w:val="24"/>
          <w:szCs w:val="24"/>
        </w:rPr>
        <w:t xml:space="preserve">. The Declaration extends this measure to 31 January 2021 in order to encourage tenants and </w:t>
      </w:r>
      <w:r w:rsidR="0026510B">
        <w:rPr>
          <w:rFonts w:ascii="Arial" w:hAnsi="Arial" w:cs="Arial"/>
          <w:sz w:val="24"/>
          <w:szCs w:val="24"/>
        </w:rPr>
        <w:t>lessors</w:t>
      </w:r>
      <w:r>
        <w:rPr>
          <w:rFonts w:ascii="Arial" w:hAnsi="Arial" w:cs="Arial"/>
          <w:sz w:val="24"/>
          <w:szCs w:val="24"/>
        </w:rPr>
        <w:t xml:space="preserve"> to</w:t>
      </w:r>
      <w:r w:rsidRPr="00BA5012">
        <w:rPr>
          <w:rFonts w:ascii="Arial" w:hAnsi="Arial" w:cs="Arial"/>
          <w:sz w:val="24"/>
          <w:szCs w:val="24"/>
        </w:rPr>
        <w:t xml:space="preserve"> negotiate temporary rent reductions</w:t>
      </w:r>
      <w:r w:rsidR="007908B3">
        <w:rPr>
          <w:rFonts w:ascii="Arial" w:hAnsi="Arial" w:cs="Arial"/>
          <w:sz w:val="24"/>
          <w:szCs w:val="24"/>
        </w:rPr>
        <w:t xml:space="preserve"> where tenants continue to be impacted by COVID-19 response measures</w:t>
      </w:r>
      <w:r w:rsidRPr="00BA5012">
        <w:rPr>
          <w:rFonts w:ascii="Arial" w:hAnsi="Arial" w:cs="Arial"/>
          <w:sz w:val="24"/>
          <w:szCs w:val="24"/>
        </w:rPr>
        <w:t xml:space="preserve">. This measure also supports the ACT Government’s 3-month extension of the land tax </w:t>
      </w:r>
      <w:r w:rsidR="007908B3">
        <w:rPr>
          <w:rFonts w:ascii="Arial" w:hAnsi="Arial" w:cs="Arial"/>
          <w:sz w:val="24"/>
          <w:szCs w:val="24"/>
        </w:rPr>
        <w:t xml:space="preserve">and rates </w:t>
      </w:r>
      <w:r w:rsidRPr="00BA5012">
        <w:rPr>
          <w:rFonts w:ascii="Arial" w:hAnsi="Arial" w:cs="Arial"/>
          <w:sz w:val="24"/>
          <w:szCs w:val="24"/>
        </w:rPr>
        <w:t xml:space="preserve">rebate </w:t>
      </w:r>
      <w:r w:rsidR="007908B3">
        <w:rPr>
          <w:rFonts w:ascii="Arial" w:hAnsi="Arial" w:cs="Arial"/>
          <w:sz w:val="24"/>
          <w:szCs w:val="24"/>
        </w:rPr>
        <w:t xml:space="preserve">scheme </w:t>
      </w:r>
      <w:r w:rsidRPr="00BA5012">
        <w:rPr>
          <w:rFonts w:ascii="Arial" w:hAnsi="Arial" w:cs="Arial"/>
          <w:sz w:val="24"/>
          <w:szCs w:val="24"/>
        </w:rPr>
        <w:t xml:space="preserve">to residential </w:t>
      </w:r>
      <w:r w:rsidR="0026510B">
        <w:rPr>
          <w:rFonts w:ascii="Arial" w:hAnsi="Arial" w:cs="Arial"/>
          <w:sz w:val="24"/>
          <w:szCs w:val="24"/>
        </w:rPr>
        <w:t>lessors</w:t>
      </w:r>
      <w:r w:rsidRPr="00BA5012">
        <w:rPr>
          <w:rFonts w:ascii="Arial" w:hAnsi="Arial" w:cs="Arial"/>
          <w:sz w:val="24"/>
          <w:szCs w:val="24"/>
        </w:rPr>
        <w:t xml:space="preserve"> who reduce a tenant’s rent by at least 25 percent</w:t>
      </w:r>
      <w:r>
        <w:rPr>
          <w:rFonts w:ascii="Arial" w:hAnsi="Arial" w:cs="Arial"/>
          <w:sz w:val="24"/>
          <w:szCs w:val="24"/>
        </w:rPr>
        <w:t>.</w:t>
      </w:r>
    </w:p>
    <w:p w14:paraId="6EB0EA48" w14:textId="20E387B8" w:rsidR="00FE65B9" w:rsidRPr="00FE65B9" w:rsidRDefault="00FE65B9" w:rsidP="00FE65B9">
      <w:pPr>
        <w:pStyle w:val="Heading3"/>
      </w:pPr>
      <w:r w:rsidRPr="00691699">
        <w:t>Part</w:t>
      </w:r>
      <w:r>
        <w:t xml:space="preserve"> 3</w:t>
      </w:r>
      <w:r>
        <w:tab/>
      </w:r>
      <w:r>
        <w:tab/>
        <w:t>Protection of households impacted by COVID-19 pandemic</w:t>
      </w:r>
    </w:p>
    <w:p w14:paraId="7A7DFADB" w14:textId="7920EFBA" w:rsidR="00FE65B9" w:rsidRDefault="00FE65B9" w:rsidP="00FE65B9">
      <w:pPr>
        <w:pStyle w:val="Heading3"/>
      </w:pPr>
      <w:r w:rsidRPr="00ED3B77">
        <w:t>Clause</w:t>
      </w:r>
      <w:r>
        <w:t xml:space="preserve"> 7</w:t>
      </w:r>
      <w:r w:rsidRPr="00ED3B77">
        <w:tab/>
      </w:r>
      <w:r>
        <w:t>Definitions–Pt 3</w:t>
      </w:r>
    </w:p>
    <w:p w14:paraId="06C464DC" w14:textId="44F94BFA" w:rsidR="00E94FC9" w:rsidRDefault="00E94FC9" w:rsidP="00E94FC9">
      <w:pPr>
        <w:rPr>
          <w:rFonts w:ascii="Arial" w:hAnsi="Arial" w:cs="Arial"/>
          <w:sz w:val="24"/>
          <w:szCs w:val="24"/>
        </w:rPr>
      </w:pPr>
      <w:r>
        <w:rPr>
          <w:rFonts w:ascii="Arial" w:hAnsi="Arial" w:cs="Arial"/>
          <w:sz w:val="24"/>
          <w:szCs w:val="24"/>
        </w:rPr>
        <w:t>This clause defines terms in part 3. The purpose of the definitions in this clause and clause 8 is to ensure that the benefit of the measures in the Declaration</w:t>
      </w:r>
      <w:r w:rsidR="00DA3D9E">
        <w:rPr>
          <w:rFonts w:ascii="Arial" w:hAnsi="Arial" w:cs="Arial"/>
          <w:sz w:val="24"/>
          <w:szCs w:val="24"/>
        </w:rPr>
        <w:t xml:space="preserve"> (other than </w:t>
      </w:r>
      <w:r w:rsidR="0023084E">
        <w:rPr>
          <w:rFonts w:ascii="Arial" w:hAnsi="Arial" w:cs="Arial"/>
          <w:sz w:val="24"/>
          <w:szCs w:val="24"/>
        </w:rPr>
        <w:t>clause</w:t>
      </w:r>
      <w:r w:rsidR="00DA3D9E">
        <w:rPr>
          <w:rFonts w:ascii="Arial" w:hAnsi="Arial" w:cs="Arial"/>
          <w:sz w:val="24"/>
          <w:szCs w:val="24"/>
        </w:rPr>
        <w:t xml:space="preserve"> 5)</w:t>
      </w:r>
      <w:r>
        <w:rPr>
          <w:rFonts w:ascii="Arial" w:hAnsi="Arial" w:cs="Arial"/>
          <w:sz w:val="24"/>
          <w:szCs w:val="24"/>
        </w:rPr>
        <w:t xml:space="preserve"> is restricted to persons who have been impacted by the COVID-19 pandemic. This ensures that the rights and obligations of </w:t>
      </w:r>
      <w:r w:rsidR="002D54C9">
        <w:rPr>
          <w:rFonts w:ascii="Arial" w:hAnsi="Arial" w:cs="Arial"/>
          <w:sz w:val="24"/>
          <w:szCs w:val="24"/>
        </w:rPr>
        <w:t>lessor</w:t>
      </w:r>
      <w:r>
        <w:rPr>
          <w:rFonts w:ascii="Arial" w:hAnsi="Arial" w:cs="Arial"/>
          <w:sz w:val="24"/>
          <w:szCs w:val="24"/>
        </w:rPr>
        <w:t xml:space="preserve">s and tenants in circumstances extraneous to the COVID-19 pandemic continue unaffected. </w:t>
      </w:r>
    </w:p>
    <w:p w14:paraId="375DF55C" w14:textId="77777777"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Household</w:t>
      </w:r>
      <w:r>
        <w:rPr>
          <w:rFonts w:ascii="Arial" w:hAnsi="Arial" w:cs="Arial"/>
          <w:sz w:val="24"/>
          <w:szCs w:val="24"/>
        </w:rPr>
        <w:t xml:space="preserve">’ means the tenants and any other people living in premises the subject of a residential tenancy agreement. </w:t>
      </w:r>
    </w:p>
    <w:p w14:paraId="2A9A8F0F" w14:textId="75E61075"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Impacted</w:t>
      </w:r>
      <w:r>
        <w:rPr>
          <w:rFonts w:ascii="Arial" w:hAnsi="Arial" w:cs="Arial"/>
          <w:sz w:val="24"/>
          <w:szCs w:val="24"/>
        </w:rPr>
        <w:t>’ by the COVID-19 pandemic is further defined in clause</w:t>
      </w:r>
      <w:r w:rsidRPr="00854954">
        <w:rPr>
          <w:rFonts w:ascii="Arial" w:hAnsi="Arial" w:cs="Arial"/>
          <w:sz w:val="24"/>
          <w:szCs w:val="24"/>
        </w:rPr>
        <w:t xml:space="preserve"> </w:t>
      </w:r>
      <w:r w:rsidR="00DA3D9E">
        <w:rPr>
          <w:rFonts w:ascii="Arial" w:hAnsi="Arial" w:cs="Arial"/>
          <w:sz w:val="24"/>
          <w:szCs w:val="24"/>
        </w:rPr>
        <w:t>8</w:t>
      </w:r>
      <w:r>
        <w:rPr>
          <w:rFonts w:ascii="Arial" w:hAnsi="Arial" w:cs="Arial"/>
          <w:sz w:val="24"/>
          <w:szCs w:val="24"/>
        </w:rPr>
        <w:t xml:space="preserve">. </w:t>
      </w:r>
    </w:p>
    <w:p w14:paraId="066EF49D" w14:textId="7A4A0323"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Impacted household’</w:t>
      </w:r>
      <w:r>
        <w:rPr>
          <w:rFonts w:ascii="Arial" w:hAnsi="Arial" w:cs="Arial"/>
          <w:sz w:val="24"/>
          <w:szCs w:val="24"/>
        </w:rPr>
        <w:t xml:space="preserve"> means a household ‘impacted by the COVID-19 pandemic’, or, a household in which a member became eligible for the JobSeeker or JobKeeper payment from the Commonwealth on or after 20 March 2020. </w:t>
      </w:r>
      <w:r w:rsidRPr="00776ED6">
        <w:rPr>
          <w:rFonts w:ascii="Arial" w:hAnsi="Arial" w:cs="Arial"/>
          <w:sz w:val="24"/>
          <w:szCs w:val="24"/>
        </w:rPr>
        <w:t>‘</w:t>
      </w:r>
      <w:r>
        <w:rPr>
          <w:rFonts w:ascii="Arial" w:hAnsi="Arial" w:cs="Arial"/>
          <w:sz w:val="24"/>
          <w:szCs w:val="24"/>
        </w:rPr>
        <w:t>I</w:t>
      </w:r>
      <w:r w:rsidRPr="00776ED6">
        <w:rPr>
          <w:rFonts w:ascii="Arial" w:hAnsi="Arial" w:cs="Arial"/>
          <w:sz w:val="24"/>
          <w:szCs w:val="24"/>
        </w:rPr>
        <w:t>mpacted by the COVID-19 pandemic’</w:t>
      </w:r>
      <w:r>
        <w:rPr>
          <w:rFonts w:ascii="Arial" w:hAnsi="Arial" w:cs="Arial"/>
          <w:sz w:val="24"/>
          <w:szCs w:val="24"/>
        </w:rPr>
        <w:t xml:space="preserve"> is defined in clause </w:t>
      </w:r>
      <w:r w:rsidR="0023084E">
        <w:rPr>
          <w:rFonts w:ascii="Arial" w:hAnsi="Arial" w:cs="Arial"/>
          <w:sz w:val="24"/>
          <w:szCs w:val="24"/>
        </w:rPr>
        <w:t>8</w:t>
      </w:r>
      <w:r>
        <w:rPr>
          <w:rFonts w:ascii="Arial" w:hAnsi="Arial" w:cs="Arial"/>
          <w:sz w:val="24"/>
          <w:szCs w:val="24"/>
        </w:rPr>
        <w:t xml:space="preserve">. See further discussion below under clause </w:t>
      </w:r>
      <w:r w:rsidR="0023084E">
        <w:rPr>
          <w:rFonts w:ascii="Arial" w:hAnsi="Arial" w:cs="Arial"/>
          <w:sz w:val="24"/>
          <w:szCs w:val="24"/>
        </w:rPr>
        <w:t>8</w:t>
      </w:r>
      <w:r>
        <w:rPr>
          <w:rFonts w:ascii="Arial" w:hAnsi="Arial" w:cs="Arial"/>
          <w:sz w:val="24"/>
          <w:szCs w:val="24"/>
        </w:rPr>
        <w:t xml:space="preserve">. </w:t>
      </w:r>
    </w:p>
    <w:p w14:paraId="69AAED6B" w14:textId="05F42E9A" w:rsidR="00E94FC9" w:rsidRDefault="00E94FC9" w:rsidP="00E94FC9">
      <w:pPr>
        <w:rPr>
          <w:rFonts w:ascii="Arial" w:hAnsi="Arial" w:cs="Arial"/>
          <w:sz w:val="24"/>
          <w:szCs w:val="24"/>
        </w:rPr>
      </w:pPr>
      <w:r>
        <w:rPr>
          <w:rFonts w:ascii="Arial" w:hAnsi="Arial" w:cs="Arial"/>
          <w:sz w:val="24"/>
          <w:szCs w:val="24"/>
        </w:rPr>
        <w:t>‘</w:t>
      </w:r>
      <w:r w:rsidRPr="001E7D6A">
        <w:rPr>
          <w:rFonts w:ascii="Arial" w:hAnsi="Arial" w:cs="Arial"/>
          <w:b/>
          <w:bCs/>
          <w:i/>
          <w:iCs/>
          <w:sz w:val="24"/>
          <w:szCs w:val="24"/>
        </w:rPr>
        <w:t>Moratorium period’</w:t>
      </w:r>
      <w:r>
        <w:rPr>
          <w:rFonts w:ascii="Arial" w:hAnsi="Arial" w:cs="Arial"/>
          <w:sz w:val="24"/>
          <w:szCs w:val="24"/>
        </w:rPr>
        <w:t xml:space="preserve"> means the period beginning on 22 April 2020 and ending on </w:t>
      </w:r>
      <w:r w:rsidR="0023084E">
        <w:rPr>
          <w:rFonts w:ascii="Arial" w:hAnsi="Arial" w:cs="Arial"/>
          <w:sz w:val="24"/>
          <w:szCs w:val="24"/>
        </w:rPr>
        <w:t>22 October 2020</w:t>
      </w:r>
      <w:r>
        <w:rPr>
          <w:rFonts w:ascii="Arial" w:hAnsi="Arial" w:cs="Arial"/>
          <w:sz w:val="24"/>
          <w:szCs w:val="24"/>
        </w:rPr>
        <w:t>.</w:t>
      </w:r>
    </w:p>
    <w:p w14:paraId="57DD6D52" w14:textId="4CFD3ECA" w:rsidR="0023084E" w:rsidRDefault="0023084E" w:rsidP="00E94FC9">
      <w:pPr>
        <w:rPr>
          <w:rFonts w:ascii="Arial" w:hAnsi="Arial" w:cs="Arial"/>
          <w:sz w:val="24"/>
          <w:szCs w:val="24"/>
        </w:rPr>
      </w:pPr>
      <w:r>
        <w:rPr>
          <w:rFonts w:ascii="Arial" w:hAnsi="Arial" w:cs="Arial"/>
          <w:sz w:val="24"/>
          <w:szCs w:val="24"/>
        </w:rPr>
        <w:lastRenderedPageBreak/>
        <w:t>‘</w:t>
      </w:r>
      <w:r w:rsidRPr="001E7D6A">
        <w:rPr>
          <w:rFonts w:ascii="Arial" w:hAnsi="Arial" w:cs="Arial"/>
          <w:b/>
          <w:bCs/>
          <w:i/>
          <w:iCs/>
          <w:sz w:val="24"/>
          <w:szCs w:val="24"/>
        </w:rPr>
        <w:t>Transitional period’</w:t>
      </w:r>
      <w:r>
        <w:rPr>
          <w:rFonts w:ascii="Arial" w:hAnsi="Arial" w:cs="Arial"/>
          <w:sz w:val="24"/>
          <w:szCs w:val="24"/>
        </w:rPr>
        <w:t xml:space="preserve"> means the period beginning on 23 October 2020 and ending on 31 January 2021, or, if the period is extended under clause 14, at the end of the extended period.</w:t>
      </w:r>
    </w:p>
    <w:p w14:paraId="763C5BD0" w14:textId="6A472C8B" w:rsidR="00FE65B9" w:rsidRDefault="00FE65B9" w:rsidP="00FE65B9">
      <w:pPr>
        <w:pStyle w:val="Heading3"/>
      </w:pPr>
      <w:r w:rsidRPr="00ED3B77">
        <w:t>Clause</w:t>
      </w:r>
      <w:r>
        <w:t xml:space="preserve"> 8</w:t>
      </w:r>
      <w:r w:rsidRPr="00ED3B77">
        <w:tab/>
      </w:r>
      <w:r w:rsidRPr="00FE65B9">
        <w:t xml:space="preserve">When is a household </w:t>
      </w:r>
      <w:r w:rsidRPr="00FE65B9">
        <w:rPr>
          <w:i/>
          <w:iCs/>
        </w:rPr>
        <w:t>impacted</w:t>
      </w:r>
      <w:r w:rsidRPr="00FE65B9">
        <w:t xml:space="preserve"> by COVID-19 pandemic?</w:t>
      </w:r>
    </w:p>
    <w:p w14:paraId="1A4E8F1A" w14:textId="77777777" w:rsidR="00676391" w:rsidRDefault="00676391" w:rsidP="00676391">
      <w:pPr>
        <w:rPr>
          <w:rFonts w:ascii="Arial" w:hAnsi="Arial" w:cs="Arial"/>
          <w:sz w:val="24"/>
          <w:szCs w:val="24"/>
        </w:rPr>
      </w:pPr>
      <w:r>
        <w:rPr>
          <w:rFonts w:ascii="Arial" w:hAnsi="Arial" w:cs="Arial"/>
          <w:sz w:val="24"/>
          <w:szCs w:val="24"/>
        </w:rPr>
        <w:t>This clause outlines when a household is considered to be impacted by the COVID</w:t>
      </w:r>
      <w:r>
        <w:rPr>
          <w:rFonts w:ascii="Arial" w:hAnsi="Arial" w:cs="Arial"/>
          <w:sz w:val="24"/>
          <w:szCs w:val="24"/>
        </w:rPr>
        <w:noBreakHyphen/>
        <w:t xml:space="preserve">19 pandemic for the purpose of the Declaration. </w:t>
      </w:r>
    </w:p>
    <w:p w14:paraId="52D486FA" w14:textId="77777777" w:rsidR="00676391" w:rsidRDefault="00676391" w:rsidP="00676391">
      <w:pPr>
        <w:rPr>
          <w:rFonts w:ascii="Arial" w:hAnsi="Arial" w:cs="Arial"/>
          <w:sz w:val="24"/>
          <w:szCs w:val="24"/>
        </w:rPr>
      </w:pPr>
      <w:r>
        <w:rPr>
          <w:rFonts w:ascii="Arial" w:hAnsi="Arial" w:cs="Arial"/>
          <w:sz w:val="24"/>
          <w:szCs w:val="24"/>
        </w:rPr>
        <w:t xml:space="preserve">A household is impacted by the COVID-19 pandemic where one or more rent-paying household members have stopped earning income or had a reduction in income either for health-related reasons (because a member of the household is ill with COVID-19 or the rent-paying member has carer responsibilities for a family member ill with COVID-19, whether or not in the same household), or for reasons arising from COVID-19 response measures (whether by the ACT Government or another Australian Government). In addition, the household’s gross weekly income must be at least 25% less than the household’s gross weekly income before the income of any of the rent-paying household members was stopped or reduced. </w:t>
      </w:r>
    </w:p>
    <w:p w14:paraId="3E4AF6F1" w14:textId="77777777" w:rsidR="00676391" w:rsidRDefault="00676391" w:rsidP="00676391">
      <w:pPr>
        <w:rPr>
          <w:rFonts w:ascii="Arial" w:hAnsi="Arial" w:cs="Arial"/>
          <w:sz w:val="24"/>
          <w:szCs w:val="24"/>
        </w:rPr>
      </w:pPr>
      <w:r>
        <w:rPr>
          <w:rFonts w:ascii="Arial" w:hAnsi="Arial" w:cs="Arial"/>
          <w:sz w:val="24"/>
          <w:szCs w:val="24"/>
        </w:rPr>
        <w:t xml:space="preserve">In this clause, ‘rent-paying household member’ means a member of the household who regularly pays a share of the rent payable under the agreement. </w:t>
      </w:r>
    </w:p>
    <w:p w14:paraId="5CF05863" w14:textId="77777777" w:rsidR="00676391" w:rsidRDefault="00676391" w:rsidP="00676391">
      <w:pPr>
        <w:rPr>
          <w:rFonts w:ascii="Arial" w:hAnsi="Arial" w:cs="Arial"/>
          <w:sz w:val="24"/>
          <w:szCs w:val="24"/>
        </w:rPr>
      </w:pPr>
      <w:r>
        <w:rPr>
          <w:rFonts w:ascii="Arial" w:hAnsi="Arial" w:cs="Arial"/>
          <w:sz w:val="24"/>
          <w:szCs w:val="24"/>
        </w:rPr>
        <w:t xml:space="preserve">‘Weekly gross income’ of a household means the total of the weekly gross income, including any government payment, received by each rent-paying household member. </w:t>
      </w:r>
    </w:p>
    <w:p w14:paraId="0B7BA9D5" w14:textId="01248F4A" w:rsidR="00676391" w:rsidRDefault="00676391" w:rsidP="00676391">
      <w:pPr>
        <w:rPr>
          <w:rFonts w:ascii="Arial" w:hAnsi="Arial" w:cs="Arial"/>
          <w:sz w:val="24"/>
          <w:szCs w:val="24"/>
        </w:rPr>
      </w:pPr>
      <w:r w:rsidRPr="009B7EA6">
        <w:rPr>
          <w:rFonts w:ascii="Arial" w:hAnsi="Arial" w:cs="Arial"/>
          <w:sz w:val="24"/>
          <w:szCs w:val="24"/>
        </w:rPr>
        <w:t xml:space="preserve">If this definition is met, the household will be considered an ‘impacted household’ and the </w:t>
      </w:r>
      <w:r w:rsidR="00D87329">
        <w:rPr>
          <w:rFonts w:ascii="Arial" w:hAnsi="Arial" w:cs="Arial"/>
          <w:sz w:val="24"/>
          <w:szCs w:val="24"/>
        </w:rPr>
        <w:t xml:space="preserve">provisions relating to the </w:t>
      </w:r>
      <w:r w:rsidR="009B7EA6" w:rsidRPr="009B7EA6">
        <w:rPr>
          <w:rFonts w:ascii="Arial" w:hAnsi="Arial" w:cs="Arial"/>
          <w:sz w:val="24"/>
          <w:szCs w:val="24"/>
        </w:rPr>
        <w:t>restriction</w:t>
      </w:r>
      <w:r w:rsidRPr="009B7EA6">
        <w:rPr>
          <w:rFonts w:ascii="Arial" w:hAnsi="Arial" w:cs="Arial"/>
          <w:sz w:val="24"/>
          <w:szCs w:val="24"/>
        </w:rPr>
        <w:t xml:space="preserve"> on termination </w:t>
      </w:r>
      <w:r w:rsidR="009B7EA6" w:rsidRPr="009B7EA6">
        <w:rPr>
          <w:rFonts w:ascii="Arial" w:hAnsi="Arial" w:cs="Arial"/>
          <w:sz w:val="24"/>
          <w:szCs w:val="24"/>
        </w:rPr>
        <w:t xml:space="preserve">etc during the transitional period for arrears incurred during the moratorium period, the modification of the RTA in relation to payment orders for impacted households, </w:t>
      </w:r>
      <w:r w:rsidR="00D87329">
        <w:rPr>
          <w:rFonts w:ascii="Arial" w:hAnsi="Arial" w:cs="Arial"/>
          <w:sz w:val="24"/>
          <w:szCs w:val="24"/>
        </w:rPr>
        <w:t xml:space="preserve">the </w:t>
      </w:r>
      <w:r w:rsidR="009B7EA6" w:rsidRPr="009B7EA6">
        <w:rPr>
          <w:rFonts w:ascii="Arial" w:hAnsi="Arial" w:cs="Arial"/>
          <w:sz w:val="24"/>
          <w:szCs w:val="24"/>
        </w:rPr>
        <w:t>restriction on listings in a residential tenancy database</w:t>
      </w:r>
      <w:r w:rsidR="00D87329">
        <w:rPr>
          <w:rFonts w:ascii="Arial" w:hAnsi="Arial" w:cs="Arial"/>
          <w:sz w:val="24"/>
          <w:szCs w:val="24"/>
        </w:rPr>
        <w:t xml:space="preserve"> and</w:t>
      </w:r>
      <w:r w:rsidR="009B7EA6" w:rsidRPr="009B7EA6">
        <w:rPr>
          <w:rFonts w:ascii="Arial" w:hAnsi="Arial" w:cs="Arial"/>
          <w:sz w:val="24"/>
          <w:szCs w:val="24"/>
        </w:rPr>
        <w:t xml:space="preserve"> </w:t>
      </w:r>
      <w:r w:rsidR="00D87329">
        <w:rPr>
          <w:rFonts w:ascii="Arial" w:hAnsi="Arial" w:cs="Arial"/>
          <w:sz w:val="24"/>
          <w:szCs w:val="24"/>
        </w:rPr>
        <w:t xml:space="preserve">the </w:t>
      </w:r>
      <w:r w:rsidR="009B7EA6" w:rsidRPr="009B7EA6">
        <w:rPr>
          <w:rFonts w:ascii="Arial" w:hAnsi="Arial" w:cs="Arial"/>
          <w:sz w:val="24"/>
          <w:szCs w:val="24"/>
        </w:rPr>
        <w:t>termination by a tenant in an impacted household  will apply</w:t>
      </w:r>
      <w:r w:rsidR="00D87329">
        <w:rPr>
          <w:rFonts w:ascii="Arial" w:hAnsi="Arial" w:cs="Arial"/>
          <w:sz w:val="24"/>
          <w:szCs w:val="24"/>
        </w:rPr>
        <w:t xml:space="preserve"> (clause</w:t>
      </w:r>
      <w:r w:rsidR="00721ED1">
        <w:rPr>
          <w:rFonts w:ascii="Arial" w:hAnsi="Arial" w:cs="Arial"/>
          <w:sz w:val="24"/>
          <w:szCs w:val="24"/>
        </w:rPr>
        <w:t>s</w:t>
      </w:r>
      <w:r w:rsidR="00D87329">
        <w:rPr>
          <w:rFonts w:ascii="Arial" w:hAnsi="Arial" w:cs="Arial"/>
          <w:sz w:val="24"/>
          <w:szCs w:val="24"/>
        </w:rPr>
        <w:t xml:space="preserve"> 9, 11, 12 and 13)</w:t>
      </w:r>
      <w:r w:rsidR="009B7EA6" w:rsidRPr="009B7EA6">
        <w:rPr>
          <w:rFonts w:ascii="Arial" w:hAnsi="Arial" w:cs="Arial"/>
          <w:sz w:val="24"/>
          <w:szCs w:val="24"/>
        </w:rPr>
        <w:t>.</w:t>
      </w:r>
    </w:p>
    <w:p w14:paraId="222EF805" w14:textId="7299B4F7" w:rsidR="00676391" w:rsidRPr="001C3DED" w:rsidRDefault="00676391" w:rsidP="00676391">
      <w:pPr>
        <w:rPr>
          <w:rFonts w:ascii="Arial" w:hAnsi="Arial" w:cs="Arial"/>
          <w:sz w:val="24"/>
          <w:szCs w:val="24"/>
        </w:rPr>
      </w:pPr>
      <w:r w:rsidRPr="001C3DED">
        <w:rPr>
          <w:rFonts w:ascii="Arial" w:hAnsi="Arial" w:cs="Arial"/>
          <w:sz w:val="24"/>
          <w:szCs w:val="24"/>
        </w:rPr>
        <w:t xml:space="preserve">As set out in clause </w:t>
      </w:r>
      <w:r w:rsidR="00D87329" w:rsidRPr="001C3DED">
        <w:rPr>
          <w:rFonts w:ascii="Arial" w:hAnsi="Arial" w:cs="Arial"/>
          <w:sz w:val="24"/>
          <w:szCs w:val="24"/>
        </w:rPr>
        <w:t>7</w:t>
      </w:r>
      <w:r w:rsidRPr="001C3DED">
        <w:rPr>
          <w:rFonts w:ascii="Arial" w:hAnsi="Arial" w:cs="Arial"/>
          <w:sz w:val="24"/>
          <w:szCs w:val="24"/>
        </w:rPr>
        <w:t xml:space="preserve"> above, a household in which a member became eligible for the JobSeeker or JobKeeper payment from the Commonwealth on or after 20 March 2020 will also be considered an ‘impacted household’ for the purpose of the Declaration and the </w:t>
      </w:r>
      <w:r w:rsidR="001C3DED" w:rsidRPr="001C3DED">
        <w:rPr>
          <w:rFonts w:ascii="Arial" w:hAnsi="Arial" w:cs="Arial"/>
          <w:sz w:val="24"/>
          <w:szCs w:val="24"/>
        </w:rPr>
        <w:t>provisions relating to the restriction on termination etc during the transitional period for arrears incurred during the moratorium period, the modification of the RTA in relation to payment orders for impacted households, the restriction on listings in a residential tenancy database and the termination by a tenant in an impacted household will apply (clause</w:t>
      </w:r>
      <w:r w:rsidR="00721ED1">
        <w:rPr>
          <w:rFonts w:ascii="Arial" w:hAnsi="Arial" w:cs="Arial"/>
          <w:sz w:val="24"/>
          <w:szCs w:val="24"/>
        </w:rPr>
        <w:t>s</w:t>
      </w:r>
      <w:r w:rsidR="001C3DED" w:rsidRPr="001C3DED">
        <w:rPr>
          <w:rFonts w:ascii="Arial" w:hAnsi="Arial" w:cs="Arial"/>
          <w:sz w:val="24"/>
          <w:szCs w:val="24"/>
        </w:rPr>
        <w:t xml:space="preserve"> 9, 11, 12 and 13).</w:t>
      </w:r>
    </w:p>
    <w:p w14:paraId="7EED8EA9" w14:textId="564F52DC" w:rsidR="00676391" w:rsidRPr="006D71A2" w:rsidRDefault="00676391" w:rsidP="00676391">
      <w:pPr>
        <w:rPr>
          <w:rFonts w:ascii="Arial" w:hAnsi="Arial" w:cs="Arial"/>
          <w:sz w:val="24"/>
          <w:szCs w:val="24"/>
        </w:rPr>
      </w:pPr>
      <w:r w:rsidRPr="00D87329">
        <w:rPr>
          <w:rFonts w:ascii="Arial" w:hAnsi="Arial" w:cs="Arial"/>
          <w:sz w:val="24"/>
          <w:szCs w:val="24"/>
        </w:rPr>
        <w:t xml:space="preserve">It is anticipated that tenants will be able to show that they are an ‘impacted household’ (clause </w:t>
      </w:r>
      <w:r w:rsidR="00D87329" w:rsidRPr="00D87329">
        <w:rPr>
          <w:rFonts w:ascii="Arial" w:hAnsi="Arial" w:cs="Arial"/>
          <w:sz w:val="24"/>
          <w:szCs w:val="24"/>
        </w:rPr>
        <w:t>8</w:t>
      </w:r>
      <w:r w:rsidRPr="00D87329">
        <w:rPr>
          <w:rFonts w:ascii="Arial" w:hAnsi="Arial" w:cs="Arial"/>
          <w:sz w:val="24"/>
          <w:szCs w:val="24"/>
        </w:rPr>
        <w:t>) through simple evidence, such as, for example:</w:t>
      </w:r>
    </w:p>
    <w:p w14:paraId="7A86E818" w14:textId="77777777" w:rsidR="00676391" w:rsidRPr="006D71A2" w:rsidRDefault="00676391" w:rsidP="00676391">
      <w:pPr>
        <w:numPr>
          <w:ilvl w:val="0"/>
          <w:numId w:val="2"/>
        </w:numPr>
        <w:rPr>
          <w:rFonts w:ascii="Arial" w:hAnsi="Arial" w:cs="Arial"/>
          <w:sz w:val="24"/>
          <w:szCs w:val="24"/>
        </w:rPr>
      </w:pPr>
      <w:r w:rsidRPr="006D71A2">
        <w:rPr>
          <w:rFonts w:ascii="Arial" w:hAnsi="Arial" w:cs="Arial"/>
          <w:sz w:val="24"/>
          <w:szCs w:val="24"/>
        </w:rPr>
        <w:t>proof of eligibility for JobSeeker or JobKeeper payment;</w:t>
      </w:r>
    </w:p>
    <w:p w14:paraId="2482E6EB" w14:textId="77777777" w:rsidR="00676391" w:rsidRPr="006D71A2" w:rsidRDefault="00676391" w:rsidP="00676391">
      <w:pPr>
        <w:numPr>
          <w:ilvl w:val="0"/>
          <w:numId w:val="2"/>
        </w:numPr>
        <w:rPr>
          <w:rFonts w:ascii="Arial" w:hAnsi="Arial" w:cs="Arial"/>
          <w:sz w:val="24"/>
          <w:szCs w:val="24"/>
        </w:rPr>
      </w:pPr>
      <w:r w:rsidRPr="006D71A2">
        <w:rPr>
          <w:rFonts w:ascii="Arial" w:hAnsi="Arial" w:cs="Arial"/>
          <w:sz w:val="24"/>
          <w:szCs w:val="24"/>
        </w:rPr>
        <w:lastRenderedPageBreak/>
        <w:t>proof of job termination or stand-down such a letter or email from</w:t>
      </w:r>
      <w:r>
        <w:rPr>
          <w:rFonts w:ascii="Arial" w:hAnsi="Arial" w:cs="Arial"/>
          <w:sz w:val="24"/>
          <w:szCs w:val="24"/>
        </w:rPr>
        <w:t xml:space="preserve"> an</w:t>
      </w:r>
      <w:r w:rsidRPr="006D71A2">
        <w:rPr>
          <w:rFonts w:ascii="Arial" w:hAnsi="Arial" w:cs="Arial"/>
          <w:sz w:val="24"/>
          <w:szCs w:val="24"/>
        </w:rPr>
        <w:t xml:space="preserve"> employer;</w:t>
      </w:r>
    </w:p>
    <w:p w14:paraId="4CE18522" w14:textId="77777777" w:rsidR="00676391" w:rsidRPr="006D71A2" w:rsidRDefault="00676391" w:rsidP="00676391">
      <w:pPr>
        <w:numPr>
          <w:ilvl w:val="0"/>
          <w:numId w:val="2"/>
        </w:numPr>
        <w:rPr>
          <w:rFonts w:ascii="Arial" w:hAnsi="Arial" w:cs="Arial"/>
          <w:sz w:val="24"/>
          <w:szCs w:val="24"/>
        </w:rPr>
      </w:pPr>
      <w:r w:rsidRPr="006D71A2">
        <w:rPr>
          <w:rFonts w:ascii="Arial" w:hAnsi="Arial" w:cs="Arial"/>
          <w:sz w:val="24"/>
          <w:szCs w:val="24"/>
        </w:rPr>
        <w:t xml:space="preserve">proof of loss of work hours </w:t>
      </w:r>
      <w:r>
        <w:rPr>
          <w:rFonts w:ascii="Arial" w:hAnsi="Arial" w:cs="Arial"/>
          <w:sz w:val="24"/>
          <w:szCs w:val="24"/>
        </w:rPr>
        <w:t>(</w:t>
      </w:r>
      <w:r w:rsidRPr="006D71A2">
        <w:rPr>
          <w:rFonts w:ascii="Arial" w:hAnsi="Arial" w:cs="Arial"/>
          <w:sz w:val="24"/>
          <w:szCs w:val="24"/>
        </w:rPr>
        <w:t>such as rosters showing a reduction in hours</w:t>
      </w:r>
      <w:r>
        <w:rPr>
          <w:rFonts w:ascii="Arial" w:hAnsi="Arial" w:cs="Arial"/>
          <w:sz w:val="24"/>
          <w:szCs w:val="24"/>
        </w:rPr>
        <w:t>)</w:t>
      </w:r>
      <w:r w:rsidRPr="006D71A2">
        <w:rPr>
          <w:rFonts w:ascii="Arial" w:hAnsi="Arial" w:cs="Arial"/>
          <w:sz w:val="24"/>
          <w:szCs w:val="24"/>
        </w:rPr>
        <w:t>;</w:t>
      </w:r>
    </w:p>
    <w:p w14:paraId="02BD594C" w14:textId="77777777" w:rsidR="00676391" w:rsidRDefault="00676391" w:rsidP="00676391">
      <w:pPr>
        <w:numPr>
          <w:ilvl w:val="0"/>
          <w:numId w:val="2"/>
        </w:numPr>
        <w:rPr>
          <w:rFonts w:ascii="Arial" w:hAnsi="Arial" w:cs="Arial"/>
          <w:sz w:val="24"/>
          <w:szCs w:val="24"/>
        </w:rPr>
      </w:pPr>
      <w:r w:rsidRPr="006D71A2">
        <w:rPr>
          <w:rFonts w:ascii="Arial" w:hAnsi="Arial" w:cs="Arial"/>
          <w:sz w:val="24"/>
          <w:szCs w:val="24"/>
        </w:rPr>
        <w:t>proof of prior income</w:t>
      </w:r>
      <w:r>
        <w:rPr>
          <w:rFonts w:ascii="Arial" w:hAnsi="Arial" w:cs="Arial"/>
          <w:sz w:val="24"/>
          <w:szCs w:val="24"/>
        </w:rPr>
        <w:t>; or</w:t>
      </w:r>
    </w:p>
    <w:p w14:paraId="35177A53" w14:textId="77777777" w:rsidR="00676391" w:rsidRPr="006D71A2" w:rsidRDefault="00676391" w:rsidP="00676391">
      <w:pPr>
        <w:numPr>
          <w:ilvl w:val="0"/>
          <w:numId w:val="2"/>
        </w:numPr>
        <w:rPr>
          <w:rFonts w:ascii="Arial" w:hAnsi="Arial" w:cs="Arial"/>
          <w:sz w:val="24"/>
          <w:szCs w:val="24"/>
        </w:rPr>
      </w:pPr>
      <w:r>
        <w:rPr>
          <w:rFonts w:ascii="Arial" w:hAnsi="Arial" w:cs="Arial"/>
          <w:sz w:val="24"/>
          <w:szCs w:val="24"/>
        </w:rPr>
        <w:t>a statutory declaration</w:t>
      </w:r>
      <w:r w:rsidRPr="006D71A2">
        <w:rPr>
          <w:rFonts w:ascii="Arial" w:hAnsi="Arial" w:cs="Arial"/>
          <w:sz w:val="24"/>
          <w:szCs w:val="24"/>
        </w:rPr>
        <w:t>.</w:t>
      </w:r>
    </w:p>
    <w:p w14:paraId="423C694A" w14:textId="2D9F5E61" w:rsidR="00AA3379" w:rsidRDefault="00AA3379" w:rsidP="00AA3379">
      <w:pPr>
        <w:pStyle w:val="Heading3"/>
      </w:pPr>
      <w:r w:rsidRPr="00ED3B77">
        <w:t>Clause</w:t>
      </w:r>
      <w:r>
        <w:t xml:space="preserve"> 9</w:t>
      </w:r>
      <w:r w:rsidRPr="00ED3B77">
        <w:tab/>
      </w:r>
      <w:r w:rsidRPr="00AA3379">
        <w:t>No termination etc in relation to moratorium arrears in transitional period</w:t>
      </w:r>
    </w:p>
    <w:p w14:paraId="24014744" w14:textId="153C28C3" w:rsidR="00292CD6" w:rsidRDefault="00AA3379" w:rsidP="00AA3379">
      <w:pPr>
        <w:pStyle w:val="Heading3"/>
        <w:rPr>
          <w:b w:val="0"/>
          <w:bCs/>
        </w:rPr>
      </w:pPr>
      <w:r w:rsidRPr="00AE0F8B">
        <w:rPr>
          <w:rFonts w:cs="Arial"/>
          <w:b w:val="0"/>
          <w:bCs/>
        </w:rPr>
        <w:t>Th</w:t>
      </w:r>
      <w:r w:rsidR="00AE0F8B" w:rsidRPr="00AE0F8B">
        <w:rPr>
          <w:rFonts w:cs="Arial"/>
          <w:b w:val="0"/>
          <w:bCs/>
        </w:rPr>
        <w:t>i</w:t>
      </w:r>
      <w:r w:rsidRPr="00AE0F8B">
        <w:rPr>
          <w:rFonts w:cs="Arial"/>
          <w:b w:val="0"/>
          <w:bCs/>
        </w:rPr>
        <w:t xml:space="preserve">s clause </w:t>
      </w:r>
      <w:r w:rsidR="00AE0F8B" w:rsidRPr="00AE0F8B">
        <w:rPr>
          <w:rFonts w:cs="Arial"/>
          <w:b w:val="0"/>
          <w:bCs/>
        </w:rPr>
        <w:t>implements</w:t>
      </w:r>
      <w:r w:rsidRPr="00AE0F8B">
        <w:rPr>
          <w:rFonts w:cs="Arial"/>
          <w:b w:val="0"/>
          <w:bCs/>
        </w:rPr>
        <w:t xml:space="preserve"> </w:t>
      </w:r>
      <w:r w:rsidR="00AE0F8B" w:rsidRPr="00AE0F8B">
        <w:rPr>
          <w:b w:val="0"/>
          <w:bCs/>
        </w:rPr>
        <w:t>a transitional period which commences at the end of the moratorium period</w:t>
      </w:r>
      <w:r w:rsidR="00AE0F8B">
        <w:rPr>
          <w:b w:val="0"/>
          <w:bCs/>
        </w:rPr>
        <w:t xml:space="preserve"> on 22 October 2020</w:t>
      </w:r>
      <w:r w:rsidR="00AE0F8B" w:rsidRPr="00AE0F8B">
        <w:rPr>
          <w:b w:val="0"/>
          <w:bCs/>
        </w:rPr>
        <w:t xml:space="preserve">. </w:t>
      </w:r>
      <w:r w:rsidR="00292CD6">
        <w:rPr>
          <w:b w:val="0"/>
          <w:bCs/>
        </w:rPr>
        <w:t>The transitional period will</w:t>
      </w:r>
      <w:r w:rsidR="00AE0F8B">
        <w:rPr>
          <w:b w:val="0"/>
          <w:bCs/>
        </w:rPr>
        <w:t xml:space="preserve"> </w:t>
      </w:r>
      <w:r w:rsidR="00292CD6" w:rsidRPr="00292CD6">
        <w:rPr>
          <w:b w:val="0"/>
          <w:bCs/>
        </w:rPr>
        <w:t>provide tenants who were COVID-19 impacted during the moratorium</w:t>
      </w:r>
      <w:r w:rsidR="00292CD6">
        <w:rPr>
          <w:b w:val="0"/>
          <w:bCs/>
        </w:rPr>
        <w:t xml:space="preserve"> period</w:t>
      </w:r>
      <w:r w:rsidR="00292CD6" w:rsidRPr="00292CD6">
        <w:rPr>
          <w:b w:val="0"/>
          <w:bCs/>
        </w:rPr>
        <w:t xml:space="preserve"> with a longer timeframe to work towards clearing any rental debt before they could face eviction on the basis of arrears that accrued </w:t>
      </w:r>
      <w:r w:rsidR="00292CD6">
        <w:rPr>
          <w:b w:val="0"/>
          <w:bCs/>
        </w:rPr>
        <w:t xml:space="preserve">before or </w:t>
      </w:r>
      <w:r w:rsidR="00292CD6" w:rsidRPr="00292CD6">
        <w:rPr>
          <w:b w:val="0"/>
          <w:bCs/>
        </w:rPr>
        <w:t>during the moratorium</w:t>
      </w:r>
      <w:r w:rsidR="00292CD6">
        <w:rPr>
          <w:b w:val="0"/>
          <w:bCs/>
        </w:rPr>
        <w:t xml:space="preserve"> period. This will provide</w:t>
      </w:r>
      <w:r w:rsidR="00292CD6" w:rsidRPr="00292CD6">
        <w:rPr>
          <w:b w:val="0"/>
          <w:bCs/>
        </w:rPr>
        <w:t xml:space="preserve"> tenants with more time to recover financially and allow them to enter into a payment plan with their </w:t>
      </w:r>
      <w:r w:rsidR="002D54C9">
        <w:rPr>
          <w:b w:val="0"/>
          <w:bCs/>
        </w:rPr>
        <w:t>lessor</w:t>
      </w:r>
      <w:r w:rsidR="00292CD6" w:rsidRPr="00292CD6">
        <w:rPr>
          <w:b w:val="0"/>
          <w:bCs/>
        </w:rPr>
        <w:t>s.</w:t>
      </w:r>
    </w:p>
    <w:p w14:paraId="22A0210A" w14:textId="67392304" w:rsidR="00AA3379" w:rsidRDefault="00AC4192" w:rsidP="00AA3379">
      <w:pPr>
        <w:pStyle w:val="Heading3"/>
        <w:rPr>
          <w:b w:val="0"/>
          <w:bCs/>
        </w:rPr>
      </w:pPr>
      <w:r>
        <w:rPr>
          <w:b w:val="0"/>
          <w:bCs/>
        </w:rPr>
        <w:t>A tenant will only be protected from being evicted for rental arrears if the</w:t>
      </w:r>
      <w:r w:rsidR="00B92555" w:rsidRPr="00B92555">
        <w:rPr>
          <w:b w:val="0"/>
          <w:bCs/>
        </w:rPr>
        <w:t xml:space="preserve"> tenant</w:t>
      </w:r>
      <w:r>
        <w:rPr>
          <w:b w:val="0"/>
          <w:bCs/>
        </w:rPr>
        <w:t xml:space="preserve"> pays their</w:t>
      </w:r>
      <w:r w:rsidR="00B92555" w:rsidRPr="00B92555">
        <w:rPr>
          <w:b w:val="0"/>
          <w:bCs/>
        </w:rPr>
        <w:t xml:space="preserve"> rent as it falls due each payment period during the transitional period</w:t>
      </w:r>
      <w:r w:rsidR="00B92555">
        <w:rPr>
          <w:b w:val="0"/>
          <w:bCs/>
        </w:rPr>
        <w:t>.</w:t>
      </w:r>
      <w:r>
        <w:rPr>
          <w:b w:val="0"/>
          <w:bCs/>
        </w:rPr>
        <w:t xml:space="preserve"> </w:t>
      </w:r>
      <w:r w:rsidRPr="00AC4192">
        <w:rPr>
          <w:b w:val="0"/>
          <w:bCs/>
        </w:rPr>
        <w:t>Where tenants are not able to meet rent payments as they fall due during the transitional period, the usual termination provisions in relation to rent arrears under the RTA</w:t>
      </w:r>
      <w:r>
        <w:rPr>
          <w:b w:val="0"/>
          <w:bCs/>
        </w:rPr>
        <w:t xml:space="preserve"> will</w:t>
      </w:r>
      <w:r w:rsidRPr="00AC4192">
        <w:rPr>
          <w:b w:val="0"/>
          <w:bCs/>
        </w:rPr>
        <w:t xml:space="preserve"> apply</w:t>
      </w:r>
      <w:r w:rsidR="00F31A83">
        <w:rPr>
          <w:b w:val="0"/>
          <w:bCs/>
        </w:rPr>
        <w:t xml:space="preserve"> to the arrears incurred during</w:t>
      </w:r>
      <w:r w:rsidR="008F14E7">
        <w:rPr>
          <w:b w:val="0"/>
          <w:bCs/>
        </w:rPr>
        <w:t xml:space="preserve"> both</w:t>
      </w:r>
      <w:r w:rsidR="00F31A83">
        <w:rPr>
          <w:b w:val="0"/>
          <w:bCs/>
        </w:rPr>
        <w:t xml:space="preserve"> the moratorium period and the transitional period</w:t>
      </w:r>
      <w:r w:rsidRPr="00AC4192">
        <w:rPr>
          <w:b w:val="0"/>
          <w:bCs/>
        </w:rPr>
        <w:t>.</w:t>
      </w:r>
    </w:p>
    <w:p w14:paraId="239FA8EE" w14:textId="5CDF2D39" w:rsidR="00B92555" w:rsidRDefault="00B92555" w:rsidP="00B92555">
      <w:pPr>
        <w:rPr>
          <w:rFonts w:ascii="Arial" w:hAnsi="Arial" w:cs="Arial"/>
          <w:sz w:val="24"/>
          <w:szCs w:val="24"/>
        </w:rPr>
      </w:pPr>
      <w:r>
        <w:rPr>
          <w:rFonts w:ascii="Arial" w:hAnsi="Arial" w:cs="Arial"/>
          <w:sz w:val="24"/>
          <w:szCs w:val="24"/>
        </w:rPr>
        <w:t>As set out in clause 7 above, ‘transitional period’ means the period beginning on 23 October 2020 and ending on 31 January 2021, or, if the period is extended under clause 14, at the end of the extended period.</w:t>
      </w:r>
    </w:p>
    <w:p w14:paraId="78D6C496" w14:textId="2395A258" w:rsidR="00F31A83" w:rsidRPr="00F31A83" w:rsidRDefault="00F31A83" w:rsidP="00B92555">
      <w:pPr>
        <w:rPr>
          <w:rFonts w:ascii="Arial" w:hAnsi="Arial" w:cs="Arial"/>
          <w:sz w:val="24"/>
          <w:szCs w:val="24"/>
        </w:rPr>
      </w:pPr>
      <w:r w:rsidRPr="00F31A83">
        <w:rPr>
          <w:rFonts w:ascii="Arial" w:hAnsi="Arial" w:cs="Arial"/>
          <w:sz w:val="24"/>
          <w:szCs w:val="24"/>
        </w:rPr>
        <w:t>The note to this clause explains that</w:t>
      </w:r>
      <w:r w:rsidR="00E125FC">
        <w:rPr>
          <w:rFonts w:ascii="Arial" w:hAnsi="Arial" w:cs="Arial"/>
          <w:sz w:val="24"/>
          <w:szCs w:val="24"/>
        </w:rPr>
        <w:t>,</w:t>
      </w:r>
      <w:r w:rsidRPr="00F31A83">
        <w:rPr>
          <w:rFonts w:ascii="Arial" w:hAnsi="Arial" w:cs="Arial"/>
          <w:sz w:val="24"/>
          <w:szCs w:val="24"/>
        </w:rPr>
        <w:t xml:space="preserve"> as set out in clause 11, ACAT must consider making a payment order for a tenant who was a member of an impacted household during the moratorium period as an alternative to making a termination and possession order.</w:t>
      </w:r>
      <w:r w:rsidR="00BA5012">
        <w:rPr>
          <w:rFonts w:ascii="Arial" w:hAnsi="Arial" w:cs="Arial"/>
          <w:sz w:val="24"/>
          <w:szCs w:val="24"/>
        </w:rPr>
        <w:t xml:space="preserve"> </w:t>
      </w:r>
      <w:r w:rsidR="00830F50">
        <w:rPr>
          <w:rFonts w:ascii="Arial" w:hAnsi="Arial" w:cs="Arial"/>
          <w:sz w:val="24"/>
          <w:szCs w:val="24"/>
        </w:rPr>
        <w:t xml:space="preserve">Even in circumstances where </w:t>
      </w:r>
      <w:r w:rsidR="00830F50" w:rsidRPr="00830F50">
        <w:rPr>
          <w:rFonts w:ascii="Arial" w:hAnsi="Arial" w:cs="Arial"/>
          <w:sz w:val="24"/>
          <w:szCs w:val="24"/>
        </w:rPr>
        <w:t xml:space="preserve">a tenant is unable to meet </w:t>
      </w:r>
      <w:r w:rsidR="001C3FD8">
        <w:rPr>
          <w:rFonts w:ascii="Arial" w:hAnsi="Arial" w:cs="Arial"/>
          <w:sz w:val="24"/>
          <w:szCs w:val="24"/>
        </w:rPr>
        <w:t xml:space="preserve">their </w:t>
      </w:r>
      <w:r w:rsidR="00830F50" w:rsidRPr="00830F50">
        <w:rPr>
          <w:rFonts w:ascii="Arial" w:hAnsi="Arial" w:cs="Arial"/>
          <w:sz w:val="24"/>
          <w:szCs w:val="24"/>
        </w:rPr>
        <w:t>rent payments as they fall due during the transitional period</w:t>
      </w:r>
      <w:r w:rsidR="001C3FD8">
        <w:rPr>
          <w:rFonts w:ascii="Arial" w:hAnsi="Arial" w:cs="Arial"/>
          <w:sz w:val="24"/>
          <w:szCs w:val="24"/>
        </w:rPr>
        <w:t xml:space="preserve">, </w:t>
      </w:r>
      <w:r w:rsidR="00CC69C0">
        <w:rPr>
          <w:rFonts w:ascii="Arial" w:hAnsi="Arial" w:cs="Arial"/>
          <w:sz w:val="24"/>
          <w:szCs w:val="24"/>
        </w:rPr>
        <w:t>the measure (as set out in cla</w:t>
      </w:r>
      <w:r w:rsidR="007908B3">
        <w:rPr>
          <w:rFonts w:ascii="Arial" w:hAnsi="Arial" w:cs="Arial"/>
          <w:sz w:val="24"/>
          <w:szCs w:val="24"/>
        </w:rPr>
        <w:t>use</w:t>
      </w:r>
      <w:r w:rsidR="00CC69C0">
        <w:rPr>
          <w:rFonts w:ascii="Arial" w:hAnsi="Arial" w:cs="Arial"/>
          <w:sz w:val="24"/>
          <w:szCs w:val="24"/>
        </w:rPr>
        <w:t xml:space="preserve"> 11)</w:t>
      </w:r>
      <w:r w:rsidR="001C3FD8">
        <w:rPr>
          <w:rFonts w:ascii="Arial" w:hAnsi="Arial" w:cs="Arial"/>
          <w:sz w:val="24"/>
          <w:szCs w:val="24"/>
        </w:rPr>
        <w:t xml:space="preserve"> </w:t>
      </w:r>
      <w:r w:rsidR="00436C78">
        <w:rPr>
          <w:rFonts w:ascii="Arial" w:hAnsi="Arial" w:cs="Arial"/>
          <w:sz w:val="24"/>
          <w:szCs w:val="24"/>
        </w:rPr>
        <w:t>may assist in</w:t>
      </w:r>
      <w:r w:rsidR="00CC69C0">
        <w:rPr>
          <w:rFonts w:ascii="Arial" w:hAnsi="Arial" w:cs="Arial"/>
          <w:sz w:val="24"/>
          <w:szCs w:val="24"/>
        </w:rPr>
        <w:t xml:space="preserve"> prevent</w:t>
      </w:r>
      <w:r w:rsidR="00436C78">
        <w:rPr>
          <w:rFonts w:ascii="Arial" w:hAnsi="Arial" w:cs="Arial"/>
          <w:sz w:val="24"/>
          <w:szCs w:val="24"/>
        </w:rPr>
        <w:t>ing</w:t>
      </w:r>
      <w:r w:rsidR="00CC69C0">
        <w:rPr>
          <w:rFonts w:ascii="Arial" w:hAnsi="Arial" w:cs="Arial"/>
          <w:sz w:val="24"/>
          <w:szCs w:val="24"/>
        </w:rPr>
        <w:t xml:space="preserve"> sustainable residential tenancies from being terminated</w:t>
      </w:r>
      <w:r w:rsidR="005F1403">
        <w:rPr>
          <w:rFonts w:ascii="Arial" w:hAnsi="Arial" w:cs="Arial"/>
          <w:sz w:val="24"/>
          <w:szCs w:val="24"/>
        </w:rPr>
        <w:t xml:space="preserve">. </w:t>
      </w:r>
      <w:r w:rsidR="00CC69C0">
        <w:rPr>
          <w:rFonts w:ascii="Arial" w:hAnsi="Arial" w:cs="Arial"/>
          <w:sz w:val="24"/>
          <w:szCs w:val="24"/>
        </w:rPr>
        <w:t>This measure will allow</w:t>
      </w:r>
      <w:r w:rsidR="00CC69C0" w:rsidRPr="00CC69C0">
        <w:rPr>
          <w:rFonts w:ascii="Arial" w:hAnsi="Arial" w:cs="Arial"/>
          <w:sz w:val="24"/>
          <w:szCs w:val="24"/>
        </w:rPr>
        <w:t xml:space="preserve"> tenants </w:t>
      </w:r>
      <w:r w:rsidR="00CC69C0">
        <w:rPr>
          <w:rFonts w:ascii="Arial" w:hAnsi="Arial" w:cs="Arial"/>
          <w:sz w:val="24"/>
          <w:szCs w:val="24"/>
        </w:rPr>
        <w:t>to</w:t>
      </w:r>
      <w:r w:rsidR="00CC69C0" w:rsidRPr="00CC69C0">
        <w:rPr>
          <w:rFonts w:ascii="Arial" w:hAnsi="Arial" w:cs="Arial"/>
          <w:sz w:val="24"/>
          <w:szCs w:val="24"/>
        </w:rPr>
        <w:t xml:space="preserve"> remain in their homes during a period of considerable </w:t>
      </w:r>
      <w:r w:rsidR="00CC69C0">
        <w:rPr>
          <w:rFonts w:ascii="Arial" w:hAnsi="Arial" w:cs="Arial"/>
          <w:sz w:val="24"/>
          <w:szCs w:val="24"/>
        </w:rPr>
        <w:t xml:space="preserve">financial </w:t>
      </w:r>
      <w:r w:rsidR="00CC69C0" w:rsidRPr="00CC69C0">
        <w:rPr>
          <w:rFonts w:ascii="Arial" w:hAnsi="Arial" w:cs="Arial"/>
          <w:sz w:val="24"/>
          <w:szCs w:val="24"/>
        </w:rPr>
        <w:t xml:space="preserve">stress </w:t>
      </w:r>
      <w:r w:rsidR="00CC69C0">
        <w:rPr>
          <w:rFonts w:ascii="Arial" w:hAnsi="Arial" w:cs="Arial"/>
          <w:sz w:val="24"/>
          <w:szCs w:val="24"/>
        </w:rPr>
        <w:t xml:space="preserve">and provided tenants with more </w:t>
      </w:r>
      <w:r w:rsidR="005F1403">
        <w:rPr>
          <w:rFonts w:ascii="Arial" w:hAnsi="Arial" w:cs="Arial"/>
          <w:sz w:val="24"/>
          <w:szCs w:val="24"/>
        </w:rPr>
        <w:t>time to pay their rental debts</w:t>
      </w:r>
      <w:r w:rsidR="00CC69C0">
        <w:rPr>
          <w:rFonts w:ascii="Arial" w:hAnsi="Arial" w:cs="Arial"/>
          <w:sz w:val="24"/>
          <w:szCs w:val="24"/>
        </w:rPr>
        <w:t xml:space="preserve">. </w:t>
      </w:r>
    </w:p>
    <w:p w14:paraId="4B0F5FF3" w14:textId="7BA95C7F" w:rsidR="00AA3379" w:rsidRDefault="00AA3379" w:rsidP="00AA3379">
      <w:pPr>
        <w:pStyle w:val="Heading3"/>
      </w:pPr>
      <w:r w:rsidRPr="00ED3B77">
        <w:t>Clause</w:t>
      </w:r>
      <w:r>
        <w:t xml:space="preserve"> 10</w:t>
      </w:r>
      <w:r w:rsidRPr="00ED3B77">
        <w:tab/>
      </w:r>
      <w:r>
        <w:t>Reconsideration of orders etc for failure to pay rent</w:t>
      </w:r>
    </w:p>
    <w:p w14:paraId="0EC649F0" w14:textId="43673158" w:rsidR="00B86788" w:rsidRDefault="00B86788" w:rsidP="00B86788">
      <w:pPr>
        <w:rPr>
          <w:rFonts w:ascii="Arial" w:hAnsi="Arial" w:cs="Arial"/>
          <w:sz w:val="24"/>
          <w:szCs w:val="24"/>
        </w:rPr>
      </w:pPr>
      <w:r w:rsidRPr="009D713A">
        <w:rPr>
          <w:rFonts w:ascii="Arial" w:hAnsi="Arial" w:cs="Arial"/>
          <w:sz w:val="24"/>
          <w:szCs w:val="24"/>
        </w:rPr>
        <w:t xml:space="preserve">This </w:t>
      </w:r>
      <w:r>
        <w:rPr>
          <w:rFonts w:ascii="Arial" w:hAnsi="Arial" w:cs="Arial"/>
          <w:sz w:val="24"/>
          <w:szCs w:val="24"/>
        </w:rPr>
        <w:t>clause</w:t>
      </w:r>
      <w:r w:rsidRPr="009D713A">
        <w:rPr>
          <w:rFonts w:ascii="Arial" w:hAnsi="Arial" w:cs="Arial"/>
          <w:sz w:val="24"/>
          <w:szCs w:val="24"/>
        </w:rPr>
        <w:t xml:space="preserve"> </w:t>
      </w:r>
      <w:r>
        <w:rPr>
          <w:rFonts w:ascii="Arial" w:hAnsi="Arial" w:cs="Arial"/>
          <w:sz w:val="24"/>
          <w:szCs w:val="24"/>
        </w:rPr>
        <w:t xml:space="preserve">applies if before the </w:t>
      </w:r>
      <w:r w:rsidRPr="00B86788">
        <w:rPr>
          <w:rFonts w:ascii="Arial" w:hAnsi="Arial" w:cs="Arial"/>
          <w:i/>
          <w:iCs/>
          <w:sz w:val="24"/>
          <w:szCs w:val="24"/>
        </w:rPr>
        <w:t xml:space="preserve">Residential Tenancies (COVID-19 Emergency Response) Declaration 2020 </w:t>
      </w:r>
      <w:r>
        <w:rPr>
          <w:rFonts w:ascii="Arial" w:hAnsi="Arial" w:cs="Arial"/>
          <w:sz w:val="24"/>
          <w:szCs w:val="24"/>
        </w:rPr>
        <w:t xml:space="preserve">or the </w:t>
      </w:r>
      <w:r w:rsidRPr="00B86788">
        <w:rPr>
          <w:rFonts w:ascii="Arial" w:hAnsi="Arial" w:cs="Arial"/>
          <w:i/>
          <w:iCs/>
          <w:sz w:val="24"/>
          <w:szCs w:val="24"/>
        </w:rPr>
        <w:t xml:space="preserve">Residential Tenancies (COVID-19 Emergency Response) Declaration 2020 (No </w:t>
      </w:r>
      <w:r>
        <w:rPr>
          <w:rFonts w:ascii="Arial" w:hAnsi="Arial" w:cs="Arial"/>
          <w:i/>
          <w:iCs/>
          <w:sz w:val="24"/>
          <w:szCs w:val="24"/>
        </w:rPr>
        <w:t>2</w:t>
      </w:r>
      <w:r w:rsidRPr="00B86788">
        <w:rPr>
          <w:rFonts w:ascii="Arial" w:hAnsi="Arial" w:cs="Arial"/>
          <w:i/>
          <w:iCs/>
          <w:sz w:val="24"/>
          <w:szCs w:val="24"/>
        </w:rPr>
        <w:t>)</w:t>
      </w:r>
      <w:r>
        <w:rPr>
          <w:rFonts w:ascii="Arial" w:hAnsi="Arial" w:cs="Arial"/>
          <w:sz w:val="24"/>
          <w:szCs w:val="24"/>
        </w:rPr>
        <w:t xml:space="preserve"> (a previous declaration) commenced, the ACAT made</w:t>
      </w:r>
      <w:r w:rsidRPr="00075A93">
        <w:rPr>
          <w:rFonts w:ascii="Arial" w:hAnsi="Arial" w:cs="Arial"/>
          <w:sz w:val="24"/>
          <w:szCs w:val="24"/>
        </w:rPr>
        <w:t xml:space="preserve"> </w:t>
      </w:r>
      <w:r w:rsidR="00A71B21">
        <w:rPr>
          <w:rFonts w:ascii="Arial" w:hAnsi="Arial" w:cs="Arial"/>
          <w:sz w:val="24"/>
          <w:szCs w:val="24"/>
        </w:rPr>
        <w:t>an</w:t>
      </w:r>
      <w:r w:rsidR="00A71B21" w:rsidRPr="00A71B21">
        <w:rPr>
          <w:rFonts w:ascii="Arial" w:hAnsi="Arial" w:cs="Arial"/>
          <w:sz w:val="24"/>
          <w:szCs w:val="24"/>
        </w:rPr>
        <w:t xml:space="preserve"> order </w:t>
      </w:r>
      <w:r w:rsidR="00A71B21">
        <w:rPr>
          <w:rFonts w:ascii="Arial" w:hAnsi="Arial" w:cs="Arial"/>
          <w:sz w:val="24"/>
          <w:szCs w:val="24"/>
        </w:rPr>
        <w:t xml:space="preserve">(the pre-moratorium order) </w:t>
      </w:r>
      <w:r w:rsidRPr="00075A93">
        <w:rPr>
          <w:rFonts w:ascii="Arial" w:hAnsi="Arial" w:cs="Arial"/>
          <w:sz w:val="24"/>
          <w:szCs w:val="24"/>
        </w:rPr>
        <w:t xml:space="preserve">in relation to a tenant’s failure to pay rent for premises under a residential tenancy agreement </w:t>
      </w:r>
      <w:r>
        <w:rPr>
          <w:rFonts w:ascii="Arial" w:hAnsi="Arial" w:cs="Arial"/>
          <w:sz w:val="24"/>
          <w:szCs w:val="24"/>
        </w:rPr>
        <w:t xml:space="preserve">but then suspended that order under a previous declaration. </w:t>
      </w:r>
    </w:p>
    <w:p w14:paraId="7E4F202B" w14:textId="0DC05295" w:rsidR="00B86788" w:rsidRPr="0060214E" w:rsidRDefault="00B86788" w:rsidP="00B86788">
      <w:r>
        <w:rPr>
          <w:rFonts w:ascii="Arial" w:hAnsi="Arial" w:cs="Arial"/>
          <w:sz w:val="24"/>
          <w:szCs w:val="24"/>
        </w:rPr>
        <w:lastRenderedPageBreak/>
        <w:t xml:space="preserve">This clause allows </w:t>
      </w:r>
      <w:r w:rsidR="00A71B21">
        <w:rPr>
          <w:rFonts w:ascii="Arial" w:hAnsi="Arial" w:cs="Arial"/>
          <w:sz w:val="24"/>
          <w:szCs w:val="24"/>
        </w:rPr>
        <w:t xml:space="preserve">a tenant to apply to </w:t>
      </w:r>
      <w:r>
        <w:rPr>
          <w:rFonts w:ascii="Arial" w:hAnsi="Arial" w:cs="Arial"/>
          <w:sz w:val="24"/>
          <w:szCs w:val="24"/>
        </w:rPr>
        <w:t xml:space="preserve">ACAT to </w:t>
      </w:r>
      <w:r w:rsidR="00A71B21">
        <w:rPr>
          <w:rFonts w:ascii="Arial" w:hAnsi="Arial" w:cs="Arial"/>
          <w:sz w:val="24"/>
          <w:szCs w:val="24"/>
        </w:rPr>
        <w:t>vary or set aside the pre-moratorium order. ACAT may vary or set aside the pre-moratorium order if it is satisfied that</w:t>
      </w:r>
      <w:r w:rsidR="00721ED1">
        <w:rPr>
          <w:rFonts w:ascii="Arial" w:hAnsi="Arial" w:cs="Arial"/>
          <w:sz w:val="24"/>
          <w:szCs w:val="24"/>
        </w:rPr>
        <w:t>,</w:t>
      </w:r>
      <w:r w:rsidR="00A71B21">
        <w:rPr>
          <w:rFonts w:ascii="Arial" w:hAnsi="Arial" w:cs="Arial"/>
          <w:sz w:val="24"/>
          <w:szCs w:val="24"/>
        </w:rPr>
        <w:t xml:space="preserve"> since the order was made, </w:t>
      </w:r>
      <w:r w:rsidR="00203054">
        <w:rPr>
          <w:rFonts w:ascii="Arial" w:hAnsi="Arial" w:cs="Arial"/>
          <w:sz w:val="24"/>
          <w:szCs w:val="24"/>
        </w:rPr>
        <w:t xml:space="preserve">the tenant has paid part or all of the rent arrears </w:t>
      </w:r>
      <w:r w:rsidR="0060214E">
        <w:rPr>
          <w:rFonts w:ascii="Arial" w:hAnsi="Arial" w:cs="Arial"/>
          <w:sz w:val="24"/>
          <w:szCs w:val="24"/>
        </w:rPr>
        <w:t>(</w:t>
      </w:r>
      <w:r w:rsidR="00203054">
        <w:rPr>
          <w:rFonts w:ascii="Arial" w:hAnsi="Arial" w:cs="Arial"/>
          <w:sz w:val="24"/>
          <w:szCs w:val="24"/>
        </w:rPr>
        <w:t>or the tenant can otherwise demonstrate that their financial circumstances have improved</w:t>
      </w:r>
      <w:r w:rsidR="0060214E">
        <w:rPr>
          <w:rFonts w:ascii="Arial" w:hAnsi="Arial" w:cs="Arial"/>
          <w:sz w:val="24"/>
          <w:szCs w:val="24"/>
        </w:rPr>
        <w:t>)</w:t>
      </w:r>
      <w:r w:rsidR="00203054">
        <w:rPr>
          <w:rFonts w:ascii="Arial" w:hAnsi="Arial" w:cs="Arial"/>
          <w:sz w:val="24"/>
          <w:szCs w:val="24"/>
        </w:rPr>
        <w:t xml:space="preserve"> and </w:t>
      </w:r>
      <w:r w:rsidR="0060214E">
        <w:rPr>
          <w:rFonts w:ascii="Arial" w:hAnsi="Arial" w:cs="Arial"/>
          <w:sz w:val="24"/>
          <w:szCs w:val="24"/>
        </w:rPr>
        <w:t>the tenant is</w:t>
      </w:r>
      <w:r w:rsidR="00203054" w:rsidRPr="00203054">
        <w:rPr>
          <w:rFonts w:ascii="Arial" w:hAnsi="Arial" w:cs="Arial"/>
          <w:sz w:val="24"/>
          <w:szCs w:val="24"/>
        </w:rPr>
        <w:t xml:space="preserve"> reasonably likely to pay future rent as it becomes payable</w:t>
      </w:r>
      <w:r w:rsidR="00203054">
        <w:rPr>
          <w:rFonts w:ascii="Arial" w:hAnsi="Arial" w:cs="Arial"/>
          <w:sz w:val="24"/>
          <w:szCs w:val="24"/>
        </w:rPr>
        <w:t>.</w:t>
      </w:r>
    </w:p>
    <w:p w14:paraId="4AE311F9" w14:textId="649DF9FE" w:rsidR="00B86788" w:rsidRPr="009D713A" w:rsidRDefault="0060214E" w:rsidP="00B86788">
      <w:pPr>
        <w:rPr>
          <w:rFonts w:ascii="Arial" w:hAnsi="Arial" w:cs="Arial"/>
          <w:sz w:val="24"/>
          <w:szCs w:val="24"/>
        </w:rPr>
      </w:pPr>
      <w:r>
        <w:rPr>
          <w:rFonts w:ascii="Arial" w:hAnsi="Arial" w:cs="Arial"/>
          <w:sz w:val="24"/>
          <w:szCs w:val="24"/>
        </w:rPr>
        <w:t xml:space="preserve">In this clause, ‘previous declaration’ means the </w:t>
      </w:r>
      <w:r w:rsidRPr="00B86788">
        <w:rPr>
          <w:rFonts w:ascii="Arial" w:hAnsi="Arial" w:cs="Arial"/>
          <w:i/>
          <w:iCs/>
          <w:sz w:val="24"/>
          <w:szCs w:val="24"/>
        </w:rPr>
        <w:t xml:space="preserve">Residential Tenancies (COVID-19 Emergency Response) Declaration 2020 </w:t>
      </w:r>
      <w:r>
        <w:rPr>
          <w:rFonts w:ascii="Arial" w:hAnsi="Arial" w:cs="Arial"/>
          <w:sz w:val="24"/>
          <w:szCs w:val="24"/>
        </w:rPr>
        <w:t xml:space="preserve">or the </w:t>
      </w:r>
      <w:r w:rsidRPr="00B86788">
        <w:rPr>
          <w:rFonts w:ascii="Arial" w:hAnsi="Arial" w:cs="Arial"/>
          <w:i/>
          <w:iCs/>
          <w:sz w:val="24"/>
          <w:szCs w:val="24"/>
        </w:rPr>
        <w:t xml:space="preserve">Residential Tenancies (COVID-19 Emergency Response) Declaration 2020 (No </w:t>
      </w:r>
      <w:r>
        <w:rPr>
          <w:rFonts w:ascii="Arial" w:hAnsi="Arial" w:cs="Arial"/>
          <w:i/>
          <w:iCs/>
          <w:sz w:val="24"/>
          <w:szCs w:val="24"/>
        </w:rPr>
        <w:t>2</w:t>
      </w:r>
      <w:r w:rsidRPr="00B86788">
        <w:rPr>
          <w:rFonts w:ascii="Arial" w:hAnsi="Arial" w:cs="Arial"/>
          <w:i/>
          <w:iCs/>
          <w:sz w:val="24"/>
          <w:szCs w:val="24"/>
        </w:rPr>
        <w:t>)</w:t>
      </w:r>
      <w:r>
        <w:rPr>
          <w:rFonts w:ascii="Arial" w:hAnsi="Arial" w:cs="Arial"/>
          <w:sz w:val="24"/>
          <w:szCs w:val="24"/>
        </w:rPr>
        <w:t>.</w:t>
      </w:r>
      <w:r>
        <w:rPr>
          <w:rFonts w:ascii="Arial" w:hAnsi="Arial" w:cs="Arial"/>
          <w:sz w:val="24"/>
          <w:szCs w:val="24"/>
        </w:rPr>
        <w:br/>
      </w:r>
      <w:r>
        <w:rPr>
          <w:rFonts w:ascii="Arial" w:hAnsi="Arial" w:cs="Arial"/>
          <w:sz w:val="24"/>
          <w:szCs w:val="24"/>
        </w:rPr>
        <w:br/>
      </w:r>
      <w:r w:rsidR="00B86788">
        <w:rPr>
          <w:rFonts w:ascii="Arial" w:hAnsi="Arial" w:cs="Arial"/>
          <w:sz w:val="24"/>
          <w:szCs w:val="24"/>
        </w:rPr>
        <w:t>The clause clarifies that an ‘order’ in relation to a tenant’s failure to pay rent means: a termination and possession order under section 49 of the RTA, or an order under section 49C of the RTA (hearing of application</w:t>
      </w:r>
      <w:r w:rsidR="00B86788" w:rsidRPr="004B35FF">
        <w:rPr>
          <w:rFonts w:ascii="Arial" w:hAnsi="Arial" w:cs="Arial"/>
          <w:sz w:val="24"/>
          <w:szCs w:val="24"/>
        </w:rPr>
        <w:t>—</w:t>
      </w:r>
      <w:r w:rsidR="00B86788">
        <w:rPr>
          <w:rFonts w:ascii="Arial" w:hAnsi="Arial" w:cs="Arial"/>
          <w:sz w:val="24"/>
          <w:szCs w:val="24"/>
        </w:rPr>
        <w:t>failure to comply with payment order), or a warrant under section 41 of the RTA. It further clarifies that ‘suspend’, for a warrant under section 41, means stay.</w:t>
      </w:r>
    </w:p>
    <w:p w14:paraId="1B58C880" w14:textId="52EADA6C" w:rsidR="00AA3379" w:rsidRDefault="00AA3379" w:rsidP="00AA3379">
      <w:pPr>
        <w:pStyle w:val="Heading3"/>
      </w:pPr>
      <w:r w:rsidRPr="00ED3B77">
        <w:t>Clause</w:t>
      </w:r>
      <w:r>
        <w:t xml:space="preserve"> 11</w:t>
      </w:r>
      <w:r w:rsidRPr="00ED3B77">
        <w:tab/>
      </w:r>
      <w:r>
        <w:t>Modification of Act, s 49 – payment orders for COVID-19 impacted households</w:t>
      </w:r>
    </w:p>
    <w:p w14:paraId="21B0D3D8" w14:textId="765137E4" w:rsidR="00953BF9" w:rsidRDefault="00953BF9" w:rsidP="00953BF9">
      <w:pPr>
        <w:pStyle w:val="Heading3"/>
        <w:rPr>
          <w:b w:val="0"/>
          <w:bCs/>
          <w:lang w:val="en-US"/>
        </w:rPr>
      </w:pPr>
      <w:r>
        <w:rPr>
          <w:b w:val="0"/>
          <w:bCs/>
          <w:lang w:val="en-US"/>
        </w:rPr>
        <w:t xml:space="preserve">This clause </w:t>
      </w:r>
      <w:r w:rsidRPr="00953BF9">
        <w:rPr>
          <w:b w:val="0"/>
          <w:bCs/>
          <w:lang w:val="en-US"/>
        </w:rPr>
        <w:t>require</w:t>
      </w:r>
      <w:r>
        <w:rPr>
          <w:b w:val="0"/>
          <w:bCs/>
          <w:lang w:val="en-US"/>
        </w:rPr>
        <w:t>s</w:t>
      </w:r>
      <w:r w:rsidRPr="00953BF9">
        <w:rPr>
          <w:b w:val="0"/>
          <w:bCs/>
          <w:lang w:val="en-US"/>
        </w:rPr>
        <w:t xml:space="preserve"> ACAT to consider </w:t>
      </w:r>
      <w:r w:rsidR="00E549E0">
        <w:rPr>
          <w:b w:val="0"/>
          <w:bCs/>
          <w:lang w:val="en-US"/>
        </w:rPr>
        <w:t>making</w:t>
      </w:r>
      <w:r w:rsidRPr="00953BF9">
        <w:rPr>
          <w:b w:val="0"/>
          <w:bCs/>
          <w:lang w:val="en-US"/>
        </w:rPr>
        <w:t xml:space="preserve"> a payment order for </w:t>
      </w:r>
      <w:r w:rsidR="002E1846" w:rsidRPr="002E1846">
        <w:rPr>
          <w:b w:val="0"/>
          <w:bCs/>
          <w:lang w:val="en-US"/>
        </w:rPr>
        <w:t xml:space="preserve">a tenant who was a member of an impacted household during the moratorium period </w:t>
      </w:r>
      <w:r w:rsidRPr="00953BF9">
        <w:rPr>
          <w:b w:val="0"/>
          <w:bCs/>
          <w:lang w:val="en-US"/>
        </w:rPr>
        <w:t xml:space="preserve">as an alternative to </w:t>
      </w:r>
      <w:r w:rsidR="00E549E0">
        <w:rPr>
          <w:b w:val="0"/>
          <w:bCs/>
          <w:lang w:val="en-US"/>
        </w:rPr>
        <w:t xml:space="preserve">making </w:t>
      </w:r>
      <w:r w:rsidRPr="00953BF9">
        <w:rPr>
          <w:b w:val="0"/>
          <w:bCs/>
          <w:lang w:val="en-US"/>
        </w:rPr>
        <w:t>a termination and possession order.</w:t>
      </w:r>
      <w:r w:rsidR="002E1846">
        <w:rPr>
          <w:b w:val="0"/>
          <w:bCs/>
          <w:lang w:val="en-US"/>
        </w:rPr>
        <w:t xml:space="preserve"> This clause applies </w:t>
      </w:r>
      <w:r w:rsidR="00E549E0">
        <w:rPr>
          <w:b w:val="0"/>
          <w:bCs/>
          <w:lang w:val="en-US"/>
        </w:rPr>
        <w:t>in circumstances where a tenant is unable</w:t>
      </w:r>
      <w:r w:rsidR="00E549E0" w:rsidRPr="00E549E0">
        <w:rPr>
          <w:b w:val="0"/>
          <w:bCs/>
          <w:lang w:val="en-US"/>
        </w:rPr>
        <w:t xml:space="preserve"> to meet rent payments as they fall due during the transitional period</w:t>
      </w:r>
      <w:r w:rsidR="00E549E0">
        <w:rPr>
          <w:b w:val="0"/>
          <w:bCs/>
          <w:lang w:val="en-US"/>
        </w:rPr>
        <w:t xml:space="preserve"> and</w:t>
      </w:r>
      <w:r w:rsidR="003E1452">
        <w:rPr>
          <w:b w:val="0"/>
          <w:bCs/>
          <w:lang w:val="en-US"/>
        </w:rPr>
        <w:t xml:space="preserve"> a lessor has</w:t>
      </w:r>
      <w:r w:rsidR="002E1846" w:rsidRPr="002E1846">
        <w:rPr>
          <w:b w:val="0"/>
          <w:bCs/>
          <w:lang w:val="en-US"/>
        </w:rPr>
        <w:t xml:space="preserve"> applied to ACAT for a termination and possession</w:t>
      </w:r>
      <w:r w:rsidR="002E1846">
        <w:rPr>
          <w:b w:val="0"/>
          <w:bCs/>
          <w:lang w:val="en-US"/>
        </w:rPr>
        <w:t xml:space="preserve"> order.</w:t>
      </w:r>
    </w:p>
    <w:p w14:paraId="381084CE" w14:textId="1CCE3872" w:rsidR="00AA3379" w:rsidRPr="002E1846" w:rsidRDefault="002E1846" w:rsidP="002E1846">
      <w:pPr>
        <w:rPr>
          <w:rFonts w:ascii="Arial" w:hAnsi="Arial" w:cs="Arial"/>
          <w:sz w:val="24"/>
          <w:szCs w:val="24"/>
        </w:rPr>
      </w:pPr>
      <w:r w:rsidRPr="002E1846">
        <w:rPr>
          <w:rFonts w:ascii="Arial" w:hAnsi="Arial" w:cs="Arial"/>
          <w:sz w:val="24"/>
          <w:szCs w:val="24"/>
        </w:rPr>
        <w:t>Currently, under sections 49 to 49B of the RTA, although ACAT is able to consider a payment order as an alternative to a termination and possession order in circumstances where a tenant is in rent arrears, it is not essential that they do so.</w:t>
      </w:r>
      <w:r>
        <w:rPr>
          <w:rFonts w:ascii="Arial" w:hAnsi="Arial" w:cs="Arial"/>
          <w:sz w:val="24"/>
          <w:szCs w:val="24"/>
        </w:rPr>
        <w:t xml:space="preserve"> ACAT will still be able to exercise its discretion as to whether</w:t>
      </w:r>
      <w:r w:rsidR="00DB398C">
        <w:rPr>
          <w:rFonts w:ascii="Arial" w:hAnsi="Arial" w:cs="Arial"/>
          <w:sz w:val="24"/>
          <w:szCs w:val="24"/>
        </w:rPr>
        <w:t xml:space="preserve"> making the payment order is appropriate in the circumstances.</w:t>
      </w:r>
      <w:r w:rsidR="00953BF9" w:rsidRPr="00953BF9">
        <w:rPr>
          <w:b/>
          <w:bCs/>
          <w:lang w:val="en-US"/>
        </w:rPr>
        <w:t xml:space="preserve"> </w:t>
      </w:r>
      <w:r w:rsidR="00CC69C0">
        <w:rPr>
          <w:rFonts w:ascii="Arial" w:hAnsi="Arial" w:cs="Arial"/>
          <w:sz w:val="24"/>
          <w:szCs w:val="24"/>
        </w:rPr>
        <w:t xml:space="preserve">Even in circumstances where </w:t>
      </w:r>
      <w:r w:rsidR="00CC69C0" w:rsidRPr="00830F50">
        <w:rPr>
          <w:rFonts w:ascii="Arial" w:hAnsi="Arial" w:cs="Arial"/>
          <w:sz w:val="24"/>
          <w:szCs w:val="24"/>
        </w:rPr>
        <w:t xml:space="preserve">a tenant </w:t>
      </w:r>
      <w:r w:rsidR="007908B3">
        <w:rPr>
          <w:rFonts w:ascii="Arial" w:hAnsi="Arial" w:cs="Arial"/>
          <w:sz w:val="24"/>
          <w:szCs w:val="24"/>
        </w:rPr>
        <w:t>has been</w:t>
      </w:r>
      <w:r w:rsidR="00CC69C0" w:rsidRPr="00830F50">
        <w:rPr>
          <w:rFonts w:ascii="Arial" w:hAnsi="Arial" w:cs="Arial"/>
          <w:sz w:val="24"/>
          <w:szCs w:val="24"/>
        </w:rPr>
        <w:t xml:space="preserve"> unable to meet </w:t>
      </w:r>
      <w:r w:rsidR="00CC69C0">
        <w:rPr>
          <w:rFonts w:ascii="Arial" w:hAnsi="Arial" w:cs="Arial"/>
          <w:sz w:val="24"/>
          <w:szCs w:val="24"/>
        </w:rPr>
        <w:t xml:space="preserve">their </w:t>
      </w:r>
      <w:r w:rsidR="00CC69C0" w:rsidRPr="00830F50">
        <w:rPr>
          <w:rFonts w:ascii="Arial" w:hAnsi="Arial" w:cs="Arial"/>
          <w:sz w:val="24"/>
          <w:szCs w:val="24"/>
        </w:rPr>
        <w:t>rent payments as they f</w:t>
      </w:r>
      <w:r w:rsidR="007908B3">
        <w:rPr>
          <w:rFonts w:ascii="Arial" w:hAnsi="Arial" w:cs="Arial"/>
          <w:sz w:val="24"/>
          <w:szCs w:val="24"/>
        </w:rPr>
        <w:t>e</w:t>
      </w:r>
      <w:r w:rsidR="00CC69C0" w:rsidRPr="00830F50">
        <w:rPr>
          <w:rFonts w:ascii="Arial" w:hAnsi="Arial" w:cs="Arial"/>
          <w:sz w:val="24"/>
          <w:szCs w:val="24"/>
        </w:rPr>
        <w:t>ll due during the transitional period</w:t>
      </w:r>
      <w:r w:rsidR="00CC69C0">
        <w:rPr>
          <w:rFonts w:ascii="Arial" w:hAnsi="Arial" w:cs="Arial"/>
          <w:sz w:val="24"/>
          <w:szCs w:val="24"/>
        </w:rPr>
        <w:t xml:space="preserve">, the measure operates to </w:t>
      </w:r>
      <w:r w:rsidR="007908B3">
        <w:rPr>
          <w:rFonts w:ascii="Arial" w:hAnsi="Arial" w:cs="Arial"/>
          <w:sz w:val="24"/>
          <w:szCs w:val="24"/>
        </w:rPr>
        <w:t>provide that tenant with an further opportunity to save their tenancy</w:t>
      </w:r>
      <w:r w:rsidR="00CC69C0">
        <w:rPr>
          <w:rFonts w:ascii="Arial" w:hAnsi="Arial" w:cs="Arial"/>
          <w:sz w:val="24"/>
          <w:szCs w:val="24"/>
        </w:rPr>
        <w:t xml:space="preserve">. </w:t>
      </w:r>
      <w:r w:rsidR="007908B3">
        <w:rPr>
          <w:rFonts w:ascii="Arial" w:hAnsi="Arial" w:cs="Arial"/>
          <w:sz w:val="24"/>
          <w:szCs w:val="24"/>
        </w:rPr>
        <w:t>This is because a payment order allows the tenancy to continue where the tenant pays their rent and a specified amount towards any rental arrears in accordance with the ACAT order.</w:t>
      </w:r>
      <w:r w:rsidR="00CC69C0">
        <w:rPr>
          <w:rFonts w:ascii="Arial" w:hAnsi="Arial" w:cs="Arial"/>
          <w:sz w:val="24"/>
          <w:szCs w:val="24"/>
        </w:rPr>
        <w:t xml:space="preserve"> This measure will allow</w:t>
      </w:r>
      <w:r w:rsidR="00CC69C0" w:rsidRPr="00CC69C0">
        <w:rPr>
          <w:rFonts w:ascii="Arial" w:hAnsi="Arial" w:cs="Arial"/>
          <w:sz w:val="24"/>
          <w:szCs w:val="24"/>
        </w:rPr>
        <w:t xml:space="preserve"> tenants </w:t>
      </w:r>
      <w:r w:rsidR="00CC69C0">
        <w:rPr>
          <w:rFonts w:ascii="Arial" w:hAnsi="Arial" w:cs="Arial"/>
          <w:sz w:val="24"/>
          <w:szCs w:val="24"/>
        </w:rPr>
        <w:t>to</w:t>
      </w:r>
      <w:r w:rsidR="00CC69C0" w:rsidRPr="00CC69C0">
        <w:rPr>
          <w:rFonts w:ascii="Arial" w:hAnsi="Arial" w:cs="Arial"/>
          <w:sz w:val="24"/>
          <w:szCs w:val="24"/>
        </w:rPr>
        <w:t xml:space="preserve"> remain in their homes during a period of considerable </w:t>
      </w:r>
      <w:r w:rsidR="00CC69C0">
        <w:rPr>
          <w:rFonts w:ascii="Arial" w:hAnsi="Arial" w:cs="Arial"/>
          <w:sz w:val="24"/>
          <w:szCs w:val="24"/>
        </w:rPr>
        <w:t xml:space="preserve">financial </w:t>
      </w:r>
      <w:r w:rsidR="00CC69C0" w:rsidRPr="00CC69C0">
        <w:rPr>
          <w:rFonts w:ascii="Arial" w:hAnsi="Arial" w:cs="Arial"/>
          <w:sz w:val="24"/>
          <w:szCs w:val="24"/>
        </w:rPr>
        <w:t xml:space="preserve">stress </w:t>
      </w:r>
      <w:r w:rsidR="00CC69C0">
        <w:rPr>
          <w:rFonts w:ascii="Arial" w:hAnsi="Arial" w:cs="Arial"/>
          <w:sz w:val="24"/>
          <w:szCs w:val="24"/>
        </w:rPr>
        <w:t>and provide</w:t>
      </w:r>
      <w:r w:rsidR="007908B3">
        <w:rPr>
          <w:rFonts w:ascii="Arial" w:hAnsi="Arial" w:cs="Arial"/>
          <w:sz w:val="24"/>
          <w:szCs w:val="24"/>
        </w:rPr>
        <w:t>s</w:t>
      </w:r>
      <w:r w:rsidR="00CC69C0">
        <w:rPr>
          <w:rFonts w:ascii="Arial" w:hAnsi="Arial" w:cs="Arial"/>
          <w:sz w:val="24"/>
          <w:szCs w:val="24"/>
        </w:rPr>
        <w:t xml:space="preserve"> tenants with </w:t>
      </w:r>
      <w:r w:rsidR="007908B3">
        <w:rPr>
          <w:rFonts w:ascii="Arial" w:hAnsi="Arial" w:cs="Arial"/>
          <w:sz w:val="24"/>
          <w:szCs w:val="24"/>
        </w:rPr>
        <w:t>an additional opportunity</w:t>
      </w:r>
      <w:r w:rsidR="00CC69C0">
        <w:rPr>
          <w:rFonts w:ascii="Arial" w:hAnsi="Arial" w:cs="Arial"/>
          <w:sz w:val="24"/>
          <w:szCs w:val="24"/>
        </w:rPr>
        <w:t xml:space="preserve"> to pay their rental debts</w:t>
      </w:r>
      <w:r w:rsidR="0045425B">
        <w:rPr>
          <w:rFonts w:ascii="Arial" w:hAnsi="Arial" w:cs="Arial"/>
          <w:sz w:val="24"/>
          <w:szCs w:val="24"/>
        </w:rPr>
        <w:t xml:space="preserve"> before facing eviction</w:t>
      </w:r>
      <w:r w:rsidR="00CC69C0">
        <w:rPr>
          <w:rFonts w:ascii="Arial" w:hAnsi="Arial" w:cs="Arial"/>
          <w:sz w:val="24"/>
          <w:szCs w:val="24"/>
        </w:rPr>
        <w:t>.</w:t>
      </w:r>
      <w:r w:rsidR="00BF6348">
        <w:rPr>
          <w:rFonts w:ascii="Arial" w:hAnsi="Arial" w:cs="Arial"/>
          <w:sz w:val="24"/>
          <w:szCs w:val="24"/>
        </w:rPr>
        <w:t xml:space="preserve">  Requiring ACAT to consider making payment orders for impacted households sends a strong message that</w:t>
      </w:r>
      <w:r w:rsidR="0045425B">
        <w:rPr>
          <w:rFonts w:ascii="Arial" w:hAnsi="Arial" w:cs="Arial"/>
          <w:sz w:val="24"/>
          <w:szCs w:val="24"/>
        </w:rPr>
        <w:t>,</w:t>
      </w:r>
      <w:r w:rsidR="00BF6348">
        <w:rPr>
          <w:rFonts w:ascii="Arial" w:hAnsi="Arial" w:cs="Arial"/>
          <w:sz w:val="24"/>
          <w:szCs w:val="24"/>
        </w:rPr>
        <w:t xml:space="preserve"> wherever it is reasonably possible to do so, tenancies should be sustained.</w:t>
      </w:r>
    </w:p>
    <w:p w14:paraId="451B165B" w14:textId="64316BB7" w:rsidR="00AA3379" w:rsidRDefault="00AA3379" w:rsidP="00AA3379">
      <w:pPr>
        <w:pStyle w:val="Heading3"/>
      </w:pPr>
      <w:r w:rsidRPr="00ED3B77">
        <w:t>Clause</w:t>
      </w:r>
      <w:r>
        <w:t xml:space="preserve"> 12</w:t>
      </w:r>
      <w:r w:rsidRPr="00ED3B77">
        <w:tab/>
      </w:r>
      <w:r>
        <w:t>Restriction on listings in residential tenancy database</w:t>
      </w:r>
    </w:p>
    <w:p w14:paraId="183C6A60" w14:textId="77777777" w:rsidR="008707BA" w:rsidRDefault="008707BA" w:rsidP="008707BA">
      <w:pPr>
        <w:rPr>
          <w:rFonts w:ascii="Arial" w:hAnsi="Arial" w:cs="Arial"/>
          <w:sz w:val="24"/>
          <w:szCs w:val="24"/>
        </w:rPr>
      </w:pPr>
      <w:r>
        <w:rPr>
          <w:rFonts w:ascii="Arial" w:hAnsi="Arial" w:cs="Arial"/>
          <w:sz w:val="24"/>
          <w:szCs w:val="24"/>
        </w:rPr>
        <w:t xml:space="preserve">This clause prohibits a lessor, lessor’s agent or database operator from listing personal information about a person in a residential tenancy database in relation to a </w:t>
      </w:r>
      <w:r>
        <w:rPr>
          <w:rFonts w:ascii="Arial" w:hAnsi="Arial" w:cs="Arial"/>
          <w:sz w:val="24"/>
          <w:szCs w:val="24"/>
        </w:rPr>
        <w:lastRenderedPageBreak/>
        <w:t xml:space="preserve">failure to pay rent during the moratorium period, where the person was a member of an impacted household at the time of their failure to pay rent. </w:t>
      </w:r>
    </w:p>
    <w:p w14:paraId="60C9AB3B" w14:textId="77777777" w:rsidR="008707BA" w:rsidRDefault="008707BA" w:rsidP="008707BA">
      <w:pPr>
        <w:rPr>
          <w:rFonts w:ascii="Arial" w:hAnsi="Arial" w:cs="Arial"/>
          <w:sz w:val="24"/>
          <w:szCs w:val="24"/>
        </w:rPr>
      </w:pPr>
      <w:r>
        <w:rPr>
          <w:rFonts w:ascii="Arial" w:hAnsi="Arial" w:cs="Arial"/>
          <w:sz w:val="24"/>
          <w:szCs w:val="24"/>
        </w:rPr>
        <w:t xml:space="preserve">This clause applies even if the moratorium period has ended. </w:t>
      </w:r>
    </w:p>
    <w:p w14:paraId="33BAE5C7" w14:textId="77777777" w:rsidR="008707BA" w:rsidRPr="00A7734D" w:rsidRDefault="008707BA" w:rsidP="008707BA">
      <w:pPr>
        <w:rPr>
          <w:rFonts w:ascii="Arial" w:hAnsi="Arial" w:cs="Arial"/>
          <w:sz w:val="24"/>
          <w:szCs w:val="24"/>
        </w:rPr>
      </w:pPr>
      <w:r>
        <w:rPr>
          <w:rFonts w:ascii="Arial" w:hAnsi="Arial" w:cs="Arial"/>
          <w:sz w:val="24"/>
          <w:szCs w:val="24"/>
        </w:rPr>
        <w:t xml:space="preserve">This clause also applies if, after the moratorium period ends, the tenant remains in arrears for rent payable during the moratorium period, or the residential tenancy agreement is terminated because of the breach for failing to pay rent in the moratorium period. </w:t>
      </w:r>
    </w:p>
    <w:p w14:paraId="71BE988F" w14:textId="048B1DCE" w:rsidR="00AA3379" w:rsidRDefault="00AA3379" w:rsidP="00AA3379">
      <w:pPr>
        <w:pStyle w:val="Heading3"/>
      </w:pPr>
      <w:r w:rsidRPr="00ED3B77">
        <w:t>Clause</w:t>
      </w:r>
      <w:r>
        <w:t xml:space="preserve"> 13</w:t>
      </w:r>
      <w:r w:rsidRPr="00ED3B77">
        <w:tab/>
      </w:r>
      <w:r>
        <w:t>Termination by tenant in impacted household</w:t>
      </w:r>
    </w:p>
    <w:p w14:paraId="222582CE" w14:textId="59E0D029" w:rsidR="007A7AF0" w:rsidRDefault="007A7AF0" w:rsidP="007A7AF0">
      <w:pPr>
        <w:rPr>
          <w:rFonts w:ascii="Arial" w:hAnsi="Arial" w:cs="Arial"/>
          <w:sz w:val="24"/>
          <w:szCs w:val="24"/>
        </w:rPr>
      </w:pPr>
      <w:r w:rsidRPr="00E02304">
        <w:rPr>
          <w:rFonts w:ascii="Arial" w:hAnsi="Arial" w:cs="Arial"/>
          <w:sz w:val="24"/>
          <w:szCs w:val="24"/>
        </w:rPr>
        <w:t xml:space="preserve">This clause provides that a </w:t>
      </w:r>
      <w:r>
        <w:rPr>
          <w:rFonts w:ascii="Arial" w:hAnsi="Arial" w:cs="Arial"/>
          <w:sz w:val="24"/>
          <w:szCs w:val="24"/>
        </w:rPr>
        <w:t>tenant who is a member of a COVID-19 impacted household may, during the moratorium period</w:t>
      </w:r>
      <w:r w:rsidR="00390360">
        <w:rPr>
          <w:rFonts w:ascii="Arial" w:hAnsi="Arial" w:cs="Arial"/>
          <w:sz w:val="24"/>
          <w:szCs w:val="24"/>
        </w:rPr>
        <w:t xml:space="preserve"> or the transitional period</w:t>
      </w:r>
      <w:r>
        <w:rPr>
          <w:rFonts w:ascii="Arial" w:hAnsi="Arial" w:cs="Arial"/>
          <w:sz w:val="24"/>
          <w:szCs w:val="24"/>
        </w:rPr>
        <w:t>, terminate their fixed term residential tenancy agreement by providing 3 weeks</w:t>
      </w:r>
      <w:r w:rsidR="00F44C8B">
        <w:rPr>
          <w:rFonts w:ascii="Arial" w:hAnsi="Arial" w:cs="Arial"/>
          <w:sz w:val="24"/>
          <w:szCs w:val="24"/>
        </w:rPr>
        <w:t>’</w:t>
      </w:r>
      <w:r>
        <w:rPr>
          <w:rFonts w:ascii="Arial" w:hAnsi="Arial" w:cs="Arial"/>
          <w:sz w:val="24"/>
          <w:szCs w:val="24"/>
        </w:rPr>
        <w:t xml:space="preserve"> notice.</w:t>
      </w:r>
    </w:p>
    <w:p w14:paraId="1417E3FE" w14:textId="77777777" w:rsidR="007A7AF0" w:rsidRPr="005E652F" w:rsidRDefault="007A7AF0" w:rsidP="007A7AF0">
      <w:pPr>
        <w:rPr>
          <w:rFonts w:ascii="Arial" w:hAnsi="Arial" w:cs="Arial"/>
          <w:sz w:val="24"/>
          <w:szCs w:val="24"/>
        </w:rPr>
      </w:pPr>
      <w:r>
        <w:rPr>
          <w:rFonts w:ascii="Arial" w:hAnsi="Arial" w:cs="Arial"/>
          <w:sz w:val="24"/>
          <w:szCs w:val="24"/>
        </w:rPr>
        <w:t>The clause lists examples of evidence that a tenant may rely on to demonstrate they are a member of a COVID-19 impacted household, they include:</w:t>
      </w:r>
    </w:p>
    <w:p w14:paraId="739241DD" w14:textId="77777777" w:rsidR="007A7AF0" w:rsidRPr="005E652F" w:rsidRDefault="007A7AF0" w:rsidP="007A7AF0">
      <w:pPr>
        <w:pStyle w:val="ListParagraph"/>
        <w:numPr>
          <w:ilvl w:val="0"/>
          <w:numId w:val="2"/>
        </w:numPr>
        <w:rPr>
          <w:rFonts w:ascii="Arial" w:hAnsi="Arial" w:cs="Arial"/>
          <w:sz w:val="24"/>
          <w:szCs w:val="24"/>
        </w:rPr>
      </w:pPr>
      <w:r w:rsidRPr="005E652F">
        <w:rPr>
          <w:rFonts w:ascii="Arial" w:hAnsi="Arial" w:cs="Arial"/>
          <w:sz w:val="24"/>
          <w:szCs w:val="24"/>
        </w:rPr>
        <w:t>statutory declaration attesting to status;</w:t>
      </w:r>
    </w:p>
    <w:p w14:paraId="4CF5BD23" w14:textId="77777777" w:rsidR="007A7AF0" w:rsidRPr="005E652F" w:rsidRDefault="007A7AF0" w:rsidP="007A7AF0">
      <w:pPr>
        <w:pStyle w:val="ListParagraph"/>
        <w:numPr>
          <w:ilvl w:val="0"/>
          <w:numId w:val="2"/>
        </w:numPr>
        <w:rPr>
          <w:rFonts w:ascii="Arial" w:hAnsi="Arial" w:cs="Arial"/>
          <w:sz w:val="24"/>
          <w:szCs w:val="24"/>
        </w:rPr>
      </w:pPr>
      <w:r w:rsidRPr="005E652F">
        <w:rPr>
          <w:rFonts w:ascii="Arial" w:hAnsi="Arial" w:cs="Arial"/>
          <w:sz w:val="24"/>
          <w:szCs w:val="24"/>
        </w:rPr>
        <w:t>evidence of eligibility for Job Keeper or Job Seeker payments</w:t>
      </w:r>
    </w:p>
    <w:p w14:paraId="5C01E89D" w14:textId="7264D345" w:rsidR="00F44C8B" w:rsidRPr="005E652F" w:rsidRDefault="007A7AF0" w:rsidP="007A7AF0">
      <w:pPr>
        <w:pStyle w:val="ListParagraph"/>
        <w:numPr>
          <w:ilvl w:val="0"/>
          <w:numId w:val="2"/>
        </w:numPr>
        <w:rPr>
          <w:rFonts w:ascii="Arial" w:hAnsi="Arial" w:cs="Arial"/>
          <w:sz w:val="24"/>
          <w:szCs w:val="24"/>
        </w:rPr>
      </w:pPr>
      <w:r w:rsidRPr="005E652F">
        <w:rPr>
          <w:rFonts w:ascii="Arial" w:hAnsi="Arial" w:cs="Arial"/>
          <w:sz w:val="24"/>
          <w:szCs w:val="24"/>
        </w:rPr>
        <w:t>a termination or stand-down letter from an employer; and</w:t>
      </w:r>
    </w:p>
    <w:p w14:paraId="7B83047B" w14:textId="77777777" w:rsidR="007A7AF0" w:rsidRPr="001E7D6A" w:rsidRDefault="007A7AF0" w:rsidP="001E7D6A">
      <w:pPr>
        <w:pStyle w:val="ListParagraph"/>
        <w:numPr>
          <w:ilvl w:val="0"/>
          <w:numId w:val="2"/>
        </w:numPr>
        <w:rPr>
          <w:rFonts w:ascii="Arial" w:hAnsi="Arial" w:cs="Arial"/>
          <w:sz w:val="24"/>
          <w:szCs w:val="24"/>
        </w:rPr>
      </w:pPr>
      <w:r w:rsidRPr="001E7D6A">
        <w:rPr>
          <w:rFonts w:ascii="Arial" w:hAnsi="Arial" w:cs="Arial"/>
          <w:sz w:val="24"/>
          <w:szCs w:val="24"/>
        </w:rPr>
        <w:t>evidence of reduction household income due to the COVID-19 restrictions.</w:t>
      </w:r>
    </w:p>
    <w:p w14:paraId="6C4FDB64" w14:textId="69D164A7" w:rsidR="007A7AF0" w:rsidRPr="00E02304" w:rsidRDefault="00390360" w:rsidP="007A7AF0">
      <w:pPr>
        <w:rPr>
          <w:rFonts w:ascii="Arial" w:hAnsi="Arial" w:cs="Arial"/>
          <w:sz w:val="24"/>
          <w:szCs w:val="24"/>
        </w:rPr>
      </w:pPr>
      <w:r>
        <w:rPr>
          <w:rFonts w:ascii="Arial" w:hAnsi="Arial" w:cs="Arial"/>
          <w:sz w:val="24"/>
          <w:szCs w:val="24"/>
        </w:rPr>
        <w:br/>
      </w:r>
      <w:r w:rsidR="007A7AF0">
        <w:rPr>
          <w:rFonts w:ascii="Arial" w:hAnsi="Arial" w:cs="Arial"/>
          <w:sz w:val="24"/>
          <w:szCs w:val="24"/>
        </w:rPr>
        <w:t>The lessor</w:t>
      </w:r>
      <w:r w:rsidR="007A7AF0" w:rsidRPr="00E93048">
        <w:rPr>
          <w:rFonts w:ascii="Arial" w:hAnsi="Arial" w:cs="Arial"/>
          <w:sz w:val="24"/>
          <w:szCs w:val="24"/>
        </w:rPr>
        <w:t xml:space="preserve"> is not entitled to any compensation or </w:t>
      </w:r>
      <w:r w:rsidR="00057129">
        <w:rPr>
          <w:rFonts w:ascii="Arial" w:hAnsi="Arial" w:cs="Arial"/>
          <w:sz w:val="24"/>
          <w:szCs w:val="24"/>
        </w:rPr>
        <w:t>‘</w:t>
      </w:r>
      <w:r w:rsidR="007A7AF0" w:rsidRPr="00E93048">
        <w:rPr>
          <w:rFonts w:ascii="Arial" w:hAnsi="Arial" w:cs="Arial"/>
          <w:sz w:val="24"/>
          <w:szCs w:val="24"/>
        </w:rPr>
        <w:t xml:space="preserve">break </w:t>
      </w:r>
      <w:r w:rsidR="00057129">
        <w:rPr>
          <w:rFonts w:ascii="Arial" w:hAnsi="Arial" w:cs="Arial"/>
          <w:sz w:val="24"/>
          <w:szCs w:val="24"/>
        </w:rPr>
        <w:t xml:space="preserve">lease’ </w:t>
      </w:r>
      <w:r w:rsidR="007A7AF0" w:rsidRPr="00E93048">
        <w:rPr>
          <w:rFonts w:ascii="Arial" w:hAnsi="Arial" w:cs="Arial"/>
          <w:sz w:val="24"/>
          <w:szCs w:val="24"/>
        </w:rPr>
        <w:t xml:space="preserve">fee under the </w:t>
      </w:r>
      <w:r w:rsidR="00555185">
        <w:rPr>
          <w:rFonts w:ascii="Arial" w:hAnsi="Arial" w:cs="Arial"/>
          <w:sz w:val="24"/>
          <w:szCs w:val="24"/>
        </w:rPr>
        <w:t>RTA</w:t>
      </w:r>
      <w:r w:rsidR="007A7AF0" w:rsidRPr="00E93048">
        <w:rPr>
          <w:rFonts w:ascii="Arial" w:hAnsi="Arial" w:cs="Arial"/>
          <w:sz w:val="24"/>
          <w:szCs w:val="24"/>
        </w:rPr>
        <w:t xml:space="preserve"> or the agreement in relation to the early termination of the fixed term agreement </w:t>
      </w:r>
      <w:r w:rsidR="007A7AF0">
        <w:rPr>
          <w:rFonts w:ascii="Arial" w:hAnsi="Arial" w:cs="Arial"/>
          <w:sz w:val="24"/>
          <w:szCs w:val="24"/>
        </w:rPr>
        <w:t>under this clause</w:t>
      </w:r>
      <w:r w:rsidR="007A7AF0" w:rsidRPr="00E93048">
        <w:rPr>
          <w:rFonts w:ascii="Arial" w:hAnsi="Arial" w:cs="Arial"/>
          <w:sz w:val="24"/>
          <w:szCs w:val="24"/>
        </w:rPr>
        <w:t>.</w:t>
      </w:r>
      <w:r w:rsidR="00057129">
        <w:rPr>
          <w:rFonts w:ascii="Arial" w:hAnsi="Arial" w:cs="Arial"/>
          <w:sz w:val="24"/>
          <w:szCs w:val="24"/>
        </w:rPr>
        <w:t xml:space="preserve">  However, if the tenant owes a rent arrears or property damage debt that arose during the tenancy, this will remain a debt payable to the lessor at the end of the tenancy.</w:t>
      </w:r>
    </w:p>
    <w:p w14:paraId="3A9581F2" w14:textId="641365CA" w:rsidR="00AA3379" w:rsidRDefault="00AA3379" w:rsidP="00AA3379">
      <w:pPr>
        <w:pStyle w:val="Heading3"/>
      </w:pPr>
      <w:r w:rsidRPr="00ED3B77">
        <w:t>Clause</w:t>
      </w:r>
      <w:r>
        <w:t xml:space="preserve"> 14</w:t>
      </w:r>
      <w:r w:rsidRPr="00ED3B77">
        <w:tab/>
      </w:r>
      <w:r>
        <w:t>Extension of transitional period</w:t>
      </w:r>
    </w:p>
    <w:p w14:paraId="3F9FEBA9" w14:textId="210A053E" w:rsidR="008039F5" w:rsidRPr="00E55864" w:rsidRDefault="00A412AD" w:rsidP="00E55864">
      <w:pPr>
        <w:rPr>
          <w:rFonts w:ascii="Arial" w:hAnsi="Arial" w:cs="Arial"/>
          <w:sz w:val="24"/>
          <w:szCs w:val="24"/>
        </w:rPr>
      </w:pPr>
      <w:r w:rsidRPr="00D93043">
        <w:rPr>
          <w:rFonts w:ascii="Arial" w:hAnsi="Arial" w:cs="Arial"/>
          <w:sz w:val="24"/>
          <w:szCs w:val="24"/>
        </w:rPr>
        <w:t xml:space="preserve">This clause provides </w:t>
      </w:r>
      <w:r>
        <w:rPr>
          <w:rFonts w:ascii="Arial" w:hAnsi="Arial" w:cs="Arial"/>
          <w:sz w:val="24"/>
          <w:szCs w:val="24"/>
        </w:rPr>
        <w:t xml:space="preserve">that the Minister may extend the </w:t>
      </w:r>
      <w:r w:rsidR="00EA532E">
        <w:rPr>
          <w:rFonts w:ascii="Arial" w:hAnsi="Arial" w:cs="Arial"/>
          <w:sz w:val="24"/>
          <w:szCs w:val="24"/>
        </w:rPr>
        <w:t>transitional</w:t>
      </w:r>
      <w:r>
        <w:rPr>
          <w:rFonts w:ascii="Arial" w:hAnsi="Arial" w:cs="Arial"/>
          <w:sz w:val="24"/>
          <w:szCs w:val="24"/>
        </w:rPr>
        <w:t xml:space="preserve"> period in clause </w:t>
      </w:r>
      <w:r w:rsidR="00EA532E">
        <w:rPr>
          <w:rFonts w:ascii="Arial" w:hAnsi="Arial" w:cs="Arial"/>
          <w:sz w:val="24"/>
          <w:szCs w:val="24"/>
        </w:rPr>
        <w:t xml:space="preserve">7 </w:t>
      </w:r>
      <w:r>
        <w:rPr>
          <w:rFonts w:ascii="Arial" w:hAnsi="Arial" w:cs="Arial"/>
          <w:sz w:val="24"/>
          <w:szCs w:val="24"/>
        </w:rPr>
        <w:t xml:space="preserve">for a period of no more than 3 months. Any extension </w:t>
      </w:r>
      <w:r w:rsidR="00057129">
        <w:rPr>
          <w:rFonts w:ascii="Arial" w:hAnsi="Arial" w:cs="Arial"/>
          <w:sz w:val="24"/>
          <w:szCs w:val="24"/>
        </w:rPr>
        <w:t xml:space="preserve">is </w:t>
      </w:r>
      <w:r>
        <w:rPr>
          <w:rFonts w:ascii="Arial" w:hAnsi="Arial" w:cs="Arial"/>
          <w:sz w:val="24"/>
          <w:szCs w:val="24"/>
        </w:rPr>
        <w:t xml:space="preserve">made </w:t>
      </w:r>
      <w:r w:rsidR="00057129">
        <w:rPr>
          <w:rFonts w:ascii="Arial" w:hAnsi="Arial" w:cs="Arial"/>
          <w:sz w:val="24"/>
          <w:szCs w:val="24"/>
        </w:rPr>
        <w:t>by</w:t>
      </w:r>
      <w:r>
        <w:rPr>
          <w:rFonts w:ascii="Arial" w:hAnsi="Arial" w:cs="Arial"/>
          <w:sz w:val="24"/>
          <w:szCs w:val="24"/>
        </w:rPr>
        <w:t xml:space="preserve"> notifiable instrument. </w:t>
      </w:r>
    </w:p>
    <w:sectPr w:rsidR="008039F5" w:rsidRPr="00E55864" w:rsidSect="00F41A2F">
      <w:footerReference w:type="defaul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DBB7" w14:textId="77777777" w:rsidR="009732C1" w:rsidRDefault="009732C1">
      <w:pPr>
        <w:spacing w:after="0" w:line="240" w:lineRule="auto"/>
      </w:pPr>
      <w:r>
        <w:separator/>
      </w:r>
    </w:p>
  </w:endnote>
  <w:endnote w:type="continuationSeparator" w:id="0">
    <w:p w14:paraId="291347C6" w14:textId="77777777" w:rsidR="009732C1" w:rsidRDefault="0097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6AE7" w14:textId="77777777" w:rsidR="000C67E9" w:rsidRDefault="000C6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B99AC" w14:textId="134616D8" w:rsidR="003D30C9" w:rsidRPr="000C67E9" w:rsidRDefault="000C67E9" w:rsidP="000C67E9">
    <w:pPr>
      <w:pStyle w:val="Footer"/>
      <w:jc w:val="center"/>
      <w:rPr>
        <w:rFonts w:cs="Arial"/>
        <w:sz w:val="14"/>
      </w:rPr>
    </w:pPr>
    <w:r w:rsidRPr="000C67E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1C41" w14:textId="77777777" w:rsidR="009028C1" w:rsidRDefault="000C67E9">
    <w:pPr>
      <w:pStyle w:val="Footer"/>
      <w:jc w:val="right"/>
    </w:pPr>
  </w:p>
  <w:p w14:paraId="11F0B8AA" w14:textId="77777777" w:rsidR="009028C1" w:rsidRPr="00DC5912" w:rsidRDefault="000C67E9"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16B2" w14:textId="2D786B73" w:rsidR="009028C1" w:rsidRDefault="00E13E3E"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7FBEE9D3" w14:textId="77CE3A37" w:rsidR="003D30C9" w:rsidRPr="000C67E9" w:rsidRDefault="000C67E9" w:rsidP="000C67E9">
    <w:pPr>
      <w:pStyle w:val="Footer"/>
      <w:spacing w:before="60" w:line="240" w:lineRule="auto"/>
      <w:jc w:val="center"/>
      <w:rPr>
        <w:rFonts w:cs="Arial"/>
        <w:sz w:val="14"/>
      </w:rPr>
    </w:pPr>
    <w:r w:rsidRPr="000C67E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6743" w14:textId="7CADF80B" w:rsidR="009028C1" w:rsidRDefault="00E13E3E">
    <w:pPr>
      <w:pStyle w:val="Footer"/>
      <w:jc w:val="right"/>
    </w:pPr>
    <w:r>
      <w:fldChar w:fldCharType="begin"/>
    </w:r>
    <w:r>
      <w:instrText xml:space="preserve"> PAGE   \* MERGEFORMAT </w:instrText>
    </w:r>
    <w:r>
      <w:fldChar w:fldCharType="separate"/>
    </w:r>
    <w:r>
      <w:rPr>
        <w:noProof/>
      </w:rPr>
      <w:t>1</w:t>
    </w:r>
    <w:r>
      <w:fldChar w:fldCharType="end"/>
    </w:r>
  </w:p>
  <w:p w14:paraId="3911B0A3" w14:textId="02E72049" w:rsidR="003D30C9" w:rsidRPr="000C67E9" w:rsidRDefault="000C67E9" w:rsidP="000C67E9">
    <w:pPr>
      <w:pStyle w:val="Footer"/>
      <w:jc w:val="center"/>
      <w:rPr>
        <w:rFonts w:cs="Arial"/>
        <w:sz w:val="14"/>
      </w:rPr>
    </w:pPr>
    <w:r w:rsidRPr="000C67E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5A0D5" w14:textId="77777777" w:rsidR="009732C1" w:rsidRDefault="009732C1">
      <w:pPr>
        <w:spacing w:after="0" w:line="240" w:lineRule="auto"/>
      </w:pPr>
      <w:r>
        <w:separator/>
      </w:r>
    </w:p>
  </w:footnote>
  <w:footnote w:type="continuationSeparator" w:id="0">
    <w:p w14:paraId="2D5A92A6" w14:textId="77777777" w:rsidR="009732C1" w:rsidRDefault="009732C1">
      <w:pPr>
        <w:spacing w:after="0" w:line="240" w:lineRule="auto"/>
      </w:pPr>
      <w:r>
        <w:continuationSeparator/>
      </w:r>
    </w:p>
  </w:footnote>
  <w:footnote w:id="1">
    <w:p w14:paraId="7583DAE0" w14:textId="799A60FF" w:rsidR="0045425B" w:rsidRPr="0045425B" w:rsidRDefault="0045425B">
      <w:pPr>
        <w:pStyle w:val="FootnoteText"/>
      </w:pPr>
      <w:r>
        <w:rPr>
          <w:rStyle w:val="FootnoteReference"/>
        </w:rPr>
        <w:footnoteRef/>
      </w:r>
      <w:r>
        <w:t xml:space="preserve"> The moratorium period was implemented through the </w:t>
      </w:r>
      <w:r>
        <w:rPr>
          <w:i/>
          <w:iCs/>
        </w:rPr>
        <w:t xml:space="preserve">Residential Tenancies (COVID-19 Emergency Response) Declaration 2020 </w:t>
      </w:r>
      <w:r>
        <w:t xml:space="preserve">(the first Declaration) </w:t>
      </w:r>
      <w:r w:rsidRPr="0067110D">
        <w:t>and</w:t>
      </w:r>
      <w:r>
        <w:t xml:space="preserve"> the </w:t>
      </w:r>
      <w:r>
        <w:rPr>
          <w:i/>
          <w:iCs/>
        </w:rPr>
        <w:t>Residential Tenancies (COVID-19 Emergency Response) Declaration 2020 (No 2)</w:t>
      </w:r>
      <w:r>
        <w:t xml:space="preserve"> (the Second Declaration).</w:t>
      </w:r>
    </w:p>
  </w:footnote>
  <w:footnote w:id="2">
    <w:p w14:paraId="036EC269" w14:textId="1CB8E453" w:rsidR="0045425B" w:rsidRDefault="0045425B">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325C" w14:textId="77777777" w:rsidR="000C67E9" w:rsidRDefault="000C6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DAA6" w14:textId="77777777" w:rsidR="000C67E9" w:rsidRDefault="000C6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2243" w14:textId="77777777" w:rsidR="000C67E9" w:rsidRDefault="000C6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4A3"/>
    <w:multiLevelType w:val="hybridMultilevel"/>
    <w:tmpl w:val="70644A14"/>
    <w:lvl w:ilvl="0" w:tplc="928EB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5872B8"/>
    <w:multiLevelType w:val="hybridMultilevel"/>
    <w:tmpl w:val="43429B66"/>
    <w:lvl w:ilvl="0" w:tplc="8B4664C4">
      <w:start w:val="1"/>
      <w:numFmt w:val="decimal"/>
      <w:pStyle w:val="CS-Paragraphnumbering"/>
      <w:lvlText w:val="%1."/>
      <w:lvlJc w:val="left"/>
      <w:pPr>
        <w:ind w:left="720" w:hanging="360"/>
      </w:pPr>
      <w:rPr>
        <w:color w:val="auto"/>
        <w:sz w:val="24"/>
        <w:szCs w:val="24"/>
      </w:rPr>
    </w:lvl>
    <w:lvl w:ilvl="1" w:tplc="2D4AF32A">
      <w:start w:val="1"/>
      <w:numFmt w:val="low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77780A"/>
    <w:multiLevelType w:val="multilevel"/>
    <w:tmpl w:val="EA5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066D8"/>
    <w:multiLevelType w:val="hybridMultilevel"/>
    <w:tmpl w:val="6B700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603533"/>
    <w:multiLevelType w:val="hybridMultilevel"/>
    <w:tmpl w:val="8D4C0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800F6D"/>
    <w:multiLevelType w:val="hybridMultilevel"/>
    <w:tmpl w:val="D0A250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7D"/>
    <w:rsid w:val="0000063F"/>
    <w:rsid w:val="00031DB1"/>
    <w:rsid w:val="00032883"/>
    <w:rsid w:val="00035EA7"/>
    <w:rsid w:val="00051774"/>
    <w:rsid w:val="00057129"/>
    <w:rsid w:val="000602F9"/>
    <w:rsid w:val="0006296B"/>
    <w:rsid w:val="00062C3A"/>
    <w:rsid w:val="000702AF"/>
    <w:rsid w:val="00084EA6"/>
    <w:rsid w:val="000962FC"/>
    <w:rsid w:val="000A0891"/>
    <w:rsid w:val="000A0C32"/>
    <w:rsid w:val="000A6BC7"/>
    <w:rsid w:val="000B5A63"/>
    <w:rsid w:val="000B6145"/>
    <w:rsid w:val="000B6DA7"/>
    <w:rsid w:val="000C012A"/>
    <w:rsid w:val="000C5546"/>
    <w:rsid w:val="000C67E9"/>
    <w:rsid w:val="000D2C96"/>
    <w:rsid w:val="000D35C4"/>
    <w:rsid w:val="000D6D87"/>
    <w:rsid w:val="000D74FF"/>
    <w:rsid w:val="000E099C"/>
    <w:rsid w:val="000F3867"/>
    <w:rsid w:val="001040EB"/>
    <w:rsid w:val="001115F0"/>
    <w:rsid w:val="001219EF"/>
    <w:rsid w:val="001253D0"/>
    <w:rsid w:val="00131752"/>
    <w:rsid w:val="00131A7E"/>
    <w:rsid w:val="00140322"/>
    <w:rsid w:val="001422CE"/>
    <w:rsid w:val="0015029F"/>
    <w:rsid w:val="00152FDB"/>
    <w:rsid w:val="001562A3"/>
    <w:rsid w:val="0015723A"/>
    <w:rsid w:val="0016280A"/>
    <w:rsid w:val="00164717"/>
    <w:rsid w:val="00164E0E"/>
    <w:rsid w:val="00164F82"/>
    <w:rsid w:val="0017539E"/>
    <w:rsid w:val="00180FFC"/>
    <w:rsid w:val="00181568"/>
    <w:rsid w:val="00182DFE"/>
    <w:rsid w:val="0018705F"/>
    <w:rsid w:val="00195108"/>
    <w:rsid w:val="001A1C19"/>
    <w:rsid w:val="001A341A"/>
    <w:rsid w:val="001B5BC3"/>
    <w:rsid w:val="001C2DA1"/>
    <w:rsid w:val="001C3DED"/>
    <w:rsid w:val="001C3FD8"/>
    <w:rsid w:val="001C4417"/>
    <w:rsid w:val="001E315F"/>
    <w:rsid w:val="001E7D6A"/>
    <w:rsid w:val="001F0171"/>
    <w:rsid w:val="001F4C7D"/>
    <w:rsid w:val="00203054"/>
    <w:rsid w:val="002037FE"/>
    <w:rsid w:val="0020542C"/>
    <w:rsid w:val="00205CDA"/>
    <w:rsid w:val="00206C87"/>
    <w:rsid w:val="002071B7"/>
    <w:rsid w:val="002118EB"/>
    <w:rsid w:val="0021482A"/>
    <w:rsid w:val="002168A0"/>
    <w:rsid w:val="00224ED6"/>
    <w:rsid w:val="002257FA"/>
    <w:rsid w:val="0023084E"/>
    <w:rsid w:val="00251FB5"/>
    <w:rsid w:val="00260AA2"/>
    <w:rsid w:val="002639D0"/>
    <w:rsid w:val="00263E2D"/>
    <w:rsid w:val="0026510B"/>
    <w:rsid w:val="002679F5"/>
    <w:rsid w:val="00283BF5"/>
    <w:rsid w:val="002875BE"/>
    <w:rsid w:val="00292CD6"/>
    <w:rsid w:val="00293D70"/>
    <w:rsid w:val="00294798"/>
    <w:rsid w:val="002B2F5F"/>
    <w:rsid w:val="002B793A"/>
    <w:rsid w:val="002C0E96"/>
    <w:rsid w:val="002C4758"/>
    <w:rsid w:val="002C6605"/>
    <w:rsid w:val="002D54C9"/>
    <w:rsid w:val="002D61C5"/>
    <w:rsid w:val="002E0E54"/>
    <w:rsid w:val="002E1846"/>
    <w:rsid w:val="002F09B9"/>
    <w:rsid w:val="002F5393"/>
    <w:rsid w:val="002F7DD4"/>
    <w:rsid w:val="00300832"/>
    <w:rsid w:val="0030342B"/>
    <w:rsid w:val="00306DB7"/>
    <w:rsid w:val="00316ACC"/>
    <w:rsid w:val="00326022"/>
    <w:rsid w:val="00331D92"/>
    <w:rsid w:val="00334E88"/>
    <w:rsid w:val="003365BE"/>
    <w:rsid w:val="00353F26"/>
    <w:rsid w:val="0035406C"/>
    <w:rsid w:val="00373529"/>
    <w:rsid w:val="00375690"/>
    <w:rsid w:val="00384CC7"/>
    <w:rsid w:val="00390360"/>
    <w:rsid w:val="0039407E"/>
    <w:rsid w:val="003A1267"/>
    <w:rsid w:val="003C0CE1"/>
    <w:rsid w:val="003C535E"/>
    <w:rsid w:val="003D30C9"/>
    <w:rsid w:val="003E1452"/>
    <w:rsid w:val="00410C8C"/>
    <w:rsid w:val="00412481"/>
    <w:rsid w:val="0041258B"/>
    <w:rsid w:val="00417BBA"/>
    <w:rsid w:val="00427ECC"/>
    <w:rsid w:val="00436C78"/>
    <w:rsid w:val="00441FDA"/>
    <w:rsid w:val="0044373A"/>
    <w:rsid w:val="00446F91"/>
    <w:rsid w:val="0045425B"/>
    <w:rsid w:val="00455B19"/>
    <w:rsid w:val="00456B1D"/>
    <w:rsid w:val="00477B6D"/>
    <w:rsid w:val="00485A13"/>
    <w:rsid w:val="0049625B"/>
    <w:rsid w:val="00497028"/>
    <w:rsid w:val="004B60E4"/>
    <w:rsid w:val="004C12A5"/>
    <w:rsid w:val="004D11F8"/>
    <w:rsid w:val="004D20B4"/>
    <w:rsid w:val="004D337D"/>
    <w:rsid w:val="004D3520"/>
    <w:rsid w:val="004D59A6"/>
    <w:rsid w:val="004E270C"/>
    <w:rsid w:val="004E5C74"/>
    <w:rsid w:val="004E606C"/>
    <w:rsid w:val="004E777C"/>
    <w:rsid w:val="004F29D7"/>
    <w:rsid w:val="004F519E"/>
    <w:rsid w:val="00501A4C"/>
    <w:rsid w:val="00507877"/>
    <w:rsid w:val="00510B78"/>
    <w:rsid w:val="00526FCE"/>
    <w:rsid w:val="00534A31"/>
    <w:rsid w:val="005371B0"/>
    <w:rsid w:val="00541F73"/>
    <w:rsid w:val="00545A21"/>
    <w:rsid w:val="00555185"/>
    <w:rsid w:val="00566CA1"/>
    <w:rsid w:val="00570E35"/>
    <w:rsid w:val="00577929"/>
    <w:rsid w:val="00581474"/>
    <w:rsid w:val="00593714"/>
    <w:rsid w:val="005942EC"/>
    <w:rsid w:val="005A121E"/>
    <w:rsid w:val="005A267D"/>
    <w:rsid w:val="005A639F"/>
    <w:rsid w:val="005B4159"/>
    <w:rsid w:val="005D10CE"/>
    <w:rsid w:val="005E24E3"/>
    <w:rsid w:val="005E3D95"/>
    <w:rsid w:val="005E4D0F"/>
    <w:rsid w:val="005E652F"/>
    <w:rsid w:val="005E781F"/>
    <w:rsid w:val="005F13AB"/>
    <w:rsid w:val="005F1403"/>
    <w:rsid w:val="005F359B"/>
    <w:rsid w:val="005F3D40"/>
    <w:rsid w:val="0060214E"/>
    <w:rsid w:val="00611E8B"/>
    <w:rsid w:val="00627EAE"/>
    <w:rsid w:val="00641BAB"/>
    <w:rsid w:val="00644FAB"/>
    <w:rsid w:val="00650F8D"/>
    <w:rsid w:val="006520B5"/>
    <w:rsid w:val="0067110D"/>
    <w:rsid w:val="00673016"/>
    <w:rsid w:val="006744A5"/>
    <w:rsid w:val="00676391"/>
    <w:rsid w:val="006803A0"/>
    <w:rsid w:val="00683854"/>
    <w:rsid w:val="00687710"/>
    <w:rsid w:val="006911BE"/>
    <w:rsid w:val="00695122"/>
    <w:rsid w:val="0069554D"/>
    <w:rsid w:val="006A1D26"/>
    <w:rsid w:val="006B4F08"/>
    <w:rsid w:val="006B6D7A"/>
    <w:rsid w:val="006C192D"/>
    <w:rsid w:val="006C4C2A"/>
    <w:rsid w:val="006C6394"/>
    <w:rsid w:val="006C6D82"/>
    <w:rsid w:val="006D0380"/>
    <w:rsid w:val="006D1015"/>
    <w:rsid w:val="006D40D8"/>
    <w:rsid w:val="006D7E1C"/>
    <w:rsid w:val="006E7689"/>
    <w:rsid w:val="006F11EE"/>
    <w:rsid w:val="006F126C"/>
    <w:rsid w:val="006F7D88"/>
    <w:rsid w:val="0070128A"/>
    <w:rsid w:val="007046AA"/>
    <w:rsid w:val="0071429A"/>
    <w:rsid w:val="00721ED1"/>
    <w:rsid w:val="00724B2B"/>
    <w:rsid w:val="007301EC"/>
    <w:rsid w:val="007308DB"/>
    <w:rsid w:val="00734969"/>
    <w:rsid w:val="0073552E"/>
    <w:rsid w:val="00751CB1"/>
    <w:rsid w:val="00752DDE"/>
    <w:rsid w:val="007532DA"/>
    <w:rsid w:val="00753AE6"/>
    <w:rsid w:val="00756B25"/>
    <w:rsid w:val="00761D56"/>
    <w:rsid w:val="00776CAA"/>
    <w:rsid w:val="007904A9"/>
    <w:rsid w:val="007908B3"/>
    <w:rsid w:val="00790B3F"/>
    <w:rsid w:val="00791353"/>
    <w:rsid w:val="00796906"/>
    <w:rsid w:val="007A0A6B"/>
    <w:rsid w:val="007A25FF"/>
    <w:rsid w:val="007A71D4"/>
    <w:rsid w:val="007A7AF0"/>
    <w:rsid w:val="007B31FE"/>
    <w:rsid w:val="007B4A6B"/>
    <w:rsid w:val="007C098B"/>
    <w:rsid w:val="007C1523"/>
    <w:rsid w:val="007C6CDC"/>
    <w:rsid w:val="007D00AF"/>
    <w:rsid w:val="007D16D6"/>
    <w:rsid w:val="007E4CCA"/>
    <w:rsid w:val="007E730F"/>
    <w:rsid w:val="007F4D1B"/>
    <w:rsid w:val="008039F5"/>
    <w:rsid w:val="0080429F"/>
    <w:rsid w:val="00805CCE"/>
    <w:rsid w:val="00806F2F"/>
    <w:rsid w:val="008146F5"/>
    <w:rsid w:val="0081543E"/>
    <w:rsid w:val="0082002B"/>
    <w:rsid w:val="008227A8"/>
    <w:rsid w:val="008263EC"/>
    <w:rsid w:val="00830F50"/>
    <w:rsid w:val="0083554A"/>
    <w:rsid w:val="0083698E"/>
    <w:rsid w:val="008369E1"/>
    <w:rsid w:val="00863C74"/>
    <w:rsid w:val="00867B7D"/>
    <w:rsid w:val="008707BA"/>
    <w:rsid w:val="00871EE7"/>
    <w:rsid w:val="008723D1"/>
    <w:rsid w:val="00877C7F"/>
    <w:rsid w:val="0088041C"/>
    <w:rsid w:val="008870ED"/>
    <w:rsid w:val="00896DF8"/>
    <w:rsid w:val="008A51BD"/>
    <w:rsid w:val="008B1BA1"/>
    <w:rsid w:val="008B3595"/>
    <w:rsid w:val="008B48D9"/>
    <w:rsid w:val="008B4C72"/>
    <w:rsid w:val="008C1888"/>
    <w:rsid w:val="008C1C21"/>
    <w:rsid w:val="008D4E7A"/>
    <w:rsid w:val="008D53ED"/>
    <w:rsid w:val="008D718D"/>
    <w:rsid w:val="008E0781"/>
    <w:rsid w:val="008E6A03"/>
    <w:rsid w:val="008F14E7"/>
    <w:rsid w:val="008F5F47"/>
    <w:rsid w:val="00900AA7"/>
    <w:rsid w:val="0090167F"/>
    <w:rsid w:val="0090708B"/>
    <w:rsid w:val="00912CAE"/>
    <w:rsid w:val="00920EAA"/>
    <w:rsid w:val="00921C04"/>
    <w:rsid w:val="00923FD1"/>
    <w:rsid w:val="00930E4A"/>
    <w:rsid w:val="00952CB7"/>
    <w:rsid w:val="00953BF9"/>
    <w:rsid w:val="00957A37"/>
    <w:rsid w:val="00965EC1"/>
    <w:rsid w:val="009732C1"/>
    <w:rsid w:val="00974862"/>
    <w:rsid w:val="00976CDB"/>
    <w:rsid w:val="009775EA"/>
    <w:rsid w:val="00981E47"/>
    <w:rsid w:val="00982369"/>
    <w:rsid w:val="00983CAE"/>
    <w:rsid w:val="0099081D"/>
    <w:rsid w:val="0099484A"/>
    <w:rsid w:val="009A1712"/>
    <w:rsid w:val="009A2FB2"/>
    <w:rsid w:val="009A64F3"/>
    <w:rsid w:val="009A7D18"/>
    <w:rsid w:val="009B7EA6"/>
    <w:rsid w:val="009C4CC9"/>
    <w:rsid w:val="009D1D4B"/>
    <w:rsid w:val="009D43D2"/>
    <w:rsid w:val="009E39C8"/>
    <w:rsid w:val="00A025E4"/>
    <w:rsid w:val="00A412AD"/>
    <w:rsid w:val="00A44C34"/>
    <w:rsid w:val="00A52EA9"/>
    <w:rsid w:val="00A61006"/>
    <w:rsid w:val="00A62AB2"/>
    <w:rsid w:val="00A700F7"/>
    <w:rsid w:val="00A71B21"/>
    <w:rsid w:val="00A71C03"/>
    <w:rsid w:val="00A77474"/>
    <w:rsid w:val="00A877E6"/>
    <w:rsid w:val="00A97904"/>
    <w:rsid w:val="00AA3379"/>
    <w:rsid w:val="00AB1EDD"/>
    <w:rsid w:val="00AB712D"/>
    <w:rsid w:val="00AC4192"/>
    <w:rsid w:val="00AC6543"/>
    <w:rsid w:val="00AD45C1"/>
    <w:rsid w:val="00AD6BAA"/>
    <w:rsid w:val="00AE0F8B"/>
    <w:rsid w:val="00AE1E11"/>
    <w:rsid w:val="00AE2031"/>
    <w:rsid w:val="00AE5C53"/>
    <w:rsid w:val="00B13747"/>
    <w:rsid w:val="00B23ED2"/>
    <w:rsid w:val="00B4438F"/>
    <w:rsid w:val="00B52E30"/>
    <w:rsid w:val="00B700CA"/>
    <w:rsid w:val="00B71185"/>
    <w:rsid w:val="00B75508"/>
    <w:rsid w:val="00B84F58"/>
    <w:rsid w:val="00B86788"/>
    <w:rsid w:val="00B924F3"/>
    <w:rsid w:val="00B92555"/>
    <w:rsid w:val="00B95C8B"/>
    <w:rsid w:val="00BA2F35"/>
    <w:rsid w:val="00BA5012"/>
    <w:rsid w:val="00BA531E"/>
    <w:rsid w:val="00BB2A1E"/>
    <w:rsid w:val="00BC12FF"/>
    <w:rsid w:val="00BC430E"/>
    <w:rsid w:val="00BC6F9C"/>
    <w:rsid w:val="00BC7437"/>
    <w:rsid w:val="00BD25A4"/>
    <w:rsid w:val="00BD7207"/>
    <w:rsid w:val="00BE611A"/>
    <w:rsid w:val="00BF49EE"/>
    <w:rsid w:val="00BF6348"/>
    <w:rsid w:val="00C0095D"/>
    <w:rsid w:val="00C10692"/>
    <w:rsid w:val="00C1735D"/>
    <w:rsid w:val="00C174D8"/>
    <w:rsid w:val="00C17FCB"/>
    <w:rsid w:val="00C24AA9"/>
    <w:rsid w:val="00C31EB3"/>
    <w:rsid w:val="00C356C8"/>
    <w:rsid w:val="00C43F5E"/>
    <w:rsid w:val="00C55858"/>
    <w:rsid w:val="00C6317C"/>
    <w:rsid w:val="00C70894"/>
    <w:rsid w:val="00C72029"/>
    <w:rsid w:val="00C80E78"/>
    <w:rsid w:val="00C815C4"/>
    <w:rsid w:val="00C85EA4"/>
    <w:rsid w:val="00CA3B1A"/>
    <w:rsid w:val="00CB2753"/>
    <w:rsid w:val="00CB7849"/>
    <w:rsid w:val="00CC1A62"/>
    <w:rsid w:val="00CC4EAA"/>
    <w:rsid w:val="00CC69C0"/>
    <w:rsid w:val="00CD77AB"/>
    <w:rsid w:val="00CE170F"/>
    <w:rsid w:val="00CF3934"/>
    <w:rsid w:val="00CF4959"/>
    <w:rsid w:val="00D00955"/>
    <w:rsid w:val="00D01C56"/>
    <w:rsid w:val="00D06C3F"/>
    <w:rsid w:val="00D06F90"/>
    <w:rsid w:val="00D132E9"/>
    <w:rsid w:val="00D15054"/>
    <w:rsid w:val="00D20A54"/>
    <w:rsid w:val="00D23E03"/>
    <w:rsid w:val="00D26A37"/>
    <w:rsid w:val="00D3047F"/>
    <w:rsid w:val="00D3578E"/>
    <w:rsid w:val="00D40F36"/>
    <w:rsid w:val="00D5069D"/>
    <w:rsid w:val="00D53755"/>
    <w:rsid w:val="00D61A0C"/>
    <w:rsid w:val="00D76042"/>
    <w:rsid w:val="00D777A7"/>
    <w:rsid w:val="00D800E4"/>
    <w:rsid w:val="00D87329"/>
    <w:rsid w:val="00D96AE6"/>
    <w:rsid w:val="00DA3D9E"/>
    <w:rsid w:val="00DA5203"/>
    <w:rsid w:val="00DA5F03"/>
    <w:rsid w:val="00DB37C2"/>
    <w:rsid w:val="00DB398C"/>
    <w:rsid w:val="00DC3D80"/>
    <w:rsid w:val="00DC4AE3"/>
    <w:rsid w:val="00DE09B1"/>
    <w:rsid w:val="00DE763D"/>
    <w:rsid w:val="00DF5D00"/>
    <w:rsid w:val="00E0412E"/>
    <w:rsid w:val="00E070E0"/>
    <w:rsid w:val="00E125BC"/>
    <w:rsid w:val="00E125FC"/>
    <w:rsid w:val="00E13E3E"/>
    <w:rsid w:val="00E16995"/>
    <w:rsid w:val="00E21F57"/>
    <w:rsid w:val="00E369AB"/>
    <w:rsid w:val="00E36CDE"/>
    <w:rsid w:val="00E41CED"/>
    <w:rsid w:val="00E45712"/>
    <w:rsid w:val="00E47303"/>
    <w:rsid w:val="00E53847"/>
    <w:rsid w:val="00E539B1"/>
    <w:rsid w:val="00E549E0"/>
    <w:rsid w:val="00E55864"/>
    <w:rsid w:val="00E60CC3"/>
    <w:rsid w:val="00E7668E"/>
    <w:rsid w:val="00E82337"/>
    <w:rsid w:val="00E85768"/>
    <w:rsid w:val="00E91B7F"/>
    <w:rsid w:val="00E93048"/>
    <w:rsid w:val="00E94FC9"/>
    <w:rsid w:val="00E96050"/>
    <w:rsid w:val="00EA4596"/>
    <w:rsid w:val="00EA45A3"/>
    <w:rsid w:val="00EA532E"/>
    <w:rsid w:val="00EB2A54"/>
    <w:rsid w:val="00EC01F8"/>
    <w:rsid w:val="00EC5975"/>
    <w:rsid w:val="00EE4A51"/>
    <w:rsid w:val="00EF1379"/>
    <w:rsid w:val="00EF7DEB"/>
    <w:rsid w:val="00F032B9"/>
    <w:rsid w:val="00F04E4C"/>
    <w:rsid w:val="00F07DF1"/>
    <w:rsid w:val="00F17CE4"/>
    <w:rsid w:val="00F2539C"/>
    <w:rsid w:val="00F27DA4"/>
    <w:rsid w:val="00F31A83"/>
    <w:rsid w:val="00F32F6C"/>
    <w:rsid w:val="00F35CE7"/>
    <w:rsid w:val="00F37F82"/>
    <w:rsid w:val="00F421DD"/>
    <w:rsid w:val="00F442AE"/>
    <w:rsid w:val="00F447A7"/>
    <w:rsid w:val="00F44C8B"/>
    <w:rsid w:val="00F472C7"/>
    <w:rsid w:val="00F55C97"/>
    <w:rsid w:val="00F627C5"/>
    <w:rsid w:val="00F64639"/>
    <w:rsid w:val="00F654BC"/>
    <w:rsid w:val="00F67370"/>
    <w:rsid w:val="00F8040D"/>
    <w:rsid w:val="00F81B78"/>
    <w:rsid w:val="00FA1771"/>
    <w:rsid w:val="00FA7939"/>
    <w:rsid w:val="00FB4022"/>
    <w:rsid w:val="00FC2B58"/>
    <w:rsid w:val="00FC3D07"/>
    <w:rsid w:val="00FC41B7"/>
    <w:rsid w:val="00FE65B9"/>
    <w:rsid w:val="00FF05FA"/>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5A85D"/>
  <w15:chartTrackingRefBased/>
  <w15:docId w15:val="{DA39749A-CD5A-4094-8A81-49CD020E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7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67B7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867B7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867B7D"/>
    <w:pPr>
      <w:keepNext/>
      <w:keepLines/>
      <w:spacing w:before="240" w:after="24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B7D"/>
    <w:rPr>
      <w:rFonts w:ascii="Arial" w:eastAsiaTheme="majorEastAsia" w:hAnsi="Arial" w:cs="Times New Roman"/>
      <w:b/>
      <w:bCs/>
      <w:sz w:val="28"/>
      <w:szCs w:val="28"/>
    </w:rPr>
  </w:style>
  <w:style w:type="character" w:customStyle="1" w:styleId="Heading2Char">
    <w:name w:val="Heading 2 Char"/>
    <w:basedOn w:val="DefaultParagraphFont"/>
    <w:link w:val="Heading2"/>
    <w:rsid w:val="00867B7D"/>
    <w:rPr>
      <w:rFonts w:ascii="Arial" w:eastAsiaTheme="majorEastAsia" w:hAnsi="Arial" w:cstheme="majorBidi"/>
      <w:b/>
      <w:sz w:val="24"/>
      <w:szCs w:val="26"/>
    </w:rPr>
  </w:style>
  <w:style w:type="character" w:customStyle="1" w:styleId="Heading3Char">
    <w:name w:val="Heading 3 Char"/>
    <w:basedOn w:val="DefaultParagraphFont"/>
    <w:link w:val="Heading3"/>
    <w:rsid w:val="00867B7D"/>
    <w:rPr>
      <w:rFonts w:ascii="Arial" w:eastAsiaTheme="majorEastAsia" w:hAnsi="Arial" w:cstheme="majorBidi"/>
      <w:b/>
      <w:sz w:val="24"/>
      <w:szCs w:val="24"/>
    </w:rPr>
  </w:style>
  <w:style w:type="paragraph" w:styleId="Footer">
    <w:name w:val="footer"/>
    <w:basedOn w:val="Normal"/>
    <w:link w:val="FooterChar"/>
    <w:uiPriority w:val="99"/>
    <w:rsid w:val="00867B7D"/>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867B7D"/>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67B7D"/>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867B7D"/>
    <w:rPr>
      <w:rFonts w:ascii="Calibri" w:eastAsia="Times New Roman" w:hAnsi="Calibri" w:cs="Calibri"/>
      <w:lang w:eastAsia="en-AU"/>
    </w:rPr>
  </w:style>
  <w:style w:type="paragraph" w:styleId="BalloonText">
    <w:name w:val="Balloon Text"/>
    <w:basedOn w:val="Normal"/>
    <w:link w:val="BalloonTextChar"/>
    <w:uiPriority w:val="99"/>
    <w:semiHidden/>
    <w:unhideWhenUsed/>
    <w:rsid w:val="009D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3D2"/>
    <w:rPr>
      <w:rFonts w:ascii="Segoe UI" w:eastAsia="Times New Roman" w:hAnsi="Segoe UI" w:cs="Segoe UI"/>
      <w:sz w:val="18"/>
      <w:szCs w:val="18"/>
    </w:rPr>
  </w:style>
  <w:style w:type="paragraph" w:customStyle="1" w:styleId="CS-Paragraphnumbering">
    <w:name w:val="CS - Paragraph numbering"/>
    <w:basedOn w:val="Normal"/>
    <w:rsid w:val="00695122"/>
    <w:pPr>
      <w:numPr>
        <w:numId w:val="3"/>
      </w:numPr>
      <w:spacing w:after="120"/>
      <w:ind w:left="567" w:right="-45" w:hanging="567"/>
    </w:pPr>
    <w:rPr>
      <w:rFonts w:asciiTheme="minorHAnsi" w:eastAsiaTheme="minorHAnsi" w:hAnsiTheme="minorHAnsi" w:cstheme="minorBidi"/>
      <w:sz w:val="24"/>
      <w:szCs w:val="24"/>
    </w:rPr>
  </w:style>
  <w:style w:type="paragraph" w:styleId="Revision">
    <w:name w:val="Revision"/>
    <w:hidden/>
    <w:uiPriority w:val="99"/>
    <w:semiHidden/>
    <w:rsid w:val="005E652F"/>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F32F6C"/>
    <w:rPr>
      <w:sz w:val="16"/>
      <w:szCs w:val="16"/>
    </w:rPr>
  </w:style>
  <w:style w:type="paragraph" w:styleId="CommentText">
    <w:name w:val="annotation text"/>
    <w:basedOn w:val="Normal"/>
    <w:link w:val="CommentTextChar"/>
    <w:uiPriority w:val="99"/>
    <w:semiHidden/>
    <w:unhideWhenUsed/>
    <w:rsid w:val="00F32F6C"/>
    <w:pPr>
      <w:spacing w:line="240" w:lineRule="auto"/>
    </w:pPr>
    <w:rPr>
      <w:sz w:val="20"/>
      <w:szCs w:val="20"/>
    </w:rPr>
  </w:style>
  <w:style w:type="character" w:customStyle="1" w:styleId="CommentTextChar">
    <w:name w:val="Comment Text Char"/>
    <w:basedOn w:val="DefaultParagraphFont"/>
    <w:link w:val="CommentText"/>
    <w:uiPriority w:val="99"/>
    <w:semiHidden/>
    <w:rsid w:val="00F32F6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2F6C"/>
    <w:rPr>
      <w:b/>
      <w:bCs/>
    </w:rPr>
  </w:style>
  <w:style w:type="character" w:customStyle="1" w:styleId="CommentSubjectChar">
    <w:name w:val="Comment Subject Char"/>
    <w:basedOn w:val="CommentTextChar"/>
    <w:link w:val="CommentSubject"/>
    <w:uiPriority w:val="99"/>
    <w:semiHidden/>
    <w:rsid w:val="00F32F6C"/>
    <w:rPr>
      <w:rFonts w:ascii="Calibri" w:eastAsia="Times New Roman" w:hAnsi="Calibri" w:cs="Times New Roman"/>
      <w:b/>
      <w:bCs/>
      <w:sz w:val="20"/>
      <w:szCs w:val="20"/>
    </w:rPr>
  </w:style>
  <w:style w:type="character" w:customStyle="1" w:styleId="Calibri12">
    <w:name w:val="Calibri 12"/>
    <w:uiPriority w:val="1"/>
    <w:qFormat/>
    <w:rsid w:val="005F1403"/>
    <w:rPr>
      <w:rFonts w:asciiTheme="minorHAnsi" w:hAnsiTheme="minorHAnsi"/>
    </w:rPr>
  </w:style>
  <w:style w:type="paragraph" w:styleId="FootnoteText">
    <w:name w:val="footnote text"/>
    <w:basedOn w:val="Normal"/>
    <w:link w:val="FootnoteTextChar"/>
    <w:uiPriority w:val="99"/>
    <w:semiHidden/>
    <w:unhideWhenUsed/>
    <w:rsid w:val="00454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25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5425B"/>
    <w:rPr>
      <w:vertAlign w:val="superscript"/>
    </w:rPr>
  </w:style>
  <w:style w:type="character" w:styleId="Hyperlink">
    <w:name w:val="Hyperlink"/>
    <w:basedOn w:val="DefaultParagraphFont"/>
    <w:uiPriority w:val="99"/>
    <w:unhideWhenUsed/>
    <w:rsid w:val="00FF05FA"/>
    <w:rPr>
      <w:color w:val="0563C1" w:themeColor="hyperlink"/>
      <w:u w:val="single"/>
    </w:rPr>
  </w:style>
  <w:style w:type="character" w:styleId="UnresolvedMention">
    <w:name w:val="Unresolved Mention"/>
    <w:basedOn w:val="DefaultParagraphFont"/>
    <w:uiPriority w:val="99"/>
    <w:semiHidden/>
    <w:unhideWhenUsed/>
    <w:rsid w:val="00FF05FA"/>
    <w:rPr>
      <w:color w:val="605E5C"/>
      <w:shd w:val="clear" w:color="auto" w:fill="E1DFDD"/>
    </w:rPr>
  </w:style>
  <w:style w:type="paragraph" w:styleId="Header">
    <w:name w:val="header"/>
    <w:basedOn w:val="Normal"/>
    <w:link w:val="HeaderChar"/>
    <w:uiPriority w:val="99"/>
    <w:unhideWhenUsed/>
    <w:rsid w:val="003D3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0C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D220F-45FB-4270-ACC3-EC208A10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4111</Words>
  <Characters>21411</Characters>
  <Application>Microsoft Office Word</Application>
  <DocSecurity>0</DocSecurity>
  <Lines>405</Lines>
  <Paragraphs>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dcterms:created xsi:type="dcterms:W3CDTF">2020-09-04T04:09:00Z</dcterms:created>
  <dcterms:modified xsi:type="dcterms:W3CDTF">2020-09-04T04:09:00Z</dcterms:modified>
</cp:coreProperties>
</file>