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1CEDB722" w:rsidR="00741C4A" w:rsidRPr="002A477B" w:rsidRDefault="00BC54C8" w:rsidP="00741C4A">
      <w:pPr>
        <w:spacing w:after="0"/>
        <w:jc w:val="center"/>
        <w:rPr>
          <w:rFonts w:ascii="Arial" w:hAnsi="Arial" w:cs="Arial"/>
          <w:b/>
          <w:bCs/>
          <w:sz w:val="24"/>
          <w:szCs w:val="24"/>
        </w:rPr>
      </w:pPr>
      <w:bookmarkStart w:id="1" w:name="_Hlk36470706"/>
      <w:bookmarkStart w:id="2" w:name="_Hlk36462227"/>
      <w:r w:rsidRPr="000034B3">
        <w:rPr>
          <w:rFonts w:ascii="Arial" w:hAnsi="Arial" w:cs="Arial"/>
          <w:b/>
          <w:bCs/>
          <w:sz w:val="24"/>
          <w:szCs w:val="24"/>
        </w:rPr>
        <w:t xml:space="preserve">Planning </w:t>
      </w:r>
      <w:r w:rsidR="000034B3" w:rsidRPr="002B583C">
        <w:rPr>
          <w:rFonts w:ascii="Arial" w:hAnsi="Arial" w:cs="Arial"/>
          <w:b/>
          <w:bCs/>
          <w:sz w:val="24"/>
          <w:szCs w:val="24"/>
        </w:rPr>
        <w:t>a</w:t>
      </w:r>
      <w:r w:rsidRPr="002A477B">
        <w:rPr>
          <w:rFonts w:ascii="Arial" w:hAnsi="Arial" w:cs="Arial"/>
          <w:b/>
          <w:bCs/>
          <w:sz w:val="24"/>
          <w:szCs w:val="24"/>
        </w:rPr>
        <w:t xml:space="preserve">nd Development (Community Consultation) Amendment Regulation 2020 </w:t>
      </w:r>
      <w:bookmarkEnd w:id="1"/>
      <w:r w:rsidR="00AA0EAF" w:rsidRPr="002A477B">
        <w:rPr>
          <w:rFonts w:ascii="Arial" w:hAnsi="Arial" w:cs="Arial"/>
          <w:b/>
          <w:bCs/>
          <w:sz w:val="24"/>
          <w:szCs w:val="24"/>
        </w:rPr>
        <w:t xml:space="preserve">(No </w:t>
      </w:r>
      <w:r w:rsidR="000034B3" w:rsidRPr="002A477B">
        <w:rPr>
          <w:rFonts w:ascii="Arial" w:hAnsi="Arial" w:cs="Arial"/>
          <w:b/>
          <w:bCs/>
          <w:sz w:val="24"/>
          <w:szCs w:val="24"/>
        </w:rPr>
        <w:t>1</w:t>
      </w:r>
      <w:r w:rsidR="00AA0EAF" w:rsidRPr="002A477B">
        <w:rPr>
          <w:rFonts w:ascii="Arial" w:hAnsi="Arial" w:cs="Arial"/>
          <w:b/>
          <w:bCs/>
          <w:sz w:val="24"/>
          <w:szCs w:val="24"/>
        </w:rPr>
        <w:t xml:space="preserve">) </w:t>
      </w:r>
      <w:bookmarkEnd w:id="2"/>
      <w:r w:rsidR="00144180">
        <w:rPr>
          <w:rFonts w:ascii="Arial" w:hAnsi="Arial" w:cs="Arial"/>
          <w:b/>
          <w:bCs/>
          <w:sz w:val="24"/>
          <w:szCs w:val="24"/>
        </w:rPr>
        <w:br/>
      </w:r>
      <w:r w:rsidR="00AA0EAF" w:rsidRPr="002A477B">
        <w:rPr>
          <w:rFonts w:ascii="Arial" w:hAnsi="Arial" w:cs="Arial"/>
          <w:b/>
          <w:bCs/>
          <w:sz w:val="24"/>
          <w:szCs w:val="24"/>
        </w:rPr>
        <w:t>(SL2020-</w:t>
      </w:r>
      <w:r w:rsidR="00144180">
        <w:rPr>
          <w:rFonts w:ascii="Arial" w:hAnsi="Arial" w:cs="Arial"/>
          <w:b/>
          <w:bCs/>
          <w:sz w:val="24"/>
          <w:szCs w:val="24"/>
        </w:rPr>
        <w:t>35</w:t>
      </w:r>
      <w:r w:rsidR="00AA0EAF" w:rsidRPr="002A477B">
        <w:rPr>
          <w:rFonts w:ascii="Arial" w:hAnsi="Arial" w:cs="Arial"/>
          <w:b/>
          <w:bCs/>
          <w:sz w:val="24"/>
          <w:szCs w:val="24"/>
        </w:rPr>
        <w:t>)</w:t>
      </w:r>
    </w:p>
    <w:p w14:paraId="19F3C407" w14:textId="77777777" w:rsidR="00BB387E" w:rsidRPr="002A477B" w:rsidRDefault="00BB387E" w:rsidP="00BB387E">
      <w:pPr>
        <w:spacing w:after="0"/>
        <w:jc w:val="center"/>
        <w:rPr>
          <w:rFonts w:ascii="Arial" w:hAnsi="Arial" w:cs="Arial"/>
          <w:b/>
          <w:bCs/>
          <w:sz w:val="24"/>
          <w:szCs w:val="24"/>
        </w:rPr>
      </w:pPr>
    </w:p>
    <w:p w14:paraId="37B3F0B9" w14:textId="77777777" w:rsidR="00BB387E" w:rsidRPr="002A477B" w:rsidRDefault="00BB387E" w:rsidP="00BB387E">
      <w:pPr>
        <w:spacing w:after="0"/>
        <w:jc w:val="center"/>
        <w:rPr>
          <w:rFonts w:ascii="Arial" w:hAnsi="Arial" w:cs="Arial"/>
          <w:b/>
          <w:sz w:val="24"/>
          <w:szCs w:val="24"/>
        </w:rPr>
      </w:pPr>
    </w:p>
    <w:p w14:paraId="0D26BB2F" w14:textId="77777777" w:rsidR="00BB387E" w:rsidRPr="002A477B" w:rsidRDefault="00BB387E" w:rsidP="00BB387E">
      <w:pPr>
        <w:spacing w:after="0"/>
        <w:jc w:val="center"/>
        <w:rPr>
          <w:rFonts w:ascii="Arial" w:hAnsi="Arial" w:cs="Arial"/>
          <w:b/>
          <w:bCs/>
          <w:sz w:val="24"/>
          <w:szCs w:val="24"/>
        </w:rPr>
      </w:pPr>
    </w:p>
    <w:p w14:paraId="6DACE4F9" w14:textId="77777777" w:rsidR="00BC54C8" w:rsidRPr="002A477B" w:rsidRDefault="00BC54C8" w:rsidP="00BB387E">
      <w:pPr>
        <w:spacing w:after="0"/>
        <w:jc w:val="center"/>
        <w:rPr>
          <w:rFonts w:ascii="Arial" w:hAnsi="Arial" w:cs="Arial"/>
          <w:b/>
          <w:bCs/>
          <w:sz w:val="24"/>
          <w:szCs w:val="24"/>
        </w:rPr>
      </w:pPr>
    </w:p>
    <w:p w14:paraId="4DA5E414" w14:textId="77777777" w:rsidR="00BC54C8" w:rsidRPr="002A477B" w:rsidRDefault="00BC54C8" w:rsidP="00BB387E">
      <w:pPr>
        <w:spacing w:after="0"/>
        <w:jc w:val="center"/>
        <w:rPr>
          <w:rFonts w:ascii="Arial" w:hAnsi="Arial" w:cs="Arial"/>
          <w:b/>
          <w:bCs/>
          <w:sz w:val="24"/>
          <w:szCs w:val="24"/>
        </w:rPr>
      </w:pPr>
    </w:p>
    <w:p w14:paraId="21E7A29D" w14:textId="1CD90BC9" w:rsidR="00BB387E" w:rsidRPr="002A477B" w:rsidRDefault="00BB387E" w:rsidP="00BB387E">
      <w:pPr>
        <w:spacing w:after="0"/>
        <w:jc w:val="center"/>
        <w:rPr>
          <w:rFonts w:ascii="Arial" w:hAnsi="Arial" w:cs="Arial"/>
          <w:b/>
          <w:sz w:val="24"/>
          <w:szCs w:val="24"/>
        </w:rPr>
      </w:pPr>
      <w:r w:rsidRPr="002A477B">
        <w:rPr>
          <w:rFonts w:ascii="Arial" w:hAnsi="Arial" w:cs="Arial"/>
          <w:b/>
          <w:bCs/>
          <w:sz w:val="24"/>
          <w:szCs w:val="24"/>
        </w:rPr>
        <w:t>EXPLANATORY STATEMENT</w:t>
      </w:r>
    </w:p>
    <w:p w14:paraId="4E561EC7" w14:textId="77777777" w:rsidR="00BB387E" w:rsidRPr="002A477B" w:rsidRDefault="00BB387E" w:rsidP="00BB387E">
      <w:pPr>
        <w:spacing w:after="0"/>
        <w:jc w:val="center"/>
        <w:rPr>
          <w:rFonts w:ascii="Arial" w:hAnsi="Arial" w:cs="Arial"/>
          <w:b/>
          <w:sz w:val="24"/>
          <w:szCs w:val="24"/>
        </w:rPr>
      </w:pPr>
    </w:p>
    <w:p w14:paraId="58E7858B" w14:textId="77777777" w:rsidR="00BB387E" w:rsidRPr="002A477B" w:rsidRDefault="00BB387E" w:rsidP="00BB387E">
      <w:pPr>
        <w:spacing w:after="0"/>
        <w:jc w:val="center"/>
        <w:rPr>
          <w:rFonts w:ascii="Arial" w:hAnsi="Arial" w:cs="Arial"/>
          <w:b/>
          <w:sz w:val="24"/>
          <w:szCs w:val="24"/>
        </w:rPr>
      </w:pPr>
    </w:p>
    <w:p w14:paraId="44FB09C0" w14:textId="77777777" w:rsidR="00BB387E" w:rsidRPr="002A477B" w:rsidRDefault="00BB387E" w:rsidP="00BB387E">
      <w:pPr>
        <w:spacing w:after="0"/>
        <w:jc w:val="center"/>
        <w:rPr>
          <w:rFonts w:ascii="Arial" w:hAnsi="Arial" w:cs="Arial"/>
          <w:b/>
          <w:sz w:val="24"/>
          <w:szCs w:val="24"/>
        </w:rPr>
      </w:pPr>
    </w:p>
    <w:p w14:paraId="6DB1E5EF" w14:textId="77777777" w:rsidR="00BB387E" w:rsidRPr="002A477B" w:rsidRDefault="00BB387E" w:rsidP="00BB387E">
      <w:pPr>
        <w:spacing w:after="0"/>
        <w:jc w:val="center"/>
        <w:rPr>
          <w:rFonts w:ascii="Arial" w:hAnsi="Arial" w:cs="Arial"/>
          <w:b/>
          <w:sz w:val="24"/>
          <w:szCs w:val="24"/>
        </w:rPr>
      </w:pPr>
    </w:p>
    <w:p w14:paraId="5CCF0433" w14:textId="77777777" w:rsidR="00BB387E" w:rsidRPr="002A477B" w:rsidRDefault="00BB387E" w:rsidP="00BB387E">
      <w:pPr>
        <w:keepNext/>
        <w:widowControl w:val="0"/>
        <w:spacing w:after="0"/>
        <w:jc w:val="center"/>
        <w:outlineLvl w:val="7"/>
        <w:rPr>
          <w:rFonts w:ascii="Arial" w:hAnsi="Arial" w:cs="Arial"/>
          <w:b/>
          <w:bCs/>
          <w:sz w:val="24"/>
          <w:szCs w:val="24"/>
        </w:rPr>
      </w:pPr>
    </w:p>
    <w:p w14:paraId="0CE0F478" w14:textId="77777777" w:rsidR="00BB387E" w:rsidRPr="002A477B" w:rsidRDefault="00BB387E" w:rsidP="00BB387E">
      <w:pPr>
        <w:keepNext/>
        <w:widowControl w:val="0"/>
        <w:spacing w:after="0"/>
        <w:jc w:val="center"/>
        <w:outlineLvl w:val="7"/>
        <w:rPr>
          <w:rFonts w:ascii="Arial" w:hAnsi="Arial" w:cs="Arial"/>
          <w:b/>
          <w:bCs/>
          <w:sz w:val="24"/>
          <w:szCs w:val="24"/>
        </w:rPr>
      </w:pPr>
    </w:p>
    <w:p w14:paraId="6A7DB39D" w14:textId="77777777" w:rsidR="00BC54C8" w:rsidRPr="002A477B" w:rsidRDefault="00BC54C8" w:rsidP="00BB387E">
      <w:pPr>
        <w:keepNext/>
        <w:widowControl w:val="0"/>
        <w:spacing w:after="0"/>
        <w:ind w:right="686"/>
        <w:jc w:val="right"/>
        <w:outlineLvl w:val="7"/>
        <w:rPr>
          <w:rFonts w:ascii="Arial" w:hAnsi="Arial" w:cs="Arial"/>
          <w:b/>
          <w:bCs/>
          <w:sz w:val="24"/>
          <w:szCs w:val="24"/>
        </w:rPr>
      </w:pPr>
    </w:p>
    <w:p w14:paraId="568BD661" w14:textId="77777777" w:rsidR="00BC54C8" w:rsidRPr="002A477B" w:rsidRDefault="00BC54C8" w:rsidP="00BB387E">
      <w:pPr>
        <w:keepNext/>
        <w:widowControl w:val="0"/>
        <w:spacing w:after="0"/>
        <w:ind w:right="686"/>
        <w:jc w:val="right"/>
        <w:outlineLvl w:val="7"/>
        <w:rPr>
          <w:rFonts w:ascii="Arial" w:hAnsi="Arial" w:cs="Arial"/>
          <w:b/>
          <w:bCs/>
          <w:sz w:val="24"/>
          <w:szCs w:val="24"/>
        </w:rPr>
      </w:pPr>
    </w:p>
    <w:p w14:paraId="616677F3" w14:textId="77777777" w:rsidR="00BC54C8" w:rsidRPr="002A477B" w:rsidRDefault="00BC54C8" w:rsidP="00BB387E">
      <w:pPr>
        <w:keepNext/>
        <w:widowControl w:val="0"/>
        <w:spacing w:after="0"/>
        <w:ind w:right="686"/>
        <w:jc w:val="right"/>
        <w:outlineLvl w:val="7"/>
        <w:rPr>
          <w:rFonts w:ascii="Arial" w:hAnsi="Arial" w:cs="Arial"/>
          <w:b/>
          <w:bCs/>
          <w:sz w:val="24"/>
          <w:szCs w:val="24"/>
        </w:rPr>
      </w:pPr>
    </w:p>
    <w:p w14:paraId="388AC376" w14:textId="77777777" w:rsidR="00BC54C8" w:rsidRPr="002A477B" w:rsidRDefault="00BC54C8" w:rsidP="00BB387E">
      <w:pPr>
        <w:keepNext/>
        <w:widowControl w:val="0"/>
        <w:spacing w:after="0"/>
        <w:ind w:right="686"/>
        <w:jc w:val="right"/>
        <w:outlineLvl w:val="7"/>
        <w:rPr>
          <w:rFonts w:ascii="Arial" w:hAnsi="Arial" w:cs="Arial"/>
          <w:b/>
          <w:bCs/>
          <w:sz w:val="24"/>
          <w:szCs w:val="24"/>
        </w:rPr>
      </w:pPr>
    </w:p>
    <w:p w14:paraId="5181B29D" w14:textId="77777777" w:rsidR="00BC54C8" w:rsidRPr="002A477B" w:rsidRDefault="00BC54C8" w:rsidP="00BB387E">
      <w:pPr>
        <w:keepNext/>
        <w:widowControl w:val="0"/>
        <w:spacing w:after="0"/>
        <w:ind w:right="686"/>
        <w:jc w:val="right"/>
        <w:outlineLvl w:val="7"/>
        <w:rPr>
          <w:rFonts w:ascii="Arial" w:hAnsi="Arial" w:cs="Arial"/>
          <w:b/>
          <w:bCs/>
          <w:sz w:val="24"/>
          <w:szCs w:val="24"/>
        </w:rPr>
      </w:pPr>
    </w:p>
    <w:p w14:paraId="2D0F4E33" w14:textId="3E7960C1" w:rsidR="00BB387E" w:rsidRPr="002A477B" w:rsidRDefault="00BB387E" w:rsidP="00BB387E">
      <w:pPr>
        <w:keepNext/>
        <w:widowControl w:val="0"/>
        <w:spacing w:after="0"/>
        <w:ind w:right="686"/>
        <w:jc w:val="right"/>
        <w:outlineLvl w:val="7"/>
        <w:rPr>
          <w:rFonts w:ascii="Arial" w:hAnsi="Arial" w:cs="Arial"/>
          <w:b/>
          <w:bCs/>
          <w:sz w:val="24"/>
          <w:szCs w:val="24"/>
        </w:rPr>
      </w:pPr>
      <w:r w:rsidRPr="002A477B">
        <w:rPr>
          <w:rFonts w:ascii="Arial" w:hAnsi="Arial" w:cs="Arial"/>
          <w:b/>
          <w:bCs/>
          <w:sz w:val="24"/>
          <w:szCs w:val="24"/>
        </w:rPr>
        <w:t>Presented by</w:t>
      </w:r>
    </w:p>
    <w:p w14:paraId="5BBE2D1D" w14:textId="0C5B3D87" w:rsidR="00BB387E" w:rsidRPr="002A477B" w:rsidRDefault="007C477A" w:rsidP="00BB387E">
      <w:pPr>
        <w:spacing w:after="0"/>
        <w:ind w:right="686"/>
        <w:jc w:val="right"/>
        <w:rPr>
          <w:rFonts w:ascii="Arial" w:hAnsi="Arial" w:cs="Arial"/>
          <w:b/>
          <w:bCs/>
          <w:sz w:val="24"/>
          <w:szCs w:val="24"/>
        </w:rPr>
      </w:pPr>
      <w:r w:rsidRPr="002A477B">
        <w:rPr>
          <w:rFonts w:ascii="Arial" w:hAnsi="Arial" w:cs="Arial"/>
          <w:b/>
          <w:bCs/>
          <w:sz w:val="24"/>
          <w:szCs w:val="24"/>
        </w:rPr>
        <w:t>Mick Gentleman</w:t>
      </w:r>
      <w:r w:rsidR="00BC54C8" w:rsidRPr="002A477B">
        <w:rPr>
          <w:rFonts w:ascii="Arial" w:hAnsi="Arial" w:cs="Arial"/>
          <w:b/>
          <w:bCs/>
          <w:sz w:val="24"/>
          <w:szCs w:val="24"/>
        </w:rPr>
        <w:t xml:space="preserve"> MLA</w:t>
      </w:r>
    </w:p>
    <w:p w14:paraId="7BA96441" w14:textId="1351D88D" w:rsidR="007C477A" w:rsidRPr="002A477B" w:rsidRDefault="007C477A" w:rsidP="00BB387E">
      <w:pPr>
        <w:spacing w:after="0"/>
        <w:ind w:right="686"/>
        <w:jc w:val="right"/>
        <w:rPr>
          <w:rFonts w:ascii="Arial" w:hAnsi="Arial" w:cs="Arial"/>
          <w:b/>
          <w:bCs/>
          <w:sz w:val="24"/>
          <w:szCs w:val="24"/>
        </w:rPr>
      </w:pPr>
      <w:r w:rsidRPr="002A477B">
        <w:rPr>
          <w:rFonts w:ascii="Arial" w:hAnsi="Arial" w:cs="Arial"/>
          <w:b/>
          <w:bCs/>
          <w:sz w:val="24"/>
          <w:szCs w:val="24"/>
        </w:rPr>
        <w:t>Minister for Planning and Land Management</w:t>
      </w:r>
    </w:p>
    <w:p w14:paraId="29D58DC6" w14:textId="66975476" w:rsidR="00DC5912" w:rsidRPr="002A477B" w:rsidRDefault="00DC5912">
      <w:pPr>
        <w:spacing w:after="0" w:line="240" w:lineRule="auto"/>
        <w:rPr>
          <w:rFonts w:ascii="Arial" w:hAnsi="Arial" w:cs="Arial"/>
          <w:b/>
          <w:bCs/>
          <w:sz w:val="24"/>
          <w:szCs w:val="24"/>
          <w:u w:val="single"/>
        </w:rPr>
        <w:sectPr w:rsidR="00DC5912" w:rsidRPr="002A477B"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p>
    <w:p w14:paraId="7BD217BF" w14:textId="0B685D48" w:rsidR="00790FE4" w:rsidRPr="002A477B" w:rsidRDefault="00BC54C8" w:rsidP="00E55052">
      <w:pPr>
        <w:spacing w:after="0"/>
        <w:contextualSpacing/>
        <w:jc w:val="center"/>
        <w:rPr>
          <w:rFonts w:ascii="Arial" w:eastAsiaTheme="majorEastAsia" w:hAnsi="Arial"/>
          <w:b/>
          <w:bCs/>
          <w:sz w:val="28"/>
          <w:szCs w:val="28"/>
        </w:rPr>
      </w:pPr>
      <w:r w:rsidRPr="002A477B">
        <w:rPr>
          <w:rFonts w:ascii="Arial" w:eastAsiaTheme="majorEastAsia" w:hAnsi="Arial"/>
          <w:b/>
          <w:bCs/>
          <w:sz w:val="28"/>
          <w:szCs w:val="28"/>
        </w:rPr>
        <w:lastRenderedPageBreak/>
        <w:t xml:space="preserve">Planning </w:t>
      </w:r>
      <w:r w:rsidR="004F40C7">
        <w:rPr>
          <w:rFonts w:ascii="Arial" w:eastAsiaTheme="majorEastAsia" w:hAnsi="Arial"/>
          <w:b/>
          <w:bCs/>
          <w:sz w:val="28"/>
          <w:szCs w:val="28"/>
        </w:rPr>
        <w:t>a</w:t>
      </w:r>
      <w:r w:rsidRPr="002A477B">
        <w:rPr>
          <w:rFonts w:ascii="Arial" w:eastAsiaTheme="majorEastAsia" w:hAnsi="Arial"/>
          <w:b/>
          <w:bCs/>
          <w:sz w:val="28"/>
          <w:szCs w:val="28"/>
        </w:rPr>
        <w:t xml:space="preserve">nd Development (Community Consultation) Amendment Regulation </w:t>
      </w:r>
      <w:r w:rsidR="00E55052" w:rsidRPr="002A477B">
        <w:rPr>
          <w:rFonts w:ascii="Arial" w:eastAsiaTheme="majorEastAsia" w:hAnsi="Arial"/>
          <w:b/>
          <w:bCs/>
          <w:sz w:val="28"/>
          <w:szCs w:val="28"/>
        </w:rPr>
        <w:t xml:space="preserve">2020 (No </w:t>
      </w:r>
      <w:r w:rsidR="000034B3" w:rsidRPr="002A477B">
        <w:rPr>
          <w:rFonts w:ascii="Arial" w:eastAsiaTheme="majorEastAsia" w:hAnsi="Arial"/>
          <w:b/>
          <w:bCs/>
          <w:sz w:val="28"/>
          <w:szCs w:val="28"/>
        </w:rPr>
        <w:t>1</w:t>
      </w:r>
      <w:r w:rsidR="00E55052" w:rsidRPr="002A477B">
        <w:rPr>
          <w:rFonts w:ascii="Arial" w:eastAsiaTheme="majorEastAsia" w:hAnsi="Arial"/>
          <w:b/>
          <w:bCs/>
          <w:sz w:val="28"/>
          <w:szCs w:val="28"/>
        </w:rPr>
        <w:t>)</w:t>
      </w:r>
    </w:p>
    <w:p w14:paraId="3B8B04F9" w14:textId="77777777" w:rsidR="00E55052" w:rsidRPr="002A477B" w:rsidRDefault="00E55052" w:rsidP="00E55052">
      <w:pPr>
        <w:spacing w:after="0"/>
        <w:contextualSpacing/>
        <w:jc w:val="center"/>
        <w:rPr>
          <w:rFonts w:ascii="Arial" w:hAnsi="Arial" w:cs="Arial"/>
          <w:b/>
          <w:sz w:val="24"/>
          <w:szCs w:val="24"/>
        </w:rPr>
      </w:pPr>
    </w:p>
    <w:p w14:paraId="01B4A844" w14:textId="7E0BC49B" w:rsidR="007C477A" w:rsidRPr="001D0452" w:rsidRDefault="007C477A" w:rsidP="007C477A">
      <w:pPr>
        <w:autoSpaceDE w:val="0"/>
        <w:autoSpaceDN w:val="0"/>
        <w:adjustRightInd w:val="0"/>
        <w:spacing w:after="240"/>
        <w:rPr>
          <w:szCs w:val="24"/>
        </w:rPr>
      </w:pPr>
      <w:r w:rsidRPr="002A477B">
        <w:rPr>
          <w:color w:val="000000"/>
          <w:szCs w:val="24"/>
        </w:rPr>
        <w:t xml:space="preserve">This explanatory statement relates to the </w:t>
      </w:r>
      <w:r w:rsidRPr="002A477B">
        <w:rPr>
          <w:i/>
          <w:color w:val="000000"/>
          <w:szCs w:val="24"/>
        </w:rPr>
        <w:t>Planning and Development</w:t>
      </w:r>
      <w:r w:rsidR="000034B3" w:rsidRPr="002A477B">
        <w:rPr>
          <w:i/>
          <w:color w:val="000000"/>
          <w:szCs w:val="24"/>
        </w:rPr>
        <w:t xml:space="preserve"> (Community Consultation)</w:t>
      </w:r>
      <w:r w:rsidRPr="002A477B">
        <w:rPr>
          <w:i/>
          <w:color w:val="000000"/>
          <w:szCs w:val="24"/>
        </w:rPr>
        <w:t xml:space="preserve"> Amendment Regulation 2020 </w:t>
      </w:r>
      <w:r w:rsidR="00BC54C8" w:rsidRPr="002A477B">
        <w:rPr>
          <w:i/>
          <w:color w:val="000000"/>
          <w:szCs w:val="24"/>
        </w:rPr>
        <w:t xml:space="preserve">(No </w:t>
      </w:r>
      <w:r w:rsidR="000034B3" w:rsidRPr="002A477B">
        <w:rPr>
          <w:i/>
          <w:color w:val="000000"/>
          <w:szCs w:val="24"/>
        </w:rPr>
        <w:t>1</w:t>
      </w:r>
      <w:r w:rsidR="00BC54C8" w:rsidRPr="002A477B">
        <w:rPr>
          <w:i/>
          <w:color w:val="000000"/>
          <w:szCs w:val="24"/>
        </w:rPr>
        <w:t xml:space="preserve">) </w:t>
      </w:r>
      <w:r w:rsidRPr="002A477B">
        <w:rPr>
          <w:color w:val="000000"/>
          <w:szCs w:val="24"/>
        </w:rPr>
        <w:t xml:space="preserve">(the </w:t>
      </w:r>
      <w:r w:rsidRPr="002A477B">
        <w:rPr>
          <w:b/>
          <w:bCs/>
          <w:color w:val="000000"/>
          <w:szCs w:val="24"/>
        </w:rPr>
        <w:t>amendment regulation</w:t>
      </w:r>
      <w:r w:rsidRPr="002A477B">
        <w:rPr>
          <w:color w:val="000000"/>
          <w:szCs w:val="24"/>
        </w:rPr>
        <w:t xml:space="preserve">) as made by the Executive.  </w:t>
      </w:r>
      <w:r w:rsidRPr="002A477B">
        <w:rPr>
          <w:szCs w:val="24"/>
        </w:rPr>
        <w:t>It has been prepared to assist the reader of the amendment regulation and to help inform any debate on it. It does not form part of the amendment regulation and has not been endorsed by the</w:t>
      </w:r>
      <w:r w:rsidRPr="001D0452">
        <w:rPr>
          <w:szCs w:val="24"/>
        </w:rPr>
        <w:t xml:space="preserve"> Legislative Assembly.</w:t>
      </w:r>
    </w:p>
    <w:p w14:paraId="0AA7EF1B" w14:textId="77777777" w:rsidR="007C477A" w:rsidRPr="001D0452" w:rsidRDefault="007C477A" w:rsidP="007C477A">
      <w:pPr>
        <w:autoSpaceDE w:val="0"/>
        <w:autoSpaceDN w:val="0"/>
        <w:adjustRightInd w:val="0"/>
        <w:spacing w:after="240"/>
        <w:rPr>
          <w:szCs w:val="24"/>
        </w:rPr>
      </w:pPr>
      <w:r w:rsidRPr="001D0452">
        <w:rPr>
          <w:szCs w:val="24"/>
        </w:rPr>
        <w:t>This statement must be read in conjunction wi</w:t>
      </w:r>
      <w:r>
        <w:rPr>
          <w:szCs w:val="24"/>
        </w:rPr>
        <w:t>th the amendment</w:t>
      </w:r>
      <w:r w:rsidRPr="001D0452">
        <w:rPr>
          <w:szCs w:val="24"/>
        </w:rPr>
        <w:t xml:space="preserve"> regulation.</w:t>
      </w:r>
      <w:r>
        <w:rPr>
          <w:szCs w:val="24"/>
        </w:rPr>
        <w:t xml:space="preserve"> </w:t>
      </w:r>
      <w:r w:rsidRPr="001D0452">
        <w:rPr>
          <w:szCs w:val="24"/>
        </w:rPr>
        <w:t>It is not, and is not meant to be, a comprehen</w:t>
      </w:r>
      <w:r>
        <w:rPr>
          <w:szCs w:val="24"/>
        </w:rPr>
        <w:t>sive description of the amendment</w:t>
      </w:r>
      <w:r w:rsidRPr="001D0452">
        <w:rPr>
          <w:szCs w:val="24"/>
        </w:rPr>
        <w:t xml:space="preserve"> regulation. </w:t>
      </w:r>
      <w:r>
        <w:rPr>
          <w:szCs w:val="24"/>
        </w:rPr>
        <w:t xml:space="preserve"> </w:t>
      </w:r>
      <w:r w:rsidRPr="001D0452">
        <w:rPr>
          <w:szCs w:val="24"/>
        </w:rPr>
        <w:t>What is said about a provision is not taken as an authoritative guide to the meaning of a provision, this being a task for the courts.</w:t>
      </w:r>
    </w:p>
    <w:p w14:paraId="29C29316" w14:textId="57B975ED" w:rsidR="007B6A78" w:rsidRDefault="003323FA" w:rsidP="008C225D">
      <w:pPr>
        <w:pStyle w:val="Heading2"/>
      </w:pPr>
      <w:r>
        <w:t xml:space="preserve">OVERVIEW OF THE </w:t>
      </w:r>
      <w:r w:rsidR="00950B1E">
        <w:t>AMENDMENT REGULATION</w:t>
      </w:r>
    </w:p>
    <w:p w14:paraId="5054EF8F" w14:textId="37359942" w:rsidR="005403A6" w:rsidRPr="00011E27" w:rsidRDefault="005403A6" w:rsidP="002A477B">
      <w:pPr>
        <w:widowControl w:val="0"/>
        <w:spacing w:after="240"/>
        <w:ind w:right="-45"/>
        <w:rPr>
          <w:rStyle w:val="PlaceholderText"/>
          <w:rFonts w:ascii="Arial" w:eastAsia="Calibri" w:hAnsi="Arial" w:cstheme="majorBidi"/>
          <w:b/>
          <w:iCs/>
          <w:color w:val="auto"/>
          <w:sz w:val="24"/>
          <w:szCs w:val="26"/>
        </w:rPr>
      </w:pPr>
      <w:r w:rsidRPr="00011E27">
        <w:rPr>
          <w:rStyle w:val="PlaceholderText"/>
          <w:rFonts w:eastAsia="Calibri"/>
          <w:iCs/>
          <w:color w:val="auto"/>
        </w:rPr>
        <w:t xml:space="preserve">Section 138AE of </w:t>
      </w:r>
      <w:r>
        <w:rPr>
          <w:i/>
          <w:iCs/>
          <w:szCs w:val="24"/>
        </w:rPr>
        <w:t>Planning and Development Act 2007</w:t>
      </w:r>
      <w:r>
        <w:rPr>
          <w:szCs w:val="24"/>
        </w:rPr>
        <w:t xml:space="preserve"> (the </w:t>
      </w:r>
      <w:r>
        <w:rPr>
          <w:b/>
          <w:bCs/>
          <w:szCs w:val="24"/>
        </w:rPr>
        <w:t>Act</w:t>
      </w:r>
      <w:r>
        <w:rPr>
          <w:szCs w:val="24"/>
        </w:rPr>
        <w:t xml:space="preserve">) </w:t>
      </w:r>
      <w:r w:rsidRPr="00011E27">
        <w:rPr>
          <w:rStyle w:val="PlaceholderText"/>
          <w:rFonts w:eastAsia="Calibri"/>
          <w:iCs/>
          <w:color w:val="auto"/>
        </w:rPr>
        <w:t xml:space="preserve">requires a proponent of a prescribed development to consult the community prior to lodging a development application (DA). The prescribed development types are outlined in section 20A of the </w:t>
      </w:r>
      <w:r w:rsidRPr="00011E27">
        <w:rPr>
          <w:rStyle w:val="PlaceholderText"/>
          <w:rFonts w:eastAsia="Calibri"/>
          <w:i/>
          <w:iCs/>
          <w:color w:val="auto"/>
        </w:rPr>
        <w:t xml:space="preserve">Planning and Development Regulation 2008 </w:t>
      </w:r>
      <w:r w:rsidRPr="00011E27">
        <w:rPr>
          <w:rStyle w:val="PlaceholderText"/>
          <w:rFonts w:eastAsia="Calibri"/>
          <w:iCs/>
          <w:color w:val="auto"/>
        </w:rPr>
        <w:t xml:space="preserve">(the </w:t>
      </w:r>
      <w:r w:rsidRPr="00011E27">
        <w:rPr>
          <w:rStyle w:val="PlaceholderText"/>
          <w:rFonts w:eastAsia="Calibri"/>
          <w:b/>
          <w:bCs/>
          <w:iCs/>
          <w:color w:val="auto"/>
        </w:rPr>
        <w:t>Regulation</w:t>
      </w:r>
      <w:r w:rsidRPr="00011E27">
        <w:rPr>
          <w:rStyle w:val="PlaceholderText"/>
          <w:rFonts w:eastAsia="Calibri"/>
          <w:iCs/>
          <w:color w:val="auto"/>
        </w:rPr>
        <w:t>).</w:t>
      </w:r>
    </w:p>
    <w:p w14:paraId="66B5F961" w14:textId="76200CA7" w:rsidR="004C18C0" w:rsidRDefault="004C18C0" w:rsidP="004C18C0">
      <w:pPr>
        <w:autoSpaceDE w:val="0"/>
        <w:autoSpaceDN w:val="0"/>
        <w:adjustRightInd w:val="0"/>
        <w:spacing w:after="240"/>
        <w:rPr>
          <w:szCs w:val="24"/>
        </w:rPr>
      </w:pPr>
      <w:r>
        <w:rPr>
          <w:szCs w:val="24"/>
        </w:rPr>
        <w:t xml:space="preserve">In November 2017, the </w:t>
      </w:r>
      <w:r w:rsidR="00BC54C8">
        <w:rPr>
          <w:szCs w:val="24"/>
        </w:rPr>
        <w:t>Chief Planning Executive</w:t>
      </w:r>
      <w:r>
        <w:rPr>
          <w:szCs w:val="24"/>
        </w:rPr>
        <w:t xml:space="preserve"> introduced</w:t>
      </w:r>
      <w:r w:rsidR="00BC54C8">
        <w:rPr>
          <w:szCs w:val="24"/>
        </w:rPr>
        <w:t xml:space="preserve"> the</w:t>
      </w:r>
      <w:r>
        <w:rPr>
          <w:szCs w:val="24"/>
        </w:rPr>
        <w:t xml:space="preserve"> Pre-DA Community Consultation Guidelines for prescribed developments (the </w:t>
      </w:r>
      <w:r>
        <w:rPr>
          <w:b/>
          <w:bCs/>
          <w:szCs w:val="24"/>
        </w:rPr>
        <w:t>Guidelines</w:t>
      </w:r>
      <w:r>
        <w:rPr>
          <w:szCs w:val="24"/>
        </w:rPr>
        <w:t>).</w:t>
      </w:r>
      <w:r w:rsidR="005403A6">
        <w:rPr>
          <w:szCs w:val="24"/>
        </w:rPr>
        <w:t xml:space="preserve"> In accordance with section 138AF of the Act, a proponent of a prescribed development is required to undertake pre-DA community consultation in accordance with the Guidelines.</w:t>
      </w:r>
    </w:p>
    <w:p w14:paraId="1C78A100" w14:textId="1222DA90" w:rsidR="00E909A2" w:rsidRDefault="004C18C0" w:rsidP="004C18C0">
      <w:pPr>
        <w:autoSpaceDE w:val="0"/>
        <w:autoSpaceDN w:val="0"/>
        <w:adjustRightInd w:val="0"/>
        <w:spacing w:after="240"/>
        <w:rPr>
          <w:szCs w:val="24"/>
        </w:rPr>
      </w:pPr>
      <w:r>
        <w:rPr>
          <w:szCs w:val="24"/>
        </w:rPr>
        <w:t xml:space="preserve">When introduced, the ACT Government also committed to undertaking a 12-month implementation review (the </w:t>
      </w:r>
      <w:r>
        <w:rPr>
          <w:b/>
          <w:bCs/>
          <w:szCs w:val="24"/>
        </w:rPr>
        <w:t>review</w:t>
      </w:r>
      <w:r>
        <w:rPr>
          <w:szCs w:val="24"/>
        </w:rPr>
        <w:t xml:space="preserve">) to understand if the goals of the Guidelines are being achieved. The review </w:t>
      </w:r>
      <w:r w:rsidR="005403A6" w:rsidRPr="005403A6">
        <w:rPr>
          <w:szCs w:val="24"/>
        </w:rPr>
        <w:t xml:space="preserve">looked at a sample of </w:t>
      </w:r>
      <w:r w:rsidR="005403A6">
        <w:rPr>
          <w:szCs w:val="24"/>
        </w:rPr>
        <w:t>DAs</w:t>
      </w:r>
      <w:r w:rsidR="005403A6" w:rsidRPr="005403A6">
        <w:rPr>
          <w:szCs w:val="24"/>
        </w:rPr>
        <w:t xml:space="preserve"> that undertook pre-DA consultation since the Guidelines were introduced and included consultation which targeted the users of the Guidelines, including members of both the community and industry</w:t>
      </w:r>
      <w:r w:rsidR="005403A6">
        <w:rPr>
          <w:szCs w:val="24"/>
        </w:rPr>
        <w:t>.</w:t>
      </w:r>
      <w:r w:rsidR="005403A6" w:rsidRPr="005403A6">
        <w:rPr>
          <w:szCs w:val="24"/>
        </w:rPr>
        <w:t xml:space="preserve"> </w:t>
      </w:r>
    </w:p>
    <w:p w14:paraId="2553D0CC" w14:textId="52DE470D" w:rsidR="00E909A2" w:rsidRDefault="00E909A2" w:rsidP="004C18C0">
      <w:pPr>
        <w:autoSpaceDE w:val="0"/>
        <w:autoSpaceDN w:val="0"/>
        <w:adjustRightInd w:val="0"/>
        <w:spacing w:after="240"/>
        <w:rPr>
          <w:szCs w:val="24"/>
        </w:rPr>
      </w:pPr>
      <w:r>
        <w:rPr>
          <w:szCs w:val="24"/>
        </w:rPr>
        <w:t xml:space="preserve">The review, which was finalised in November 2019, </w:t>
      </w:r>
      <w:r w:rsidR="00D916CB">
        <w:rPr>
          <w:szCs w:val="24"/>
        </w:rPr>
        <w:t>found that pre</w:t>
      </w:r>
      <w:r w:rsidR="000E5B3D">
        <w:rPr>
          <w:szCs w:val="24"/>
        </w:rPr>
        <w:t>-</w:t>
      </w:r>
      <w:r w:rsidR="00D916CB">
        <w:rPr>
          <w:szCs w:val="24"/>
        </w:rPr>
        <w:t xml:space="preserve">DA consultation is generally implemented in accordance with the minimum requirements of the Guidelines. The review also made observations and recommendations, </w:t>
      </w:r>
      <w:r w:rsidR="000127F1">
        <w:rPr>
          <w:szCs w:val="24"/>
        </w:rPr>
        <w:t>this included a recommendation to update</w:t>
      </w:r>
      <w:r>
        <w:rPr>
          <w:szCs w:val="24"/>
        </w:rPr>
        <w:t xml:space="preserve"> the triggers and exceptions of pre-DA consultation</w:t>
      </w:r>
      <w:r w:rsidR="000127F1">
        <w:rPr>
          <w:szCs w:val="24"/>
        </w:rPr>
        <w:t xml:space="preserve"> to ensure the scope of development captured meets the intent of the Guidelines. S</w:t>
      </w:r>
      <w:r>
        <w:rPr>
          <w:szCs w:val="24"/>
        </w:rPr>
        <w:t>pecifically</w:t>
      </w:r>
      <w:r w:rsidR="000127F1">
        <w:rPr>
          <w:szCs w:val="24"/>
        </w:rPr>
        <w:t>, the review recommended</w:t>
      </w:r>
      <w:r>
        <w:rPr>
          <w:szCs w:val="24"/>
        </w:rPr>
        <w:t>:</w:t>
      </w:r>
    </w:p>
    <w:p w14:paraId="7FDE72B9" w14:textId="428FEF69" w:rsidR="00E909A2" w:rsidRDefault="000127F1" w:rsidP="00E909A2">
      <w:pPr>
        <w:pStyle w:val="ListParagraph"/>
        <w:numPr>
          <w:ilvl w:val="0"/>
          <w:numId w:val="51"/>
        </w:numPr>
        <w:autoSpaceDE w:val="0"/>
        <w:autoSpaceDN w:val="0"/>
        <w:adjustRightInd w:val="0"/>
        <w:spacing w:after="240"/>
        <w:rPr>
          <w:szCs w:val="24"/>
        </w:rPr>
      </w:pPr>
      <w:r>
        <w:rPr>
          <w:szCs w:val="24"/>
        </w:rPr>
        <w:t xml:space="preserve">adding </w:t>
      </w:r>
      <w:r w:rsidR="00E909A2">
        <w:rPr>
          <w:szCs w:val="24"/>
        </w:rPr>
        <w:t>estate development plan</w:t>
      </w:r>
      <w:r w:rsidR="00892E89">
        <w:rPr>
          <w:szCs w:val="24"/>
        </w:rPr>
        <w:t xml:space="preserve"> (EDP)</w:t>
      </w:r>
      <w:r w:rsidR="00E909A2">
        <w:rPr>
          <w:szCs w:val="24"/>
        </w:rPr>
        <w:t xml:space="preserve"> DAs </w:t>
      </w:r>
      <w:r>
        <w:rPr>
          <w:szCs w:val="24"/>
        </w:rPr>
        <w:t>with</w:t>
      </w:r>
      <w:r w:rsidR="00E909A2">
        <w:rPr>
          <w:szCs w:val="24"/>
        </w:rPr>
        <w:t>in existing suburbs and all development that are required to be reviewed by the National Capital Design Review Panel</w:t>
      </w:r>
      <w:r>
        <w:rPr>
          <w:szCs w:val="24"/>
        </w:rPr>
        <w:t xml:space="preserve"> (NCDRP)</w:t>
      </w:r>
      <w:r w:rsidR="00E909A2">
        <w:rPr>
          <w:szCs w:val="24"/>
        </w:rPr>
        <w:t xml:space="preserve"> to undergo pre-DA consultation</w:t>
      </w:r>
    </w:p>
    <w:p w14:paraId="2B5F226C" w14:textId="2A8B77B9" w:rsidR="004C18C0" w:rsidRPr="007B0202" w:rsidRDefault="00E909A2" w:rsidP="002A477B">
      <w:pPr>
        <w:pStyle w:val="ListParagraph"/>
        <w:numPr>
          <w:ilvl w:val="0"/>
          <w:numId w:val="51"/>
        </w:numPr>
        <w:autoSpaceDE w:val="0"/>
        <w:autoSpaceDN w:val="0"/>
        <w:adjustRightInd w:val="0"/>
        <w:spacing w:after="240"/>
        <w:rPr>
          <w:szCs w:val="24"/>
        </w:rPr>
      </w:pPr>
      <w:r>
        <w:rPr>
          <w:szCs w:val="24"/>
        </w:rPr>
        <w:t xml:space="preserve">review and revise the areas excepted from pre-DA consultation to limit them to greenfield areas with no existing communities. </w:t>
      </w:r>
    </w:p>
    <w:p w14:paraId="7036705B" w14:textId="143A1B76" w:rsidR="0037200F" w:rsidRDefault="004C18C0" w:rsidP="0037200F">
      <w:pPr>
        <w:autoSpaceDE w:val="0"/>
        <w:autoSpaceDN w:val="0"/>
        <w:adjustRightInd w:val="0"/>
        <w:spacing w:after="240"/>
        <w:rPr>
          <w:szCs w:val="24"/>
        </w:rPr>
      </w:pPr>
      <w:r>
        <w:rPr>
          <w:szCs w:val="24"/>
        </w:rPr>
        <w:t xml:space="preserve">The amendment regulation </w:t>
      </w:r>
      <w:r w:rsidR="00E909A2">
        <w:rPr>
          <w:szCs w:val="24"/>
        </w:rPr>
        <w:t xml:space="preserve">revises </w:t>
      </w:r>
      <w:r>
        <w:rPr>
          <w:szCs w:val="24"/>
        </w:rPr>
        <w:t>Section 20A</w:t>
      </w:r>
      <w:r w:rsidR="00AA0EAF">
        <w:rPr>
          <w:szCs w:val="24"/>
        </w:rPr>
        <w:t xml:space="preserve"> and Schedule 1B</w:t>
      </w:r>
      <w:r>
        <w:rPr>
          <w:szCs w:val="24"/>
        </w:rPr>
        <w:t xml:space="preserve"> of the Regulation </w:t>
      </w:r>
      <w:r w:rsidR="00D916CB">
        <w:rPr>
          <w:szCs w:val="24"/>
        </w:rPr>
        <w:t xml:space="preserve">to action </w:t>
      </w:r>
      <w:r>
        <w:rPr>
          <w:szCs w:val="24"/>
        </w:rPr>
        <w:t>the</w:t>
      </w:r>
      <w:r w:rsidR="00D916CB">
        <w:rPr>
          <w:szCs w:val="24"/>
        </w:rPr>
        <w:t xml:space="preserve"> above</w:t>
      </w:r>
      <w:r>
        <w:rPr>
          <w:szCs w:val="24"/>
        </w:rPr>
        <w:t xml:space="preserve"> recommendations</w:t>
      </w:r>
      <w:r w:rsidR="00AA0EAF">
        <w:rPr>
          <w:szCs w:val="24"/>
        </w:rPr>
        <w:t xml:space="preserve">. </w:t>
      </w:r>
    </w:p>
    <w:p w14:paraId="4D6B4B7D" w14:textId="5F0676A5" w:rsidR="0037200F" w:rsidRDefault="0037200F" w:rsidP="0037200F">
      <w:pPr>
        <w:autoSpaceDE w:val="0"/>
        <w:autoSpaceDN w:val="0"/>
        <w:adjustRightInd w:val="0"/>
        <w:spacing w:after="240"/>
        <w:rPr>
          <w:szCs w:val="24"/>
          <w:u w:val="single"/>
        </w:rPr>
      </w:pPr>
      <w:r>
        <w:rPr>
          <w:szCs w:val="24"/>
          <w:u w:val="single"/>
        </w:rPr>
        <w:lastRenderedPageBreak/>
        <w:t>Section 20A</w:t>
      </w:r>
    </w:p>
    <w:p w14:paraId="60D68846" w14:textId="7E5D09C8" w:rsidR="00341170" w:rsidRDefault="00341170" w:rsidP="0037200F">
      <w:pPr>
        <w:autoSpaceDE w:val="0"/>
        <w:autoSpaceDN w:val="0"/>
        <w:adjustRightInd w:val="0"/>
        <w:spacing w:after="240"/>
        <w:rPr>
          <w:szCs w:val="24"/>
        </w:rPr>
      </w:pPr>
      <w:r>
        <w:rPr>
          <w:szCs w:val="24"/>
        </w:rPr>
        <w:t xml:space="preserve">Section 20A identifies </w:t>
      </w:r>
      <w:r w:rsidR="000D2783">
        <w:rPr>
          <w:szCs w:val="24"/>
        </w:rPr>
        <w:t xml:space="preserve">the types of </w:t>
      </w:r>
      <w:r>
        <w:rPr>
          <w:szCs w:val="24"/>
        </w:rPr>
        <w:t>development proposals</w:t>
      </w:r>
      <w:r w:rsidR="000D2783">
        <w:rPr>
          <w:szCs w:val="24"/>
        </w:rPr>
        <w:t xml:space="preserve"> </w:t>
      </w:r>
      <w:r>
        <w:rPr>
          <w:szCs w:val="24"/>
        </w:rPr>
        <w:t xml:space="preserve">that are required to undertake </w:t>
      </w:r>
      <w:r w:rsidR="00C238F0">
        <w:rPr>
          <w:szCs w:val="24"/>
        </w:rPr>
        <w:t xml:space="preserve">pre-DA </w:t>
      </w:r>
      <w:r>
        <w:rPr>
          <w:szCs w:val="24"/>
        </w:rPr>
        <w:t>community consultation</w:t>
      </w:r>
      <w:r w:rsidR="000D2783">
        <w:rPr>
          <w:szCs w:val="24"/>
        </w:rPr>
        <w:t>,</w:t>
      </w:r>
      <w:r>
        <w:rPr>
          <w:szCs w:val="24"/>
        </w:rPr>
        <w:t xml:space="preserve"> in accordance with Section 138AE</w:t>
      </w:r>
      <w:r w:rsidR="000D2783">
        <w:rPr>
          <w:szCs w:val="24"/>
        </w:rPr>
        <w:t xml:space="preserve"> and the Guidelines</w:t>
      </w:r>
      <w:r>
        <w:rPr>
          <w:szCs w:val="24"/>
        </w:rPr>
        <w:t xml:space="preserve">. </w:t>
      </w:r>
    </w:p>
    <w:p w14:paraId="0A9BB2B1" w14:textId="3C3E79DC" w:rsidR="00D916CB" w:rsidRPr="002A477B" w:rsidRDefault="00A03213" w:rsidP="0037200F">
      <w:pPr>
        <w:autoSpaceDE w:val="0"/>
        <w:autoSpaceDN w:val="0"/>
        <w:adjustRightInd w:val="0"/>
        <w:spacing w:after="240"/>
        <w:rPr>
          <w:szCs w:val="24"/>
        </w:rPr>
      </w:pPr>
      <w:r>
        <w:rPr>
          <w:szCs w:val="24"/>
        </w:rPr>
        <w:t xml:space="preserve">As detailed above, the review recommended </w:t>
      </w:r>
      <w:r w:rsidR="00892E89">
        <w:rPr>
          <w:szCs w:val="24"/>
        </w:rPr>
        <w:t>EDP</w:t>
      </w:r>
      <w:r>
        <w:rPr>
          <w:szCs w:val="24"/>
        </w:rPr>
        <w:t xml:space="preserve"> </w:t>
      </w:r>
      <w:r w:rsidR="000127F1">
        <w:rPr>
          <w:szCs w:val="24"/>
        </w:rPr>
        <w:t>DAs with</w:t>
      </w:r>
      <w:r w:rsidR="00892E89">
        <w:rPr>
          <w:szCs w:val="24"/>
        </w:rPr>
        <w:t>in established</w:t>
      </w:r>
      <w:r w:rsidR="000127F1">
        <w:rPr>
          <w:szCs w:val="24"/>
        </w:rPr>
        <w:t xml:space="preserve"> suburbs and all development required to be reviewed by the NCDRP also</w:t>
      </w:r>
      <w:r w:rsidR="00892E89">
        <w:rPr>
          <w:szCs w:val="24"/>
        </w:rPr>
        <w:t xml:space="preserve"> </w:t>
      </w:r>
      <w:r>
        <w:rPr>
          <w:szCs w:val="24"/>
        </w:rPr>
        <w:t xml:space="preserve">be </w:t>
      </w:r>
      <w:r w:rsidR="000127F1">
        <w:rPr>
          <w:szCs w:val="24"/>
        </w:rPr>
        <w:t xml:space="preserve">prescribed </w:t>
      </w:r>
      <w:r>
        <w:rPr>
          <w:szCs w:val="24"/>
        </w:rPr>
        <w:t xml:space="preserve">to </w:t>
      </w:r>
      <w:r w:rsidR="00341170">
        <w:rPr>
          <w:szCs w:val="24"/>
        </w:rPr>
        <w:t xml:space="preserve">undertake </w:t>
      </w:r>
      <w:r>
        <w:rPr>
          <w:szCs w:val="24"/>
        </w:rPr>
        <w:t xml:space="preserve">pre-DA </w:t>
      </w:r>
      <w:r w:rsidR="00341170" w:rsidRPr="002A477B">
        <w:rPr>
          <w:szCs w:val="24"/>
        </w:rPr>
        <w:t xml:space="preserve">community consultation. </w:t>
      </w:r>
    </w:p>
    <w:p w14:paraId="142B9DFA" w14:textId="2E575D59" w:rsidR="00F5414E" w:rsidRPr="002A477B" w:rsidRDefault="00AA0EAF" w:rsidP="00F5414E">
      <w:pPr>
        <w:autoSpaceDE w:val="0"/>
        <w:autoSpaceDN w:val="0"/>
        <w:adjustRightInd w:val="0"/>
        <w:spacing w:after="240"/>
        <w:rPr>
          <w:szCs w:val="24"/>
        </w:rPr>
      </w:pPr>
      <w:r w:rsidRPr="002A477B">
        <w:rPr>
          <w:szCs w:val="24"/>
        </w:rPr>
        <w:t xml:space="preserve">Clause 4 of the amendment regulation </w:t>
      </w:r>
      <w:r w:rsidR="000F626A" w:rsidRPr="002A477B">
        <w:rPr>
          <w:szCs w:val="24"/>
        </w:rPr>
        <w:t xml:space="preserve">inserts </w:t>
      </w:r>
      <w:r w:rsidR="000127F1" w:rsidRPr="002A477B">
        <w:rPr>
          <w:szCs w:val="24"/>
        </w:rPr>
        <w:t>s</w:t>
      </w:r>
      <w:r w:rsidR="000F626A" w:rsidRPr="002A477B">
        <w:rPr>
          <w:szCs w:val="24"/>
        </w:rPr>
        <w:t>ection 20A (1)</w:t>
      </w:r>
      <w:r w:rsidR="000127F1" w:rsidRPr="002A477B">
        <w:rPr>
          <w:szCs w:val="24"/>
        </w:rPr>
        <w:t xml:space="preserve"> </w:t>
      </w:r>
      <w:r w:rsidR="000F626A" w:rsidRPr="002A477B">
        <w:rPr>
          <w:szCs w:val="24"/>
        </w:rPr>
        <w:t>(f)</w:t>
      </w:r>
      <w:r w:rsidR="000127F1" w:rsidRPr="002A477B">
        <w:rPr>
          <w:szCs w:val="24"/>
        </w:rPr>
        <w:t xml:space="preserve">. </w:t>
      </w:r>
      <w:r w:rsidR="00F5414E" w:rsidRPr="002A477B">
        <w:rPr>
          <w:szCs w:val="24"/>
        </w:rPr>
        <w:t>Section 20A (1) (f) prescribes EDP proposals to undertake pre-DA consultation. The intent</w:t>
      </w:r>
      <w:r w:rsidR="008E7196" w:rsidRPr="002A477B">
        <w:rPr>
          <w:szCs w:val="24"/>
        </w:rPr>
        <w:t>ion</w:t>
      </w:r>
      <w:r w:rsidR="00F5414E" w:rsidRPr="002A477B">
        <w:rPr>
          <w:szCs w:val="24"/>
        </w:rPr>
        <w:t xml:space="preserve"> of this </w:t>
      </w:r>
      <w:r w:rsidR="008E7196" w:rsidRPr="002A477B">
        <w:rPr>
          <w:szCs w:val="24"/>
        </w:rPr>
        <w:t>provision</w:t>
      </w:r>
      <w:r w:rsidR="008A5052" w:rsidRPr="002A477B">
        <w:rPr>
          <w:szCs w:val="24"/>
        </w:rPr>
        <w:t xml:space="preserve"> is</w:t>
      </w:r>
      <w:r w:rsidR="008E7196" w:rsidRPr="002A477B">
        <w:rPr>
          <w:szCs w:val="24"/>
        </w:rPr>
        <w:t xml:space="preserve"> </w:t>
      </w:r>
      <w:r w:rsidR="00F5414E" w:rsidRPr="002A477B">
        <w:rPr>
          <w:szCs w:val="24"/>
        </w:rPr>
        <w:t xml:space="preserve">to only capture EDP DAs within established suburbs. </w:t>
      </w:r>
      <w:r w:rsidR="008E7196" w:rsidRPr="002A477B">
        <w:rPr>
          <w:szCs w:val="24"/>
        </w:rPr>
        <w:t xml:space="preserve">This is supported by </w:t>
      </w:r>
      <w:r w:rsidR="00824960" w:rsidRPr="002A477B">
        <w:rPr>
          <w:szCs w:val="24"/>
        </w:rPr>
        <w:t xml:space="preserve">s 20B (2) </w:t>
      </w:r>
      <w:r w:rsidR="008E7196" w:rsidRPr="002A477B">
        <w:rPr>
          <w:szCs w:val="24"/>
        </w:rPr>
        <w:t>which</w:t>
      </w:r>
      <w:r w:rsidR="00EA44B4" w:rsidRPr="002A477B">
        <w:rPr>
          <w:szCs w:val="24"/>
        </w:rPr>
        <w:t xml:space="preserve"> </w:t>
      </w:r>
      <w:r w:rsidR="00824960" w:rsidRPr="002A477B">
        <w:rPr>
          <w:szCs w:val="24"/>
        </w:rPr>
        <w:t>exempt</w:t>
      </w:r>
      <w:r w:rsidR="008E7196" w:rsidRPr="002A477B">
        <w:rPr>
          <w:szCs w:val="24"/>
        </w:rPr>
        <w:t>s</w:t>
      </w:r>
      <w:r w:rsidR="00824960" w:rsidRPr="002A477B">
        <w:rPr>
          <w:szCs w:val="24"/>
        </w:rPr>
        <w:t xml:space="preserve"> </w:t>
      </w:r>
      <w:r w:rsidR="008E7196" w:rsidRPr="002A477B">
        <w:rPr>
          <w:szCs w:val="24"/>
        </w:rPr>
        <w:t xml:space="preserve">applications in </w:t>
      </w:r>
      <w:r w:rsidR="008A5052" w:rsidRPr="002A477B">
        <w:rPr>
          <w:szCs w:val="24"/>
        </w:rPr>
        <w:t xml:space="preserve">industrial areas and </w:t>
      </w:r>
      <w:r w:rsidR="00824960" w:rsidRPr="002A477B">
        <w:rPr>
          <w:szCs w:val="24"/>
        </w:rPr>
        <w:t>greenfield</w:t>
      </w:r>
      <w:r w:rsidR="008A5052" w:rsidRPr="002A477B">
        <w:rPr>
          <w:szCs w:val="24"/>
        </w:rPr>
        <w:t xml:space="preserve"> areas identified by the updated maps in Schedule 1B</w:t>
      </w:r>
      <w:r w:rsidR="00824960" w:rsidRPr="002A477B">
        <w:rPr>
          <w:szCs w:val="24"/>
        </w:rPr>
        <w:t>.</w:t>
      </w:r>
    </w:p>
    <w:p w14:paraId="5C4F1906" w14:textId="2F932A03" w:rsidR="00AA0EAF" w:rsidRPr="002A477B" w:rsidRDefault="00EA44B4" w:rsidP="0037200F">
      <w:pPr>
        <w:autoSpaceDE w:val="0"/>
        <w:autoSpaceDN w:val="0"/>
        <w:adjustRightInd w:val="0"/>
        <w:spacing w:after="240"/>
        <w:rPr>
          <w:szCs w:val="24"/>
        </w:rPr>
      </w:pPr>
      <w:r w:rsidRPr="002A477B">
        <w:rPr>
          <w:szCs w:val="24"/>
        </w:rPr>
        <w:t xml:space="preserve">Clause </w:t>
      </w:r>
      <w:r w:rsidR="008A5052" w:rsidRPr="002A477B">
        <w:rPr>
          <w:szCs w:val="24"/>
        </w:rPr>
        <w:t>5</w:t>
      </w:r>
      <w:r w:rsidRPr="002A477B">
        <w:rPr>
          <w:szCs w:val="24"/>
        </w:rPr>
        <w:t xml:space="preserve"> of the amendment regulation also inserts section 20A (1</w:t>
      </w:r>
      <w:r w:rsidR="00B73FA6" w:rsidRPr="002A477B">
        <w:rPr>
          <w:szCs w:val="24"/>
        </w:rPr>
        <w:t>A</w:t>
      </w:r>
      <w:r w:rsidRPr="002A477B">
        <w:rPr>
          <w:szCs w:val="24"/>
        </w:rPr>
        <w:t>)</w:t>
      </w:r>
      <w:r w:rsidR="00B73FA6" w:rsidRPr="002A477B">
        <w:rPr>
          <w:szCs w:val="24"/>
        </w:rPr>
        <w:t>. Section 20A (1A) prescribes development proposals required to consult with the NCDRP</w:t>
      </w:r>
      <w:r w:rsidR="00A06680" w:rsidRPr="002A477B">
        <w:rPr>
          <w:szCs w:val="24"/>
        </w:rPr>
        <w:t xml:space="preserve"> to also undertake pre-DA consultation</w:t>
      </w:r>
      <w:r w:rsidR="00B73FA6" w:rsidRPr="002A477B">
        <w:rPr>
          <w:szCs w:val="24"/>
        </w:rPr>
        <w:t>. The intention of this</w:t>
      </w:r>
      <w:r w:rsidR="008E7196" w:rsidRPr="002A477B">
        <w:rPr>
          <w:szCs w:val="24"/>
        </w:rPr>
        <w:t xml:space="preserve"> provision</w:t>
      </w:r>
      <w:r w:rsidR="00B73FA6" w:rsidRPr="002A477B">
        <w:rPr>
          <w:szCs w:val="24"/>
        </w:rPr>
        <w:t xml:space="preserve"> </w:t>
      </w:r>
      <w:r w:rsidR="008E7196" w:rsidRPr="002A477B">
        <w:rPr>
          <w:szCs w:val="24"/>
        </w:rPr>
        <w:t xml:space="preserve">is </w:t>
      </w:r>
      <w:r w:rsidR="00B73FA6" w:rsidRPr="002A477B">
        <w:rPr>
          <w:szCs w:val="24"/>
        </w:rPr>
        <w:t>to capture the developments prescribed by regulation or required to by the Minister to obtain advice from the NCDRP</w:t>
      </w:r>
      <w:r w:rsidR="008E7196" w:rsidRPr="002A477B">
        <w:rPr>
          <w:szCs w:val="24"/>
        </w:rPr>
        <w:t xml:space="preserve"> and not</w:t>
      </w:r>
      <w:r w:rsidR="00B73FA6" w:rsidRPr="002A477B">
        <w:rPr>
          <w:szCs w:val="24"/>
        </w:rPr>
        <w:t xml:space="preserve"> those who voluntarily refer their application to the NCDRP</w:t>
      </w:r>
      <w:r w:rsidR="008A5052" w:rsidRPr="002A477B">
        <w:rPr>
          <w:szCs w:val="24"/>
        </w:rPr>
        <w:t xml:space="preserve"> for advice</w:t>
      </w:r>
      <w:r w:rsidR="00B73FA6" w:rsidRPr="002A477B">
        <w:rPr>
          <w:szCs w:val="24"/>
        </w:rPr>
        <w:t xml:space="preserve">. </w:t>
      </w:r>
    </w:p>
    <w:p w14:paraId="01B06746" w14:textId="1C2AEF37" w:rsidR="000F626A" w:rsidRPr="002A477B" w:rsidRDefault="000F626A" w:rsidP="0037200F">
      <w:pPr>
        <w:autoSpaceDE w:val="0"/>
        <w:autoSpaceDN w:val="0"/>
        <w:adjustRightInd w:val="0"/>
        <w:spacing w:after="240"/>
        <w:rPr>
          <w:szCs w:val="24"/>
          <w:u w:val="single"/>
        </w:rPr>
      </w:pPr>
      <w:r w:rsidRPr="002A477B">
        <w:rPr>
          <w:szCs w:val="24"/>
          <w:u w:val="single"/>
        </w:rPr>
        <w:t>Schedule 1B</w:t>
      </w:r>
    </w:p>
    <w:p w14:paraId="3627CEF2" w14:textId="7AE826DF" w:rsidR="00341170" w:rsidRPr="002A477B" w:rsidRDefault="00341170" w:rsidP="0037200F">
      <w:pPr>
        <w:autoSpaceDE w:val="0"/>
        <w:autoSpaceDN w:val="0"/>
        <w:adjustRightInd w:val="0"/>
        <w:spacing w:after="240"/>
        <w:rPr>
          <w:szCs w:val="24"/>
        </w:rPr>
      </w:pPr>
      <w:r w:rsidRPr="002A477B">
        <w:rPr>
          <w:szCs w:val="24"/>
        </w:rPr>
        <w:t xml:space="preserve">Schedule 1B identifies </w:t>
      </w:r>
      <w:r w:rsidR="00F318CF" w:rsidRPr="002A477B">
        <w:rPr>
          <w:szCs w:val="24"/>
        </w:rPr>
        <w:t xml:space="preserve">the areas and </w:t>
      </w:r>
      <w:r w:rsidRPr="002A477B">
        <w:rPr>
          <w:szCs w:val="24"/>
        </w:rPr>
        <w:t xml:space="preserve">land </w:t>
      </w:r>
      <w:r w:rsidR="00B758B1" w:rsidRPr="002A477B">
        <w:rPr>
          <w:szCs w:val="24"/>
        </w:rPr>
        <w:t xml:space="preserve">where development proposals are </w:t>
      </w:r>
      <w:r w:rsidRPr="002A477B">
        <w:rPr>
          <w:szCs w:val="24"/>
        </w:rPr>
        <w:t>not requir</w:t>
      </w:r>
      <w:r w:rsidR="00B758B1" w:rsidRPr="002A477B">
        <w:rPr>
          <w:szCs w:val="24"/>
        </w:rPr>
        <w:t>ed</w:t>
      </w:r>
      <w:r w:rsidRPr="002A477B">
        <w:rPr>
          <w:szCs w:val="24"/>
        </w:rPr>
        <w:t xml:space="preserve"> </w:t>
      </w:r>
      <w:r w:rsidR="00B639FF" w:rsidRPr="002A477B">
        <w:rPr>
          <w:szCs w:val="24"/>
        </w:rPr>
        <w:t xml:space="preserve">to undertake pre-DA </w:t>
      </w:r>
      <w:r w:rsidRPr="002A477B">
        <w:rPr>
          <w:szCs w:val="24"/>
        </w:rPr>
        <w:t>community consultation.</w:t>
      </w:r>
    </w:p>
    <w:p w14:paraId="6AF68FC4" w14:textId="07B74BCB" w:rsidR="00FA5EE2" w:rsidRPr="002A477B" w:rsidRDefault="002245FD" w:rsidP="0037200F">
      <w:pPr>
        <w:autoSpaceDE w:val="0"/>
        <w:autoSpaceDN w:val="0"/>
        <w:adjustRightInd w:val="0"/>
        <w:spacing w:after="240"/>
        <w:rPr>
          <w:szCs w:val="24"/>
        </w:rPr>
      </w:pPr>
      <w:r w:rsidRPr="002A477B">
        <w:rPr>
          <w:szCs w:val="24"/>
        </w:rPr>
        <w:t xml:space="preserve">When initially </w:t>
      </w:r>
      <w:r w:rsidR="00FA5EE2" w:rsidRPr="002A477B">
        <w:rPr>
          <w:szCs w:val="24"/>
        </w:rPr>
        <w:t>introduced</w:t>
      </w:r>
      <w:r w:rsidRPr="002A477B">
        <w:rPr>
          <w:szCs w:val="24"/>
        </w:rPr>
        <w:t>, the land</w:t>
      </w:r>
      <w:r w:rsidR="00FA5EE2" w:rsidRPr="002A477B">
        <w:rPr>
          <w:szCs w:val="24"/>
        </w:rPr>
        <w:t xml:space="preserve"> identified in schedule 1B</w:t>
      </w:r>
      <w:r w:rsidRPr="002A477B">
        <w:rPr>
          <w:szCs w:val="24"/>
        </w:rPr>
        <w:t xml:space="preserve"> </w:t>
      </w:r>
      <w:r w:rsidR="00B758B1" w:rsidRPr="002A477B">
        <w:rPr>
          <w:szCs w:val="24"/>
        </w:rPr>
        <w:t xml:space="preserve">was </w:t>
      </w:r>
      <w:r w:rsidRPr="002A477B">
        <w:rPr>
          <w:szCs w:val="24"/>
        </w:rPr>
        <w:t xml:space="preserve">primarily greenfield areas that had not yet been developed </w:t>
      </w:r>
      <w:r w:rsidR="00FA5EE2" w:rsidRPr="002A477B">
        <w:rPr>
          <w:szCs w:val="24"/>
        </w:rPr>
        <w:t xml:space="preserve">and had </w:t>
      </w:r>
      <w:r w:rsidRPr="002A477B">
        <w:rPr>
          <w:szCs w:val="24"/>
        </w:rPr>
        <w:t xml:space="preserve">little to no </w:t>
      </w:r>
      <w:r w:rsidR="00FA5EE2" w:rsidRPr="002A477B">
        <w:rPr>
          <w:szCs w:val="24"/>
        </w:rPr>
        <w:t xml:space="preserve">existing </w:t>
      </w:r>
      <w:r w:rsidRPr="002A477B">
        <w:rPr>
          <w:szCs w:val="24"/>
        </w:rPr>
        <w:t xml:space="preserve">community to consult. </w:t>
      </w:r>
      <w:r w:rsidR="00FA5EE2" w:rsidRPr="002A477B">
        <w:rPr>
          <w:szCs w:val="24"/>
        </w:rPr>
        <w:t xml:space="preserve">As detailed above, the review highlighted that these areas </w:t>
      </w:r>
      <w:r w:rsidRPr="002A477B">
        <w:rPr>
          <w:szCs w:val="24"/>
        </w:rPr>
        <w:t xml:space="preserve">have </w:t>
      </w:r>
      <w:r w:rsidR="00FA5EE2" w:rsidRPr="002A477B">
        <w:rPr>
          <w:szCs w:val="24"/>
        </w:rPr>
        <w:t xml:space="preserve">been </w:t>
      </w:r>
      <w:r w:rsidRPr="002A477B">
        <w:rPr>
          <w:szCs w:val="24"/>
        </w:rPr>
        <w:t xml:space="preserve">largely developed and </w:t>
      </w:r>
      <w:r w:rsidR="00FA5EE2" w:rsidRPr="002A477B">
        <w:rPr>
          <w:szCs w:val="24"/>
        </w:rPr>
        <w:t xml:space="preserve">have </w:t>
      </w:r>
      <w:r w:rsidRPr="002A477B">
        <w:rPr>
          <w:szCs w:val="24"/>
        </w:rPr>
        <w:t>established</w:t>
      </w:r>
      <w:r w:rsidR="00FA5EE2" w:rsidRPr="002A477B">
        <w:rPr>
          <w:szCs w:val="24"/>
        </w:rPr>
        <w:t xml:space="preserve"> communities.</w:t>
      </w:r>
      <w:r w:rsidRPr="002A477B">
        <w:rPr>
          <w:szCs w:val="24"/>
        </w:rPr>
        <w:t xml:space="preserve"> </w:t>
      </w:r>
      <w:r w:rsidR="00FA5EE2" w:rsidRPr="002A477B">
        <w:rPr>
          <w:szCs w:val="24"/>
        </w:rPr>
        <w:t>A</w:t>
      </w:r>
      <w:r w:rsidRPr="002A477B">
        <w:rPr>
          <w:szCs w:val="24"/>
        </w:rPr>
        <w:t>s such</w:t>
      </w:r>
      <w:r w:rsidR="00FA5EE2" w:rsidRPr="002A477B">
        <w:rPr>
          <w:szCs w:val="24"/>
        </w:rPr>
        <w:t>,</w:t>
      </w:r>
      <w:r w:rsidRPr="002A477B">
        <w:rPr>
          <w:szCs w:val="24"/>
        </w:rPr>
        <w:t xml:space="preserve"> </w:t>
      </w:r>
      <w:r w:rsidR="00B758B1" w:rsidRPr="002A477B">
        <w:rPr>
          <w:szCs w:val="24"/>
        </w:rPr>
        <w:t>S</w:t>
      </w:r>
      <w:r w:rsidR="00FA5EE2" w:rsidRPr="002A477B">
        <w:rPr>
          <w:szCs w:val="24"/>
        </w:rPr>
        <w:t xml:space="preserve">chedule 1B </w:t>
      </w:r>
      <w:r w:rsidR="00B758B1" w:rsidRPr="002A477B">
        <w:rPr>
          <w:szCs w:val="24"/>
        </w:rPr>
        <w:t xml:space="preserve">has been </w:t>
      </w:r>
      <w:r w:rsidR="00FA5EE2" w:rsidRPr="002A477B">
        <w:rPr>
          <w:szCs w:val="24"/>
        </w:rPr>
        <w:t>review</w:t>
      </w:r>
      <w:r w:rsidR="00B758B1" w:rsidRPr="002A477B">
        <w:rPr>
          <w:szCs w:val="24"/>
        </w:rPr>
        <w:t>ed</w:t>
      </w:r>
      <w:r w:rsidR="00FA5EE2" w:rsidRPr="002A477B">
        <w:rPr>
          <w:szCs w:val="24"/>
        </w:rPr>
        <w:t xml:space="preserve"> and revise</w:t>
      </w:r>
      <w:r w:rsidR="00B758B1" w:rsidRPr="002A477B">
        <w:rPr>
          <w:szCs w:val="24"/>
        </w:rPr>
        <w:t>d to ensure</w:t>
      </w:r>
      <w:r w:rsidR="00FA5EE2" w:rsidRPr="002A477B">
        <w:rPr>
          <w:szCs w:val="24"/>
        </w:rPr>
        <w:t xml:space="preserve"> </w:t>
      </w:r>
      <w:r w:rsidR="00B758B1" w:rsidRPr="002A477B">
        <w:rPr>
          <w:szCs w:val="24"/>
        </w:rPr>
        <w:t>it reflects current greenfield areas and</w:t>
      </w:r>
      <w:r w:rsidR="00FA5EE2" w:rsidRPr="002A477B">
        <w:rPr>
          <w:szCs w:val="24"/>
        </w:rPr>
        <w:t xml:space="preserve"> continues to meet its aim.</w:t>
      </w:r>
    </w:p>
    <w:p w14:paraId="1E16A7BF" w14:textId="6056A3B8" w:rsidR="000F626A" w:rsidRPr="000F626A" w:rsidRDefault="000F626A" w:rsidP="0037200F">
      <w:pPr>
        <w:autoSpaceDE w:val="0"/>
        <w:autoSpaceDN w:val="0"/>
        <w:adjustRightInd w:val="0"/>
        <w:spacing w:after="240"/>
        <w:rPr>
          <w:szCs w:val="24"/>
        </w:rPr>
      </w:pPr>
      <w:r w:rsidRPr="002A477B">
        <w:rPr>
          <w:szCs w:val="24"/>
        </w:rPr>
        <w:t xml:space="preserve">Clause </w:t>
      </w:r>
      <w:r w:rsidR="00B758B1" w:rsidRPr="002A477B">
        <w:rPr>
          <w:szCs w:val="24"/>
        </w:rPr>
        <w:t>7</w:t>
      </w:r>
      <w:r w:rsidRPr="002A477B">
        <w:rPr>
          <w:szCs w:val="24"/>
        </w:rPr>
        <w:t xml:space="preserve"> of the amendment regulation substitutes </w:t>
      </w:r>
      <w:r w:rsidR="00B758B1" w:rsidRPr="002A477B">
        <w:rPr>
          <w:szCs w:val="24"/>
        </w:rPr>
        <w:t xml:space="preserve">updated </w:t>
      </w:r>
      <w:r w:rsidR="00EF48EC" w:rsidRPr="002A477B">
        <w:rPr>
          <w:szCs w:val="24"/>
        </w:rPr>
        <w:t xml:space="preserve">maps identifying </w:t>
      </w:r>
      <w:r w:rsidR="00B758B1" w:rsidRPr="002A477B">
        <w:rPr>
          <w:szCs w:val="24"/>
        </w:rPr>
        <w:t xml:space="preserve">greenfield areas where development proposals are not </w:t>
      </w:r>
      <w:r w:rsidR="00EF48EC" w:rsidRPr="002A477B">
        <w:rPr>
          <w:szCs w:val="24"/>
        </w:rPr>
        <w:t>requir</w:t>
      </w:r>
      <w:r w:rsidR="00B758B1" w:rsidRPr="002A477B">
        <w:rPr>
          <w:szCs w:val="24"/>
        </w:rPr>
        <w:t>ed to undergo pre-DA</w:t>
      </w:r>
      <w:r w:rsidR="00EF48EC" w:rsidRPr="002A477B">
        <w:rPr>
          <w:szCs w:val="24"/>
        </w:rPr>
        <w:t xml:space="preserve"> community consultation.</w:t>
      </w:r>
      <w:r w:rsidR="00FA5EE2" w:rsidRPr="002A477B">
        <w:rPr>
          <w:szCs w:val="24"/>
        </w:rPr>
        <w:t xml:space="preserve"> The revised maps ensure proposals for a prescribed development in an area with established communities are required to undergo pre</w:t>
      </w:r>
      <w:r w:rsidR="00FA5EE2">
        <w:rPr>
          <w:szCs w:val="24"/>
        </w:rPr>
        <w:t xml:space="preserve">-DA consultation, while also exempting </w:t>
      </w:r>
      <w:r w:rsidR="003430AF">
        <w:rPr>
          <w:szCs w:val="24"/>
        </w:rPr>
        <w:t xml:space="preserve">current and upcoming </w:t>
      </w:r>
      <w:r w:rsidR="00FA5EE2">
        <w:rPr>
          <w:szCs w:val="24"/>
        </w:rPr>
        <w:t>greenfield areas</w:t>
      </w:r>
      <w:r w:rsidR="00B758B1">
        <w:rPr>
          <w:szCs w:val="24"/>
        </w:rPr>
        <w:t xml:space="preserve"> from this requirement</w:t>
      </w:r>
      <w:r w:rsidR="00FA5EE2">
        <w:rPr>
          <w:szCs w:val="24"/>
        </w:rPr>
        <w:t xml:space="preserve">. </w:t>
      </w:r>
    </w:p>
    <w:p w14:paraId="5D5C6C0D" w14:textId="15A06465" w:rsidR="00E65AA5" w:rsidRDefault="00AC59DF" w:rsidP="00414921">
      <w:pPr>
        <w:rPr>
          <w:rFonts w:ascii="Arial" w:hAnsi="Arial" w:cs="Arial"/>
          <w:b/>
          <w:sz w:val="24"/>
          <w:szCs w:val="24"/>
        </w:rPr>
      </w:pPr>
      <w:r w:rsidRPr="000E5B3D">
        <w:rPr>
          <w:rFonts w:ascii="Arial" w:hAnsi="Arial" w:cs="Arial"/>
          <w:b/>
          <w:sz w:val="24"/>
          <w:szCs w:val="24"/>
        </w:rPr>
        <w:t>CONSULTATION</w:t>
      </w:r>
      <w:r w:rsidRPr="00AC59DF">
        <w:rPr>
          <w:rFonts w:ascii="Arial" w:hAnsi="Arial" w:cs="Arial"/>
          <w:b/>
          <w:sz w:val="24"/>
          <w:szCs w:val="24"/>
        </w:rPr>
        <w:t xml:space="preserve"> ON THE PROPOSED APPROACH</w:t>
      </w:r>
    </w:p>
    <w:p w14:paraId="692414B5" w14:textId="6BB50E2C" w:rsidR="00531964" w:rsidRDefault="000E5B3D" w:rsidP="00531964">
      <w:pPr>
        <w:autoSpaceDE w:val="0"/>
        <w:autoSpaceDN w:val="0"/>
        <w:adjustRightInd w:val="0"/>
        <w:spacing w:after="240"/>
        <w:rPr>
          <w:szCs w:val="24"/>
        </w:rPr>
      </w:pPr>
      <w:r>
        <w:rPr>
          <w:szCs w:val="24"/>
        </w:rPr>
        <w:t>T</w:t>
      </w:r>
      <w:r w:rsidR="00531964">
        <w:rPr>
          <w:szCs w:val="24"/>
        </w:rPr>
        <w:t xml:space="preserve">argeted public consultation was undertaken </w:t>
      </w:r>
      <w:r>
        <w:rPr>
          <w:szCs w:val="24"/>
        </w:rPr>
        <w:t>during the review</w:t>
      </w:r>
      <w:r w:rsidRPr="000E5B3D">
        <w:rPr>
          <w:szCs w:val="24"/>
        </w:rPr>
        <w:t xml:space="preserve"> </w:t>
      </w:r>
      <w:r>
        <w:rPr>
          <w:szCs w:val="24"/>
        </w:rPr>
        <w:t xml:space="preserve">to determine if pre-DA consultation has been operating as intended within the first 12-months of implementation. Consultation was focused on </w:t>
      </w:r>
      <w:r w:rsidRPr="005403A6">
        <w:rPr>
          <w:szCs w:val="24"/>
        </w:rPr>
        <w:t>the users of the Guidelines, including members of the community and industry</w:t>
      </w:r>
      <w:r>
        <w:rPr>
          <w:szCs w:val="24"/>
        </w:rPr>
        <w:t>.</w:t>
      </w:r>
      <w:r w:rsidRPr="005403A6">
        <w:rPr>
          <w:szCs w:val="24"/>
        </w:rPr>
        <w:t xml:space="preserve"> </w:t>
      </w:r>
      <w:r>
        <w:rPr>
          <w:szCs w:val="24"/>
        </w:rPr>
        <w:t xml:space="preserve"> </w:t>
      </w:r>
    </w:p>
    <w:p w14:paraId="7420F56D" w14:textId="77777777" w:rsidR="00144180" w:rsidRDefault="00144180">
      <w:pPr>
        <w:spacing w:after="0" w:line="240" w:lineRule="auto"/>
        <w:rPr>
          <w:szCs w:val="24"/>
        </w:rPr>
      </w:pPr>
      <w:r>
        <w:rPr>
          <w:szCs w:val="24"/>
        </w:rPr>
        <w:br w:type="page"/>
      </w:r>
    </w:p>
    <w:p w14:paraId="160C18E7" w14:textId="56902D26" w:rsidR="00531964" w:rsidRDefault="00531964" w:rsidP="004114ED">
      <w:pPr>
        <w:autoSpaceDE w:val="0"/>
        <w:autoSpaceDN w:val="0"/>
        <w:adjustRightInd w:val="0"/>
        <w:spacing w:after="240"/>
        <w:rPr>
          <w:szCs w:val="24"/>
        </w:rPr>
      </w:pPr>
      <w:r>
        <w:rPr>
          <w:szCs w:val="24"/>
        </w:rPr>
        <w:lastRenderedPageBreak/>
        <w:t>Consultation was undertaken over a four-week period between 28 March and 28 April 2019</w:t>
      </w:r>
      <w:r w:rsidR="004114ED">
        <w:rPr>
          <w:szCs w:val="24"/>
        </w:rPr>
        <w:t xml:space="preserve"> with both</w:t>
      </w:r>
      <w:r w:rsidR="004114ED" w:rsidRPr="004114ED">
        <w:rPr>
          <w:szCs w:val="24"/>
        </w:rPr>
        <w:t xml:space="preserve"> </w:t>
      </w:r>
      <w:r w:rsidR="004114ED">
        <w:rPr>
          <w:szCs w:val="24"/>
        </w:rPr>
        <w:t>face-to-face and online consultation activities being conducted</w:t>
      </w:r>
      <w:r>
        <w:rPr>
          <w:szCs w:val="24"/>
        </w:rPr>
        <w:t>. During this time, representatives from community councils</w:t>
      </w:r>
      <w:r w:rsidR="004114ED">
        <w:rPr>
          <w:szCs w:val="24"/>
        </w:rPr>
        <w:t>,</w:t>
      </w:r>
      <w:r>
        <w:rPr>
          <w:szCs w:val="24"/>
        </w:rPr>
        <w:t xml:space="preserve"> </w:t>
      </w:r>
      <w:r w:rsidR="004114ED" w:rsidRPr="004114ED">
        <w:rPr>
          <w:szCs w:val="24"/>
        </w:rPr>
        <w:t>resident</w:t>
      </w:r>
      <w:r w:rsidR="00B758B1">
        <w:rPr>
          <w:szCs w:val="24"/>
        </w:rPr>
        <w:t>s</w:t>
      </w:r>
      <w:r w:rsidR="009B0D4F">
        <w:rPr>
          <w:szCs w:val="24"/>
        </w:rPr>
        <w:t>’</w:t>
      </w:r>
      <w:r w:rsidR="004114ED" w:rsidRPr="004114ED">
        <w:rPr>
          <w:szCs w:val="24"/>
        </w:rPr>
        <w:t xml:space="preserve"> groups and</w:t>
      </w:r>
      <w:r w:rsidR="004114ED">
        <w:rPr>
          <w:szCs w:val="24"/>
        </w:rPr>
        <w:t xml:space="preserve"> </w:t>
      </w:r>
      <w:r w:rsidR="004114ED" w:rsidRPr="004114ED">
        <w:rPr>
          <w:szCs w:val="24"/>
        </w:rPr>
        <w:t>key community constituents, active proponents,</w:t>
      </w:r>
      <w:r w:rsidR="004114ED">
        <w:rPr>
          <w:szCs w:val="24"/>
        </w:rPr>
        <w:t xml:space="preserve"> </w:t>
      </w:r>
      <w:r w:rsidR="004114ED" w:rsidRPr="004114ED">
        <w:rPr>
          <w:szCs w:val="24"/>
        </w:rPr>
        <w:t xml:space="preserve">consultants and other peak industry groups </w:t>
      </w:r>
      <w:r>
        <w:rPr>
          <w:szCs w:val="24"/>
        </w:rPr>
        <w:t xml:space="preserve">were invited to </w:t>
      </w:r>
      <w:r w:rsidR="004114ED">
        <w:rPr>
          <w:szCs w:val="24"/>
        </w:rPr>
        <w:t>respond to</w:t>
      </w:r>
      <w:r>
        <w:rPr>
          <w:szCs w:val="24"/>
        </w:rPr>
        <w:t xml:space="preserve"> online surveys</w:t>
      </w:r>
      <w:r w:rsidR="003F1ECA">
        <w:rPr>
          <w:szCs w:val="24"/>
        </w:rPr>
        <w:t xml:space="preserve"> and</w:t>
      </w:r>
      <w:r>
        <w:rPr>
          <w:szCs w:val="24"/>
        </w:rPr>
        <w:t xml:space="preserve"> </w:t>
      </w:r>
      <w:r w:rsidR="004114ED">
        <w:rPr>
          <w:szCs w:val="24"/>
        </w:rPr>
        <w:t xml:space="preserve">participate in </w:t>
      </w:r>
      <w:r>
        <w:rPr>
          <w:szCs w:val="24"/>
        </w:rPr>
        <w:t>drop-in information sessions</w:t>
      </w:r>
      <w:r w:rsidR="004114ED">
        <w:rPr>
          <w:szCs w:val="24"/>
        </w:rPr>
        <w:t>. The project</w:t>
      </w:r>
      <w:r w:rsidR="00B758B1">
        <w:rPr>
          <w:szCs w:val="24"/>
        </w:rPr>
        <w:t xml:space="preserve"> review team</w:t>
      </w:r>
      <w:r w:rsidR="004114ED">
        <w:rPr>
          <w:szCs w:val="24"/>
        </w:rPr>
        <w:t xml:space="preserve"> also presented </w:t>
      </w:r>
      <w:r>
        <w:rPr>
          <w:szCs w:val="24"/>
        </w:rPr>
        <w:t>to the Combined Community Council</w:t>
      </w:r>
      <w:r w:rsidR="00B758B1">
        <w:rPr>
          <w:szCs w:val="24"/>
        </w:rPr>
        <w:t>s</w:t>
      </w:r>
      <w:r>
        <w:rPr>
          <w:szCs w:val="24"/>
        </w:rPr>
        <w:t xml:space="preserve"> on 6 April 2019</w:t>
      </w:r>
      <w:r w:rsidR="00AB6C3B">
        <w:rPr>
          <w:szCs w:val="24"/>
        </w:rPr>
        <w:t>.</w:t>
      </w:r>
    </w:p>
    <w:p w14:paraId="7F1B5DD0" w14:textId="045F600E" w:rsidR="004114ED" w:rsidRDefault="00AB6C3B" w:rsidP="00AB6C3B">
      <w:pPr>
        <w:autoSpaceDE w:val="0"/>
        <w:autoSpaceDN w:val="0"/>
        <w:adjustRightInd w:val="0"/>
        <w:spacing w:after="240"/>
        <w:rPr>
          <w:szCs w:val="24"/>
        </w:rPr>
      </w:pPr>
      <w:r>
        <w:rPr>
          <w:szCs w:val="24"/>
        </w:rPr>
        <w:t xml:space="preserve">A key finding from the consultation </w:t>
      </w:r>
      <w:r w:rsidR="004114ED">
        <w:rPr>
          <w:szCs w:val="24"/>
        </w:rPr>
        <w:t xml:space="preserve">process was that </w:t>
      </w:r>
      <w:r>
        <w:rPr>
          <w:szCs w:val="24"/>
        </w:rPr>
        <w:t xml:space="preserve">the community strongly </w:t>
      </w:r>
      <w:r w:rsidR="00B758B1">
        <w:rPr>
          <w:szCs w:val="24"/>
        </w:rPr>
        <w:t xml:space="preserve">believed </w:t>
      </w:r>
      <w:r>
        <w:rPr>
          <w:szCs w:val="24"/>
        </w:rPr>
        <w:t xml:space="preserve">the development triggers and exceptions </w:t>
      </w:r>
      <w:r w:rsidR="00B758B1">
        <w:rPr>
          <w:szCs w:val="24"/>
        </w:rPr>
        <w:t xml:space="preserve">were no longer </w:t>
      </w:r>
      <w:r>
        <w:rPr>
          <w:szCs w:val="24"/>
        </w:rPr>
        <w:t>appropriate and d</w:t>
      </w:r>
      <w:r w:rsidR="00B758B1">
        <w:rPr>
          <w:szCs w:val="24"/>
        </w:rPr>
        <w:t>id</w:t>
      </w:r>
      <w:r>
        <w:rPr>
          <w:szCs w:val="24"/>
        </w:rPr>
        <w:t xml:space="preserve"> not capture enough development types, whilst industry generally </w:t>
      </w:r>
      <w:r w:rsidR="00B758B1">
        <w:rPr>
          <w:szCs w:val="24"/>
        </w:rPr>
        <w:t xml:space="preserve">considered </w:t>
      </w:r>
      <w:r>
        <w:rPr>
          <w:szCs w:val="24"/>
        </w:rPr>
        <w:t>the</w:t>
      </w:r>
      <w:r w:rsidR="004114ED">
        <w:rPr>
          <w:szCs w:val="24"/>
        </w:rPr>
        <w:t>m</w:t>
      </w:r>
      <w:r>
        <w:rPr>
          <w:szCs w:val="24"/>
        </w:rPr>
        <w:t xml:space="preserve"> </w:t>
      </w:r>
      <w:r w:rsidR="004114ED">
        <w:rPr>
          <w:szCs w:val="24"/>
        </w:rPr>
        <w:t xml:space="preserve">to be largely </w:t>
      </w:r>
      <w:r>
        <w:rPr>
          <w:szCs w:val="24"/>
        </w:rPr>
        <w:t>appropriate</w:t>
      </w:r>
      <w:r w:rsidR="004114ED">
        <w:rPr>
          <w:szCs w:val="24"/>
        </w:rPr>
        <w:t>,</w:t>
      </w:r>
      <w:r>
        <w:rPr>
          <w:szCs w:val="24"/>
        </w:rPr>
        <w:t xml:space="preserve"> albeit </w:t>
      </w:r>
      <w:r w:rsidR="004114ED">
        <w:rPr>
          <w:szCs w:val="24"/>
        </w:rPr>
        <w:t xml:space="preserve">requiring some </w:t>
      </w:r>
      <w:r>
        <w:rPr>
          <w:szCs w:val="24"/>
        </w:rPr>
        <w:t xml:space="preserve">updating. </w:t>
      </w:r>
    </w:p>
    <w:p w14:paraId="2D9A2B88" w14:textId="0D002BB9" w:rsidR="00AB6C3B" w:rsidRPr="002A477B" w:rsidRDefault="00B758B1" w:rsidP="00AB6C3B">
      <w:pPr>
        <w:autoSpaceDE w:val="0"/>
        <w:autoSpaceDN w:val="0"/>
        <w:adjustRightInd w:val="0"/>
        <w:spacing w:after="240"/>
        <w:rPr>
          <w:szCs w:val="24"/>
        </w:rPr>
      </w:pPr>
      <w:r>
        <w:rPr>
          <w:szCs w:val="24"/>
        </w:rPr>
        <w:t>The changes made through this amendment regulation address the findings of the review process.</w:t>
      </w:r>
    </w:p>
    <w:p w14:paraId="1A2BA5E1" w14:textId="6E3769AB" w:rsidR="00790FE4" w:rsidRDefault="00503AAB" w:rsidP="003F22BE">
      <w:pPr>
        <w:pStyle w:val="Heading2"/>
        <w:spacing w:after="240"/>
      </w:pPr>
      <w:r>
        <w:t xml:space="preserve">CONSISTENCY WITH </w:t>
      </w:r>
      <w:r w:rsidR="00790FE4" w:rsidRPr="008C225D">
        <w:t>HUMAN RIGHTS</w:t>
      </w:r>
    </w:p>
    <w:p w14:paraId="20BE7519" w14:textId="77777777" w:rsidR="007B4D82" w:rsidRDefault="007B4D82" w:rsidP="007B4D82">
      <w:pPr>
        <w:rPr>
          <w:i/>
          <w:iCs/>
          <w:szCs w:val="24"/>
        </w:rPr>
      </w:pPr>
      <w:r w:rsidRPr="00A93695">
        <w:rPr>
          <w:szCs w:val="24"/>
        </w:rPr>
        <w:t xml:space="preserve">The amending regulation </w:t>
      </w:r>
      <w:r>
        <w:rPr>
          <w:szCs w:val="24"/>
        </w:rPr>
        <w:t xml:space="preserve">potentially engages the right of taking part in public life, in particular the right and/or opportunity to take part in the conduct of public affairs. The right is defined in </w:t>
      </w:r>
      <w:r w:rsidRPr="00A93695">
        <w:rPr>
          <w:szCs w:val="24"/>
        </w:rPr>
        <w:t>Section 17</w:t>
      </w:r>
      <w:r>
        <w:rPr>
          <w:szCs w:val="24"/>
        </w:rPr>
        <w:t>(a)</w:t>
      </w:r>
      <w:r w:rsidRPr="00A93695">
        <w:rPr>
          <w:szCs w:val="24"/>
        </w:rPr>
        <w:t xml:space="preserve"> of the</w:t>
      </w:r>
      <w:r w:rsidRPr="00A93695">
        <w:rPr>
          <w:i/>
          <w:iCs/>
          <w:szCs w:val="24"/>
        </w:rPr>
        <w:t xml:space="preserve"> Human Rights Act 2004</w:t>
      </w:r>
      <w:r>
        <w:rPr>
          <w:i/>
          <w:iCs/>
          <w:szCs w:val="24"/>
        </w:rPr>
        <w:t>:</w:t>
      </w:r>
    </w:p>
    <w:p w14:paraId="459F065D" w14:textId="77777777" w:rsidR="007B4D82" w:rsidRPr="00A93695" w:rsidRDefault="007B4D82" w:rsidP="007B4D82">
      <w:pPr>
        <w:ind w:left="360"/>
        <w:rPr>
          <w:szCs w:val="24"/>
        </w:rPr>
      </w:pPr>
      <w:r w:rsidRPr="00A93695">
        <w:rPr>
          <w:szCs w:val="24"/>
        </w:rPr>
        <w:t>Every citizen has the right, and is to have the opportunity, to—</w:t>
      </w:r>
    </w:p>
    <w:p w14:paraId="00C4062A" w14:textId="1D90848A" w:rsidR="007B4D82" w:rsidRDefault="007B4D82" w:rsidP="003F22BE">
      <w:pPr>
        <w:pStyle w:val="ListParagraph"/>
        <w:numPr>
          <w:ilvl w:val="0"/>
          <w:numId w:val="50"/>
        </w:numPr>
        <w:spacing w:after="120"/>
        <w:ind w:left="1077" w:hanging="357"/>
        <w:rPr>
          <w:szCs w:val="24"/>
        </w:rPr>
      </w:pPr>
      <w:r w:rsidRPr="00A93695">
        <w:rPr>
          <w:szCs w:val="24"/>
        </w:rPr>
        <w:t>take part in the conduct of public affairs, directly or through freely chosen representatives</w:t>
      </w:r>
      <w:r>
        <w:rPr>
          <w:szCs w:val="24"/>
        </w:rPr>
        <w:t>.</w:t>
      </w:r>
    </w:p>
    <w:p w14:paraId="28936EA1" w14:textId="0033A4CB" w:rsidR="003F22BE" w:rsidRDefault="00244CD2" w:rsidP="00172F87">
      <w:pPr>
        <w:rPr>
          <w:szCs w:val="24"/>
        </w:rPr>
      </w:pPr>
      <w:r>
        <w:rPr>
          <w:szCs w:val="24"/>
        </w:rPr>
        <w:t>U</w:t>
      </w:r>
      <w:r w:rsidR="003F22BE" w:rsidRPr="00434FB6">
        <w:rPr>
          <w:szCs w:val="24"/>
        </w:rPr>
        <w:t xml:space="preserve">nder </w:t>
      </w:r>
      <w:r w:rsidR="00AD4135">
        <w:rPr>
          <w:szCs w:val="24"/>
        </w:rPr>
        <w:t xml:space="preserve">section 138AE of </w:t>
      </w:r>
      <w:r w:rsidR="003F22BE" w:rsidRPr="00434FB6">
        <w:rPr>
          <w:szCs w:val="24"/>
        </w:rPr>
        <w:t xml:space="preserve">the </w:t>
      </w:r>
      <w:r w:rsidR="003F22BE" w:rsidRPr="003F22BE">
        <w:rPr>
          <w:i/>
          <w:iCs/>
          <w:szCs w:val="24"/>
        </w:rPr>
        <w:t>Planning and Development Act 2007</w:t>
      </w:r>
      <w:r w:rsidR="003F22BE" w:rsidRPr="00434FB6">
        <w:rPr>
          <w:szCs w:val="24"/>
        </w:rPr>
        <w:t xml:space="preserve">, </w:t>
      </w:r>
      <w:r>
        <w:rPr>
          <w:szCs w:val="24"/>
        </w:rPr>
        <w:t xml:space="preserve">prescribed </w:t>
      </w:r>
      <w:r w:rsidR="003F22BE" w:rsidRPr="00434FB6">
        <w:rPr>
          <w:szCs w:val="24"/>
        </w:rPr>
        <w:t>development proposals</w:t>
      </w:r>
      <w:r>
        <w:rPr>
          <w:szCs w:val="24"/>
        </w:rPr>
        <w:t xml:space="preserve"> are required to undertake community consultation before lodging a development application. This amendment regulation does not remove this right, it seeks to expand its operations to capture additional significant types of development</w:t>
      </w:r>
      <w:r w:rsidR="00B758B1">
        <w:rPr>
          <w:szCs w:val="24"/>
        </w:rPr>
        <w:t xml:space="preserve"> and reduce the areas where development proposals do not need to undertake this requirement</w:t>
      </w:r>
      <w:r>
        <w:rPr>
          <w:szCs w:val="24"/>
        </w:rPr>
        <w:t xml:space="preserve">. </w:t>
      </w:r>
    </w:p>
    <w:p w14:paraId="49090B0D" w14:textId="6CFBF860" w:rsidR="003F22BE" w:rsidRPr="00DF65FD" w:rsidRDefault="003F22BE" w:rsidP="00172F87">
      <w:pPr>
        <w:rPr>
          <w:szCs w:val="24"/>
        </w:rPr>
      </w:pPr>
      <w:r>
        <w:rPr>
          <w:szCs w:val="24"/>
        </w:rPr>
        <w:t>The amending regulation does not propose any changes that are considered to impede or limit a citizen’s ability to take part in this process. Instead, it provides further opportunities for involvement through expanding the consultation requirement criteria.</w:t>
      </w:r>
      <w:r w:rsidR="009A1F56">
        <w:rPr>
          <w:szCs w:val="24"/>
        </w:rPr>
        <w:t xml:space="preserve"> Furthermore, the </w:t>
      </w:r>
      <w:r w:rsidR="00244CD2">
        <w:rPr>
          <w:szCs w:val="24"/>
        </w:rPr>
        <w:t xml:space="preserve">revisions to the areas </w:t>
      </w:r>
      <w:r w:rsidR="00244CD2" w:rsidRPr="00DF65FD">
        <w:rPr>
          <w:szCs w:val="24"/>
        </w:rPr>
        <w:t>excepted from pre-DA community consultation has been revised to reflect only those areas with no existing community</w:t>
      </w:r>
      <w:r w:rsidR="009A1F56" w:rsidRPr="00DF65FD">
        <w:rPr>
          <w:szCs w:val="24"/>
        </w:rPr>
        <w:t xml:space="preserve">. This will increase the number of development proposals that will be required to undertake </w:t>
      </w:r>
      <w:r w:rsidR="00244CD2" w:rsidRPr="00DF65FD">
        <w:rPr>
          <w:szCs w:val="24"/>
        </w:rPr>
        <w:t xml:space="preserve">pre-DA </w:t>
      </w:r>
      <w:r w:rsidR="009A1F56" w:rsidRPr="00DF65FD">
        <w:rPr>
          <w:szCs w:val="24"/>
        </w:rPr>
        <w:t>community consultation</w:t>
      </w:r>
      <w:r w:rsidR="00244CD2" w:rsidRPr="00DF65FD">
        <w:rPr>
          <w:szCs w:val="24"/>
        </w:rPr>
        <w:t xml:space="preserve"> in established suburbs</w:t>
      </w:r>
      <w:r w:rsidR="009A1F56" w:rsidRPr="00DF65FD">
        <w:rPr>
          <w:szCs w:val="24"/>
        </w:rPr>
        <w:t xml:space="preserve">, </w:t>
      </w:r>
      <w:r w:rsidR="00244CD2" w:rsidRPr="00DF65FD">
        <w:rPr>
          <w:szCs w:val="24"/>
        </w:rPr>
        <w:t xml:space="preserve">thereby </w:t>
      </w:r>
      <w:r w:rsidR="009A1F56" w:rsidRPr="00DF65FD">
        <w:rPr>
          <w:szCs w:val="24"/>
        </w:rPr>
        <w:t xml:space="preserve">facilitating further </w:t>
      </w:r>
      <w:r w:rsidR="00244CD2" w:rsidRPr="00DF65FD">
        <w:rPr>
          <w:szCs w:val="24"/>
        </w:rPr>
        <w:t>community involvement</w:t>
      </w:r>
      <w:r w:rsidR="009A1F56" w:rsidRPr="00DF65FD">
        <w:rPr>
          <w:szCs w:val="24"/>
        </w:rPr>
        <w:t>.</w:t>
      </w:r>
    </w:p>
    <w:p w14:paraId="1578DA22" w14:textId="46C0C888" w:rsidR="006D53B2" w:rsidRPr="00DF65FD" w:rsidRDefault="000301E6" w:rsidP="006D53B2">
      <w:pPr>
        <w:spacing w:before="200"/>
        <w:rPr>
          <w:rFonts w:ascii="Arial" w:hAnsi="Arial" w:cs="Arial"/>
          <w:b/>
          <w:bCs/>
          <w:sz w:val="24"/>
          <w:szCs w:val="24"/>
        </w:rPr>
      </w:pPr>
      <w:r w:rsidRPr="00DF65FD">
        <w:rPr>
          <w:rFonts w:ascii="Arial" w:hAnsi="Arial" w:cs="Arial"/>
          <w:b/>
          <w:bCs/>
          <w:sz w:val="24"/>
          <w:szCs w:val="24"/>
        </w:rPr>
        <w:t>REGULATORY IMPACT STATEMENT</w:t>
      </w:r>
    </w:p>
    <w:p w14:paraId="6CD9DFDF" w14:textId="054BC416" w:rsidR="00E52FCB" w:rsidRDefault="00E52FCB" w:rsidP="00E52FCB">
      <w:pPr>
        <w:rPr>
          <w:szCs w:val="24"/>
        </w:rPr>
      </w:pPr>
      <w:r w:rsidRPr="00DF65FD">
        <w:rPr>
          <w:szCs w:val="24"/>
        </w:rPr>
        <w:t xml:space="preserve">A regulatory impact statement </w:t>
      </w:r>
      <w:r w:rsidR="004A7424" w:rsidRPr="00DF65FD">
        <w:rPr>
          <w:szCs w:val="24"/>
        </w:rPr>
        <w:t xml:space="preserve">(RIS) </w:t>
      </w:r>
      <w:bookmarkStart w:id="3" w:name="_Hlk47624591"/>
      <w:r w:rsidRPr="00DF65FD">
        <w:rPr>
          <w:szCs w:val="24"/>
        </w:rPr>
        <w:t xml:space="preserve">is not </w:t>
      </w:r>
      <w:r w:rsidR="004A7424" w:rsidRPr="00DF65FD">
        <w:rPr>
          <w:szCs w:val="24"/>
        </w:rPr>
        <w:t>required as the</w:t>
      </w:r>
      <w:r w:rsidR="004A7424">
        <w:rPr>
          <w:szCs w:val="24"/>
        </w:rPr>
        <w:t xml:space="preserve"> amendment regulation does not impose appreciable costs on the community, or part of the community under s 34(1) of the </w:t>
      </w:r>
      <w:r w:rsidR="004A7424" w:rsidRPr="00DF65FD">
        <w:rPr>
          <w:i/>
          <w:iCs/>
          <w:szCs w:val="24"/>
        </w:rPr>
        <w:t>Legislation Act</w:t>
      </w:r>
      <w:r w:rsidR="00DF65FD" w:rsidRPr="00DF65FD">
        <w:rPr>
          <w:i/>
          <w:iCs/>
          <w:szCs w:val="24"/>
        </w:rPr>
        <w:t xml:space="preserve"> 2001</w:t>
      </w:r>
      <w:r w:rsidR="004A7424">
        <w:rPr>
          <w:szCs w:val="24"/>
        </w:rPr>
        <w:t>.</w:t>
      </w:r>
      <w:bookmarkEnd w:id="3"/>
      <w:r w:rsidR="004A7424">
        <w:rPr>
          <w:szCs w:val="24"/>
        </w:rPr>
        <w:t xml:space="preserve"> Also, a RIS is not required as the amendment regulation does not operate to the disadvantage of anyone other than the Territory by adversely affecting their rights or imposing liabilities on the person.</w:t>
      </w:r>
    </w:p>
    <w:p w14:paraId="1A2D8B16" w14:textId="77777777" w:rsidR="00144180" w:rsidRDefault="00144180">
      <w:pPr>
        <w:spacing w:after="0" w:line="240" w:lineRule="auto"/>
        <w:rPr>
          <w:szCs w:val="24"/>
        </w:rPr>
      </w:pPr>
      <w:r>
        <w:rPr>
          <w:szCs w:val="24"/>
        </w:rPr>
        <w:br w:type="page"/>
      </w:r>
    </w:p>
    <w:p w14:paraId="670681C8" w14:textId="2F7442A5" w:rsidR="004A7424" w:rsidRDefault="004A7424" w:rsidP="00E52FCB">
      <w:pPr>
        <w:rPr>
          <w:szCs w:val="24"/>
        </w:rPr>
      </w:pPr>
      <w:r>
        <w:rPr>
          <w:szCs w:val="24"/>
        </w:rPr>
        <w:lastRenderedPageBreak/>
        <w:t>The amendment regulation does not affect a person’s rights to lodge a development application. While the amendment regulation alters the types of developments which are required to undertake pre-DA community consultation, by adding estate development plan and NCDRP developments and reducing the excepted areas, this does not impose an appreciable cost on any person.</w:t>
      </w:r>
    </w:p>
    <w:p w14:paraId="17D4D241" w14:textId="66DBE8F6" w:rsidR="004A7424" w:rsidRDefault="004A7424" w:rsidP="00E52FCB">
      <w:pPr>
        <w:rPr>
          <w:szCs w:val="24"/>
        </w:rPr>
      </w:pPr>
      <w:r>
        <w:rPr>
          <w:szCs w:val="24"/>
        </w:rPr>
        <w:t>In fact, nearly all developments which are added as a result of these changes will be developments on behalf on behalf of the Territory, being estate developments, or NCDRP developments which are likely to also be captured by one of the other triggers.</w:t>
      </w:r>
    </w:p>
    <w:p w14:paraId="1D852246" w14:textId="23D16B50" w:rsidR="00DF65FD" w:rsidRPr="00E52FCB" w:rsidRDefault="00DF65FD" w:rsidP="00E52FCB">
      <w:pPr>
        <w:rPr>
          <w:szCs w:val="24"/>
        </w:rPr>
      </w:pPr>
      <w:bookmarkStart w:id="4" w:name="_Hlk47624609"/>
      <w:r>
        <w:rPr>
          <w:szCs w:val="24"/>
        </w:rPr>
        <w:t>The intent of pre-DA consultation is to deliver a benefit to the proponent for the development by engaging with the community early and providing an opportunity to understand and resolve issues prior to the lodgement of a DA. In this sense, it is considered that the requirement to undertake consultation delivers benefits to the proponent and the community, without imposing an appreciable cost in the context of a significant development proposed to be undertaken in the Territory.</w:t>
      </w:r>
      <w:bookmarkEnd w:id="4"/>
    </w:p>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E76504" w:rsidRDefault="00E76504" w:rsidP="00E76504"/>
    <w:p w14:paraId="27FB735B" w14:textId="42D3D374" w:rsidR="00C61B07" w:rsidRDefault="00C61B07" w:rsidP="00C65E0C">
      <w:pPr>
        <w:pStyle w:val="Heading3"/>
      </w:pPr>
      <w:r w:rsidRPr="00ED3B77">
        <w:t>Clause 1</w:t>
      </w:r>
      <w:r w:rsidRPr="00ED3B77">
        <w:tab/>
        <w:t>Name of Act</w:t>
      </w:r>
    </w:p>
    <w:p w14:paraId="5363D857" w14:textId="7346B29E" w:rsidR="009A1F56" w:rsidRPr="009A1F56" w:rsidRDefault="009A1F56" w:rsidP="009A1F56">
      <w:pPr>
        <w:rPr>
          <w:i/>
          <w:iCs/>
        </w:rPr>
      </w:pPr>
      <w:r>
        <w:t xml:space="preserve">This clause provides that the name of the regulation is the </w:t>
      </w:r>
      <w:r>
        <w:rPr>
          <w:i/>
          <w:iCs/>
        </w:rPr>
        <w:t xml:space="preserve">Planning and Development (Community Consultation) Amendment </w:t>
      </w:r>
      <w:r w:rsidRPr="002A477B">
        <w:rPr>
          <w:i/>
          <w:iCs/>
        </w:rPr>
        <w:t>Regulation 2020 (No</w:t>
      </w:r>
      <w:r w:rsidR="004A0077" w:rsidRPr="002A477B">
        <w:rPr>
          <w:i/>
          <w:iCs/>
        </w:rPr>
        <w:t xml:space="preserve"> 1</w:t>
      </w:r>
      <w:r w:rsidRPr="002A477B">
        <w:rPr>
          <w:i/>
          <w:iCs/>
        </w:rPr>
        <w:t>).</w:t>
      </w:r>
    </w:p>
    <w:p w14:paraId="341827EE" w14:textId="4FB374AA" w:rsidR="00C61B07" w:rsidRDefault="00C61B07" w:rsidP="008C225D">
      <w:pPr>
        <w:pStyle w:val="Heading3"/>
      </w:pPr>
      <w:r w:rsidRPr="00ED3B77">
        <w:t>Clause 2</w:t>
      </w:r>
      <w:r w:rsidRPr="00ED3B77">
        <w:tab/>
        <w:t>Commencement</w:t>
      </w:r>
    </w:p>
    <w:p w14:paraId="328F7221" w14:textId="18E50719" w:rsidR="009A1F56" w:rsidRPr="009A1F56" w:rsidRDefault="009A1F56" w:rsidP="009A1F56">
      <w:r>
        <w:t>This clause provides that the regulation</w:t>
      </w:r>
      <w:r w:rsidR="00C37F17">
        <w:t xml:space="preserve"> commences on </w:t>
      </w:r>
      <w:r w:rsidR="00A06680">
        <w:t>1 January 2021</w:t>
      </w:r>
      <w:r w:rsidR="00C37F17">
        <w:t>.</w:t>
      </w:r>
      <w:r w:rsidR="00A06680">
        <w:t xml:space="preserve"> The intent of delaying commencement is to provide proponents of prescribed developments with notice of the incoming changes, allowing enough time for consultation to be conducted in accordance with the updated requirements.   </w:t>
      </w:r>
    </w:p>
    <w:p w14:paraId="6C3CA2DF" w14:textId="131D2B68" w:rsidR="00D3034B" w:rsidRDefault="00C61B07" w:rsidP="00EB37EC">
      <w:pPr>
        <w:pStyle w:val="Heading3"/>
      </w:pPr>
      <w:r w:rsidRPr="00ED3B77">
        <w:t>Clause 3</w:t>
      </w:r>
      <w:r w:rsidRPr="00ED3B77">
        <w:tab/>
        <w:t>Legislation amended</w:t>
      </w:r>
    </w:p>
    <w:p w14:paraId="45C22A31" w14:textId="5410588F" w:rsidR="00EB37EC" w:rsidRDefault="00EB37EC" w:rsidP="00EB37EC">
      <w:r>
        <w:t xml:space="preserve">This clause provides that the regulation amends the </w:t>
      </w:r>
      <w:r>
        <w:rPr>
          <w:i/>
          <w:iCs/>
        </w:rPr>
        <w:t>Planning and Development Regulation 2008</w:t>
      </w:r>
      <w:r>
        <w:t>.</w:t>
      </w:r>
    </w:p>
    <w:p w14:paraId="62FB0B8D" w14:textId="32A8E158" w:rsidR="00FC3334" w:rsidRDefault="00FC3334" w:rsidP="00FC3334">
      <w:pPr>
        <w:pStyle w:val="Heading3"/>
      </w:pPr>
      <w:r w:rsidRPr="00ED3B77">
        <w:t xml:space="preserve">Clause </w:t>
      </w:r>
      <w:r>
        <w:t>4</w:t>
      </w:r>
      <w:r w:rsidRPr="00ED3B77">
        <w:tab/>
      </w:r>
      <w:r>
        <w:t xml:space="preserve">New Section 20A (1) (f) </w:t>
      </w:r>
    </w:p>
    <w:p w14:paraId="35CB7BCB" w14:textId="42A63406" w:rsidR="00516386" w:rsidRDefault="00FC3334" w:rsidP="00FC3334">
      <w:r>
        <w:t xml:space="preserve">This clause inserts </w:t>
      </w:r>
      <w:r w:rsidR="00CD08A9">
        <w:t xml:space="preserve">an </w:t>
      </w:r>
      <w:r>
        <w:t xml:space="preserve">additional </w:t>
      </w:r>
      <w:r w:rsidR="00DB7CD7">
        <w:t xml:space="preserve">type of </w:t>
      </w:r>
      <w:r>
        <w:t xml:space="preserve">development proposal into Section </w:t>
      </w:r>
      <w:r w:rsidR="00A06680">
        <w:t xml:space="preserve">20A </w:t>
      </w:r>
      <w:r>
        <w:t>(1)</w:t>
      </w:r>
      <w:r w:rsidR="00A06680">
        <w:t xml:space="preserve"> (f) </w:t>
      </w:r>
      <w:r>
        <w:t xml:space="preserve">of the </w:t>
      </w:r>
      <w:r w:rsidR="00CD08A9">
        <w:t>R</w:t>
      </w:r>
      <w:r>
        <w:t>egulation. The intent of this clause is to</w:t>
      </w:r>
      <w:r w:rsidR="00A06680">
        <w:t xml:space="preserve"> also </w:t>
      </w:r>
      <w:r w:rsidR="00516386">
        <w:t>require</w:t>
      </w:r>
      <w:r w:rsidR="00A06680">
        <w:t xml:space="preserve"> estate development plan (EDP) DAs within established suburbs </w:t>
      </w:r>
      <w:r w:rsidR="00516386">
        <w:t xml:space="preserve">to also undertake pre-DA community consultation. </w:t>
      </w:r>
      <w:r w:rsidR="00DB7CD7">
        <w:t xml:space="preserve">This provision is to be read with the exceptions from the requirement to undertake pre-DA consultation set out in </w:t>
      </w:r>
      <w:r w:rsidR="00A75927">
        <w:t>s</w:t>
      </w:r>
      <w:r w:rsidR="00DB7CD7">
        <w:t>ection 20A</w:t>
      </w:r>
      <w:r w:rsidR="00A75927">
        <w:t xml:space="preserve"> </w:t>
      </w:r>
      <w:r w:rsidR="00DB7CD7">
        <w:t>(2) of the Regulation and reflected in the maps in Schedule 1B.</w:t>
      </w:r>
    </w:p>
    <w:p w14:paraId="6F8FD65E" w14:textId="45B98427" w:rsidR="00C9530C" w:rsidRDefault="00C9530C" w:rsidP="00C9530C">
      <w:pPr>
        <w:pStyle w:val="Heading3"/>
      </w:pPr>
      <w:r>
        <w:t>Clause 5</w:t>
      </w:r>
      <w:r>
        <w:tab/>
      </w:r>
      <w:r w:rsidR="00CD08A9">
        <w:t xml:space="preserve">New </w:t>
      </w:r>
      <w:r>
        <w:t xml:space="preserve">Section 20A </w:t>
      </w:r>
      <w:r w:rsidR="00CD08A9">
        <w:t>(1A</w:t>
      </w:r>
      <w:r>
        <w:t>)</w:t>
      </w:r>
    </w:p>
    <w:p w14:paraId="084D8AD1" w14:textId="50B841F8" w:rsidR="00CD08A9" w:rsidRDefault="00CD08A9" w:rsidP="00CD08A9">
      <w:r>
        <w:t xml:space="preserve">This clause inserts an additional </w:t>
      </w:r>
      <w:r w:rsidR="00DB7CD7">
        <w:t xml:space="preserve">type of </w:t>
      </w:r>
      <w:r>
        <w:t>development proposal into Section 20A (1</w:t>
      </w:r>
      <w:r w:rsidR="00DB7CD7">
        <w:t>A</w:t>
      </w:r>
      <w:r>
        <w:t xml:space="preserve">) of the Regulation. The intent of this clause is to also require </w:t>
      </w:r>
      <w:r>
        <w:rPr>
          <w:szCs w:val="24"/>
        </w:rPr>
        <w:t>development proposals required to consult with the National Capital Design Review Panel (NCDRP) under section 138AL (1) or (2) of the Act</w:t>
      </w:r>
      <w:r>
        <w:t xml:space="preserve"> to also undertake pre-DA community consultation.  </w:t>
      </w:r>
    </w:p>
    <w:p w14:paraId="5933F558" w14:textId="7CD9C54F" w:rsidR="00CD08A9" w:rsidRDefault="00CD08A9" w:rsidP="00CD08A9">
      <w:r>
        <w:rPr>
          <w:szCs w:val="24"/>
        </w:rPr>
        <w:t xml:space="preserve">The intention of this provision is to only capture developments </w:t>
      </w:r>
      <w:r w:rsidRPr="002A477B">
        <w:rPr>
          <w:i/>
          <w:iCs/>
          <w:szCs w:val="24"/>
        </w:rPr>
        <w:t>required</w:t>
      </w:r>
      <w:r>
        <w:rPr>
          <w:szCs w:val="24"/>
        </w:rPr>
        <w:t xml:space="preserve"> to obtain advice from the NCDRP and not those who voluntarily refer their application to the NCDRP for advice.</w:t>
      </w:r>
    </w:p>
    <w:p w14:paraId="52CD3641" w14:textId="5FD1708A" w:rsidR="00516386" w:rsidRDefault="00516386" w:rsidP="00FC3334">
      <w:pPr>
        <w:pStyle w:val="Heading3"/>
      </w:pPr>
      <w:r>
        <w:t xml:space="preserve">Clause </w:t>
      </w:r>
      <w:r w:rsidR="00C9530C">
        <w:t>6</w:t>
      </w:r>
      <w:r>
        <w:tab/>
        <w:t>Section 20A (2)</w:t>
      </w:r>
    </w:p>
    <w:p w14:paraId="55EACE14" w14:textId="4A79EBEA" w:rsidR="00516386" w:rsidRPr="007B0202" w:rsidRDefault="00516386" w:rsidP="002A477B">
      <w:r>
        <w:t xml:space="preserve">This clause substitutes </w:t>
      </w:r>
      <w:r w:rsidR="009111FD">
        <w:t xml:space="preserve">the wording in section 20A (2) </w:t>
      </w:r>
      <w:r w:rsidR="00C9530C">
        <w:t xml:space="preserve">as a consequential editorial amendment required by the insertion of clause 5 above. </w:t>
      </w:r>
    </w:p>
    <w:p w14:paraId="53F7023A" w14:textId="69983ADB" w:rsidR="00FC3334" w:rsidRDefault="00FC3334" w:rsidP="00FC3334">
      <w:pPr>
        <w:pStyle w:val="Heading3"/>
      </w:pPr>
      <w:r w:rsidRPr="00ED3B77">
        <w:t xml:space="preserve">Clause </w:t>
      </w:r>
      <w:r w:rsidR="00C9530C">
        <w:t>7</w:t>
      </w:r>
      <w:r w:rsidRPr="00ED3B77">
        <w:tab/>
      </w:r>
      <w:r>
        <w:t>Schedule 1B</w:t>
      </w:r>
    </w:p>
    <w:p w14:paraId="7E20FA38" w14:textId="1FF3C2D1" w:rsidR="00D7062D" w:rsidRPr="004923C1" w:rsidRDefault="00FC3334" w:rsidP="00D3034B">
      <w:pPr>
        <w:rPr>
          <w:rFonts w:ascii="Arial" w:hAnsi="Arial" w:cs="Arial"/>
          <w:sz w:val="24"/>
          <w:szCs w:val="24"/>
        </w:rPr>
      </w:pPr>
      <w:r>
        <w:t xml:space="preserve">This clause substitutes the </w:t>
      </w:r>
      <w:r w:rsidR="00516386">
        <w:t xml:space="preserve">maps presented in </w:t>
      </w:r>
      <w:r w:rsidR="00C9530C">
        <w:t>S</w:t>
      </w:r>
      <w:r w:rsidR="00516386">
        <w:t xml:space="preserve">chedule </w:t>
      </w:r>
      <w:r>
        <w:t>1B</w:t>
      </w:r>
      <w:r w:rsidR="00516386" w:rsidRPr="00516386">
        <w:t xml:space="preserve"> </w:t>
      </w:r>
      <w:r w:rsidR="00516386">
        <w:t>with revised maps. The maps</w:t>
      </w:r>
      <w:r>
        <w:t xml:space="preserve"> identify land</w:t>
      </w:r>
      <w:r w:rsidR="00C9530C">
        <w:t xml:space="preserve"> where development proposals are</w:t>
      </w:r>
      <w:r>
        <w:t xml:space="preserve"> not </w:t>
      </w:r>
      <w:r w:rsidR="00C9530C">
        <w:t xml:space="preserve">required to undergo pre-DA </w:t>
      </w:r>
      <w:r>
        <w:t>community consultation</w:t>
      </w:r>
      <w:r w:rsidR="00C9530C">
        <w:t>.</w:t>
      </w:r>
      <w:r>
        <w:t xml:space="preserve"> </w:t>
      </w:r>
      <w:r w:rsidR="00250DCD">
        <w:t xml:space="preserve">The intent of </w:t>
      </w:r>
      <w:r w:rsidR="00C9530C">
        <w:t xml:space="preserve">the </w:t>
      </w:r>
      <w:r w:rsidR="00516386">
        <w:t>updated maps is</w:t>
      </w:r>
      <w:r w:rsidR="00C9530C">
        <w:t xml:space="preserve"> to</w:t>
      </w:r>
      <w:r w:rsidR="00516386">
        <w:t xml:space="preserve"> only except undeveloped and/or greenfield areas from the requirement to undertake pre-DA consultation</w:t>
      </w:r>
      <w:r w:rsidR="00250DCD">
        <w:t xml:space="preserve">. </w:t>
      </w:r>
    </w:p>
    <w:sectPr w:rsidR="00D7062D"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83D86" w14:textId="77777777" w:rsidR="003869C8" w:rsidRDefault="003869C8">
      <w:pPr>
        <w:spacing w:after="0" w:line="240" w:lineRule="auto"/>
      </w:pPr>
      <w:r>
        <w:separator/>
      </w:r>
    </w:p>
  </w:endnote>
  <w:endnote w:type="continuationSeparator" w:id="0">
    <w:p w14:paraId="35FADBC4" w14:textId="77777777" w:rsidR="003869C8" w:rsidRDefault="003869C8">
      <w:pPr>
        <w:spacing w:after="0" w:line="240" w:lineRule="auto"/>
      </w:pPr>
      <w:r>
        <w:continuationSeparator/>
      </w:r>
    </w:p>
  </w:endnote>
  <w:endnote w:type="continuationNotice" w:id="1">
    <w:p w14:paraId="3663B7FB" w14:textId="77777777" w:rsidR="003869C8" w:rsidRDefault="003869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97F1" w14:textId="77777777" w:rsidR="00C52A96" w:rsidRDefault="00C52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4A205" w14:textId="50BA22EC" w:rsidR="003E44AC" w:rsidRPr="00C52A96" w:rsidRDefault="00C52A96" w:rsidP="00C52A96">
    <w:pPr>
      <w:pStyle w:val="Footer"/>
      <w:jc w:val="center"/>
      <w:rPr>
        <w:rFonts w:cs="Arial"/>
        <w:sz w:val="14"/>
      </w:rPr>
    </w:pPr>
    <w:r w:rsidRPr="00C52A9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77777777"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305D9BDE" w14:textId="5211E36A" w:rsidR="003E44AC" w:rsidRPr="00C52A96" w:rsidRDefault="00C52A96" w:rsidP="00C52A96">
    <w:pPr>
      <w:pStyle w:val="Footer"/>
      <w:spacing w:before="60" w:line="240" w:lineRule="auto"/>
      <w:jc w:val="center"/>
      <w:rPr>
        <w:rFonts w:cs="Arial"/>
        <w:noProof/>
        <w:sz w:val="14"/>
      </w:rPr>
    </w:pPr>
    <w:r w:rsidRPr="00C52A96">
      <w:rPr>
        <w:rFonts w:cs="Arial"/>
        <w:noProof/>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77777777"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302D565C" w14:textId="0FDAA5A8" w:rsidR="003E44AC" w:rsidRPr="00C52A96" w:rsidRDefault="00C52A96" w:rsidP="00C52A96">
    <w:pPr>
      <w:pStyle w:val="Footer"/>
      <w:jc w:val="center"/>
      <w:rPr>
        <w:rFonts w:cs="Arial"/>
        <w:noProof/>
        <w:sz w:val="14"/>
      </w:rPr>
    </w:pPr>
    <w:r w:rsidRPr="00C52A96">
      <w:rPr>
        <w:rFonts w:cs="Arial"/>
        <w:noProof/>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A8E4A" w14:textId="77777777" w:rsidR="003869C8" w:rsidRDefault="003869C8">
      <w:pPr>
        <w:spacing w:after="0" w:line="240" w:lineRule="auto"/>
      </w:pPr>
      <w:r>
        <w:separator/>
      </w:r>
    </w:p>
  </w:footnote>
  <w:footnote w:type="continuationSeparator" w:id="0">
    <w:p w14:paraId="74E7A3DF" w14:textId="77777777" w:rsidR="003869C8" w:rsidRDefault="003869C8">
      <w:pPr>
        <w:spacing w:after="0" w:line="240" w:lineRule="auto"/>
      </w:pPr>
      <w:r>
        <w:continuationSeparator/>
      </w:r>
    </w:p>
  </w:footnote>
  <w:footnote w:type="continuationNotice" w:id="1">
    <w:p w14:paraId="4A34DC47" w14:textId="77777777" w:rsidR="003869C8" w:rsidRDefault="003869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EF684" w14:textId="77777777" w:rsidR="00C52A96" w:rsidRDefault="00C52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F41F" w14:textId="023D4936" w:rsidR="003E44AC" w:rsidRDefault="003E4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E208" w14:textId="77777777" w:rsidR="00C52A96" w:rsidRDefault="00C52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E239A8"/>
    <w:multiLevelType w:val="hybridMultilevel"/>
    <w:tmpl w:val="5332174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7"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3DFD4F74"/>
    <w:multiLevelType w:val="hybridMultilevel"/>
    <w:tmpl w:val="B58AE9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5"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6"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3"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6"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45"/>
  </w:num>
  <w:num w:numId="3">
    <w:abstractNumId w:val="18"/>
  </w:num>
  <w:num w:numId="4">
    <w:abstractNumId w:val="0"/>
  </w:num>
  <w:num w:numId="5">
    <w:abstractNumId w:val="6"/>
  </w:num>
  <w:num w:numId="6">
    <w:abstractNumId w:val="9"/>
  </w:num>
  <w:num w:numId="7">
    <w:abstractNumId w:val="39"/>
  </w:num>
  <w:num w:numId="8">
    <w:abstractNumId w:val="4"/>
  </w:num>
  <w:num w:numId="9">
    <w:abstractNumId w:val="21"/>
  </w:num>
  <w:num w:numId="10">
    <w:abstractNumId w:val="38"/>
  </w:num>
  <w:num w:numId="11">
    <w:abstractNumId w:val="17"/>
  </w:num>
  <w:num w:numId="12">
    <w:abstractNumId w:val="13"/>
  </w:num>
  <w:num w:numId="13">
    <w:abstractNumId w:val="12"/>
  </w:num>
  <w:num w:numId="14">
    <w:abstractNumId w:val="28"/>
  </w:num>
  <w:num w:numId="15">
    <w:abstractNumId w:val="27"/>
  </w:num>
  <w:num w:numId="16">
    <w:abstractNumId w:val="40"/>
  </w:num>
  <w:num w:numId="17">
    <w:abstractNumId w:val="34"/>
  </w:num>
  <w:num w:numId="18">
    <w:abstractNumId w:val="46"/>
  </w:num>
  <w:num w:numId="19">
    <w:abstractNumId w:val="2"/>
  </w:num>
  <w:num w:numId="20">
    <w:abstractNumId w:val="14"/>
  </w:num>
  <w:num w:numId="21">
    <w:abstractNumId w:val="22"/>
  </w:num>
  <w:num w:numId="22">
    <w:abstractNumId w:val="24"/>
  </w:num>
  <w:num w:numId="23">
    <w:abstractNumId w:val="41"/>
  </w:num>
  <w:num w:numId="24">
    <w:abstractNumId w:val="47"/>
  </w:num>
  <w:num w:numId="25">
    <w:abstractNumId w:val="33"/>
  </w:num>
  <w:num w:numId="26">
    <w:abstractNumId w:val="19"/>
  </w:num>
  <w:num w:numId="27">
    <w:abstractNumId w:val="44"/>
  </w:num>
  <w:num w:numId="28">
    <w:abstractNumId w:val="35"/>
  </w:num>
  <w:num w:numId="29">
    <w:abstractNumId w:val="36"/>
  </w:num>
  <w:num w:numId="30">
    <w:abstractNumId w:val="42"/>
  </w:num>
  <w:num w:numId="31">
    <w:abstractNumId w:val="49"/>
  </w:num>
  <w:num w:numId="32">
    <w:abstractNumId w:val="31"/>
  </w:num>
  <w:num w:numId="33">
    <w:abstractNumId w:val="11"/>
  </w:num>
  <w:num w:numId="34">
    <w:abstractNumId w:val="16"/>
  </w:num>
  <w:num w:numId="35">
    <w:abstractNumId w:val="15"/>
  </w:num>
  <w:num w:numId="36">
    <w:abstractNumId w:val="15"/>
  </w:num>
  <w:num w:numId="37">
    <w:abstractNumId w:val="37"/>
  </w:num>
  <w:num w:numId="38">
    <w:abstractNumId w:val="30"/>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8"/>
  </w:num>
  <w:num w:numId="42">
    <w:abstractNumId w:val="5"/>
  </w:num>
  <w:num w:numId="43">
    <w:abstractNumId w:val="3"/>
  </w:num>
  <w:num w:numId="44">
    <w:abstractNumId w:val="20"/>
  </w:num>
  <w:num w:numId="45">
    <w:abstractNumId w:val="7"/>
  </w:num>
  <w:num w:numId="46">
    <w:abstractNumId w:val="43"/>
  </w:num>
  <w:num w:numId="47">
    <w:abstractNumId w:val="1"/>
  </w:num>
  <w:num w:numId="48">
    <w:abstractNumId w:val="29"/>
  </w:num>
  <w:num w:numId="49">
    <w:abstractNumId w:val="26"/>
  </w:num>
  <w:num w:numId="50">
    <w:abstractNumId w:val="23"/>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4B3"/>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7F1"/>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1D1C"/>
    <w:rsid w:val="000227DF"/>
    <w:rsid w:val="00022F73"/>
    <w:rsid w:val="00022FF4"/>
    <w:rsid w:val="000235BB"/>
    <w:rsid w:val="00023B23"/>
    <w:rsid w:val="00024137"/>
    <w:rsid w:val="00024DD6"/>
    <w:rsid w:val="000273A7"/>
    <w:rsid w:val="000274AB"/>
    <w:rsid w:val="000276C7"/>
    <w:rsid w:val="000301E6"/>
    <w:rsid w:val="00030373"/>
    <w:rsid w:val="00030D9D"/>
    <w:rsid w:val="00032126"/>
    <w:rsid w:val="0003311C"/>
    <w:rsid w:val="00033631"/>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5D65"/>
    <w:rsid w:val="000C6F00"/>
    <w:rsid w:val="000C6FF6"/>
    <w:rsid w:val="000C7247"/>
    <w:rsid w:val="000C7F39"/>
    <w:rsid w:val="000D066D"/>
    <w:rsid w:val="000D1393"/>
    <w:rsid w:val="000D16F4"/>
    <w:rsid w:val="000D2783"/>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5B3D"/>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26A"/>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180"/>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2F87"/>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471"/>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45FD"/>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4CD2"/>
    <w:rsid w:val="00245F00"/>
    <w:rsid w:val="00246553"/>
    <w:rsid w:val="00246764"/>
    <w:rsid w:val="00247355"/>
    <w:rsid w:val="00247589"/>
    <w:rsid w:val="002477EE"/>
    <w:rsid w:val="0025013B"/>
    <w:rsid w:val="00250428"/>
    <w:rsid w:val="00250DCD"/>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4EAA"/>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477B"/>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3C"/>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22A"/>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170"/>
    <w:rsid w:val="00341D6E"/>
    <w:rsid w:val="0034205F"/>
    <w:rsid w:val="003423BA"/>
    <w:rsid w:val="0034280B"/>
    <w:rsid w:val="00342C36"/>
    <w:rsid w:val="003430AD"/>
    <w:rsid w:val="003430AF"/>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00F"/>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69C8"/>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1ECA"/>
    <w:rsid w:val="003F22BE"/>
    <w:rsid w:val="003F23D6"/>
    <w:rsid w:val="003F28B1"/>
    <w:rsid w:val="003F2E39"/>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14ED"/>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4DD"/>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077"/>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A7424"/>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8C0"/>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0C7"/>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6386"/>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ACB"/>
    <w:rsid w:val="00526C23"/>
    <w:rsid w:val="00527C0E"/>
    <w:rsid w:val="00530F6B"/>
    <w:rsid w:val="00531964"/>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3A6"/>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3A1"/>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ADB"/>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5A8"/>
    <w:rsid w:val="007A39EA"/>
    <w:rsid w:val="007A3C0F"/>
    <w:rsid w:val="007A3DA1"/>
    <w:rsid w:val="007A4053"/>
    <w:rsid w:val="007A4173"/>
    <w:rsid w:val="007A4396"/>
    <w:rsid w:val="007A46BC"/>
    <w:rsid w:val="007A5B9C"/>
    <w:rsid w:val="007A64D1"/>
    <w:rsid w:val="007A651A"/>
    <w:rsid w:val="007A7FC2"/>
    <w:rsid w:val="007B003A"/>
    <w:rsid w:val="007B0202"/>
    <w:rsid w:val="007B1507"/>
    <w:rsid w:val="007B169D"/>
    <w:rsid w:val="007B2457"/>
    <w:rsid w:val="007B26C9"/>
    <w:rsid w:val="007B2C29"/>
    <w:rsid w:val="007B2F68"/>
    <w:rsid w:val="007B32B4"/>
    <w:rsid w:val="007B32D3"/>
    <w:rsid w:val="007B3957"/>
    <w:rsid w:val="007B4AFD"/>
    <w:rsid w:val="007B4D82"/>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77A"/>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960"/>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065"/>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2E89"/>
    <w:rsid w:val="0089386B"/>
    <w:rsid w:val="00893FE7"/>
    <w:rsid w:val="008943AE"/>
    <w:rsid w:val="008947E4"/>
    <w:rsid w:val="008950F3"/>
    <w:rsid w:val="00895619"/>
    <w:rsid w:val="0089578E"/>
    <w:rsid w:val="00896BC7"/>
    <w:rsid w:val="008A0D2C"/>
    <w:rsid w:val="008A17B4"/>
    <w:rsid w:val="008A1E44"/>
    <w:rsid w:val="008A28FF"/>
    <w:rsid w:val="008A33AA"/>
    <w:rsid w:val="008A34DC"/>
    <w:rsid w:val="008A3835"/>
    <w:rsid w:val="008A499F"/>
    <w:rsid w:val="008A5052"/>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96"/>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1FD"/>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B1E"/>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1F56"/>
    <w:rsid w:val="009A26D4"/>
    <w:rsid w:val="009A2CE2"/>
    <w:rsid w:val="009A31AA"/>
    <w:rsid w:val="009A5CA6"/>
    <w:rsid w:val="009A636F"/>
    <w:rsid w:val="009A67A6"/>
    <w:rsid w:val="009A67CC"/>
    <w:rsid w:val="009A77D2"/>
    <w:rsid w:val="009A7E90"/>
    <w:rsid w:val="009A7F73"/>
    <w:rsid w:val="009B0255"/>
    <w:rsid w:val="009B06E5"/>
    <w:rsid w:val="009B0BA7"/>
    <w:rsid w:val="009B0D4F"/>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213"/>
    <w:rsid w:val="00A035D0"/>
    <w:rsid w:val="00A03B31"/>
    <w:rsid w:val="00A03D5E"/>
    <w:rsid w:val="00A04324"/>
    <w:rsid w:val="00A043F0"/>
    <w:rsid w:val="00A047AF"/>
    <w:rsid w:val="00A0497C"/>
    <w:rsid w:val="00A0504D"/>
    <w:rsid w:val="00A055CC"/>
    <w:rsid w:val="00A05673"/>
    <w:rsid w:val="00A0567C"/>
    <w:rsid w:val="00A05BC4"/>
    <w:rsid w:val="00A06680"/>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09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927"/>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0EAF"/>
    <w:rsid w:val="00AA127C"/>
    <w:rsid w:val="00AA1A7B"/>
    <w:rsid w:val="00AA1EDA"/>
    <w:rsid w:val="00AA26F6"/>
    <w:rsid w:val="00AA27F7"/>
    <w:rsid w:val="00AA2967"/>
    <w:rsid w:val="00AA3F39"/>
    <w:rsid w:val="00AA4233"/>
    <w:rsid w:val="00AA5067"/>
    <w:rsid w:val="00AA511F"/>
    <w:rsid w:val="00AA64B1"/>
    <w:rsid w:val="00AB040C"/>
    <w:rsid w:val="00AB0A0E"/>
    <w:rsid w:val="00AB25F3"/>
    <w:rsid w:val="00AB4AEF"/>
    <w:rsid w:val="00AB5504"/>
    <w:rsid w:val="00AB5A28"/>
    <w:rsid w:val="00AB632F"/>
    <w:rsid w:val="00AB65A5"/>
    <w:rsid w:val="00AB69BC"/>
    <w:rsid w:val="00AB6C3B"/>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1D74"/>
    <w:rsid w:val="00AD21A3"/>
    <w:rsid w:val="00AD2463"/>
    <w:rsid w:val="00AD2985"/>
    <w:rsid w:val="00AD318F"/>
    <w:rsid w:val="00AD4135"/>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9FF"/>
    <w:rsid w:val="00B63A06"/>
    <w:rsid w:val="00B63B16"/>
    <w:rsid w:val="00B64166"/>
    <w:rsid w:val="00B649C8"/>
    <w:rsid w:val="00B64C8A"/>
    <w:rsid w:val="00B712FD"/>
    <w:rsid w:val="00B7202E"/>
    <w:rsid w:val="00B72054"/>
    <w:rsid w:val="00B725CF"/>
    <w:rsid w:val="00B7267B"/>
    <w:rsid w:val="00B72862"/>
    <w:rsid w:val="00B73CDF"/>
    <w:rsid w:val="00B73FA6"/>
    <w:rsid w:val="00B74B19"/>
    <w:rsid w:val="00B74B23"/>
    <w:rsid w:val="00B758B1"/>
    <w:rsid w:val="00B763A2"/>
    <w:rsid w:val="00B7682E"/>
    <w:rsid w:val="00B76832"/>
    <w:rsid w:val="00B7697A"/>
    <w:rsid w:val="00B770F1"/>
    <w:rsid w:val="00B80361"/>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B37"/>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4929"/>
    <w:rsid w:val="00BC4CF8"/>
    <w:rsid w:val="00BC508B"/>
    <w:rsid w:val="00BC5224"/>
    <w:rsid w:val="00BC53CF"/>
    <w:rsid w:val="00BC54C8"/>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044E"/>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38F0"/>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37F17"/>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A96"/>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265C"/>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530C"/>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08A9"/>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2B78"/>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6CB"/>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A733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B7CD7"/>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5FD"/>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652"/>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2FCB"/>
    <w:rsid w:val="00E54B25"/>
    <w:rsid w:val="00E54E03"/>
    <w:rsid w:val="00E54F4F"/>
    <w:rsid w:val="00E54F90"/>
    <w:rsid w:val="00E55052"/>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9A2"/>
    <w:rsid w:val="00E90C19"/>
    <w:rsid w:val="00E90F60"/>
    <w:rsid w:val="00E911D4"/>
    <w:rsid w:val="00E93511"/>
    <w:rsid w:val="00E94C96"/>
    <w:rsid w:val="00E954A1"/>
    <w:rsid w:val="00E95A3B"/>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4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7EC"/>
    <w:rsid w:val="00EB3DDA"/>
    <w:rsid w:val="00EB4D36"/>
    <w:rsid w:val="00EB56BE"/>
    <w:rsid w:val="00EB584A"/>
    <w:rsid w:val="00EB6519"/>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48EC"/>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8CF"/>
    <w:rsid w:val="00F31D66"/>
    <w:rsid w:val="00F3237A"/>
    <w:rsid w:val="00F32434"/>
    <w:rsid w:val="00F3265A"/>
    <w:rsid w:val="00F32C67"/>
    <w:rsid w:val="00F33488"/>
    <w:rsid w:val="00F33F6B"/>
    <w:rsid w:val="00F34006"/>
    <w:rsid w:val="00F341C7"/>
    <w:rsid w:val="00F34918"/>
    <w:rsid w:val="00F35616"/>
    <w:rsid w:val="00F3591C"/>
    <w:rsid w:val="00F37085"/>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14E"/>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EE2"/>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3334"/>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4E05"/>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uiPriority w:val="99"/>
    <w:semiHidden/>
    <w:rsid w:val="00BC54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2C5EA-7C44-4733-B272-431F0D6F211E}">
  <ds:schemaRefs>
    <ds:schemaRef ds:uri="http://schemas.openxmlformats.org/officeDocument/2006/bibliography"/>
  </ds:schemaRefs>
</ds:datastoreItem>
</file>

<file path=customXml/itemProps2.xml><?xml version="1.0" encoding="utf-8"?>
<ds:datastoreItem xmlns:ds="http://schemas.openxmlformats.org/officeDocument/2006/customXml" ds:itemID="{A5497544-7D13-42AB-805F-7CD276B9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1735</Words>
  <Characters>9814</Characters>
  <Application>Microsoft Office Word</Application>
  <DocSecurity>0</DocSecurity>
  <Lines>199</Lines>
  <Paragraphs>60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2020-09-09T00:54:00Z</dcterms:created>
  <dcterms:modified xsi:type="dcterms:W3CDTF">2020-09-09T00:54:00Z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A25403900</vt:lpwstr>
  </property>
  <property fmtid="{D5CDD505-2E9C-101B-9397-08002B2CF9AE}" pid="4" name="Objective-Title">
    <vt:lpwstr>Explanatory Statement - Pre-DA Community Consultation</vt:lpwstr>
  </property>
  <property fmtid="{D5CDD505-2E9C-101B-9397-08002B2CF9AE}" pid="5" name="Objective-Comment">
    <vt:lpwstr/>
  </property>
  <property fmtid="{D5CDD505-2E9C-101B-9397-08002B2CF9AE}" pid="6" name="Objective-CreationStamp">
    <vt:filetime>2020-04-14T06:31:25Z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2020-08-13T02:19:03Z</vt:filetime>
  </property>
  <property fmtid="{D5CDD505-2E9C-101B-9397-08002B2CF9AE}" pid="10" name="Objective-ModificationStamp">
    <vt:filetime>2020-08-13T02:19:03Z</vt:filetime>
  </property>
  <property fmtid="{D5CDD505-2E9C-101B-9397-08002B2CF9AE}" pid="11" name="Objective-Owner">
    <vt:lpwstr>Brad Maxwell</vt:lpwstr>
  </property>
  <property fmtid="{D5CDD505-2E9C-101B-9397-08002B2CF9AE}" pid="12" name="Objective-Path">
    <vt:lpwstr>Whole of ACT Government:EPSDD - Environment Planning and Sustainable Development Directorate:DIVISION - Planning Delivery:05. Planning Delivery - BRANCH - Impact Assessment &amp; Business Improvement:04. Current Projects:17 Pre - DA Consultation Guidelines Re</vt:lpwstr>
  </property>
  <property fmtid="{D5CDD505-2E9C-101B-9397-08002B2CF9AE}" pid="13" name="Objective-Parent">
    <vt:lpwstr>02. Regulation Amendment</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