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527" w:rsidRPr="00E0508E" w:rsidRDefault="003A7527" w:rsidP="003A7527">
      <w:pPr>
        <w:jc w:val="center"/>
        <w:rPr>
          <w:b/>
        </w:rPr>
      </w:pPr>
      <w:bookmarkStart w:id="0" w:name="_GoBack"/>
      <w:bookmarkEnd w:id="0"/>
      <w:r w:rsidRPr="00E0508E">
        <w:rPr>
          <w:b/>
        </w:rPr>
        <w:t>20</w:t>
      </w:r>
      <w:r w:rsidR="00DB6C8C">
        <w:rPr>
          <w:b/>
        </w:rPr>
        <w:t>20</w:t>
      </w:r>
    </w:p>
    <w:p w:rsidR="003A7527" w:rsidRDefault="003A7527" w:rsidP="003A7527">
      <w:pPr>
        <w:jc w:val="center"/>
        <w:rPr>
          <w:rFonts w:ascii="Arial" w:hAnsi="Arial" w:cs="Arial"/>
        </w:rPr>
      </w:pPr>
    </w:p>
    <w:p w:rsidR="003A7527" w:rsidRDefault="003A7527" w:rsidP="003A7527">
      <w:pPr>
        <w:jc w:val="center"/>
        <w:rPr>
          <w:rFonts w:ascii="Arial" w:hAnsi="Arial" w:cs="Arial"/>
        </w:rPr>
      </w:pPr>
    </w:p>
    <w:p w:rsidR="003A7527" w:rsidRDefault="003A7527" w:rsidP="003A7527">
      <w:pPr>
        <w:jc w:val="center"/>
        <w:rPr>
          <w:rFonts w:ascii="Arial" w:hAnsi="Arial" w:cs="Arial"/>
        </w:rPr>
      </w:pPr>
    </w:p>
    <w:p w:rsidR="003A7527" w:rsidRDefault="003A7527" w:rsidP="008A69F3">
      <w:pPr>
        <w:rPr>
          <w:rFonts w:ascii="Arial" w:hAnsi="Arial" w:cs="Arial"/>
        </w:rPr>
      </w:pPr>
    </w:p>
    <w:p w:rsidR="003A7527" w:rsidRDefault="003A7527" w:rsidP="003A7527">
      <w:pPr>
        <w:autoSpaceDE w:val="0"/>
        <w:autoSpaceDN w:val="0"/>
        <w:adjustRightInd w:val="0"/>
        <w:jc w:val="center"/>
        <w:rPr>
          <w:rFonts w:ascii="TimesNewRomanPS-BoldMT" w:hAnsi="TimesNewRomanPS-BoldMT" w:cs="TimesNewRomanPS-BoldMT"/>
          <w:b/>
          <w:bCs/>
          <w:szCs w:val="24"/>
          <w:lang w:eastAsia="en-AU"/>
        </w:rPr>
      </w:pPr>
      <w:r>
        <w:rPr>
          <w:rFonts w:ascii="TimesNewRomanPS-BoldMT" w:hAnsi="TimesNewRomanPS-BoldMT" w:cs="TimesNewRomanPS-BoldMT"/>
          <w:b/>
          <w:bCs/>
          <w:szCs w:val="24"/>
          <w:lang w:eastAsia="en-AU"/>
        </w:rPr>
        <w:t>LEGISLATIVE ASSEMBLY FOR THE</w:t>
      </w:r>
    </w:p>
    <w:p w:rsidR="003A7527" w:rsidRDefault="003A7527" w:rsidP="003A7527">
      <w:pPr>
        <w:jc w:val="center"/>
        <w:rPr>
          <w:rFonts w:ascii="Arial" w:hAnsi="Arial" w:cs="Arial"/>
        </w:rPr>
      </w:pPr>
      <w:r>
        <w:rPr>
          <w:rFonts w:ascii="TimesNewRomanPS-BoldMT" w:hAnsi="TimesNewRomanPS-BoldMT" w:cs="TimesNewRomanPS-BoldMT"/>
          <w:b/>
          <w:bCs/>
          <w:szCs w:val="24"/>
          <w:lang w:eastAsia="en-AU"/>
        </w:rPr>
        <w:t>AUSTRALIAN CAPITAL TERRITORY</w:t>
      </w:r>
    </w:p>
    <w:p w:rsidR="003A7527" w:rsidRDefault="003A7527" w:rsidP="003A7527">
      <w:pPr>
        <w:jc w:val="center"/>
        <w:rPr>
          <w:rFonts w:ascii="Arial" w:hAnsi="Arial" w:cs="Arial"/>
        </w:rPr>
      </w:pPr>
    </w:p>
    <w:p w:rsidR="003A7527" w:rsidRDefault="003A7527" w:rsidP="003A7527">
      <w:pPr>
        <w:jc w:val="center"/>
        <w:rPr>
          <w:rFonts w:ascii="Arial" w:hAnsi="Arial" w:cs="Arial"/>
        </w:rPr>
      </w:pPr>
    </w:p>
    <w:p w:rsidR="003A7527" w:rsidRDefault="003A7527" w:rsidP="003A7527">
      <w:pPr>
        <w:jc w:val="center"/>
        <w:rPr>
          <w:rFonts w:ascii="Arial" w:hAnsi="Arial" w:cs="Arial"/>
        </w:rPr>
      </w:pPr>
    </w:p>
    <w:p w:rsidR="003A7527" w:rsidRDefault="003A7527" w:rsidP="003A7527">
      <w:pPr>
        <w:jc w:val="center"/>
        <w:rPr>
          <w:rFonts w:ascii="Arial" w:hAnsi="Arial" w:cs="Arial"/>
        </w:rPr>
      </w:pPr>
    </w:p>
    <w:p w:rsidR="003A7527" w:rsidRDefault="003A7527" w:rsidP="003A7527">
      <w:pPr>
        <w:jc w:val="center"/>
        <w:rPr>
          <w:rFonts w:ascii="Arial" w:hAnsi="Arial" w:cs="Arial"/>
        </w:rPr>
      </w:pPr>
    </w:p>
    <w:p w:rsidR="003A7527" w:rsidRDefault="003A7527" w:rsidP="003A7527">
      <w:pPr>
        <w:jc w:val="center"/>
        <w:rPr>
          <w:rFonts w:ascii="Arial" w:hAnsi="Arial" w:cs="Arial"/>
        </w:rPr>
      </w:pPr>
    </w:p>
    <w:p w:rsidR="003A7527" w:rsidRDefault="003A7527" w:rsidP="003A7527">
      <w:pPr>
        <w:jc w:val="center"/>
        <w:rPr>
          <w:rFonts w:ascii="Arial" w:hAnsi="Arial" w:cs="Arial"/>
        </w:rPr>
      </w:pPr>
    </w:p>
    <w:p w:rsidR="003A7527" w:rsidRPr="00DB290C" w:rsidRDefault="003A7527" w:rsidP="003A7527">
      <w:pPr>
        <w:jc w:val="center"/>
        <w:rPr>
          <w:rFonts w:ascii="TimesNewRomanPS-BoldMT" w:hAnsi="TimesNewRomanPS-BoldMT" w:cs="TimesNewRomanPS-BoldMT"/>
          <w:b/>
          <w:bCs/>
          <w:szCs w:val="24"/>
          <w:lang w:eastAsia="en-AU"/>
        </w:rPr>
      </w:pPr>
    </w:p>
    <w:p w:rsidR="003A7527" w:rsidRPr="00DB290C" w:rsidRDefault="00DB290C" w:rsidP="003A7527">
      <w:pPr>
        <w:jc w:val="center"/>
        <w:rPr>
          <w:rFonts w:ascii="TimesNewRomanPS-BoldMT" w:hAnsi="TimesNewRomanPS-BoldMT" w:cs="TimesNewRomanPS-BoldMT"/>
          <w:b/>
          <w:bCs/>
          <w:szCs w:val="24"/>
          <w:lang w:eastAsia="en-AU"/>
        </w:rPr>
      </w:pPr>
      <w:r w:rsidRPr="00DB290C">
        <w:rPr>
          <w:rFonts w:ascii="TimesNewRomanPS-BoldMT" w:hAnsi="TimesNewRomanPS-BoldMT" w:cs="TimesNewRomanPS-BoldMT"/>
          <w:b/>
          <w:bCs/>
          <w:szCs w:val="24"/>
          <w:lang w:eastAsia="en-AU"/>
        </w:rPr>
        <w:t>GENE TECHNOLOGY AMENDMENT REGULATION 2</w:t>
      </w:r>
      <w:r w:rsidR="00150C32">
        <w:rPr>
          <w:rFonts w:ascii="TimesNewRomanPS-BoldMT" w:hAnsi="TimesNewRomanPS-BoldMT" w:cs="TimesNewRomanPS-BoldMT"/>
          <w:b/>
          <w:bCs/>
          <w:szCs w:val="24"/>
          <w:lang w:eastAsia="en-AU"/>
        </w:rPr>
        <w:t>020</w:t>
      </w:r>
      <w:r w:rsidRPr="00DB290C">
        <w:rPr>
          <w:rFonts w:ascii="TimesNewRomanPS-BoldMT" w:hAnsi="TimesNewRomanPS-BoldMT" w:cs="TimesNewRomanPS-BoldMT"/>
          <w:b/>
          <w:bCs/>
          <w:szCs w:val="24"/>
          <w:lang w:eastAsia="en-AU"/>
        </w:rPr>
        <w:t xml:space="preserve"> (N</w:t>
      </w:r>
      <w:r>
        <w:rPr>
          <w:rFonts w:ascii="TimesNewRomanPS-BoldMT" w:hAnsi="TimesNewRomanPS-BoldMT" w:cs="TimesNewRomanPS-BoldMT"/>
          <w:b/>
          <w:bCs/>
          <w:szCs w:val="24"/>
          <w:lang w:eastAsia="en-AU"/>
        </w:rPr>
        <w:t>o</w:t>
      </w:r>
      <w:r w:rsidR="00040DEA">
        <w:rPr>
          <w:rFonts w:ascii="TimesNewRomanPS-BoldMT" w:hAnsi="TimesNewRomanPS-BoldMT" w:cs="TimesNewRomanPS-BoldMT"/>
          <w:b/>
          <w:bCs/>
          <w:szCs w:val="24"/>
          <w:lang w:eastAsia="en-AU"/>
        </w:rPr>
        <w:t xml:space="preserve"> 1</w:t>
      </w:r>
      <w:r w:rsidRPr="00DB290C">
        <w:rPr>
          <w:rFonts w:ascii="TimesNewRomanPS-BoldMT" w:hAnsi="TimesNewRomanPS-BoldMT" w:cs="TimesNewRomanPS-BoldMT"/>
          <w:b/>
          <w:bCs/>
          <w:szCs w:val="24"/>
          <w:lang w:eastAsia="en-AU"/>
        </w:rPr>
        <w:t xml:space="preserve">) </w:t>
      </w:r>
    </w:p>
    <w:p w:rsidR="003A7527" w:rsidRPr="00460237" w:rsidRDefault="00460237" w:rsidP="003A7527">
      <w:pPr>
        <w:jc w:val="center"/>
        <w:rPr>
          <w:rFonts w:ascii="TimesNewRomanPS-BoldMT" w:hAnsi="TimesNewRomanPS-BoldMT" w:cs="TimesNewRomanPS-BoldMT"/>
          <w:b/>
          <w:bCs/>
          <w:szCs w:val="24"/>
          <w:lang w:eastAsia="en-AU"/>
        </w:rPr>
      </w:pPr>
      <w:r w:rsidRPr="00460237">
        <w:rPr>
          <w:rFonts w:ascii="TimesNewRomanPS-BoldMT" w:hAnsi="TimesNewRomanPS-BoldMT" w:cs="TimesNewRomanPS-BoldMT"/>
          <w:b/>
          <w:bCs/>
          <w:szCs w:val="24"/>
          <w:lang w:eastAsia="en-AU"/>
        </w:rPr>
        <w:t>SL2020-38</w:t>
      </w:r>
    </w:p>
    <w:p w:rsidR="003A7527" w:rsidRDefault="003A7527" w:rsidP="003A7527">
      <w:pPr>
        <w:autoSpaceDE w:val="0"/>
        <w:autoSpaceDN w:val="0"/>
        <w:adjustRightInd w:val="0"/>
        <w:jc w:val="center"/>
        <w:rPr>
          <w:rFonts w:ascii="TimesNewRomanPS-BoldMT" w:hAnsi="TimesNewRomanPS-BoldMT" w:cs="TimesNewRomanPS-BoldMT"/>
          <w:b/>
          <w:bCs/>
          <w:szCs w:val="24"/>
          <w:lang w:eastAsia="en-AU"/>
        </w:rPr>
      </w:pPr>
    </w:p>
    <w:p w:rsidR="003A7527" w:rsidRDefault="003A7527" w:rsidP="003A7527">
      <w:pPr>
        <w:jc w:val="center"/>
        <w:rPr>
          <w:rFonts w:ascii="TimesNewRomanPS-BoldMT" w:hAnsi="TimesNewRomanPS-BoldMT" w:cs="TimesNewRomanPS-BoldMT"/>
          <w:b/>
          <w:bCs/>
          <w:szCs w:val="24"/>
          <w:lang w:eastAsia="en-AU"/>
        </w:rPr>
      </w:pPr>
      <w:r>
        <w:rPr>
          <w:rFonts w:ascii="TimesNewRomanPS-BoldMT" w:hAnsi="TimesNewRomanPS-BoldMT" w:cs="TimesNewRomanPS-BoldMT"/>
          <w:b/>
          <w:bCs/>
          <w:szCs w:val="24"/>
          <w:lang w:eastAsia="en-AU"/>
        </w:rPr>
        <w:t>EXPLANATORY STATEMENT</w:t>
      </w:r>
    </w:p>
    <w:p w:rsidR="003A7527" w:rsidRDefault="003A7527" w:rsidP="003A7527">
      <w:pPr>
        <w:rPr>
          <w:rFonts w:ascii="Arial" w:hAnsi="Arial" w:cs="Arial"/>
        </w:rPr>
      </w:pPr>
    </w:p>
    <w:p w:rsidR="003A7527" w:rsidRDefault="003A7527" w:rsidP="003A7527">
      <w:pPr>
        <w:rPr>
          <w:rFonts w:ascii="Arial" w:hAnsi="Arial" w:cs="Arial"/>
        </w:rPr>
      </w:pPr>
    </w:p>
    <w:p w:rsidR="003A7527" w:rsidRDefault="003A7527" w:rsidP="003A7527">
      <w:pPr>
        <w:rPr>
          <w:rFonts w:ascii="Arial" w:hAnsi="Arial" w:cs="Arial"/>
        </w:rPr>
      </w:pPr>
    </w:p>
    <w:p w:rsidR="003A7527" w:rsidRDefault="00990EB4" w:rsidP="003A7527">
      <w:pPr>
        <w:rPr>
          <w:rFonts w:ascii="Arial" w:hAnsi="Arial" w:cs="Arial"/>
        </w:rPr>
      </w:pPr>
      <w:r>
        <w:rPr>
          <w:rFonts w:ascii="Arial" w:hAnsi="Arial" w:cs="Arial"/>
        </w:rPr>
        <w:t xml:space="preserve"> </w:t>
      </w:r>
    </w:p>
    <w:p w:rsidR="003A7527" w:rsidRDefault="003A7527" w:rsidP="003A7527">
      <w:pPr>
        <w:rPr>
          <w:rFonts w:ascii="Arial" w:hAnsi="Arial" w:cs="Arial"/>
        </w:rPr>
      </w:pPr>
    </w:p>
    <w:p w:rsidR="003A7527" w:rsidRDefault="003A7527" w:rsidP="003A7527">
      <w:pPr>
        <w:rPr>
          <w:rFonts w:ascii="Arial" w:hAnsi="Arial" w:cs="Arial"/>
        </w:rPr>
      </w:pPr>
    </w:p>
    <w:p w:rsidR="003A7527" w:rsidRDefault="003A7527" w:rsidP="003A7527">
      <w:pPr>
        <w:rPr>
          <w:rFonts w:ascii="Arial" w:hAnsi="Arial" w:cs="Arial"/>
        </w:rPr>
      </w:pPr>
    </w:p>
    <w:p w:rsidR="003A7527" w:rsidRDefault="003A7527" w:rsidP="003A7527">
      <w:pPr>
        <w:rPr>
          <w:rFonts w:ascii="Arial" w:hAnsi="Arial" w:cs="Arial"/>
        </w:rPr>
      </w:pPr>
    </w:p>
    <w:p w:rsidR="003A7527" w:rsidRDefault="003A7527" w:rsidP="003A7527">
      <w:pPr>
        <w:rPr>
          <w:rFonts w:ascii="Arial" w:hAnsi="Arial" w:cs="Arial"/>
        </w:rPr>
      </w:pPr>
    </w:p>
    <w:p w:rsidR="003A7527" w:rsidRDefault="003A7527" w:rsidP="003A7527">
      <w:pPr>
        <w:rPr>
          <w:rFonts w:ascii="Arial" w:hAnsi="Arial" w:cs="Arial"/>
        </w:rPr>
      </w:pPr>
    </w:p>
    <w:p w:rsidR="003A7527" w:rsidRDefault="003A7527" w:rsidP="003A7527">
      <w:pPr>
        <w:rPr>
          <w:rFonts w:ascii="Arial" w:hAnsi="Arial" w:cs="Arial"/>
        </w:rPr>
      </w:pPr>
    </w:p>
    <w:p w:rsidR="003A7527" w:rsidRDefault="003A7527" w:rsidP="003A7527">
      <w:pPr>
        <w:rPr>
          <w:rFonts w:ascii="Arial" w:hAnsi="Arial" w:cs="Arial"/>
        </w:rPr>
      </w:pPr>
    </w:p>
    <w:p w:rsidR="003A7527" w:rsidRDefault="003A7527" w:rsidP="003A7527">
      <w:pPr>
        <w:rPr>
          <w:rFonts w:ascii="Arial" w:hAnsi="Arial" w:cs="Arial"/>
        </w:rPr>
      </w:pPr>
    </w:p>
    <w:p w:rsidR="003A7527" w:rsidRDefault="003A7527" w:rsidP="003A7527">
      <w:pPr>
        <w:rPr>
          <w:rFonts w:ascii="Arial" w:hAnsi="Arial" w:cs="Arial"/>
        </w:rPr>
      </w:pPr>
    </w:p>
    <w:p w:rsidR="003A7527" w:rsidRDefault="003A7527" w:rsidP="003A7527">
      <w:pPr>
        <w:rPr>
          <w:rFonts w:ascii="Arial" w:hAnsi="Arial" w:cs="Arial"/>
        </w:rPr>
      </w:pPr>
    </w:p>
    <w:p w:rsidR="003A7527" w:rsidRDefault="003A7527" w:rsidP="003A7527">
      <w:pPr>
        <w:rPr>
          <w:rFonts w:ascii="Arial" w:hAnsi="Arial" w:cs="Arial"/>
        </w:rPr>
      </w:pPr>
    </w:p>
    <w:p w:rsidR="003A7527" w:rsidRDefault="003A7527" w:rsidP="003A7527">
      <w:pPr>
        <w:rPr>
          <w:rFonts w:ascii="Arial" w:hAnsi="Arial" w:cs="Arial"/>
        </w:rPr>
      </w:pPr>
    </w:p>
    <w:p w:rsidR="003A7527" w:rsidRDefault="003A7527" w:rsidP="003A7527">
      <w:pPr>
        <w:rPr>
          <w:rFonts w:ascii="Arial" w:hAnsi="Arial" w:cs="Arial"/>
        </w:rPr>
      </w:pPr>
    </w:p>
    <w:p w:rsidR="003A7527" w:rsidRDefault="003A7527" w:rsidP="003A7527">
      <w:pPr>
        <w:rPr>
          <w:rFonts w:ascii="Arial" w:hAnsi="Arial" w:cs="Arial"/>
        </w:rPr>
      </w:pPr>
    </w:p>
    <w:p w:rsidR="003A7527" w:rsidRDefault="003A7527" w:rsidP="003A7527">
      <w:pPr>
        <w:rPr>
          <w:rFonts w:ascii="Arial" w:hAnsi="Arial" w:cs="Arial"/>
        </w:rPr>
      </w:pPr>
    </w:p>
    <w:p w:rsidR="003A7527" w:rsidRDefault="003A7527" w:rsidP="003A7527">
      <w:pPr>
        <w:rPr>
          <w:rFonts w:ascii="Arial" w:hAnsi="Arial" w:cs="Arial"/>
        </w:rPr>
      </w:pPr>
    </w:p>
    <w:p w:rsidR="003A7527" w:rsidRDefault="003A7527" w:rsidP="003A7527">
      <w:pPr>
        <w:rPr>
          <w:rFonts w:ascii="Arial" w:hAnsi="Arial" w:cs="Arial"/>
        </w:rPr>
      </w:pPr>
    </w:p>
    <w:p w:rsidR="003A7527" w:rsidRDefault="003A7527" w:rsidP="003A7527">
      <w:pPr>
        <w:jc w:val="right"/>
        <w:rPr>
          <w:b/>
        </w:rPr>
      </w:pPr>
    </w:p>
    <w:p w:rsidR="003A7527" w:rsidRPr="00E0508E" w:rsidRDefault="003A7527" w:rsidP="003A7527">
      <w:pPr>
        <w:jc w:val="right"/>
        <w:rPr>
          <w:b/>
        </w:rPr>
      </w:pPr>
      <w:r w:rsidRPr="00E0508E">
        <w:rPr>
          <w:b/>
        </w:rPr>
        <w:t>Presented by</w:t>
      </w:r>
    </w:p>
    <w:p w:rsidR="003A7527" w:rsidRPr="00E0508E" w:rsidRDefault="00A1609E" w:rsidP="003A7527">
      <w:pPr>
        <w:jc w:val="right"/>
        <w:rPr>
          <w:b/>
        </w:rPr>
      </w:pPr>
      <w:r>
        <w:rPr>
          <w:b/>
        </w:rPr>
        <w:t xml:space="preserve">Rachel Stephen-Smith </w:t>
      </w:r>
      <w:r w:rsidR="003A7527" w:rsidRPr="00E0508E">
        <w:rPr>
          <w:b/>
        </w:rPr>
        <w:t>MLA</w:t>
      </w:r>
    </w:p>
    <w:p w:rsidR="001D3288" w:rsidRDefault="003A7527" w:rsidP="003A7527">
      <w:pPr>
        <w:jc w:val="right"/>
        <w:rPr>
          <w:b/>
        </w:rPr>
        <w:sectPr w:rsidR="001D3288" w:rsidSect="00871A40">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docGrid w:linePitch="326"/>
        </w:sectPr>
      </w:pPr>
      <w:r w:rsidRPr="00E0508E">
        <w:rPr>
          <w:b/>
        </w:rPr>
        <w:t xml:space="preserve">Minister for Health </w:t>
      </w:r>
    </w:p>
    <w:p w:rsidR="00DB290C" w:rsidRPr="00DB290C" w:rsidRDefault="00DB290C" w:rsidP="00DB290C">
      <w:pPr>
        <w:jc w:val="center"/>
        <w:rPr>
          <w:rFonts w:ascii="TimesNewRomanPS-BoldMT" w:hAnsi="TimesNewRomanPS-BoldMT" w:cs="TimesNewRomanPS-BoldMT"/>
          <w:b/>
          <w:bCs/>
          <w:szCs w:val="24"/>
          <w:lang w:eastAsia="en-AU"/>
        </w:rPr>
      </w:pPr>
      <w:r w:rsidRPr="00DB290C">
        <w:rPr>
          <w:rFonts w:ascii="TimesNewRomanPS-BoldMT" w:hAnsi="TimesNewRomanPS-BoldMT" w:cs="TimesNewRomanPS-BoldMT"/>
          <w:b/>
          <w:bCs/>
          <w:szCs w:val="24"/>
          <w:lang w:eastAsia="en-AU"/>
        </w:rPr>
        <w:lastRenderedPageBreak/>
        <w:t>GENE TECHNOLOGY AMENDMENT REGULATION 20</w:t>
      </w:r>
      <w:r w:rsidR="00DB6C8C">
        <w:rPr>
          <w:rFonts w:ascii="TimesNewRomanPS-BoldMT" w:hAnsi="TimesNewRomanPS-BoldMT" w:cs="TimesNewRomanPS-BoldMT"/>
          <w:b/>
          <w:bCs/>
          <w:szCs w:val="24"/>
          <w:lang w:eastAsia="en-AU"/>
        </w:rPr>
        <w:t>20</w:t>
      </w:r>
      <w:r w:rsidRPr="00DB290C">
        <w:rPr>
          <w:rFonts w:ascii="TimesNewRomanPS-BoldMT" w:hAnsi="TimesNewRomanPS-BoldMT" w:cs="TimesNewRomanPS-BoldMT"/>
          <w:b/>
          <w:bCs/>
          <w:szCs w:val="24"/>
          <w:lang w:eastAsia="en-AU"/>
        </w:rPr>
        <w:t xml:space="preserve"> (N</w:t>
      </w:r>
      <w:r>
        <w:rPr>
          <w:rFonts w:ascii="TimesNewRomanPS-BoldMT" w:hAnsi="TimesNewRomanPS-BoldMT" w:cs="TimesNewRomanPS-BoldMT"/>
          <w:b/>
          <w:bCs/>
          <w:szCs w:val="24"/>
          <w:lang w:eastAsia="en-AU"/>
        </w:rPr>
        <w:t>o</w:t>
      </w:r>
      <w:r w:rsidRPr="00DB290C">
        <w:rPr>
          <w:rFonts w:ascii="TimesNewRomanPS-BoldMT" w:hAnsi="TimesNewRomanPS-BoldMT" w:cs="TimesNewRomanPS-BoldMT"/>
          <w:b/>
          <w:bCs/>
          <w:szCs w:val="24"/>
          <w:lang w:eastAsia="en-AU"/>
        </w:rPr>
        <w:t xml:space="preserve"> </w:t>
      </w:r>
      <w:r w:rsidR="00FE01D6">
        <w:rPr>
          <w:rFonts w:ascii="TimesNewRomanPS-BoldMT" w:hAnsi="TimesNewRomanPS-BoldMT" w:cs="TimesNewRomanPS-BoldMT"/>
          <w:b/>
          <w:bCs/>
          <w:szCs w:val="24"/>
          <w:lang w:eastAsia="en-AU"/>
        </w:rPr>
        <w:t>1</w:t>
      </w:r>
      <w:r w:rsidR="00FE01D6" w:rsidRPr="00DB290C">
        <w:rPr>
          <w:rFonts w:ascii="TimesNewRomanPS-BoldMT" w:hAnsi="TimesNewRomanPS-BoldMT" w:cs="TimesNewRomanPS-BoldMT"/>
          <w:b/>
          <w:bCs/>
          <w:szCs w:val="24"/>
          <w:lang w:eastAsia="en-AU"/>
        </w:rPr>
        <w:t>)</w:t>
      </w:r>
      <w:r w:rsidRPr="00DB290C">
        <w:rPr>
          <w:rFonts w:ascii="TimesNewRomanPS-BoldMT" w:hAnsi="TimesNewRomanPS-BoldMT" w:cs="TimesNewRomanPS-BoldMT"/>
          <w:b/>
          <w:bCs/>
          <w:szCs w:val="24"/>
          <w:lang w:eastAsia="en-AU"/>
        </w:rPr>
        <w:t xml:space="preserve"> </w:t>
      </w:r>
    </w:p>
    <w:p w:rsidR="003A7527" w:rsidRDefault="003A7527" w:rsidP="003A7527">
      <w:pPr>
        <w:autoSpaceDE w:val="0"/>
        <w:autoSpaceDN w:val="0"/>
        <w:adjustRightInd w:val="0"/>
        <w:jc w:val="center"/>
        <w:rPr>
          <w:rFonts w:ascii="TimesNewRomanPS-BoldMT" w:hAnsi="TimesNewRomanPS-BoldMT" w:cs="TimesNewRomanPS-BoldMT"/>
          <w:b/>
          <w:bCs/>
          <w:szCs w:val="24"/>
          <w:lang w:eastAsia="en-AU"/>
        </w:rPr>
      </w:pPr>
    </w:p>
    <w:p w:rsidR="003A7527" w:rsidRDefault="00563A24" w:rsidP="003A7527">
      <w:pPr>
        <w:autoSpaceDE w:val="0"/>
        <w:autoSpaceDN w:val="0"/>
        <w:adjustRightInd w:val="0"/>
        <w:jc w:val="center"/>
        <w:rPr>
          <w:rFonts w:ascii="TimesNewRomanPS-BoldMT" w:hAnsi="TimesNewRomanPS-BoldMT" w:cs="TimesNewRomanPS-BoldMT"/>
          <w:b/>
          <w:bCs/>
          <w:szCs w:val="24"/>
          <w:lang w:eastAsia="en-AU"/>
        </w:rPr>
      </w:pPr>
      <w:r>
        <w:rPr>
          <w:rFonts w:ascii="TimesNewRomanPS-BoldMT" w:hAnsi="TimesNewRomanPS-BoldMT" w:cs="TimesNewRomanPS-BoldMT"/>
          <w:b/>
          <w:bCs/>
          <w:szCs w:val="24"/>
          <w:lang w:eastAsia="en-AU"/>
        </w:rPr>
        <w:t>SL</w:t>
      </w:r>
      <w:r w:rsidR="001A2831">
        <w:rPr>
          <w:rFonts w:ascii="TimesNewRomanPS-BoldMT" w:hAnsi="TimesNewRomanPS-BoldMT" w:cs="TimesNewRomanPS-BoldMT"/>
          <w:b/>
          <w:bCs/>
          <w:szCs w:val="24"/>
          <w:lang w:eastAsia="en-AU"/>
        </w:rPr>
        <w:t>2020</w:t>
      </w:r>
      <w:r w:rsidR="003A7527">
        <w:rPr>
          <w:rFonts w:ascii="TimesNewRomanPS-BoldMT" w:hAnsi="TimesNewRomanPS-BoldMT" w:cs="TimesNewRomanPS-BoldMT"/>
          <w:b/>
          <w:bCs/>
          <w:szCs w:val="24"/>
          <w:lang w:eastAsia="en-AU"/>
        </w:rPr>
        <w:t>-</w:t>
      </w:r>
      <w:r w:rsidR="007360A6">
        <w:rPr>
          <w:rFonts w:ascii="TimesNewRomanPS-BoldMT" w:hAnsi="TimesNewRomanPS-BoldMT" w:cs="TimesNewRomanPS-BoldMT"/>
          <w:b/>
          <w:bCs/>
          <w:szCs w:val="24"/>
          <w:lang w:eastAsia="en-AU"/>
        </w:rPr>
        <w:t>38</w:t>
      </w:r>
    </w:p>
    <w:p w:rsidR="003A7527" w:rsidRDefault="003A7527" w:rsidP="003A7527">
      <w:pPr>
        <w:rPr>
          <w:b/>
        </w:rPr>
      </w:pPr>
    </w:p>
    <w:p w:rsidR="003A7527" w:rsidRPr="0035275C" w:rsidRDefault="003A7527" w:rsidP="003A7527">
      <w:pPr>
        <w:rPr>
          <w:b/>
          <w:szCs w:val="24"/>
        </w:rPr>
      </w:pPr>
      <w:r w:rsidRPr="004C034B">
        <w:rPr>
          <w:b/>
          <w:szCs w:val="24"/>
        </w:rPr>
        <w:t xml:space="preserve">Amendment to the </w:t>
      </w:r>
      <w:r w:rsidR="00A940D5" w:rsidRPr="004C034B">
        <w:rPr>
          <w:b/>
          <w:i/>
          <w:iCs/>
          <w:szCs w:val="24"/>
        </w:rPr>
        <w:t xml:space="preserve">Gene Technology </w:t>
      </w:r>
      <w:r w:rsidR="00A9488D" w:rsidRPr="004C034B">
        <w:rPr>
          <w:b/>
          <w:i/>
          <w:iCs/>
          <w:szCs w:val="24"/>
        </w:rPr>
        <w:t>Regulation 2004</w:t>
      </w:r>
    </w:p>
    <w:p w:rsidR="003A7527" w:rsidRPr="008A69F3" w:rsidRDefault="003A7527" w:rsidP="003A7527">
      <w:pPr>
        <w:rPr>
          <w:b/>
          <w:szCs w:val="24"/>
        </w:rPr>
      </w:pPr>
    </w:p>
    <w:p w:rsidR="003A7527" w:rsidRPr="008A69F3" w:rsidRDefault="003A7527" w:rsidP="003A7527">
      <w:pPr>
        <w:rPr>
          <w:b/>
          <w:i/>
          <w:szCs w:val="24"/>
        </w:rPr>
      </w:pPr>
      <w:r w:rsidRPr="008A69F3">
        <w:rPr>
          <w:b/>
          <w:i/>
          <w:szCs w:val="24"/>
        </w:rPr>
        <w:t>Overview</w:t>
      </w:r>
    </w:p>
    <w:p w:rsidR="00996780" w:rsidRPr="008A69F3" w:rsidRDefault="00996780" w:rsidP="003A7527">
      <w:pPr>
        <w:rPr>
          <w:b/>
          <w:i/>
          <w:szCs w:val="24"/>
        </w:rPr>
      </w:pPr>
    </w:p>
    <w:p w:rsidR="00996780" w:rsidRPr="008A69F3" w:rsidRDefault="00996780" w:rsidP="00996780">
      <w:pPr>
        <w:rPr>
          <w:bCs/>
          <w:iCs/>
          <w:szCs w:val="24"/>
        </w:rPr>
      </w:pPr>
      <w:r w:rsidRPr="008A69F3">
        <w:rPr>
          <w:bCs/>
          <w:iCs/>
          <w:szCs w:val="24"/>
        </w:rPr>
        <w:t xml:space="preserve">The nationally consistent legislative scheme for gene technology is comprised of the Commonwealth </w:t>
      </w:r>
      <w:r w:rsidRPr="008A69F3">
        <w:rPr>
          <w:bCs/>
          <w:i/>
          <w:szCs w:val="24"/>
        </w:rPr>
        <w:t>Gene Technology Act 2000</w:t>
      </w:r>
      <w:r w:rsidR="0008356A" w:rsidRPr="008A69F3">
        <w:rPr>
          <w:bCs/>
          <w:i/>
          <w:szCs w:val="24"/>
        </w:rPr>
        <w:t xml:space="preserve"> </w:t>
      </w:r>
      <w:r w:rsidR="0008356A" w:rsidRPr="008A69F3">
        <w:rPr>
          <w:bCs/>
          <w:iCs/>
          <w:szCs w:val="24"/>
        </w:rPr>
        <w:t xml:space="preserve">(the Commonwealth Act) </w:t>
      </w:r>
      <w:r w:rsidRPr="008A69F3">
        <w:rPr>
          <w:bCs/>
          <w:iCs/>
          <w:szCs w:val="24"/>
        </w:rPr>
        <w:t xml:space="preserve">and the corresponding State or Territory legislation. The </w:t>
      </w:r>
      <w:r w:rsidR="00BC481E" w:rsidRPr="008A69F3">
        <w:rPr>
          <w:bCs/>
          <w:iCs/>
          <w:szCs w:val="24"/>
        </w:rPr>
        <w:t xml:space="preserve">Commonwealth </w:t>
      </w:r>
      <w:r w:rsidRPr="008A69F3">
        <w:rPr>
          <w:bCs/>
          <w:iCs/>
          <w:szCs w:val="24"/>
        </w:rPr>
        <w:t xml:space="preserve">Act establishes the Australian Government’s component of the nationally consistent scheme for regulating dealings with genetically modified organisms (GMOs) to protect the health and safety of people and the environment. </w:t>
      </w:r>
      <w:r w:rsidR="00431871" w:rsidRPr="008A69F3">
        <w:rPr>
          <w:bCs/>
          <w:iCs/>
          <w:szCs w:val="24"/>
        </w:rPr>
        <w:t xml:space="preserve">The </w:t>
      </w:r>
      <w:r w:rsidR="00431871" w:rsidRPr="008A69F3">
        <w:rPr>
          <w:bCs/>
          <w:i/>
          <w:szCs w:val="24"/>
        </w:rPr>
        <w:t xml:space="preserve">Gene Technology Regulations 2001 </w:t>
      </w:r>
      <w:r w:rsidR="00431871" w:rsidRPr="008A69F3">
        <w:rPr>
          <w:bCs/>
          <w:iCs/>
          <w:szCs w:val="24"/>
        </w:rPr>
        <w:t>(the</w:t>
      </w:r>
      <w:r w:rsidR="004C034B">
        <w:rPr>
          <w:bCs/>
          <w:iCs/>
          <w:szCs w:val="24"/>
        </w:rPr>
        <w:t xml:space="preserve"> </w:t>
      </w:r>
      <w:r w:rsidR="00431871" w:rsidRPr="004C034B">
        <w:rPr>
          <w:bCs/>
          <w:iCs/>
          <w:szCs w:val="24"/>
        </w:rPr>
        <w:t>Commonwealth Regulations) suppor</w:t>
      </w:r>
      <w:r w:rsidR="00431871" w:rsidRPr="0035275C">
        <w:rPr>
          <w:bCs/>
          <w:iCs/>
          <w:szCs w:val="24"/>
        </w:rPr>
        <w:t xml:space="preserve">t the implementation of the Commonwealth Act. </w:t>
      </w:r>
      <w:r w:rsidRPr="0035275C">
        <w:rPr>
          <w:bCs/>
          <w:iCs/>
          <w:szCs w:val="24"/>
        </w:rPr>
        <w:t xml:space="preserve">The Gene Technology Regulator (the Regulator) is a statutory office holder responsible for administering the </w:t>
      </w:r>
      <w:r w:rsidR="00BC481E" w:rsidRPr="008A69F3">
        <w:rPr>
          <w:bCs/>
          <w:iCs/>
          <w:szCs w:val="24"/>
        </w:rPr>
        <w:t xml:space="preserve">Commonwealth </w:t>
      </w:r>
      <w:r w:rsidRPr="008A69F3">
        <w:rPr>
          <w:bCs/>
          <w:iCs/>
          <w:szCs w:val="24"/>
        </w:rPr>
        <w:t>Act.</w:t>
      </w:r>
    </w:p>
    <w:p w:rsidR="00996780" w:rsidRPr="008A69F3" w:rsidRDefault="00996780" w:rsidP="003A7527">
      <w:pPr>
        <w:rPr>
          <w:bCs/>
          <w:iCs/>
          <w:szCs w:val="24"/>
        </w:rPr>
      </w:pPr>
    </w:p>
    <w:p w:rsidR="0063559D" w:rsidRPr="008A69F3" w:rsidRDefault="00996780" w:rsidP="003A7527">
      <w:pPr>
        <w:rPr>
          <w:bCs/>
          <w:iCs/>
          <w:szCs w:val="24"/>
        </w:rPr>
      </w:pPr>
      <w:r w:rsidRPr="008A69F3">
        <w:rPr>
          <w:bCs/>
          <w:iCs/>
          <w:szCs w:val="24"/>
        </w:rPr>
        <w:t>In the Australian Capital Territory</w:t>
      </w:r>
      <w:r w:rsidR="00CF6E5C" w:rsidRPr="008A69F3">
        <w:rPr>
          <w:bCs/>
          <w:iCs/>
          <w:szCs w:val="24"/>
        </w:rPr>
        <w:t xml:space="preserve"> (ACT)</w:t>
      </w:r>
      <w:r w:rsidRPr="008A69F3">
        <w:rPr>
          <w:bCs/>
          <w:iCs/>
          <w:szCs w:val="24"/>
        </w:rPr>
        <w:t xml:space="preserve"> the</w:t>
      </w:r>
      <w:r w:rsidR="0063559D" w:rsidRPr="008A69F3">
        <w:rPr>
          <w:bCs/>
          <w:iCs/>
          <w:szCs w:val="24"/>
        </w:rPr>
        <w:t xml:space="preserve"> </w:t>
      </w:r>
      <w:r w:rsidR="0063559D" w:rsidRPr="008A69F3">
        <w:rPr>
          <w:bCs/>
          <w:i/>
          <w:szCs w:val="24"/>
        </w:rPr>
        <w:t>Gene Technology Act 2003</w:t>
      </w:r>
      <w:r w:rsidR="0008356A" w:rsidRPr="008A69F3">
        <w:rPr>
          <w:bCs/>
          <w:i/>
          <w:szCs w:val="24"/>
        </w:rPr>
        <w:t xml:space="preserve"> </w:t>
      </w:r>
      <w:r w:rsidR="0008356A" w:rsidRPr="008A69F3">
        <w:rPr>
          <w:bCs/>
          <w:iCs/>
          <w:szCs w:val="24"/>
        </w:rPr>
        <w:t xml:space="preserve">(the Act) </w:t>
      </w:r>
      <w:r w:rsidR="0063559D" w:rsidRPr="008A69F3">
        <w:rPr>
          <w:bCs/>
          <w:iCs/>
          <w:szCs w:val="24"/>
        </w:rPr>
        <w:t>mirrors the Commonwealth Act</w:t>
      </w:r>
      <w:r w:rsidR="0008356A" w:rsidRPr="008A69F3">
        <w:rPr>
          <w:bCs/>
          <w:iCs/>
          <w:szCs w:val="24"/>
        </w:rPr>
        <w:t>,</w:t>
      </w:r>
      <w:r w:rsidR="0063559D" w:rsidRPr="008A69F3">
        <w:rPr>
          <w:bCs/>
          <w:iCs/>
          <w:szCs w:val="24"/>
        </w:rPr>
        <w:t xml:space="preserve"> which is a national model of law</w:t>
      </w:r>
      <w:r w:rsidR="0063559D" w:rsidRPr="008A69F3">
        <w:rPr>
          <w:bCs/>
          <w:i/>
          <w:szCs w:val="24"/>
        </w:rPr>
        <w:t>.</w:t>
      </w:r>
    </w:p>
    <w:p w:rsidR="004B6056" w:rsidRPr="008A69F3" w:rsidRDefault="004B6056" w:rsidP="003A7527">
      <w:pPr>
        <w:rPr>
          <w:b/>
          <w:i/>
          <w:szCs w:val="24"/>
        </w:rPr>
      </w:pPr>
    </w:p>
    <w:p w:rsidR="00CA67C1" w:rsidRPr="008A69F3" w:rsidRDefault="00267421" w:rsidP="003A7527">
      <w:pPr>
        <w:rPr>
          <w:bCs/>
          <w:iCs/>
          <w:szCs w:val="24"/>
        </w:rPr>
      </w:pPr>
      <w:r w:rsidRPr="008A69F3">
        <w:rPr>
          <w:bCs/>
          <w:iCs/>
          <w:szCs w:val="24"/>
        </w:rPr>
        <w:t xml:space="preserve">The </w:t>
      </w:r>
      <w:r w:rsidR="00CA67C1" w:rsidRPr="008A69F3">
        <w:rPr>
          <w:bCs/>
          <w:iCs/>
          <w:szCs w:val="24"/>
        </w:rPr>
        <w:t xml:space="preserve">object of the </w:t>
      </w:r>
      <w:r w:rsidR="0008356A" w:rsidRPr="008A69F3">
        <w:rPr>
          <w:bCs/>
          <w:iCs/>
          <w:szCs w:val="24"/>
        </w:rPr>
        <w:t>Act</w:t>
      </w:r>
      <w:r w:rsidR="00BC481E" w:rsidRPr="008A69F3">
        <w:rPr>
          <w:bCs/>
          <w:i/>
          <w:szCs w:val="24"/>
        </w:rPr>
        <w:t xml:space="preserve"> </w:t>
      </w:r>
      <w:r w:rsidR="00CA67C1" w:rsidRPr="008A69F3">
        <w:rPr>
          <w:bCs/>
          <w:iCs/>
          <w:szCs w:val="24"/>
        </w:rPr>
        <w:t xml:space="preserve">is to protect the health and safety of people, and to protect the environment, by identifying risks posed by or as a result of gene technology, and by managing those risks through regulating certain dealings with </w:t>
      </w:r>
      <w:r w:rsidR="000E27AD" w:rsidRPr="008A69F3">
        <w:rPr>
          <w:bCs/>
          <w:iCs/>
          <w:szCs w:val="24"/>
        </w:rPr>
        <w:t>genetically modified organisms (</w:t>
      </w:r>
      <w:r w:rsidR="00CA67C1" w:rsidRPr="008A69F3">
        <w:rPr>
          <w:bCs/>
          <w:iCs/>
          <w:szCs w:val="24"/>
        </w:rPr>
        <w:t>GMOs</w:t>
      </w:r>
      <w:r w:rsidR="000E27AD" w:rsidRPr="008A69F3">
        <w:rPr>
          <w:bCs/>
          <w:iCs/>
          <w:szCs w:val="24"/>
        </w:rPr>
        <w:t>)</w:t>
      </w:r>
      <w:r w:rsidR="00CA67C1" w:rsidRPr="008A69F3">
        <w:rPr>
          <w:bCs/>
          <w:iCs/>
          <w:szCs w:val="24"/>
        </w:rPr>
        <w:t xml:space="preserve">. </w:t>
      </w:r>
    </w:p>
    <w:p w:rsidR="00BC481E" w:rsidRPr="008A69F3" w:rsidRDefault="00BC481E" w:rsidP="003A7527">
      <w:pPr>
        <w:rPr>
          <w:bCs/>
          <w:iCs/>
          <w:szCs w:val="24"/>
        </w:rPr>
      </w:pPr>
    </w:p>
    <w:p w:rsidR="00BC481E" w:rsidRPr="008A69F3" w:rsidRDefault="00BC481E" w:rsidP="003A7527">
      <w:pPr>
        <w:rPr>
          <w:bCs/>
          <w:i/>
          <w:szCs w:val="24"/>
        </w:rPr>
      </w:pPr>
      <w:r w:rsidRPr="008A69F3">
        <w:rPr>
          <w:bCs/>
          <w:iCs/>
          <w:szCs w:val="24"/>
        </w:rPr>
        <w:t xml:space="preserve">The </w:t>
      </w:r>
      <w:r w:rsidRPr="008A69F3">
        <w:rPr>
          <w:bCs/>
          <w:i/>
          <w:szCs w:val="24"/>
        </w:rPr>
        <w:t xml:space="preserve">Gene Technology Regulation 2004 </w:t>
      </w:r>
      <w:r w:rsidRPr="008A69F3">
        <w:rPr>
          <w:bCs/>
          <w:iCs/>
          <w:szCs w:val="24"/>
        </w:rPr>
        <w:t xml:space="preserve">(the Principal Regulation) underpins the </w:t>
      </w:r>
      <w:r w:rsidR="00D70F4E" w:rsidRPr="008A69F3">
        <w:rPr>
          <w:bCs/>
          <w:iCs/>
          <w:szCs w:val="24"/>
        </w:rPr>
        <w:t>Act by providing technical details, such as the categorisation of different dealings with GMOs, as well as specifying administrative processes and procedures.</w:t>
      </w:r>
      <w:r w:rsidRPr="008A69F3">
        <w:rPr>
          <w:bCs/>
          <w:i/>
          <w:szCs w:val="24"/>
        </w:rPr>
        <w:t xml:space="preserve"> </w:t>
      </w:r>
    </w:p>
    <w:p w:rsidR="00996780" w:rsidRPr="008A69F3" w:rsidRDefault="00996780" w:rsidP="003A7527">
      <w:pPr>
        <w:rPr>
          <w:bCs/>
          <w:iCs/>
          <w:szCs w:val="24"/>
        </w:rPr>
      </w:pPr>
    </w:p>
    <w:p w:rsidR="008B1A8F" w:rsidRPr="008A69F3" w:rsidRDefault="0008356A" w:rsidP="003A7527">
      <w:pPr>
        <w:rPr>
          <w:bCs/>
          <w:iCs/>
          <w:szCs w:val="24"/>
        </w:rPr>
      </w:pPr>
      <w:r w:rsidRPr="008A69F3">
        <w:rPr>
          <w:bCs/>
          <w:iCs/>
          <w:szCs w:val="24"/>
        </w:rPr>
        <w:t>T</w:t>
      </w:r>
      <w:r w:rsidR="008B1A8F" w:rsidRPr="008A69F3">
        <w:rPr>
          <w:bCs/>
          <w:iCs/>
          <w:szCs w:val="24"/>
        </w:rPr>
        <w:t>he Gene Technology Agreement 2001 (the Agreement) between the Commonwealth and state and territory governments</w:t>
      </w:r>
      <w:r w:rsidRPr="008A69F3">
        <w:rPr>
          <w:bCs/>
          <w:iCs/>
          <w:szCs w:val="24"/>
        </w:rPr>
        <w:t>,</w:t>
      </w:r>
      <w:r w:rsidR="008B1A8F" w:rsidRPr="008A69F3">
        <w:rPr>
          <w:bCs/>
          <w:iCs/>
          <w:szCs w:val="24"/>
        </w:rPr>
        <w:t xml:space="preserve"> aim</w:t>
      </w:r>
      <w:r w:rsidRPr="008A69F3">
        <w:rPr>
          <w:bCs/>
          <w:iCs/>
          <w:szCs w:val="24"/>
        </w:rPr>
        <w:t>s</w:t>
      </w:r>
      <w:r w:rsidR="008B1A8F" w:rsidRPr="008A69F3">
        <w:rPr>
          <w:bCs/>
          <w:iCs/>
          <w:szCs w:val="24"/>
        </w:rPr>
        <w:t xml:space="preserve"> to support a nationally consistent regulatory system for gene technology. The Agreement acknowledges the need for a cooperative national legislative scheme, which collaborates with relevant, existing product regulators and is consistent with international obligations.</w:t>
      </w:r>
    </w:p>
    <w:p w:rsidR="00DB290C" w:rsidRPr="008A69F3" w:rsidRDefault="00DB290C" w:rsidP="003A7527">
      <w:pPr>
        <w:rPr>
          <w:b/>
          <w:i/>
          <w:szCs w:val="24"/>
        </w:rPr>
      </w:pPr>
    </w:p>
    <w:p w:rsidR="003A7527" w:rsidRPr="008A69F3" w:rsidRDefault="003A7527" w:rsidP="003A7527">
      <w:pPr>
        <w:rPr>
          <w:b/>
          <w:i/>
          <w:szCs w:val="24"/>
        </w:rPr>
      </w:pPr>
      <w:r w:rsidRPr="008A69F3">
        <w:rPr>
          <w:b/>
          <w:i/>
          <w:szCs w:val="24"/>
        </w:rPr>
        <w:t>Purpose</w:t>
      </w:r>
    </w:p>
    <w:p w:rsidR="00DD3154" w:rsidRPr="008A69F3" w:rsidRDefault="00DD3154" w:rsidP="003A7527">
      <w:pPr>
        <w:rPr>
          <w:bCs/>
          <w:iCs/>
          <w:szCs w:val="24"/>
        </w:rPr>
      </w:pPr>
    </w:p>
    <w:p w:rsidR="00CA67C1" w:rsidRPr="008A69F3" w:rsidRDefault="00DD3154" w:rsidP="003A7527">
      <w:pPr>
        <w:rPr>
          <w:bCs/>
          <w:iCs/>
          <w:szCs w:val="24"/>
        </w:rPr>
      </w:pPr>
      <w:r w:rsidRPr="008A69F3">
        <w:rPr>
          <w:bCs/>
          <w:iCs/>
          <w:szCs w:val="24"/>
        </w:rPr>
        <w:t xml:space="preserve">The purpose </w:t>
      </w:r>
      <w:r w:rsidR="00224EB6" w:rsidRPr="008A69F3">
        <w:rPr>
          <w:bCs/>
          <w:iCs/>
          <w:szCs w:val="24"/>
        </w:rPr>
        <w:t xml:space="preserve">of </w:t>
      </w:r>
      <w:r w:rsidR="00267421" w:rsidRPr="008A69F3">
        <w:rPr>
          <w:bCs/>
          <w:iCs/>
          <w:szCs w:val="24"/>
        </w:rPr>
        <w:t xml:space="preserve">the Gene Technology Amendment Regulation </w:t>
      </w:r>
      <w:r w:rsidR="001A2831" w:rsidRPr="008A69F3">
        <w:rPr>
          <w:bCs/>
          <w:iCs/>
          <w:szCs w:val="24"/>
        </w:rPr>
        <w:t>2020</w:t>
      </w:r>
      <w:r w:rsidR="00267421" w:rsidRPr="008A69F3">
        <w:rPr>
          <w:bCs/>
          <w:iCs/>
          <w:szCs w:val="24"/>
        </w:rPr>
        <w:t xml:space="preserve"> (No </w:t>
      </w:r>
      <w:r w:rsidR="00A9488D" w:rsidRPr="008A69F3">
        <w:rPr>
          <w:bCs/>
          <w:iCs/>
          <w:szCs w:val="24"/>
        </w:rPr>
        <w:t>1</w:t>
      </w:r>
      <w:r w:rsidR="00267421" w:rsidRPr="008A69F3">
        <w:rPr>
          <w:bCs/>
          <w:iCs/>
          <w:szCs w:val="24"/>
        </w:rPr>
        <w:t>)</w:t>
      </w:r>
      <w:r w:rsidR="004E3AE1" w:rsidRPr="008A69F3">
        <w:rPr>
          <w:bCs/>
          <w:iCs/>
          <w:szCs w:val="24"/>
        </w:rPr>
        <w:t xml:space="preserve"> (the Regulation)</w:t>
      </w:r>
      <w:r w:rsidR="00CA67C1" w:rsidRPr="008A69F3">
        <w:rPr>
          <w:bCs/>
          <w:iCs/>
          <w:szCs w:val="24"/>
        </w:rPr>
        <w:t xml:space="preserve"> is to</w:t>
      </w:r>
      <w:r w:rsidR="00D70F4E" w:rsidRPr="008A69F3">
        <w:rPr>
          <w:bCs/>
          <w:iCs/>
          <w:szCs w:val="24"/>
        </w:rPr>
        <w:t>:</w:t>
      </w:r>
    </w:p>
    <w:p w:rsidR="00036EE9" w:rsidRPr="008A69F3" w:rsidRDefault="00036EE9" w:rsidP="003A7527">
      <w:pPr>
        <w:rPr>
          <w:bCs/>
          <w:iCs/>
          <w:szCs w:val="24"/>
        </w:rPr>
      </w:pPr>
    </w:p>
    <w:p w:rsidR="00036EE9" w:rsidRPr="008A69F3" w:rsidRDefault="0008356A" w:rsidP="00036EE9">
      <w:pPr>
        <w:pStyle w:val="ListParagraph"/>
        <w:numPr>
          <w:ilvl w:val="0"/>
          <w:numId w:val="4"/>
        </w:numPr>
        <w:rPr>
          <w:bCs/>
          <w:iCs/>
          <w:szCs w:val="24"/>
        </w:rPr>
      </w:pPr>
      <w:r w:rsidRPr="008A69F3">
        <w:rPr>
          <w:bCs/>
          <w:iCs/>
          <w:szCs w:val="24"/>
        </w:rPr>
        <w:t>e</w:t>
      </w:r>
      <w:r w:rsidR="00036EE9" w:rsidRPr="008A69F3">
        <w:rPr>
          <w:bCs/>
          <w:iCs/>
          <w:szCs w:val="24"/>
        </w:rPr>
        <w:t>nsure that certain dealings with GMOs continue to be classified appropriately</w:t>
      </w:r>
      <w:r w:rsidR="000C4039" w:rsidRPr="008A69F3">
        <w:rPr>
          <w:bCs/>
          <w:iCs/>
          <w:szCs w:val="24"/>
        </w:rPr>
        <w:t>;</w:t>
      </w:r>
      <w:r w:rsidR="00036EE9" w:rsidRPr="008A69F3">
        <w:rPr>
          <w:bCs/>
          <w:iCs/>
          <w:szCs w:val="24"/>
        </w:rPr>
        <w:t xml:space="preserve"> according to current scientific understanding of risks which they may pose</w:t>
      </w:r>
      <w:r w:rsidR="00224EB6" w:rsidRPr="008A69F3">
        <w:rPr>
          <w:bCs/>
          <w:iCs/>
          <w:szCs w:val="24"/>
        </w:rPr>
        <w:t>;</w:t>
      </w:r>
      <w:r w:rsidR="00036EE9" w:rsidRPr="008A69F3">
        <w:rPr>
          <w:bCs/>
          <w:iCs/>
          <w:szCs w:val="24"/>
        </w:rPr>
        <w:t xml:space="preserve"> </w:t>
      </w:r>
    </w:p>
    <w:p w:rsidR="00036EE9" w:rsidRPr="008A69F3" w:rsidRDefault="0008356A" w:rsidP="00036EE9">
      <w:pPr>
        <w:pStyle w:val="ListParagraph"/>
        <w:numPr>
          <w:ilvl w:val="0"/>
          <w:numId w:val="4"/>
        </w:numPr>
        <w:rPr>
          <w:bCs/>
          <w:iCs/>
          <w:szCs w:val="24"/>
        </w:rPr>
      </w:pPr>
      <w:r w:rsidRPr="008A69F3">
        <w:rPr>
          <w:bCs/>
          <w:iCs/>
          <w:szCs w:val="24"/>
        </w:rPr>
        <w:t>i</w:t>
      </w:r>
      <w:r w:rsidR="00036EE9" w:rsidRPr="008A69F3">
        <w:rPr>
          <w:bCs/>
          <w:iCs/>
          <w:szCs w:val="24"/>
        </w:rPr>
        <w:t xml:space="preserve">mprove efficiency and effectiveness of the regulatory scheme; and </w:t>
      </w:r>
    </w:p>
    <w:p w:rsidR="00CA67C1" w:rsidRPr="008A69F3" w:rsidRDefault="0008356A" w:rsidP="00036EE9">
      <w:pPr>
        <w:pStyle w:val="ListParagraph"/>
        <w:numPr>
          <w:ilvl w:val="0"/>
          <w:numId w:val="4"/>
        </w:numPr>
        <w:rPr>
          <w:bCs/>
          <w:iCs/>
          <w:szCs w:val="24"/>
        </w:rPr>
      </w:pPr>
      <w:r w:rsidRPr="008A69F3">
        <w:rPr>
          <w:bCs/>
          <w:iCs/>
          <w:szCs w:val="24"/>
        </w:rPr>
        <w:t>a</w:t>
      </w:r>
      <w:r w:rsidR="00036EE9" w:rsidRPr="008A69F3">
        <w:rPr>
          <w:bCs/>
          <w:iCs/>
          <w:szCs w:val="24"/>
        </w:rPr>
        <w:t>ssist users to better understand and comply with their legislative obligation</w:t>
      </w:r>
      <w:r w:rsidR="00D155AF" w:rsidRPr="008A69F3">
        <w:rPr>
          <w:bCs/>
          <w:iCs/>
          <w:szCs w:val="24"/>
        </w:rPr>
        <w:t xml:space="preserve">s. </w:t>
      </w:r>
    </w:p>
    <w:p w:rsidR="003A1A1A" w:rsidRPr="008A69F3" w:rsidRDefault="003A1A1A" w:rsidP="003A1A1A">
      <w:pPr>
        <w:rPr>
          <w:bCs/>
          <w:iCs/>
          <w:szCs w:val="24"/>
        </w:rPr>
      </w:pPr>
    </w:p>
    <w:p w:rsidR="003A1A1A" w:rsidRPr="008A69F3" w:rsidRDefault="003A1A1A" w:rsidP="003A1A1A">
      <w:pPr>
        <w:rPr>
          <w:bCs/>
          <w:iCs/>
          <w:szCs w:val="24"/>
        </w:rPr>
      </w:pPr>
      <w:r w:rsidRPr="008A69F3">
        <w:rPr>
          <w:bCs/>
          <w:iCs/>
          <w:szCs w:val="24"/>
        </w:rPr>
        <w:t>Th</w:t>
      </w:r>
      <w:r w:rsidR="00A9488D" w:rsidRPr="008A69F3">
        <w:rPr>
          <w:bCs/>
          <w:iCs/>
          <w:szCs w:val="24"/>
        </w:rPr>
        <w:t>e</w:t>
      </w:r>
      <w:r w:rsidRPr="008A69F3">
        <w:rPr>
          <w:bCs/>
          <w:iCs/>
          <w:szCs w:val="24"/>
        </w:rPr>
        <w:t xml:space="preserve"> </w:t>
      </w:r>
      <w:r w:rsidR="00A9488D" w:rsidRPr="008A69F3">
        <w:rPr>
          <w:bCs/>
          <w:iCs/>
          <w:szCs w:val="24"/>
        </w:rPr>
        <w:t xml:space="preserve">Regulation </w:t>
      </w:r>
      <w:r w:rsidR="002E13B0" w:rsidRPr="008A69F3">
        <w:rPr>
          <w:bCs/>
          <w:iCs/>
          <w:szCs w:val="24"/>
        </w:rPr>
        <w:t>provide</w:t>
      </w:r>
      <w:r w:rsidR="00A9488D" w:rsidRPr="008A69F3">
        <w:rPr>
          <w:bCs/>
          <w:iCs/>
          <w:szCs w:val="24"/>
        </w:rPr>
        <w:t>s</w:t>
      </w:r>
      <w:r w:rsidR="002E13B0" w:rsidRPr="008A69F3">
        <w:rPr>
          <w:bCs/>
          <w:iCs/>
          <w:szCs w:val="24"/>
        </w:rPr>
        <w:t xml:space="preserve"> </w:t>
      </w:r>
      <w:r w:rsidRPr="008A69F3">
        <w:rPr>
          <w:bCs/>
          <w:iCs/>
          <w:szCs w:val="24"/>
        </w:rPr>
        <w:t xml:space="preserve">clarity about whether organisms developed using a range of new technologies are subject to regulation as GMOs and </w:t>
      </w:r>
      <w:r w:rsidR="002E13B0" w:rsidRPr="008A69F3">
        <w:rPr>
          <w:bCs/>
          <w:iCs/>
          <w:szCs w:val="24"/>
        </w:rPr>
        <w:t xml:space="preserve">ensure </w:t>
      </w:r>
      <w:r w:rsidRPr="008A69F3">
        <w:rPr>
          <w:bCs/>
          <w:iCs/>
          <w:szCs w:val="24"/>
        </w:rPr>
        <w:t xml:space="preserve">gene technology is regulated in line with the risks posed. </w:t>
      </w:r>
    </w:p>
    <w:p w:rsidR="00D155AF" w:rsidRPr="008A69F3" w:rsidRDefault="00D155AF" w:rsidP="00036EE9">
      <w:pPr>
        <w:rPr>
          <w:bCs/>
          <w:iCs/>
          <w:szCs w:val="24"/>
        </w:rPr>
      </w:pPr>
    </w:p>
    <w:p w:rsidR="00D155AF" w:rsidRPr="008A69F3" w:rsidRDefault="00036EE9" w:rsidP="00D155AF">
      <w:pPr>
        <w:rPr>
          <w:bCs/>
          <w:iCs/>
          <w:szCs w:val="24"/>
        </w:rPr>
      </w:pPr>
      <w:r w:rsidRPr="008A69F3">
        <w:rPr>
          <w:bCs/>
          <w:iCs/>
          <w:szCs w:val="24"/>
        </w:rPr>
        <w:t xml:space="preserve">The </w:t>
      </w:r>
      <w:r w:rsidR="00BD698F" w:rsidRPr="008A69F3">
        <w:rPr>
          <w:bCs/>
          <w:iCs/>
          <w:szCs w:val="24"/>
        </w:rPr>
        <w:t>R</w:t>
      </w:r>
      <w:r w:rsidRPr="008A69F3">
        <w:rPr>
          <w:bCs/>
          <w:iCs/>
          <w:szCs w:val="24"/>
        </w:rPr>
        <w:t>egulation commence</w:t>
      </w:r>
      <w:r w:rsidR="00BD698F" w:rsidRPr="008A69F3">
        <w:rPr>
          <w:bCs/>
          <w:iCs/>
          <w:szCs w:val="24"/>
        </w:rPr>
        <w:t>s</w:t>
      </w:r>
      <w:r w:rsidRPr="008A69F3">
        <w:rPr>
          <w:bCs/>
          <w:iCs/>
          <w:szCs w:val="24"/>
        </w:rPr>
        <w:t xml:space="preserve"> in </w:t>
      </w:r>
      <w:r w:rsidR="00F94705" w:rsidRPr="008A69F3">
        <w:rPr>
          <w:bCs/>
          <w:iCs/>
          <w:szCs w:val="24"/>
        </w:rPr>
        <w:t>two</w:t>
      </w:r>
      <w:r w:rsidRPr="008A69F3">
        <w:rPr>
          <w:bCs/>
          <w:iCs/>
          <w:szCs w:val="24"/>
        </w:rPr>
        <w:t xml:space="preserve"> stag</w:t>
      </w:r>
      <w:r w:rsidR="00D155AF" w:rsidRPr="008A69F3">
        <w:rPr>
          <w:bCs/>
          <w:iCs/>
          <w:szCs w:val="24"/>
        </w:rPr>
        <w:t xml:space="preserve">es: </w:t>
      </w:r>
    </w:p>
    <w:p w:rsidR="00D155AF" w:rsidRPr="008A69F3" w:rsidRDefault="00D155AF" w:rsidP="00D155AF">
      <w:pPr>
        <w:rPr>
          <w:bCs/>
          <w:iCs/>
          <w:szCs w:val="24"/>
        </w:rPr>
      </w:pPr>
    </w:p>
    <w:p w:rsidR="00D155AF" w:rsidRPr="008A69F3" w:rsidRDefault="00466793" w:rsidP="00D155AF">
      <w:pPr>
        <w:pStyle w:val="ListParagraph"/>
        <w:numPr>
          <w:ilvl w:val="0"/>
          <w:numId w:val="5"/>
        </w:numPr>
        <w:rPr>
          <w:bCs/>
          <w:iCs/>
          <w:szCs w:val="24"/>
        </w:rPr>
      </w:pPr>
      <w:r w:rsidRPr="008A69F3">
        <w:rPr>
          <w:bCs/>
          <w:iCs/>
          <w:szCs w:val="24"/>
        </w:rPr>
        <w:t>t</w:t>
      </w:r>
      <w:r w:rsidR="00D155AF" w:rsidRPr="008A69F3">
        <w:rPr>
          <w:bCs/>
          <w:iCs/>
          <w:szCs w:val="24"/>
        </w:rPr>
        <w:t xml:space="preserve">he </w:t>
      </w:r>
      <w:r w:rsidR="00007CC3" w:rsidRPr="008A69F3">
        <w:rPr>
          <w:bCs/>
          <w:iCs/>
          <w:szCs w:val="24"/>
        </w:rPr>
        <w:t>R</w:t>
      </w:r>
      <w:r w:rsidR="00D155AF" w:rsidRPr="008A69F3">
        <w:rPr>
          <w:bCs/>
          <w:iCs/>
          <w:szCs w:val="24"/>
        </w:rPr>
        <w:t xml:space="preserve">egulation, </w:t>
      </w:r>
      <w:r w:rsidR="00F94705" w:rsidRPr="008A69F3">
        <w:rPr>
          <w:bCs/>
          <w:iCs/>
          <w:szCs w:val="24"/>
        </w:rPr>
        <w:t>(other than schedule 1) commences on the day after its notification day.</w:t>
      </w:r>
    </w:p>
    <w:p w:rsidR="00F94705" w:rsidRPr="008A69F3" w:rsidRDefault="00F94705" w:rsidP="00D155AF">
      <w:pPr>
        <w:pStyle w:val="ListParagraph"/>
        <w:numPr>
          <w:ilvl w:val="0"/>
          <w:numId w:val="5"/>
        </w:numPr>
        <w:rPr>
          <w:bCs/>
          <w:iCs/>
          <w:szCs w:val="24"/>
        </w:rPr>
      </w:pPr>
      <w:r w:rsidRPr="008A69F3">
        <w:rPr>
          <w:bCs/>
          <w:iCs/>
          <w:szCs w:val="24"/>
        </w:rPr>
        <w:t>Schedule 1 commences on 8 October 2020.</w:t>
      </w:r>
    </w:p>
    <w:p w:rsidR="00455B1A" w:rsidRPr="008A69F3" w:rsidRDefault="00455B1A" w:rsidP="008A69F3">
      <w:pPr>
        <w:pStyle w:val="ListParagraph"/>
        <w:rPr>
          <w:bCs/>
          <w:iCs/>
          <w:szCs w:val="24"/>
        </w:rPr>
      </w:pPr>
    </w:p>
    <w:p w:rsidR="00A940D5" w:rsidRPr="008A69F3" w:rsidRDefault="00A940D5" w:rsidP="00A940D5">
      <w:pPr>
        <w:rPr>
          <w:b/>
          <w:i/>
          <w:szCs w:val="24"/>
        </w:rPr>
      </w:pPr>
    </w:p>
    <w:p w:rsidR="00A940D5" w:rsidRPr="008A69F3" w:rsidRDefault="00A940D5" w:rsidP="00D833CC">
      <w:pPr>
        <w:spacing w:after="160" w:line="259" w:lineRule="auto"/>
        <w:rPr>
          <w:b/>
          <w:i/>
          <w:szCs w:val="24"/>
        </w:rPr>
      </w:pPr>
      <w:r w:rsidRPr="008A69F3">
        <w:rPr>
          <w:b/>
          <w:i/>
          <w:szCs w:val="24"/>
        </w:rPr>
        <w:t>Outline of amendments</w:t>
      </w:r>
    </w:p>
    <w:p w:rsidR="00A940D5" w:rsidRPr="008A69F3" w:rsidRDefault="00A940D5" w:rsidP="00A940D5">
      <w:pPr>
        <w:rPr>
          <w:b/>
          <w:i/>
          <w:szCs w:val="24"/>
        </w:rPr>
      </w:pPr>
    </w:p>
    <w:p w:rsidR="0037725E" w:rsidRPr="008A69F3" w:rsidRDefault="00A540E8" w:rsidP="00C550D7">
      <w:pPr>
        <w:rPr>
          <w:bCs/>
          <w:i/>
          <w:szCs w:val="24"/>
          <w:u w:val="single"/>
        </w:rPr>
      </w:pPr>
      <w:r w:rsidRPr="008A69F3">
        <w:rPr>
          <w:bCs/>
          <w:i/>
          <w:szCs w:val="24"/>
          <w:u w:val="single"/>
        </w:rPr>
        <w:t xml:space="preserve">Clause </w:t>
      </w:r>
      <w:r w:rsidR="00C550D7" w:rsidRPr="008A69F3">
        <w:rPr>
          <w:bCs/>
          <w:i/>
          <w:szCs w:val="24"/>
          <w:u w:val="single"/>
        </w:rPr>
        <w:t xml:space="preserve">[1] - </w:t>
      </w:r>
      <w:r w:rsidR="00A940D5" w:rsidRPr="008A69F3">
        <w:rPr>
          <w:bCs/>
          <w:i/>
          <w:szCs w:val="24"/>
          <w:u w:val="single"/>
        </w:rPr>
        <w:t xml:space="preserve">Name of </w:t>
      </w:r>
      <w:r w:rsidR="00007CC3" w:rsidRPr="008A69F3">
        <w:rPr>
          <w:bCs/>
          <w:i/>
          <w:szCs w:val="24"/>
          <w:u w:val="single"/>
        </w:rPr>
        <w:t>R</w:t>
      </w:r>
      <w:r w:rsidR="00A940D5" w:rsidRPr="008A69F3">
        <w:rPr>
          <w:bCs/>
          <w:i/>
          <w:szCs w:val="24"/>
          <w:u w:val="single"/>
        </w:rPr>
        <w:t xml:space="preserve">egulation </w:t>
      </w:r>
    </w:p>
    <w:p w:rsidR="0037725E" w:rsidRPr="008A69F3" w:rsidRDefault="0037725E" w:rsidP="0037725E">
      <w:pPr>
        <w:rPr>
          <w:bCs/>
          <w:iCs/>
          <w:szCs w:val="24"/>
        </w:rPr>
      </w:pPr>
    </w:p>
    <w:p w:rsidR="0037725E" w:rsidRPr="008A69F3" w:rsidRDefault="0037725E" w:rsidP="0037725E">
      <w:pPr>
        <w:rPr>
          <w:bCs/>
          <w:iCs/>
          <w:szCs w:val="24"/>
        </w:rPr>
      </w:pPr>
      <w:r w:rsidRPr="008A69F3">
        <w:rPr>
          <w:bCs/>
          <w:iCs/>
          <w:szCs w:val="24"/>
        </w:rPr>
        <w:t xml:space="preserve">This </w:t>
      </w:r>
      <w:r w:rsidR="0099293D" w:rsidRPr="008A69F3">
        <w:rPr>
          <w:bCs/>
          <w:iCs/>
          <w:szCs w:val="24"/>
        </w:rPr>
        <w:t xml:space="preserve">clause </w:t>
      </w:r>
      <w:r w:rsidR="008D152F" w:rsidRPr="008A69F3">
        <w:rPr>
          <w:bCs/>
          <w:iCs/>
          <w:szCs w:val="24"/>
        </w:rPr>
        <w:t xml:space="preserve">states </w:t>
      </w:r>
      <w:r w:rsidRPr="008A69F3">
        <w:rPr>
          <w:bCs/>
          <w:iCs/>
          <w:szCs w:val="24"/>
        </w:rPr>
        <w:t xml:space="preserve">the name of the </w:t>
      </w:r>
      <w:r w:rsidR="00007CC3" w:rsidRPr="008A69F3">
        <w:rPr>
          <w:bCs/>
          <w:iCs/>
          <w:szCs w:val="24"/>
        </w:rPr>
        <w:t>R</w:t>
      </w:r>
      <w:r w:rsidRPr="008A69F3">
        <w:rPr>
          <w:bCs/>
          <w:iCs/>
          <w:szCs w:val="24"/>
        </w:rPr>
        <w:t xml:space="preserve">egulation. </w:t>
      </w:r>
    </w:p>
    <w:p w:rsidR="00401D82" w:rsidRPr="008A69F3" w:rsidRDefault="00401D82" w:rsidP="0037725E">
      <w:pPr>
        <w:rPr>
          <w:bCs/>
          <w:i/>
          <w:szCs w:val="24"/>
        </w:rPr>
      </w:pPr>
    </w:p>
    <w:p w:rsidR="00A940D5" w:rsidRPr="008A69F3" w:rsidRDefault="00A540E8" w:rsidP="00C550D7">
      <w:pPr>
        <w:rPr>
          <w:bCs/>
          <w:i/>
          <w:szCs w:val="24"/>
          <w:u w:val="single"/>
        </w:rPr>
      </w:pPr>
      <w:bookmarkStart w:id="1" w:name="_Hlk40691857"/>
      <w:r w:rsidRPr="008A69F3">
        <w:rPr>
          <w:bCs/>
          <w:i/>
          <w:szCs w:val="24"/>
          <w:u w:val="single"/>
        </w:rPr>
        <w:t xml:space="preserve">Clause </w:t>
      </w:r>
      <w:r w:rsidR="00C550D7" w:rsidRPr="008A69F3">
        <w:rPr>
          <w:bCs/>
          <w:i/>
          <w:szCs w:val="24"/>
          <w:u w:val="single"/>
        </w:rPr>
        <w:t>[2]</w:t>
      </w:r>
      <w:r w:rsidR="00CF2379" w:rsidRPr="008A69F3">
        <w:rPr>
          <w:bCs/>
          <w:i/>
          <w:szCs w:val="24"/>
          <w:u w:val="single"/>
        </w:rPr>
        <w:t xml:space="preserve"> -</w:t>
      </w:r>
      <w:r w:rsidR="00C550D7" w:rsidRPr="008A69F3">
        <w:rPr>
          <w:bCs/>
          <w:i/>
          <w:szCs w:val="24"/>
          <w:u w:val="single"/>
        </w:rPr>
        <w:t xml:space="preserve"> </w:t>
      </w:r>
      <w:r w:rsidR="00A940D5" w:rsidRPr="008A69F3">
        <w:rPr>
          <w:bCs/>
          <w:i/>
          <w:szCs w:val="24"/>
          <w:u w:val="single"/>
        </w:rPr>
        <w:t xml:space="preserve">Commencement </w:t>
      </w:r>
    </w:p>
    <w:p w:rsidR="0037725E" w:rsidRPr="008A69F3" w:rsidRDefault="0037725E" w:rsidP="0037725E">
      <w:pPr>
        <w:rPr>
          <w:bCs/>
          <w:i/>
          <w:szCs w:val="24"/>
          <w:u w:val="single"/>
        </w:rPr>
      </w:pPr>
    </w:p>
    <w:p w:rsidR="0037725E" w:rsidRPr="008A69F3" w:rsidRDefault="0037725E" w:rsidP="0037725E">
      <w:pPr>
        <w:rPr>
          <w:bCs/>
          <w:iCs/>
          <w:szCs w:val="24"/>
        </w:rPr>
      </w:pPr>
      <w:r w:rsidRPr="008A69F3">
        <w:rPr>
          <w:bCs/>
          <w:iCs/>
          <w:szCs w:val="24"/>
        </w:rPr>
        <w:t>This</w:t>
      </w:r>
      <w:r w:rsidR="00622D8D" w:rsidRPr="008A69F3">
        <w:rPr>
          <w:bCs/>
          <w:iCs/>
          <w:szCs w:val="24"/>
        </w:rPr>
        <w:t xml:space="preserve"> </w:t>
      </w:r>
      <w:r w:rsidR="008D152F" w:rsidRPr="008A69F3">
        <w:rPr>
          <w:bCs/>
          <w:iCs/>
          <w:szCs w:val="24"/>
        </w:rPr>
        <w:t xml:space="preserve">clause states that the </w:t>
      </w:r>
      <w:r w:rsidR="00007CC3" w:rsidRPr="008A69F3">
        <w:rPr>
          <w:bCs/>
          <w:iCs/>
          <w:szCs w:val="24"/>
        </w:rPr>
        <w:t>R</w:t>
      </w:r>
      <w:r w:rsidR="00622D8D" w:rsidRPr="008A69F3">
        <w:rPr>
          <w:bCs/>
          <w:iCs/>
          <w:szCs w:val="24"/>
        </w:rPr>
        <w:t>egulation commence</w:t>
      </w:r>
      <w:r w:rsidR="00C550D7" w:rsidRPr="008A69F3">
        <w:rPr>
          <w:bCs/>
          <w:iCs/>
          <w:szCs w:val="24"/>
        </w:rPr>
        <w:t>s</w:t>
      </w:r>
      <w:r w:rsidR="00622D8D" w:rsidRPr="008A69F3">
        <w:rPr>
          <w:bCs/>
          <w:iCs/>
          <w:szCs w:val="24"/>
        </w:rPr>
        <w:t xml:space="preserve"> in </w:t>
      </w:r>
      <w:r w:rsidR="00F94705" w:rsidRPr="008A69F3">
        <w:rPr>
          <w:bCs/>
          <w:iCs/>
          <w:szCs w:val="24"/>
        </w:rPr>
        <w:t>two</w:t>
      </w:r>
      <w:r w:rsidR="00622D8D" w:rsidRPr="008A69F3">
        <w:rPr>
          <w:bCs/>
          <w:iCs/>
          <w:szCs w:val="24"/>
        </w:rPr>
        <w:t xml:space="preserve"> stages </w:t>
      </w:r>
      <w:r w:rsidRPr="008A69F3">
        <w:rPr>
          <w:bCs/>
          <w:iCs/>
          <w:szCs w:val="24"/>
        </w:rPr>
        <w:t>on the day after its notification day</w:t>
      </w:r>
      <w:r w:rsidR="00455B1A" w:rsidRPr="008A69F3">
        <w:rPr>
          <w:bCs/>
          <w:iCs/>
          <w:szCs w:val="24"/>
        </w:rPr>
        <w:t xml:space="preserve"> and in accordance with the following: </w:t>
      </w:r>
    </w:p>
    <w:p w:rsidR="0037725E" w:rsidRPr="008A69F3" w:rsidRDefault="0037725E" w:rsidP="0037725E">
      <w:pPr>
        <w:rPr>
          <w:bCs/>
          <w:iCs/>
          <w:szCs w:val="24"/>
        </w:rPr>
      </w:pPr>
    </w:p>
    <w:p w:rsidR="00466793" w:rsidRPr="008A69F3" w:rsidRDefault="00466793" w:rsidP="008A69F3">
      <w:pPr>
        <w:pStyle w:val="ListParagraph"/>
        <w:numPr>
          <w:ilvl w:val="0"/>
          <w:numId w:val="11"/>
        </w:numPr>
        <w:rPr>
          <w:bCs/>
          <w:iCs/>
          <w:szCs w:val="24"/>
        </w:rPr>
      </w:pPr>
      <w:r w:rsidRPr="008A69F3">
        <w:rPr>
          <w:bCs/>
          <w:iCs/>
          <w:szCs w:val="24"/>
        </w:rPr>
        <w:t>the Regulation, (other than schedule 1) commences on the day after its notification day.</w:t>
      </w:r>
    </w:p>
    <w:p w:rsidR="000E27AD" w:rsidRPr="008A69F3" w:rsidRDefault="000E27AD" w:rsidP="007876A1">
      <w:pPr>
        <w:rPr>
          <w:bCs/>
          <w:iCs/>
          <w:szCs w:val="24"/>
        </w:rPr>
      </w:pPr>
    </w:p>
    <w:p w:rsidR="0043632F" w:rsidRPr="008A69F3" w:rsidRDefault="000E27AD" w:rsidP="0043632F">
      <w:pPr>
        <w:rPr>
          <w:bCs/>
          <w:iCs/>
          <w:szCs w:val="24"/>
        </w:rPr>
      </w:pPr>
      <w:r w:rsidRPr="008A69F3">
        <w:rPr>
          <w:bCs/>
          <w:iCs/>
          <w:szCs w:val="24"/>
        </w:rPr>
        <w:t>The Regulator has supported staged commencement of the amendments to minimise disruptions to those undertaking GMO dealings that are affected by the amendments.</w:t>
      </w:r>
    </w:p>
    <w:p w:rsidR="000E27AD" w:rsidRPr="008A69F3" w:rsidRDefault="000E27AD" w:rsidP="0043632F">
      <w:pPr>
        <w:rPr>
          <w:bCs/>
          <w:iCs/>
          <w:szCs w:val="24"/>
        </w:rPr>
      </w:pPr>
    </w:p>
    <w:p w:rsidR="000C4039" w:rsidRPr="008A69F3" w:rsidRDefault="00466793" w:rsidP="00466793">
      <w:pPr>
        <w:pStyle w:val="ListParagraph"/>
        <w:numPr>
          <w:ilvl w:val="0"/>
          <w:numId w:val="2"/>
        </w:numPr>
        <w:rPr>
          <w:bCs/>
          <w:iCs/>
          <w:szCs w:val="24"/>
        </w:rPr>
      </w:pPr>
      <w:r w:rsidRPr="008A69F3">
        <w:rPr>
          <w:bCs/>
          <w:iCs/>
          <w:szCs w:val="24"/>
        </w:rPr>
        <w:t>Schedule 1 commences on 8 October 2020.</w:t>
      </w:r>
    </w:p>
    <w:p w:rsidR="000C4039" w:rsidRPr="008A69F3" w:rsidRDefault="000C4039" w:rsidP="000C4039">
      <w:pPr>
        <w:rPr>
          <w:bCs/>
          <w:iCs/>
          <w:szCs w:val="24"/>
        </w:rPr>
      </w:pPr>
    </w:p>
    <w:p w:rsidR="000C4039" w:rsidRPr="008A69F3" w:rsidRDefault="000C4039" w:rsidP="00A455A1">
      <w:pPr>
        <w:rPr>
          <w:bCs/>
          <w:iCs/>
          <w:szCs w:val="24"/>
        </w:rPr>
      </w:pPr>
      <w:r w:rsidRPr="008A69F3">
        <w:rPr>
          <w:bCs/>
          <w:iCs/>
          <w:szCs w:val="24"/>
        </w:rPr>
        <w:t xml:space="preserve">Commencement of this clause on the dates above follows the timetable outlined in the Commonwealth </w:t>
      </w:r>
      <w:r w:rsidRPr="008A69F3">
        <w:rPr>
          <w:bCs/>
          <w:i/>
          <w:szCs w:val="24"/>
        </w:rPr>
        <w:t>Gene Technology Amendment (2019 Measures No. 1) Regulations 2019</w:t>
      </w:r>
      <w:r w:rsidRPr="008A69F3">
        <w:rPr>
          <w:bCs/>
          <w:iCs/>
          <w:szCs w:val="24"/>
        </w:rPr>
        <w:t xml:space="preserve"> and ensures the ACT aligns with the Commonwealth Act. </w:t>
      </w:r>
    </w:p>
    <w:bookmarkEnd w:id="1"/>
    <w:p w:rsidR="0037725E" w:rsidRPr="008A69F3" w:rsidRDefault="0037725E" w:rsidP="004851E4">
      <w:pPr>
        <w:rPr>
          <w:bCs/>
          <w:i/>
          <w:szCs w:val="24"/>
          <w:u w:val="single"/>
        </w:rPr>
      </w:pPr>
    </w:p>
    <w:p w:rsidR="00A940D5" w:rsidRPr="008A69F3" w:rsidRDefault="00D41B0B" w:rsidP="00C550D7">
      <w:pPr>
        <w:rPr>
          <w:bCs/>
          <w:i/>
          <w:szCs w:val="24"/>
          <w:u w:val="single"/>
        </w:rPr>
      </w:pPr>
      <w:r w:rsidRPr="008A69F3">
        <w:rPr>
          <w:bCs/>
          <w:i/>
          <w:szCs w:val="24"/>
          <w:u w:val="single"/>
        </w:rPr>
        <w:t>Clause</w:t>
      </w:r>
      <w:r w:rsidR="00C550D7" w:rsidRPr="008A69F3">
        <w:rPr>
          <w:bCs/>
          <w:i/>
          <w:szCs w:val="24"/>
          <w:u w:val="single"/>
        </w:rPr>
        <w:t xml:space="preserve"> [3]</w:t>
      </w:r>
      <w:r w:rsidR="00CF2379" w:rsidRPr="008A69F3">
        <w:rPr>
          <w:bCs/>
          <w:i/>
          <w:szCs w:val="24"/>
          <w:u w:val="single"/>
        </w:rPr>
        <w:t xml:space="preserve"> -</w:t>
      </w:r>
      <w:r w:rsidR="00C550D7" w:rsidRPr="008A69F3">
        <w:rPr>
          <w:bCs/>
          <w:i/>
          <w:szCs w:val="24"/>
          <w:u w:val="single"/>
        </w:rPr>
        <w:t xml:space="preserve"> </w:t>
      </w:r>
      <w:r w:rsidR="00A940D5" w:rsidRPr="008A69F3">
        <w:rPr>
          <w:bCs/>
          <w:i/>
          <w:szCs w:val="24"/>
          <w:u w:val="single"/>
        </w:rPr>
        <w:t xml:space="preserve">Legislation amended </w:t>
      </w:r>
    </w:p>
    <w:p w:rsidR="0037725E" w:rsidRPr="008A69F3" w:rsidRDefault="0037725E" w:rsidP="0037725E">
      <w:pPr>
        <w:rPr>
          <w:bCs/>
          <w:i/>
          <w:szCs w:val="24"/>
          <w:u w:val="single"/>
        </w:rPr>
      </w:pPr>
    </w:p>
    <w:p w:rsidR="0037725E" w:rsidRPr="008A69F3" w:rsidRDefault="0037725E" w:rsidP="0037725E">
      <w:pPr>
        <w:rPr>
          <w:bCs/>
          <w:iCs/>
          <w:szCs w:val="24"/>
        </w:rPr>
      </w:pPr>
      <w:r w:rsidRPr="008A69F3">
        <w:rPr>
          <w:bCs/>
          <w:iCs/>
          <w:szCs w:val="24"/>
        </w:rPr>
        <w:t xml:space="preserve">This </w:t>
      </w:r>
      <w:r w:rsidR="00D41B0B" w:rsidRPr="008A69F3">
        <w:rPr>
          <w:bCs/>
          <w:iCs/>
          <w:szCs w:val="24"/>
        </w:rPr>
        <w:t>clause</w:t>
      </w:r>
      <w:r w:rsidR="00C550D7" w:rsidRPr="008A69F3">
        <w:rPr>
          <w:bCs/>
          <w:iCs/>
          <w:szCs w:val="24"/>
        </w:rPr>
        <w:t xml:space="preserve"> </w:t>
      </w:r>
      <w:r w:rsidRPr="008A69F3">
        <w:rPr>
          <w:bCs/>
          <w:iCs/>
          <w:szCs w:val="24"/>
        </w:rPr>
        <w:t xml:space="preserve">outlines that the </w:t>
      </w:r>
      <w:r w:rsidR="00007CC3" w:rsidRPr="008A69F3">
        <w:rPr>
          <w:bCs/>
          <w:iCs/>
          <w:szCs w:val="24"/>
        </w:rPr>
        <w:t>R</w:t>
      </w:r>
      <w:r w:rsidRPr="008A69F3">
        <w:rPr>
          <w:bCs/>
          <w:iCs/>
          <w:szCs w:val="24"/>
        </w:rPr>
        <w:t xml:space="preserve">egulation amends the </w:t>
      </w:r>
      <w:r w:rsidR="00E71FBC" w:rsidRPr="008A69F3">
        <w:rPr>
          <w:bCs/>
          <w:iCs/>
          <w:szCs w:val="24"/>
        </w:rPr>
        <w:t>Principal Regulation</w:t>
      </w:r>
      <w:r w:rsidR="00110A9C" w:rsidRPr="008A69F3">
        <w:rPr>
          <w:bCs/>
          <w:iCs/>
          <w:szCs w:val="24"/>
        </w:rPr>
        <w:t xml:space="preserve">. </w:t>
      </w:r>
    </w:p>
    <w:p w:rsidR="0037725E" w:rsidRPr="008A69F3" w:rsidRDefault="0037725E" w:rsidP="0037725E">
      <w:pPr>
        <w:pStyle w:val="ListParagraph"/>
        <w:rPr>
          <w:bCs/>
          <w:i/>
          <w:szCs w:val="24"/>
          <w:u w:val="single"/>
        </w:rPr>
      </w:pPr>
    </w:p>
    <w:p w:rsidR="00A940D5" w:rsidRPr="008A69F3" w:rsidRDefault="00D41B0B" w:rsidP="00D833CC">
      <w:pPr>
        <w:rPr>
          <w:bCs/>
          <w:i/>
          <w:szCs w:val="24"/>
          <w:u w:val="single"/>
        </w:rPr>
      </w:pPr>
      <w:r w:rsidRPr="008A69F3">
        <w:rPr>
          <w:bCs/>
          <w:i/>
          <w:szCs w:val="24"/>
          <w:u w:val="single"/>
        </w:rPr>
        <w:t>Clause</w:t>
      </w:r>
      <w:r w:rsidR="00C550D7" w:rsidRPr="008A69F3">
        <w:rPr>
          <w:bCs/>
          <w:i/>
          <w:szCs w:val="24"/>
          <w:u w:val="single"/>
        </w:rPr>
        <w:t xml:space="preserve"> [4]</w:t>
      </w:r>
      <w:r w:rsidR="00CF2379" w:rsidRPr="008A69F3">
        <w:rPr>
          <w:bCs/>
          <w:i/>
          <w:szCs w:val="24"/>
          <w:u w:val="single"/>
        </w:rPr>
        <w:t xml:space="preserve"> -</w:t>
      </w:r>
      <w:r w:rsidR="00C550D7" w:rsidRPr="008A69F3">
        <w:rPr>
          <w:bCs/>
          <w:i/>
          <w:szCs w:val="24"/>
          <w:u w:val="single"/>
        </w:rPr>
        <w:t xml:space="preserve"> </w:t>
      </w:r>
      <w:r w:rsidR="00A940D5" w:rsidRPr="008A69F3">
        <w:rPr>
          <w:bCs/>
          <w:i/>
          <w:szCs w:val="24"/>
          <w:u w:val="single"/>
        </w:rPr>
        <w:t xml:space="preserve">New section 4A </w:t>
      </w:r>
    </w:p>
    <w:p w:rsidR="001A2831" w:rsidRPr="008A69F3" w:rsidRDefault="001A2831" w:rsidP="005E465B">
      <w:pPr>
        <w:rPr>
          <w:bCs/>
          <w:i/>
          <w:color w:val="FF0000"/>
          <w:szCs w:val="24"/>
          <w:u w:val="single"/>
        </w:rPr>
      </w:pPr>
    </w:p>
    <w:p w:rsidR="005E465B" w:rsidRPr="008A69F3" w:rsidRDefault="005E465B" w:rsidP="005E465B">
      <w:pPr>
        <w:rPr>
          <w:bCs/>
          <w:iCs/>
          <w:szCs w:val="24"/>
        </w:rPr>
      </w:pPr>
      <w:r w:rsidRPr="008A69F3">
        <w:rPr>
          <w:bCs/>
          <w:iCs/>
          <w:szCs w:val="24"/>
        </w:rPr>
        <w:t xml:space="preserve">This </w:t>
      </w:r>
      <w:r w:rsidR="00D41B0B" w:rsidRPr="008A69F3">
        <w:rPr>
          <w:bCs/>
          <w:iCs/>
          <w:szCs w:val="24"/>
        </w:rPr>
        <w:t>clause</w:t>
      </w:r>
      <w:r w:rsidR="00C7680B" w:rsidRPr="008A69F3">
        <w:rPr>
          <w:bCs/>
          <w:iCs/>
          <w:szCs w:val="24"/>
        </w:rPr>
        <w:t xml:space="preserve"> </w:t>
      </w:r>
      <w:r w:rsidRPr="008A69F3">
        <w:rPr>
          <w:bCs/>
          <w:iCs/>
          <w:szCs w:val="24"/>
        </w:rPr>
        <w:t xml:space="preserve">inserts </w:t>
      </w:r>
      <w:r w:rsidR="005777C6" w:rsidRPr="008A69F3">
        <w:rPr>
          <w:bCs/>
          <w:iCs/>
          <w:szCs w:val="24"/>
        </w:rPr>
        <w:t xml:space="preserve">a new </w:t>
      </w:r>
      <w:r w:rsidR="00C7680B" w:rsidRPr="008A69F3">
        <w:rPr>
          <w:bCs/>
          <w:iCs/>
          <w:szCs w:val="24"/>
        </w:rPr>
        <w:t xml:space="preserve">section </w:t>
      </w:r>
      <w:r w:rsidR="005777C6" w:rsidRPr="008A69F3">
        <w:rPr>
          <w:bCs/>
          <w:iCs/>
          <w:szCs w:val="24"/>
        </w:rPr>
        <w:t>4A which</w:t>
      </w:r>
      <w:r w:rsidR="00C7680B" w:rsidRPr="008A69F3">
        <w:rPr>
          <w:bCs/>
          <w:iCs/>
          <w:szCs w:val="24"/>
        </w:rPr>
        <w:t>,</w:t>
      </w:r>
      <w:r w:rsidR="005777C6" w:rsidRPr="008A69F3">
        <w:rPr>
          <w:bCs/>
          <w:iCs/>
          <w:szCs w:val="24"/>
        </w:rPr>
        <w:t xml:space="preserve"> supported by a new </w:t>
      </w:r>
      <w:r w:rsidR="00B437D1" w:rsidRPr="008A69F3">
        <w:rPr>
          <w:bCs/>
          <w:iCs/>
          <w:szCs w:val="24"/>
        </w:rPr>
        <w:t>S</w:t>
      </w:r>
      <w:r w:rsidR="005777C6" w:rsidRPr="008A69F3">
        <w:rPr>
          <w:bCs/>
          <w:iCs/>
          <w:szCs w:val="24"/>
        </w:rPr>
        <w:t>chedule</w:t>
      </w:r>
      <w:r w:rsidR="0099293D" w:rsidRPr="008A69F3">
        <w:rPr>
          <w:bCs/>
          <w:iCs/>
          <w:szCs w:val="24"/>
        </w:rPr>
        <w:t xml:space="preserve"> 1B</w:t>
      </w:r>
      <w:r w:rsidR="00C7680B" w:rsidRPr="008A69F3">
        <w:rPr>
          <w:bCs/>
          <w:iCs/>
          <w:szCs w:val="24"/>
        </w:rPr>
        <w:t>,</w:t>
      </w:r>
      <w:r w:rsidR="005777C6" w:rsidRPr="008A69F3">
        <w:rPr>
          <w:bCs/>
          <w:iCs/>
          <w:szCs w:val="24"/>
        </w:rPr>
        <w:t xml:space="preserve"> describes organisms that are gene</w:t>
      </w:r>
      <w:r w:rsidR="00224EB6" w:rsidRPr="008A69F3">
        <w:rPr>
          <w:bCs/>
          <w:iCs/>
          <w:szCs w:val="24"/>
        </w:rPr>
        <w:t>t</w:t>
      </w:r>
      <w:r w:rsidR="005777C6" w:rsidRPr="008A69F3">
        <w:rPr>
          <w:bCs/>
          <w:iCs/>
          <w:szCs w:val="24"/>
        </w:rPr>
        <w:t xml:space="preserve">ically modified organisms for the purposes of the definition </w:t>
      </w:r>
      <w:r w:rsidR="00C7680B" w:rsidRPr="008A69F3">
        <w:rPr>
          <w:bCs/>
          <w:iCs/>
          <w:szCs w:val="24"/>
        </w:rPr>
        <w:t xml:space="preserve">of </w:t>
      </w:r>
      <w:r w:rsidR="005777C6" w:rsidRPr="008A69F3">
        <w:rPr>
          <w:bCs/>
          <w:iCs/>
          <w:szCs w:val="24"/>
        </w:rPr>
        <w:t>“genetically modified organism”</w:t>
      </w:r>
      <w:r w:rsidR="009C0C3A" w:rsidRPr="008A69F3">
        <w:rPr>
          <w:bCs/>
          <w:iCs/>
          <w:szCs w:val="24"/>
        </w:rPr>
        <w:t xml:space="preserve">. </w:t>
      </w:r>
    </w:p>
    <w:p w:rsidR="0037725E" w:rsidRPr="008A69F3" w:rsidRDefault="0037725E" w:rsidP="005E465B">
      <w:pPr>
        <w:rPr>
          <w:bCs/>
          <w:i/>
          <w:szCs w:val="24"/>
          <w:u w:val="single"/>
        </w:rPr>
      </w:pPr>
    </w:p>
    <w:p w:rsidR="005E465B" w:rsidRPr="008A69F3" w:rsidRDefault="00D41B0B" w:rsidP="00D833CC">
      <w:pPr>
        <w:rPr>
          <w:bCs/>
          <w:i/>
          <w:szCs w:val="24"/>
          <w:u w:val="single"/>
        </w:rPr>
      </w:pPr>
      <w:r w:rsidRPr="008A69F3">
        <w:rPr>
          <w:bCs/>
          <w:i/>
          <w:szCs w:val="24"/>
          <w:u w:val="single"/>
        </w:rPr>
        <w:t>Clause</w:t>
      </w:r>
      <w:r w:rsidR="00C550D7" w:rsidRPr="008A69F3">
        <w:rPr>
          <w:bCs/>
          <w:i/>
          <w:szCs w:val="24"/>
          <w:u w:val="single"/>
        </w:rPr>
        <w:t xml:space="preserve"> [5]</w:t>
      </w:r>
      <w:r w:rsidR="00CF2379" w:rsidRPr="008A69F3">
        <w:rPr>
          <w:bCs/>
          <w:i/>
          <w:szCs w:val="24"/>
          <w:u w:val="single"/>
        </w:rPr>
        <w:t xml:space="preserve"> -</w:t>
      </w:r>
      <w:r w:rsidR="00C550D7" w:rsidRPr="008A69F3">
        <w:rPr>
          <w:bCs/>
          <w:i/>
          <w:szCs w:val="24"/>
          <w:u w:val="single"/>
        </w:rPr>
        <w:t xml:space="preserve"> </w:t>
      </w:r>
      <w:r w:rsidR="00A940D5" w:rsidRPr="008A69F3">
        <w:rPr>
          <w:bCs/>
          <w:i/>
          <w:szCs w:val="24"/>
          <w:u w:val="single"/>
        </w:rPr>
        <w:t>Section 5</w:t>
      </w:r>
    </w:p>
    <w:p w:rsidR="00D87EC1" w:rsidRPr="008A69F3" w:rsidRDefault="00D87EC1" w:rsidP="00D87EC1">
      <w:pPr>
        <w:rPr>
          <w:bCs/>
          <w:iCs/>
          <w:szCs w:val="24"/>
        </w:rPr>
      </w:pPr>
    </w:p>
    <w:p w:rsidR="005777C6" w:rsidRPr="008A69F3" w:rsidRDefault="00D87EC1" w:rsidP="005E465B">
      <w:pPr>
        <w:rPr>
          <w:bCs/>
          <w:iCs/>
          <w:szCs w:val="24"/>
        </w:rPr>
      </w:pPr>
      <w:r w:rsidRPr="008A69F3">
        <w:rPr>
          <w:bCs/>
          <w:iCs/>
          <w:szCs w:val="24"/>
        </w:rPr>
        <w:t xml:space="preserve">This </w:t>
      </w:r>
      <w:r w:rsidR="00D41B0B" w:rsidRPr="008A69F3">
        <w:rPr>
          <w:bCs/>
          <w:iCs/>
          <w:szCs w:val="24"/>
        </w:rPr>
        <w:t>clause</w:t>
      </w:r>
      <w:r w:rsidR="00865F70" w:rsidRPr="008A69F3">
        <w:rPr>
          <w:bCs/>
          <w:iCs/>
          <w:szCs w:val="24"/>
        </w:rPr>
        <w:t xml:space="preserve"> amends </w:t>
      </w:r>
      <w:r w:rsidR="00007CC3" w:rsidRPr="008A69F3">
        <w:rPr>
          <w:bCs/>
          <w:iCs/>
          <w:szCs w:val="24"/>
        </w:rPr>
        <w:t>section</w:t>
      </w:r>
      <w:r w:rsidR="00865F70" w:rsidRPr="008A69F3">
        <w:rPr>
          <w:bCs/>
          <w:iCs/>
          <w:szCs w:val="24"/>
        </w:rPr>
        <w:t xml:space="preserve"> 5</w:t>
      </w:r>
      <w:r w:rsidR="00A20919" w:rsidRPr="008A69F3">
        <w:rPr>
          <w:bCs/>
          <w:iCs/>
          <w:szCs w:val="24"/>
        </w:rPr>
        <w:t xml:space="preserve"> to avoid any doubt on the status of an organism in which multiple traits from gene technology are present</w:t>
      </w:r>
      <w:r w:rsidR="00865F70" w:rsidRPr="008A69F3">
        <w:rPr>
          <w:bCs/>
          <w:iCs/>
          <w:szCs w:val="24"/>
        </w:rPr>
        <w:t>,</w:t>
      </w:r>
      <w:r w:rsidR="00A20919" w:rsidRPr="008A69F3">
        <w:rPr>
          <w:bCs/>
          <w:iCs/>
          <w:szCs w:val="24"/>
        </w:rPr>
        <w:t xml:space="preserve"> or </w:t>
      </w:r>
      <w:r w:rsidR="005777C6" w:rsidRPr="008A69F3">
        <w:rPr>
          <w:bCs/>
          <w:iCs/>
          <w:szCs w:val="24"/>
        </w:rPr>
        <w:t xml:space="preserve">that simultaneously meets </w:t>
      </w:r>
      <w:r w:rsidR="000E27AD" w:rsidRPr="008A69F3">
        <w:rPr>
          <w:bCs/>
          <w:iCs/>
          <w:szCs w:val="24"/>
        </w:rPr>
        <w:t>clause</w:t>
      </w:r>
      <w:r w:rsidR="005777C6" w:rsidRPr="008A69F3">
        <w:rPr>
          <w:bCs/>
          <w:iCs/>
          <w:szCs w:val="24"/>
        </w:rPr>
        <w:t>s in Schedule 1 and new Schedule 1B.</w:t>
      </w:r>
    </w:p>
    <w:p w:rsidR="00A20919" w:rsidRPr="008A69F3" w:rsidRDefault="00A20919" w:rsidP="005E465B">
      <w:pPr>
        <w:rPr>
          <w:bCs/>
          <w:iCs/>
          <w:szCs w:val="24"/>
        </w:rPr>
      </w:pPr>
    </w:p>
    <w:p w:rsidR="005777C6" w:rsidRPr="008A69F3" w:rsidRDefault="00A20919" w:rsidP="005777C6">
      <w:pPr>
        <w:rPr>
          <w:bCs/>
          <w:iCs/>
          <w:szCs w:val="24"/>
        </w:rPr>
      </w:pPr>
      <w:r w:rsidRPr="008A69F3">
        <w:rPr>
          <w:bCs/>
          <w:iCs/>
          <w:szCs w:val="24"/>
        </w:rPr>
        <w:t xml:space="preserve">This </w:t>
      </w:r>
      <w:r w:rsidR="00D41B0B" w:rsidRPr="008A69F3">
        <w:rPr>
          <w:bCs/>
          <w:iCs/>
          <w:szCs w:val="24"/>
        </w:rPr>
        <w:t>clause</w:t>
      </w:r>
      <w:r w:rsidRPr="008A69F3">
        <w:rPr>
          <w:bCs/>
          <w:iCs/>
          <w:szCs w:val="24"/>
        </w:rPr>
        <w:t xml:space="preserve"> makes e</w:t>
      </w:r>
      <w:r w:rsidR="005777C6" w:rsidRPr="008A69F3">
        <w:rPr>
          <w:iCs/>
          <w:szCs w:val="24"/>
        </w:rPr>
        <w:t xml:space="preserve">xplicit that an organism meeting any of the items in Schedule 1 is not considered a GMO if it does not have other traits that occurred because of gene technology. </w:t>
      </w:r>
    </w:p>
    <w:p w:rsidR="005777C6" w:rsidRPr="008A69F3" w:rsidRDefault="005777C6" w:rsidP="005777C6">
      <w:pPr>
        <w:rPr>
          <w:iCs/>
          <w:szCs w:val="24"/>
        </w:rPr>
      </w:pPr>
      <w:r w:rsidRPr="008A69F3">
        <w:rPr>
          <w:iCs/>
          <w:szCs w:val="24"/>
        </w:rPr>
        <w:t xml:space="preserve"> </w:t>
      </w:r>
    </w:p>
    <w:p w:rsidR="005777C6" w:rsidRPr="008A69F3" w:rsidRDefault="005777C6" w:rsidP="005777C6">
      <w:pPr>
        <w:rPr>
          <w:iCs/>
          <w:szCs w:val="24"/>
        </w:rPr>
      </w:pPr>
      <w:r w:rsidRPr="008A69F3">
        <w:rPr>
          <w:iCs/>
          <w:szCs w:val="24"/>
        </w:rPr>
        <w:t xml:space="preserve">This </w:t>
      </w:r>
      <w:r w:rsidR="00D41B0B" w:rsidRPr="008A69F3">
        <w:rPr>
          <w:iCs/>
          <w:szCs w:val="24"/>
        </w:rPr>
        <w:t>clause</w:t>
      </w:r>
      <w:r w:rsidRPr="008A69F3">
        <w:rPr>
          <w:iCs/>
          <w:szCs w:val="24"/>
        </w:rPr>
        <w:t xml:space="preserve"> also provides clarity about the status of any organism meeting items in both Schedule 1 and new Schedule 1B. Should an organism meet items in both schedules, that organism is considered a GM</w:t>
      </w:r>
      <w:r w:rsidR="00A20919" w:rsidRPr="008A69F3">
        <w:rPr>
          <w:iCs/>
          <w:szCs w:val="24"/>
        </w:rPr>
        <w:t xml:space="preserve">O. </w:t>
      </w:r>
    </w:p>
    <w:p w:rsidR="005E465B" w:rsidRPr="008A69F3" w:rsidRDefault="005E465B" w:rsidP="005E465B">
      <w:pPr>
        <w:rPr>
          <w:bCs/>
          <w:iCs/>
          <w:szCs w:val="24"/>
        </w:rPr>
      </w:pPr>
    </w:p>
    <w:p w:rsidR="00A940D5" w:rsidRPr="008A69F3" w:rsidRDefault="00D41B0B" w:rsidP="00D833CC">
      <w:pPr>
        <w:rPr>
          <w:bCs/>
          <w:i/>
          <w:szCs w:val="24"/>
          <w:u w:val="single"/>
        </w:rPr>
      </w:pPr>
      <w:r w:rsidRPr="008A69F3">
        <w:rPr>
          <w:bCs/>
          <w:i/>
          <w:szCs w:val="24"/>
          <w:u w:val="single"/>
        </w:rPr>
        <w:t>Clause</w:t>
      </w:r>
      <w:r w:rsidR="00C550D7" w:rsidRPr="008A69F3">
        <w:rPr>
          <w:bCs/>
          <w:i/>
          <w:szCs w:val="24"/>
          <w:u w:val="single"/>
        </w:rPr>
        <w:t xml:space="preserve"> [6]</w:t>
      </w:r>
      <w:r w:rsidR="00CF2379" w:rsidRPr="008A69F3">
        <w:rPr>
          <w:bCs/>
          <w:i/>
          <w:szCs w:val="24"/>
          <w:u w:val="single"/>
        </w:rPr>
        <w:t xml:space="preserve"> -</w:t>
      </w:r>
      <w:r w:rsidR="00C550D7" w:rsidRPr="008A69F3">
        <w:rPr>
          <w:bCs/>
          <w:i/>
          <w:szCs w:val="24"/>
          <w:u w:val="single"/>
        </w:rPr>
        <w:t xml:space="preserve"> </w:t>
      </w:r>
      <w:r w:rsidR="00A940D5" w:rsidRPr="008A69F3">
        <w:rPr>
          <w:bCs/>
          <w:i/>
          <w:szCs w:val="24"/>
          <w:u w:val="single"/>
        </w:rPr>
        <w:t xml:space="preserve">Section 9 </w:t>
      </w:r>
      <w:r w:rsidR="00D373F9" w:rsidRPr="008A69F3">
        <w:rPr>
          <w:bCs/>
          <w:i/>
          <w:szCs w:val="24"/>
          <w:u w:val="single"/>
        </w:rPr>
        <w:t xml:space="preserve">(b) </w:t>
      </w:r>
    </w:p>
    <w:p w:rsidR="00D373F9" w:rsidRPr="008A69F3" w:rsidRDefault="00D373F9" w:rsidP="00D373F9">
      <w:pPr>
        <w:rPr>
          <w:bCs/>
          <w:iCs/>
          <w:szCs w:val="24"/>
        </w:rPr>
      </w:pPr>
    </w:p>
    <w:p w:rsidR="00D373F9" w:rsidRPr="008A69F3" w:rsidRDefault="00D373F9" w:rsidP="00D373F9">
      <w:pPr>
        <w:rPr>
          <w:bCs/>
          <w:iCs/>
          <w:szCs w:val="24"/>
        </w:rPr>
      </w:pPr>
      <w:r w:rsidRPr="008A69F3">
        <w:rPr>
          <w:bCs/>
          <w:iCs/>
          <w:szCs w:val="24"/>
        </w:rPr>
        <w:t>This</w:t>
      </w:r>
      <w:r w:rsidR="004851E4" w:rsidRPr="008A69F3">
        <w:rPr>
          <w:bCs/>
          <w:iCs/>
          <w:szCs w:val="24"/>
        </w:rPr>
        <w:t xml:space="preserve"> </w:t>
      </w:r>
      <w:r w:rsidR="00D41B0B" w:rsidRPr="008A69F3">
        <w:rPr>
          <w:bCs/>
          <w:iCs/>
          <w:szCs w:val="24"/>
        </w:rPr>
        <w:t>clause</w:t>
      </w:r>
      <w:r w:rsidR="00CF2379" w:rsidRPr="008A69F3">
        <w:rPr>
          <w:bCs/>
          <w:iCs/>
          <w:szCs w:val="24"/>
        </w:rPr>
        <w:t xml:space="preserve"> </w:t>
      </w:r>
      <w:r w:rsidR="0037189B" w:rsidRPr="008A69F3">
        <w:rPr>
          <w:bCs/>
          <w:iCs/>
          <w:szCs w:val="24"/>
        </w:rPr>
        <w:t xml:space="preserve">replaces </w:t>
      </w:r>
      <w:r w:rsidR="00865F70" w:rsidRPr="008A69F3">
        <w:rPr>
          <w:bCs/>
          <w:iCs/>
          <w:szCs w:val="24"/>
        </w:rPr>
        <w:t xml:space="preserve">the reference to the </w:t>
      </w:r>
      <w:r w:rsidR="00A20919" w:rsidRPr="008A69F3">
        <w:rPr>
          <w:bCs/>
          <w:iCs/>
          <w:szCs w:val="24"/>
        </w:rPr>
        <w:t xml:space="preserve">Australian Quarantine and Inspection Service (AQIS) </w:t>
      </w:r>
      <w:r w:rsidR="0063559D" w:rsidRPr="008A69F3">
        <w:rPr>
          <w:bCs/>
          <w:iCs/>
          <w:szCs w:val="24"/>
        </w:rPr>
        <w:t xml:space="preserve">as the agency no longer exists. </w:t>
      </w:r>
    </w:p>
    <w:p w:rsidR="00D373F9" w:rsidRPr="008A69F3" w:rsidRDefault="00D373F9" w:rsidP="00D373F9">
      <w:pPr>
        <w:rPr>
          <w:bCs/>
          <w:i/>
          <w:szCs w:val="24"/>
          <w:u w:val="single"/>
        </w:rPr>
      </w:pPr>
    </w:p>
    <w:p w:rsidR="00D373F9" w:rsidRPr="008A69F3" w:rsidRDefault="00D41B0B" w:rsidP="00D833CC">
      <w:pPr>
        <w:rPr>
          <w:bCs/>
          <w:i/>
          <w:szCs w:val="24"/>
          <w:u w:val="single"/>
        </w:rPr>
      </w:pPr>
      <w:r w:rsidRPr="008A69F3">
        <w:rPr>
          <w:bCs/>
          <w:i/>
          <w:szCs w:val="24"/>
          <w:u w:val="single"/>
        </w:rPr>
        <w:t>Clause</w:t>
      </w:r>
      <w:r w:rsidR="00C550D7" w:rsidRPr="008A69F3">
        <w:rPr>
          <w:bCs/>
          <w:i/>
          <w:szCs w:val="24"/>
          <w:u w:val="single"/>
        </w:rPr>
        <w:t xml:space="preserve"> [7]</w:t>
      </w:r>
      <w:r w:rsidR="00CF2379" w:rsidRPr="008A69F3">
        <w:rPr>
          <w:bCs/>
          <w:i/>
          <w:szCs w:val="24"/>
          <w:u w:val="single"/>
        </w:rPr>
        <w:t xml:space="preserve"> -</w:t>
      </w:r>
      <w:r w:rsidR="00C550D7" w:rsidRPr="008A69F3">
        <w:rPr>
          <w:bCs/>
          <w:i/>
          <w:szCs w:val="24"/>
          <w:u w:val="single"/>
        </w:rPr>
        <w:t xml:space="preserve"> </w:t>
      </w:r>
      <w:r w:rsidR="00D373F9" w:rsidRPr="008A69F3">
        <w:rPr>
          <w:bCs/>
          <w:i/>
          <w:szCs w:val="24"/>
          <w:u w:val="single"/>
        </w:rPr>
        <w:t xml:space="preserve">Section 9 (f) </w:t>
      </w:r>
    </w:p>
    <w:p w:rsidR="005E465B" w:rsidRPr="008A69F3" w:rsidRDefault="005E465B" w:rsidP="005E465B">
      <w:pPr>
        <w:rPr>
          <w:bCs/>
          <w:iCs/>
          <w:szCs w:val="24"/>
        </w:rPr>
      </w:pPr>
    </w:p>
    <w:p w:rsidR="005E465B" w:rsidRPr="008A69F3" w:rsidRDefault="005E465B" w:rsidP="005E465B">
      <w:pPr>
        <w:rPr>
          <w:bCs/>
          <w:iCs/>
          <w:szCs w:val="24"/>
        </w:rPr>
      </w:pPr>
      <w:r w:rsidRPr="008A69F3">
        <w:rPr>
          <w:bCs/>
          <w:iCs/>
          <w:szCs w:val="24"/>
        </w:rPr>
        <w:lastRenderedPageBreak/>
        <w:t>This</w:t>
      </w:r>
      <w:r w:rsidR="00110A9C" w:rsidRPr="008A69F3">
        <w:rPr>
          <w:bCs/>
          <w:iCs/>
          <w:szCs w:val="24"/>
        </w:rPr>
        <w:t xml:space="preserve"> </w:t>
      </w:r>
      <w:r w:rsidR="00D41B0B" w:rsidRPr="008A69F3">
        <w:rPr>
          <w:bCs/>
          <w:iCs/>
          <w:szCs w:val="24"/>
        </w:rPr>
        <w:t>clause</w:t>
      </w:r>
      <w:r w:rsidR="00CF2379" w:rsidRPr="008A69F3">
        <w:rPr>
          <w:bCs/>
          <w:iCs/>
          <w:szCs w:val="24"/>
        </w:rPr>
        <w:t xml:space="preserve"> </w:t>
      </w:r>
      <w:r w:rsidR="00072D06" w:rsidRPr="008A69F3">
        <w:rPr>
          <w:bCs/>
          <w:iCs/>
          <w:szCs w:val="24"/>
        </w:rPr>
        <w:t xml:space="preserve">updates </w:t>
      </w:r>
      <w:r w:rsidR="000B162E" w:rsidRPr="008A69F3">
        <w:rPr>
          <w:bCs/>
          <w:iCs/>
          <w:szCs w:val="24"/>
        </w:rPr>
        <w:t xml:space="preserve">section 9(f) to refer to the current name of </w:t>
      </w:r>
      <w:r w:rsidR="00110A9C" w:rsidRPr="008A69F3">
        <w:rPr>
          <w:bCs/>
          <w:iCs/>
          <w:szCs w:val="24"/>
        </w:rPr>
        <w:t>the Therapeutic Goods Administration.</w:t>
      </w:r>
    </w:p>
    <w:p w:rsidR="005E465B" w:rsidRPr="008A69F3" w:rsidRDefault="005E465B" w:rsidP="005E465B">
      <w:pPr>
        <w:rPr>
          <w:bCs/>
          <w:iCs/>
          <w:szCs w:val="24"/>
        </w:rPr>
      </w:pPr>
    </w:p>
    <w:p w:rsidR="00F712B3" w:rsidRPr="008A69F3" w:rsidRDefault="00D41B0B" w:rsidP="00D833CC">
      <w:pPr>
        <w:rPr>
          <w:bCs/>
          <w:i/>
          <w:szCs w:val="24"/>
          <w:u w:val="single"/>
        </w:rPr>
      </w:pPr>
      <w:r w:rsidRPr="008A69F3">
        <w:rPr>
          <w:bCs/>
          <w:i/>
          <w:szCs w:val="24"/>
          <w:u w:val="single"/>
        </w:rPr>
        <w:t>Clause</w:t>
      </w:r>
      <w:r w:rsidR="00C550D7" w:rsidRPr="008A69F3">
        <w:rPr>
          <w:bCs/>
          <w:i/>
          <w:szCs w:val="24"/>
          <w:u w:val="single"/>
        </w:rPr>
        <w:t xml:space="preserve"> [8]</w:t>
      </w:r>
      <w:r w:rsidR="00CF2379" w:rsidRPr="008A69F3">
        <w:rPr>
          <w:bCs/>
          <w:i/>
          <w:szCs w:val="24"/>
          <w:u w:val="single"/>
        </w:rPr>
        <w:t xml:space="preserve"> -</w:t>
      </w:r>
      <w:r w:rsidR="00C550D7" w:rsidRPr="008A69F3">
        <w:rPr>
          <w:bCs/>
          <w:i/>
          <w:szCs w:val="24"/>
          <w:u w:val="single"/>
        </w:rPr>
        <w:t xml:space="preserve"> </w:t>
      </w:r>
      <w:r w:rsidR="00A940D5" w:rsidRPr="008A69F3">
        <w:rPr>
          <w:bCs/>
          <w:i/>
          <w:szCs w:val="24"/>
          <w:u w:val="single"/>
        </w:rPr>
        <w:t>Section 1</w:t>
      </w:r>
      <w:r w:rsidR="00D373F9" w:rsidRPr="008A69F3">
        <w:rPr>
          <w:bCs/>
          <w:i/>
          <w:szCs w:val="24"/>
          <w:u w:val="single"/>
        </w:rPr>
        <w:t xml:space="preserve">2 (1) (a) </w:t>
      </w:r>
    </w:p>
    <w:p w:rsidR="005777C6" w:rsidRPr="008A69F3" w:rsidRDefault="005777C6" w:rsidP="005777C6">
      <w:pPr>
        <w:rPr>
          <w:bCs/>
          <w:i/>
          <w:szCs w:val="24"/>
          <w:u w:val="single"/>
        </w:rPr>
      </w:pPr>
    </w:p>
    <w:p w:rsidR="00DD6545" w:rsidRPr="008A69F3" w:rsidRDefault="00FC2DB4" w:rsidP="00F712B3">
      <w:pPr>
        <w:rPr>
          <w:bCs/>
          <w:iCs/>
          <w:szCs w:val="24"/>
        </w:rPr>
      </w:pPr>
      <w:r w:rsidRPr="00FC2DB4">
        <w:rPr>
          <w:bCs/>
          <w:iCs/>
          <w:szCs w:val="24"/>
        </w:rPr>
        <w:t>Notifiable Low Risk Dealings (NLRDs) are activities with GMOs undertaken in containment (i.e. not released into the environment) that have been assessed as posing low risk to the health and safety of people and the environment</w:t>
      </w:r>
      <w:r>
        <w:rPr>
          <w:bCs/>
          <w:iCs/>
          <w:szCs w:val="24"/>
        </w:rPr>
        <w:t xml:space="preserve">. </w:t>
      </w:r>
      <w:r w:rsidR="00DD6545" w:rsidRPr="008A69F3">
        <w:rPr>
          <w:bCs/>
          <w:iCs/>
          <w:szCs w:val="24"/>
        </w:rPr>
        <w:t xml:space="preserve">This </w:t>
      </w:r>
      <w:r w:rsidR="00D41B0B" w:rsidRPr="008A69F3">
        <w:rPr>
          <w:bCs/>
          <w:iCs/>
          <w:szCs w:val="24"/>
        </w:rPr>
        <w:t>clause</w:t>
      </w:r>
      <w:r w:rsidR="00CF2379" w:rsidRPr="008A69F3">
        <w:rPr>
          <w:bCs/>
          <w:iCs/>
          <w:szCs w:val="24"/>
        </w:rPr>
        <w:t xml:space="preserve"> </w:t>
      </w:r>
      <w:r w:rsidR="00865F70" w:rsidRPr="008A69F3">
        <w:rPr>
          <w:bCs/>
          <w:iCs/>
          <w:szCs w:val="24"/>
        </w:rPr>
        <w:t xml:space="preserve">amends </w:t>
      </w:r>
      <w:r w:rsidR="000B162E" w:rsidRPr="008A69F3">
        <w:rPr>
          <w:bCs/>
          <w:iCs/>
          <w:szCs w:val="24"/>
        </w:rPr>
        <w:t xml:space="preserve">section 12(1)(a) </w:t>
      </w:r>
      <w:r w:rsidR="00DD6545" w:rsidRPr="008A69F3">
        <w:rPr>
          <w:bCs/>
          <w:iCs/>
          <w:szCs w:val="24"/>
        </w:rPr>
        <w:t xml:space="preserve">to </w:t>
      </w:r>
      <w:r w:rsidR="00865F70" w:rsidRPr="008A69F3">
        <w:rPr>
          <w:snapToGrid w:val="0"/>
          <w:color w:val="000000"/>
          <w:szCs w:val="24"/>
          <w:shd w:val="clear" w:color="auto" w:fill="FFFFFF"/>
        </w:rPr>
        <w:t xml:space="preserve">make clearer the role of Schedule 3 Part 3 in determining what dealings are </w:t>
      </w:r>
      <w:r w:rsidR="00ED50C6" w:rsidRPr="008A69F3">
        <w:rPr>
          <w:snapToGrid w:val="0"/>
          <w:color w:val="000000"/>
          <w:szCs w:val="24"/>
          <w:shd w:val="clear" w:color="auto" w:fill="FFFFFF"/>
        </w:rPr>
        <w:t>notifiable low risk dealings</w:t>
      </w:r>
      <w:r>
        <w:rPr>
          <w:snapToGrid w:val="0"/>
          <w:color w:val="000000"/>
          <w:szCs w:val="24"/>
          <w:shd w:val="clear" w:color="auto" w:fill="FFFFFF"/>
        </w:rPr>
        <w:t xml:space="preserve"> </w:t>
      </w:r>
      <w:r w:rsidR="00865F70" w:rsidRPr="008A69F3">
        <w:rPr>
          <w:snapToGrid w:val="0"/>
          <w:color w:val="000000"/>
          <w:szCs w:val="24"/>
          <w:shd w:val="clear" w:color="auto" w:fill="FFFFFF"/>
        </w:rPr>
        <w:t>NLRDs</w:t>
      </w:r>
      <w:r>
        <w:rPr>
          <w:snapToGrid w:val="0"/>
          <w:color w:val="000000"/>
          <w:szCs w:val="24"/>
          <w:shd w:val="clear" w:color="auto" w:fill="FFFFFF"/>
        </w:rPr>
        <w:t xml:space="preserve"> </w:t>
      </w:r>
      <w:r w:rsidR="00865F70" w:rsidRPr="008A69F3">
        <w:rPr>
          <w:snapToGrid w:val="0"/>
          <w:color w:val="000000"/>
          <w:szCs w:val="24"/>
          <w:shd w:val="clear" w:color="auto" w:fill="FFFFFF"/>
        </w:rPr>
        <w:t>and does not change the status of any dealings.</w:t>
      </w:r>
      <w:r w:rsidR="00865F70" w:rsidRPr="008A69F3" w:rsidDel="00865F70">
        <w:rPr>
          <w:bCs/>
          <w:iCs/>
          <w:szCs w:val="24"/>
          <w:highlight w:val="yellow"/>
        </w:rPr>
        <w:t xml:space="preserve"> </w:t>
      </w:r>
    </w:p>
    <w:p w:rsidR="00F94705" w:rsidRPr="008A69F3" w:rsidRDefault="00F94705" w:rsidP="00F712B3">
      <w:pPr>
        <w:rPr>
          <w:bCs/>
          <w:iCs/>
          <w:szCs w:val="24"/>
        </w:rPr>
      </w:pPr>
    </w:p>
    <w:p w:rsidR="00F94705" w:rsidRPr="008A69F3" w:rsidRDefault="00AF7825" w:rsidP="00F712B3">
      <w:pPr>
        <w:rPr>
          <w:bCs/>
          <w:iCs/>
          <w:szCs w:val="24"/>
          <w:u w:val="single"/>
        </w:rPr>
      </w:pPr>
      <w:r w:rsidRPr="008A69F3">
        <w:rPr>
          <w:bCs/>
          <w:i/>
          <w:szCs w:val="24"/>
          <w:u w:val="single"/>
        </w:rPr>
        <w:t xml:space="preserve">Clause [9] </w:t>
      </w:r>
      <w:r w:rsidR="00F94705" w:rsidRPr="008A69F3">
        <w:rPr>
          <w:bCs/>
          <w:iCs/>
          <w:szCs w:val="24"/>
          <w:u w:val="single"/>
        </w:rPr>
        <w:t>Section 13 (1) (b)</w:t>
      </w:r>
    </w:p>
    <w:p w:rsidR="00D06BEC" w:rsidRPr="004C034B" w:rsidRDefault="00D06BEC" w:rsidP="00D06BEC">
      <w:pPr>
        <w:rPr>
          <w:bCs/>
          <w:iCs/>
          <w:szCs w:val="24"/>
        </w:rPr>
      </w:pPr>
    </w:p>
    <w:p w:rsidR="00D06BEC" w:rsidRPr="008A69F3" w:rsidRDefault="00D06BEC" w:rsidP="00D06BEC">
      <w:pPr>
        <w:rPr>
          <w:szCs w:val="24"/>
        </w:rPr>
      </w:pPr>
      <w:r w:rsidRPr="0035275C">
        <w:rPr>
          <w:snapToGrid w:val="0"/>
          <w:color w:val="000000"/>
          <w:szCs w:val="24"/>
          <w:shd w:val="clear" w:color="auto" w:fill="FFFFFF"/>
        </w:rPr>
        <w:t>Parts 3.1 and 3.2 of Schedule 3 describe GMO dealings classified as NLRDs. Part 3.3 of Schedule 3 (dealings that are not NLRDs) qualifies the lists in Parts 3.1 and 3.2, so t</w:t>
      </w:r>
      <w:r w:rsidRPr="008A69F3">
        <w:rPr>
          <w:snapToGrid w:val="0"/>
          <w:color w:val="000000"/>
          <w:szCs w:val="24"/>
          <w:shd w:val="clear" w:color="auto" w:fill="FFFFFF"/>
        </w:rPr>
        <w:t>hat a dealing of a kind described in Part 3.3 is not a NLRD even if it meets a description in Part 3.1 or Part 3.2. Paragraph 13(1)(b) requires that a person may undertake a NLRD only if an IBC has assessed the dealing to be a kind of dealing mentioned in Part 3.1 or 3.2 of Schedule 3. This item amends paragraph 13(1)(b) to further require that the dealing may be undertaken only if an IBC has also assessed that the dealing is not mentioned in Part 3.3 of Schedule 3 (see also item [8] an</w:t>
      </w:r>
      <w:r w:rsidR="00616CF6" w:rsidRPr="008A69F3">
        <w:rPr>
          <w:snapToGrid w:val="0"/>
          <w:color w:val="000000"/>
          <w:szCs w:val="24"/>
          <w:shd w:val="clear" w:color="auto" w:fill="FFFFFF"/>
        </w:rPr>
        <w:t xml:space="preserve">d clause </w:t>
      </w:r>
      <w:r w:rsidRPr="008A69F3">
        <w:rPr>
          <w:snapToGrid w:val="0"/>
          <w:color w:val="000000"/>
          <w:szCs w:val="24"/>
          <w:shd w:val="clear" w:color="auto" w:fill="FFFFFF"/>
        </w:rPr>
        <w:t>[</w:t>
      </w:r>
      <w:r w:rsidR="00616CF6" w:rsidRPr="008A69F3">
        <w:rPr>
          <w:snapToGrid w:val="0"/>
          <w:color w:val="000000"/>
          <w:szCs w:val="24"/>
          <w:shd w:val="clear" w:color="auto" w:fill="FFFFFF"/>
        </w:rPr>
        <w:t>18</w:t>
      </w:r>
      <w:r w:rsidRPr="008A69F3">
        <w:rPr>
          <w:snapToGrid w:val="0"/>
          <w:color w:val="000000"/>
          <w:szCs w:val="24"/>
          <w:shd w:val="clear" w:color="auto" w:fill="FFFFFF"/>
        </w:rPr>
        <w:t>]).</w:t>
      </w:r>
    </w:p>
    <w:p w:rsidR="000F52B7" w:rsidRPr="0035275C" w:rsidRDefault="000F52B7" w:rsidP="00F712B3">
      <w:pPr>
        <w:rPr>
          <w:bCs/>
          <w:iCs/>
          <w:szCs w:val="24"/>
        </w:rPr>
      </w:pPr>
    </w:p>
    <w:p w:rsidR="00F712B3" w:rsidRPr="008A69F3" w:rsidRDefault="00D41B0B" w:rsidP="00D833CC">
      <w:pPr>
        <w:rPr>
          <w:bCs/>
          <w:i/>
          <w:szCs w:val="24"/>
          <w:u w:val="single"/>
        </w:rPr>
      </w:pPr>
      <w:r w:rsidRPr="008A69F3">
        <w:rPr>
          <w:bCs/>
          <w:i/>
          <w:szCs w:val="24"/>
          <w:u w:val="single"/>
        </w:rPr>
        <w:t>Clause</w:t>
      </w:r>
      <w:r w:rsidR="00C550D7" w:rsidRPr="008A69F3">
        <w:rPr>
          <w:bCs/>
          <w:i/>
          <w:szCs w:val="24"/>
          <w:u w:val="single"/>
        </w:rPr>
        <w:t xml:space="preserve"> [</w:t>
      </w:r>
      <w:r w:rsidR="00AF7825" w:rsidRPr="008A69F3">
        <w:rPr>
          <w:bCs/>
          <w:i/>
          <w:szCs w:val="24"/>
          <w:u w:val="single"/>
        </w:rPr>
        <w:t>10</w:t>
      </w:r>
      <w:r w:rsidR="00C550D7" w:rsidRPr="008A69F3">
        <w:rPr>
          <w:bCs/>
          <w:i/>
          <w:szCs w:val="24"/>
          <w:u w:val="single"/>
        </w:rPr>
        <w:t>]</w:t>
      </w:r>
      <w:r w:rsidR="00CF2379" w:rsidRPr="008A69F3">
        <w:rPr>
          <w:bCs/>
          <w:i/>
          <w:szCs w:val="24"/>
          <w:u w:val="single"/>
        </w:rPr>
        <w:t xml:space="preserve"> -</w:t>
      </w:r>
      <w:r w:rsidR="00C550D7" w:rsidRPr="008A69F3">
        <w:rPr>
          <w:bCs/>
          <w:i/>
          <w:szCs w:val="24"/>
          <w:u w:val="single"/>
        </w:rPr>
        <w:t xml:space="preserve"> </w:t>
      </w:r>
      <w:r w:rsidR="00F712B3" w:rsidRPr="008A69F3">
        <w:rPr>
          <w:bCs/>
          <w:i/>
          <w:szCs w:val="24"/>
          <w:u w:val="single"/>
        </w:rPr>
        <w:t xml:space="preserve">Section 13 (1) (d) </w:t>
      </w:r>
    </w:p>
    <w:p w:rsidR="000363D1" w:rsidRPr="008A69F3" w:rsidRDefault="000363D1" w:rsidP="00D833CC">
      <w:pPr>
        <w:rPr>
          <w:bCs/>
          <w:i/>
          <w:szCs w:val="24"/>
          <w:u w:val="single"/>
        </w:rPr>
      </w:pPr>
    </w:p>
    <w:p w:rsidR="005777C6" w:rsidRPr="008A69F3" w:rsidRDefault="005777C6" w:rsidP="005777C6">
      <w:pPr>
        <w:rPr>
          <w:bCs/>
          <w:iCs/>
          <w:szCs w:val="24"/>
        </w:rPr>
      </w:pPr>
      <w:r w:rsidRPr="008A69F3">
        <w:rPr>
          <w:bCs/>
          <w:iCs/>
          <w:szCs w:val="24"/>
        </w:rPr>
        <w:t>Previous amendments to the Principal Regulation introduced a time limit for stopping NLRDs</w:t>
      </w:r>
      <w:r w:rsidR="002904F6" w:rsidRPr="008A69F3" w:rsidDel="002904F6">
        <w:rPr>
          <w:bCs/>
          <w:iCs/>
          <w:szCs w:val="24"/>
        </w:rPr>
        <w:t xml:space="preserve"> </w:t>
      </w:r>
      <w:r w:rsidR="002904F6">
        <w:rPr>
          <w:bCs/>
          <w:iCs/>
          <w:szCs w:val="24"/>
        </w:rPr>
        <w:t>a</w:t>
      </w:r>
      <w:r w:rsidRPr="008A69F3">
        <w:rPr>
          <w:bCs/>
          <w:iCs/>
          <w:szCs w:val="24"/>
        </w:rPr>
        <w:t xml:space="preserve">nd provided for phased introduction of a time limit for existing NLRDs. </w:t>
      </w:r>
      <w:r w:rsidR="00865F70" w:rsidRPr="008A69F3">
        <w:rPr>
          <w:bCs/>
          <w:iCs/>
          <w:szCs w:val="24"/>
        </w:rPr>
        <w:t xml:space="preserve">The period of phased introduction is now complete, and </w:t>
      </w:r>
      <w:r w:rsidR="000C4710" w:rsidRPr="008A69F3">
        <w:rPr>
          <w:bCs/>
          <w:iCs/>
          <w:szCs w:val="24"/>
        </w:rPr>
        <w:t>clause</w:t>
      </w:r>
      <w:r w:rsidR="00865F70" w:rsidRPr="008A69F3">
        <w:rPr>
          <w:bCs/>
          <w:iCs/>
          <w:szCs w:val="24"/>
        </w:rPr>
        <w:t xml:space="preserve"> [1</w:t>
      </w:r>
      <w:r w:rsidR="000363D1" w:rsidRPr="008A69F3">
        <w:rPr>
          <w:bCs/>
          <w:iCs/>
          <w:szCs w:val="24"/>
        </w:rPr>
        <w:t>6</w:t>
      </w:r>
      <w:r w:rsidR="00865F70" w:rsidRPr="008A69F3">
        <w:rPr>
          <w:bCs/>
          <w:iCs/>
          <w:szCs w:val="24"/>
        </w:rPr>
        <w:t xml:space="preserve">] repeals the phase-in provisions. </w:t>
      </w:r>
      <w:r w:rsidRPr="008A69F3">
        <w:rPr>
          <w:bCs/>
          <w:iCs/>
          <w:szCs w:val="24"/>
        </w:rPr>
        <w:t xml:space="preserve">This </w:t>
      </w:r>
      <w:r w:rsidR="00D41B0B" w:rsidRPr="008A69F3">
        <w:rPr>
          <w:bCs/>
          <w:iCs/>
          <w:szCs w:val="24"/>
        </w:rPr>
        <w:t>clause</w:t>
      </w:r>
      <w:r w:rsidR="00865F70" w:rsidRPr="008A69F3">
        <w:rPr>
          <w:bCs/>
          <w:iCs/>
          <w:szCs w:val="24"/>
        </w:rPr>
        <w:t xml:space="preserve"> </w:t>
      </w:r>
      <w:r w:rsidRPr="008A69F3">
        <w:rPr>
          <w:bCs/>
          <w:iCs/>
          <w:szCs w:val="24"/>
        </w:rPr>
        <w:t xml:space="preserve">replaces a reference to the provisions </w:t>
      </w:r>
      <w:r w:rsidR="00865F70" w:rsidRPr="008A69F3">
        <w:rPr>
          <w:bCs/>
          <w:iCs/>
          <w:szCs w:val="24"/>
        </w:rPr>
        <w:t xml:space="preserve">repealed by </w:t>
      </w:r>
      <w:r w:rsidR="00D41B0B" w:rsidRPr="008A69F3">
        <w:rPr>
          <w:bCs/>
          <w:iCs/>
          <w:szCs w:val="24"/>
        </w:rPr>
        <w:t>clause</w:t>
      </w:r>
      <w:r w:rsidR="00865F70" w:rsidRPr="008A69F3">
        <w:rPr>
          <w:bCs/>
          <w:iCs/>
          <w:szCs w:val="24"/>
        </w:rPr>
        <w:t xml:space="preserve"> [1</w:t>
      </w:r>
      <w:r w:rsidR="000363D1" w:rsidRPr="008A69F3">
        <w:rPr>
          <w:bCs/>
          <w:iCs/>
          <w:szCs w:val="24"/>
        </w:rPr>
        <w:t>6</w:t>
      </w:r>
      <w:r w:rsidR="00865F70" w:rsidRPr="008A69F3">
        <w:rPr>
          <w:bCs/>
          <w:iCs/>
          <w:szCs w:val="24"/>
        </w:rPr>
        <w:t xml:space="preserve">] </w:t>
      </w:r>
      <w:r w:rsidRPr="008A69F3">
        <w:rPr>
          <w:bCs/>
          <w:iCs/>
          <w:szCs w:val="24"/>
        </w:rPr>
        <w:t xml:space="preserve">with a uniform </w:t>
      </w:r>
      <w:r w:rsidR="00A20919" w:rsidRPr="008A69F3">
        <w:rPr>
          <w:bCs/>
          <w:iCs/>
          <w:szCs w:val="24"/>
        </w:rPr>
        <w:t>five-year</w:t>
      </w:r>
      <w:r w:rsidRPr="008A69F3">
        <w:rPr>
          <w:bCs/>
          <w:iCs/>
          <w:szCs w:val="24"/>
        </w:rPr>
        <w:t xml:space="preserve"> time limit for stopping NLRDs.</w:t>
      </w:r>
    </w:p>
    <w:p w:rsidR="00514A97" w:rsidRPr="008A69F3" w:rsidRDefault="00514A97" w:rsidP="00514A97">
      <w:pPr>
        <w:rPr>
          <w:bCs/>
          <w:i/>
          <w:szCs w:val="24"/>
          <w:u w:val="single"/>
        </w:rPr>
      </w:pPr>
    </w:p>
    <w:p w:rsidR="00035DB3" w:rsidRPr="008A69F3" w:rsidRDefault="00D41B0B" w:rsidP="00D833CC">
      <w:pPr>
        <w:rPr>
          <w:bCs/>
          <w:i/>
          <w:szCs w:val="24"/>
          <w:u w:val="single"/>
        </w:rPr>
      </w:pPr>
      <w:r w:rsidRPr="008A69F3">
        <w:rPr>
          <w:bCs/>
          <w:i/>
          <w:szCs w:val="24"/>
          <w:u w:val="single"/>
        </w:rPr>
        <w:t>Clause</w:t>
      </w:r>
      <w:r w:rsidR="00C550D7" w:rsidRPr="008A69F3">
        <w:rPr>
          <w:bCs/>
          <w:i/>
          <w:szCs w:val="24"/>
          <w:u w:val="single"/>
        </w:rPr>
        <w:t xml:space="preserve"> [1</w:t>
      </w:r>
      <w:r w:rsidR="00AF7825" w:rsidRPr="008A69F3">
        <w:rPr>
          <w:bCs/>
          <w:i/>
          <w:szCs w:val="24"/>
          <w:u w:val="single"/>
        </w:rPr>
        <w:t>1</w:t>
      </w:r>
      <w:r w:rsidR="00C550D7" w:rsidRPr="008A69F3">
        <w:rPr>
          <w:bCs/>
          <w:i/>
          <w:szCs w:val="24"/>
          <w:u w:val="single"/>
        </w:rPr>
        <w:t>]</w:t>
      </w:r>
      <w:r w:rsidR="00CF2379" w:rsidRPr="008A69F3">
        <w:rPr>
          <w:bCs/>
          <w:i/>
          <w:szCs w:val="24"/>
          <w:u w:val="single"/>
        </w:rPr>
        <w:t xml:space="preserve"> -</w:t>
      </w:r>
      <w:r w:rsidR="00C550D7" w:rsidRPr="008A69F3">
        <w:rPr>
          <w:bCs/>
          <w:i/>
          <w:szCs w:val="24"/>
          <w:u w:val="single"/>
        </w:rPr>
        <w:t xml:space="preserve"> </w:t>
      </w:r>
      <w:r w:rsidR="00F712B3" w:rsidRPr="008A69F3">
        <w:rPr>
          <w:bCs/>
          <w:i/>
          <w:szCs w:val="24"/>
          <w:u w:val="single"/>
        </w:rPr>
        <w:t>Section 13 (1)</w:t>
      </w:r>
      <w:r w:rsidR="00431920" w:rsidRPr="008A69F3">
        <w:rPr>
          <w:bCs/>
          <w:i/>
          <w:szCs w:val="24"/>
          <w:u w:val="single"/>
        </w:rPr>
        <w:t xml:space="preserve"> (e)</w:t>
      </w:r>
    </w:p>
    <w:p w:rsidR="005777C6" w:rsidRPr="008A69F3" w:rsidRDefault="005777C6" w:rsidP="005777C6">
      <w:pPr>
        <w:rPr>
          <w:bCs/>
          <w:i/>
          <w:szCs w:val="24"/>
          <w:u w:val="single"/>
        </w:rPr>
      </w:pPr>
    </w:p>
    <w:p w:rsidR="005777C6" w:rsidRPr="008A69F3" w:rsidRDefault="005777C6" w:rsidP="005777C6">
      <w:pPr>
        <w:rPr>
          <w:bCs/>
          <w:iCs/>
          <w:szCs w:val="24"/>
        </w:rPr>
      </w:pPr>
      <w:r w:rsidRPr="008A69F3">
        <w:rPr>
          <w:bCs/>
          <w:iCs/>
          <w:szCs w:val="24"/>
        </w:rPr>
        <w:t>Th</w:t>
      </w:r>
      <w:r w:rsidR="00ED50C6" w:rsidRPr="008A69F3">
        <w:rPr>
          <w:bCs/>
          <w:iCs/>
          <w:szCs w:val="24"/>
        </w:rPr>
        <w:t>e</w:t>
      </w:r>
      <w:r w:rsidRPr="008A69F3">
        <w:rPr>
          <w:bCs/>
          <w:iCs/>
          <w:szCs w:val="24"/>
        </w:rPr>
        <w:t xml:space="preserve"> </w:t>
      </w:r>
      <w:r w:rsidR="00ED50C6" w:rsidRPr="008A69F3">
        <w:rPr>
          <w:bCs/>
          <w:iCs/>
          <w:szCs w:val="24"/>
        </w:rPr>
        <w:t xml:space="preserve">existing </w:t>
      </w:r>
      <w:r w:rsidR="00FC63BB" w:rsidRPr="008A69F3">
        <w:rPr>
          <w:bCs/>
          <w:iCs/>
          <w:szCs w:val="24"/>
        </w:rPr>
        <w:t>section</w:t>
      </w:r>
      <w:r w:rsidRPr="008A69F3">
        <w:rPr>
          <w:bCs/>
          <w:iCs/>
          <w:szCs w:val="24"/>
        </w:rPr>
        <w:t xml:space="preserve"> </w:t>
      </w:r>
      <w:r w:rsidR="00ED50C6" w:rsidRPr="008A69F3">
        <w:rPr>
          <w:bCs/>
          <w:iCs/>
          <w:szCs w:val="24"/>
        </w:rPr>
        <w:t xml:space="preserve">13(1)(e) </w:t>
      </w:r>
      <w:r w:rsidRPr="008A69F3">
        <w:rPr>
          <w:bCs/>
          <w:iCs/>
          <w:szCs w:val="24"/>
        </w:rPr>
        <w:t xml:space="preserve">sets out requirements that must be met before a person can undertake a NLRD. </w:t>
      </w:r>
      <w:r w:rsidR="000B162E" w:rsidRPr="008A69F3">
        <w:rPr>
          <w:bCs/>
          <w:iCs/>
          <w:szCs w:val="24"/>
        </w:rPr>
        <w:t xml:space="preserve">This </w:t>
      </w:r>
      <w:r w:rsidR="003E7CCA" w:rsidRPr="008A69F3">
        <w:rPr>
          <w:bCs/>
          <w:iCs/>
          <w:szCs w:val="24"/>
        </w:rPr>
        <w:t>clause</w:t>
      </w:r>
      <w:r w:rsidR="00ED50C6" w:rsidRPr="008A69F3">
        <w:rPr>
          <w:bCs/>
          <w:iCs/>
          <w:szCs w:val="24"/>
        </w:rPr>
        <w:t xml:space="preserve">, with </w:t>
      </w:r>
      <w:r w:rsidR="003E7CCA" w:rsidRPr="008A69F3">
        <w:rPr>
          <w:bCs/>
          <w:iCs/>
          <w:szCs w:val="24"/>
        </w:rPr>
        <w:t>clause</w:t>
      </w:r>
      <w:r w:rsidR="00ED50C6" w:rsidRPr="008A69F3">
        <w:rPr>
          <w:bCs/>
          <w:iCs/>
          <w:szCs w:val="24"/>
        </w:rPr>
        <w:t xml:space="preserve"> [1</w:t>
      </w:r>
      <w:r w:rsidR="003C19EC" w:rsidRPr="008A69F3">
        <w:rPr>
          <w:bCs/>
          <w:iCs/>
          <w:szCs w:val="24"/>
        </w:rPr>
        <w:t>3</w:t>
      </w:r>
      <w:r w:rsidR="00ED50C6" w:rsidRPr="008A69F3">
        <w:rPr>
          <w:bCs/>
          <w:iCs/>
          <w:szCs w:val="24"/>
        </w:rPr>
        <w:t>],</w:t>
      </w:r>
      <w:r w:rsidR="000B162E" w:rsidRPr="008A69F3">
        <w:rPr>
          <w:bCs/>
          <w:iCs/>
          <w:szCs w:val="24"/>
        </w:rPr>
        <w:t xml:space="preserve"> amends existing provisions to better align the provisions with the requirements for institutional biosafety committee (IBC) records of assessments of NLRD proposals in </w:t>
      </w:r>
      <w:r w:rsidR="00007CC3" w:rsidRPr="008A69F3">
        <w:rPr>
          <w:bCs/>
          <w:iCs/>
          <w:szCs w:val="24"/>
        </w:rPr>
        <w:t>section</w:t>
      </w:r>
      <w:r w:rsidR="000B162E" w:rsidRPr="008A69F3">
        <w:rPr>
          <w:bCs/>
          <w:iCs/>
          <w:szCs w:val="24"/>
        </w:rPr>
        <w:t xml:space="preserve"> 13B, without changing the underlying requirements.</w:t>
      </w:r>
    </w:p>
    <w:p w:rsidR="00ED50C6" w:rsidRPr="008A69F3" w:rsidRDefault="00ED50C6" w:rsidP="005777C6">
      <w:pPr>
        <w:rPr>
          <w:bCs/>
          <w:iCs/>
          <w:szCs w:val="24"/>
        </w:rPr>
      </w:pPr>
    </w:p>
    <w:p w:rsidR="00431920" w:rsidRPr="008A69F3" w:rsidRDefault="00D41B0B" w:rsidP="00D833CC">
      <w:pPr>
        <w:rPr>
          <w:bCs/>
          <w:i/>
          <w:szCs w:val="24"/>
          <w:u w:val="single"/>
        </w:rPr>
      </w:pPr>
      <w:r w:rsidRPr="008A69F3">
        <w:rPr>
          <w:bCs/>
          <w:i/>
          <w:szCs w:val="24"/>
          <w:u w:val="single"/>
        </w:rPr>
        <w:t>Clause</w:t>
      </w:r>
      <w:r w:rsidR="00C550D7" w:rsidRPr="008A69F3">
        <w:rPr>
          <w:bCs/>
          <w:i/>
          <w:szCs w:val="24"/>
          <w:u w:val="single"/>
        </w:rPr>
        <w:t xml:space="preserve"> [1</w:t>
      </w:r>
      <w:r w:rsidR="00AF7825" w:rsidRPr="008A69F3">
        <w:rPr>
          <w:bCs/>
          <w:i/>
          <w:szCs w:val="24"/>
          <w:u w:val="single"/>
        </w:rPr>
        <w:t>2</w:t>
      </w:r>
      <w:r w:rsidR="00C550D7" w:rsidRPr="008A69F3">
        <w:rPr>
          <w:bCs/>
          <w:i/>
          <w:szCs w:val="24"/>
          <w:u w:val="single"/>
        </w:rPr>
        <w:t>]-[1</w:t>
      </w:r>
      <w:r w:rsidR="00AF7825" w:rsidRPr="008A69F3">
        <w:rPr>
          <w:bCs/>
          <w:i/>
          <w:szCs w:val="24"/>
          <w:u w:val="single"/>
        </w:rPr>
        <w:t>3</w:t>
      </w:r>
      <w:r w:rsidR="00C550D7" w:rsidRPr="008A69F3">
        <w:rPr>
          <w:bCs/>
          <w:i/>
          <w:szCs w:val="24"/>
          <w:u w:val="single"/>
        </w:rPr>
        <w:t>]</w:t>
      </w:r>
      <w:r w:rsidR="00CF2379" w:rsidRPr="008A69F3">
        <w:rPr>
          <w:bCs/>
          <w:i/>
          <w:szCs w:val="24"/>
          <w:u w:val="single"/>
        </w:rPr>
        <w:t xml:space="preserve"> -</w:t>
      </w:r>
      <w:r w:rsidR="00C550D7" w:rsidRPr="008A69F3">
        <w:rPr>
          <w:bCs/>
          <w:i/>
          <w:szCs w:val="24"/>
          <w:u w:val="single"/>
        </w:rPr>
        <w:t xml:space="preserve"> </w:t>
      </w:r>
      <w:r w:rsidR="00431920" w:rsidRPr="008A69F3">
        <w:rPr>
          <w:bCs/>
          <w:i/>
          <w:szCs w:val="24"/>
          <w:u w:val="single"/>
        </w:rPr>
        <w:t>Section</w:t>
      </w:r>
      <w:r w:rsidR="00C550D7" w:rsidRPr="008A69F3">
        <w:rPr>
          <w:bCs/>
          <w:i/>
          <w:szCs w:val="24"/>
          <w:u w:val="single"/>
        </w:rPr>
        <w:t>s</w:t>
      </w:r>
      <w:r w:rsidR="00431920" w:rsidRPr="008A69F3">
        <w:rPr>
          <w:bCs/>
          <w:i/>
          <w:szCs w:val="24"/>
          <w:u w:val="single"/>
        </w:rPr>
        <w:t xml:space="preserve"> 13 (1) (f)</w:t>
      </w:r>
      <w:r w:rsidR="00C550D7" w:rsidRPr="008A69F3">
        <w:rPr>
          <w:bCs/>
          <w:i/>
          <w:szCs w:val="24"/>
          <w:u w:val="single"/>
        </w:rPr>
        <w:t>, 13 (1) (i) and note</w:t>
      </w:r>
      <w:r w:rsidR="00431920" w:rsidRPr="008A69F3">
        <w:rPr>
          <w:bCs/>
          <w:i/>
          <w:szCs w:val="24"/>
          <w:u w:val="single"/>
        </w:rPr>
        <w:t xml:space="preserve"> </w:t>
      </w:r>
    </w:p>
    <w:p w:rsidR="005777C6" w:rsidRPr="008A69F3" w:rsidRDefault="005777C6" w:rsidP="005777C6">
      <w:pPr>
        <w:rPr>
          <w:bCs/>
          <w:i/>
          <w:szCs w:val="24"/>
          <w:u w:val="single"/>
        </w:rPr>
      </w:pPr>
    </w:p>
    <w:p w:rsidR="00753661" w:rsidRPr="008A69F3" w:rsidRDefault="00007CC3" w:rsidP="00C550D7">
      <w:pPr>
        <w:rPr>
          <w:bCs/>
          <w:iCs/>
          <w:szCs w:val="24"/>
        </w:rPr>
      </w:pPr>
      <w:r w:rsidRPr="008A69F3">
        <w:rPr>
          <w:bCs/>
          <w:iCs/>
          <w:szCs w:val="24"/>
        </w:rPr>
        <w:t>Section</w:t>
      </w:r>
      <w:r w:rsidR="00C550D7" w:rsidRPr="008A69F3">
        <w:rPr>
          <w:bCs/>
          <w:iCs/>
          <w:szCs w:val="24"/>
        </w:rPr>
        <w:t xml:space="preserve"> 13 sets out the requirements for the facilities in which NLRDs may be undertaken, and requirements for GMO transportation, storage and disposal outside those facilities (to the extent that those activities are part of a NLRD). These </w:t>
      </w:r>
      <w:r w:rsidR="003E7CCA" w:rsidRPr="008A69F3">
        <w:rPr>
          <w:bCs/>
          <w:iCs/>
          <w:szCs w:val="24"/>
        </w:rPr>
        <w:t>clauses</w:t>
      </w:r>
      <w:r w:rsidR="00C550D7" w:rsidRPr="008A69F3">
        <w:rPr>
          <w:bCs/>
          <w:iCs/>
          <w:szCs w:val="24"/>
        </w:rPr>
        <w:t xml:space="preserve">, with </w:t>
      </w:r>
      <w:r w:rsidR="003E7CCA" w:rsidRPr="008A69F3">
        <w:rPr>
          <w:bCs/>
          <w:iCs/>
          <w:szCs w:val="24"/>
        </w:rPr>
        <w:t>clauses</w:t>
      </w:r>
      <w:r w:rsidR="00C550D7" w:rsidRPr="008A69F3">
        <w:rPr>
          <w:bCs/>
          <w:iCs/>
          <w:szCs w:val="24"/>
        </w:rPr>
        <w:t xml:space="preserve"> [1</w:t>
      </w:r>
      <w:r w:rsidR="003C19EC" w:rsidRPr="008A69F3">
        <w:rPr>
          <w:bCs/>
          <w:iCs/>
          <w:szCs w:val="24"/>
        </w:rPr>
        <w:t>4</w:t>
      </w:r>
      <w:r w:rsidR="00C550D7" w:rsidRPr="008A69F3">
        <w:rPr>
          <w:bCs/>
          <w:iCs/>
          <w:szCs w:val="24"/>
        </w:rPr>
        <w:t>], [1</w:t>
      </w:r>
      <w:r w:rsidR="003C19EC" w:rsidRPr="008A69F3">
        <w:rPr>
          <w:bCs/>
          <w:iCs/>
          <w:szCs w:val="24"/>
        </w:rPr>
        <w:t>5</w:t>
      </w:r>
      <w:r w:rsidR="00C550D7" w:rsidRPr="008A69F3">
        <w:rPr>
          <w:bCs/>
          <w:iCs/>
          <w:szCs w:val="24"/>
        </w:rPr>
        <w:t>], [</w:t>
      </w:r>
      <w:r w:rsidR="003C19EC" w:rsidRPr="008A69F3">
        <w:rPr>
          <w:bCs/>
          <w:iCs/>
          <w:szCs w:val="24"/>
        </w:rPr>
        <w:t>34</w:t>
      </w:r>
      <w:r w:rsidR="00C550D7" w:rsidRPr="008A69F3">
        <w:rPr>
          <w:bCs/>
          <w:iCs/>
          <w:szCs w:val="24"/>
        </w:rPr>
        <w:t>] and [</w:t>
      </w:r>
      <w:r w:rsidR="007D49FF" w:rsidRPr="008A69F3">
        <w:rPr>
          <w:bCs/>
          <w:iCs/>
          <w:szCs w:val="24"/>
        </w:rPr>
        <w:t>28</w:t>
      </w:r>
      <w:r w:rsidR="00C550D7" w:rsidRPr="008A69F3">
        <w:rPr>
          <w:bCs/>
          <w:iCs/>
          <w:szCs w:val="24"/>
        </w:rPr>
        <w:t>], clarify existing requirements.</w:t>
      </w:r>
    </w:p>
    <w:p w:rsidR="00753661" w:rsidRPr="008A69F3" w:rsidRDefault="00753661" w:rsidP="00BE46B5">
      <w:pPr>
        <w:rPr>
          <w:bCs/>
          <w:iCs/>
          <w:szCs w:val="24"/>
        </w:rPr>
      </w:pPr>
    </w:p>
    <w:p w:rsidR="00431920" w:rsidRPr="008A69F3" w:rsidRDefault="00753661" w:rsidP="00D833CC">
      <w:pPr>
        <w:rPr>
          <w:i/>
          <w:szCs w:val="24"/>
          <w:u w:val="single"/>
        </w:rPr>
      </w:pPr>
      <w:r w:rsidRPr="008A69F3">
        <w:rPr>
          <w:snapToGrid w:val="0"/>
          <w:color w:val="000000"/>
          <w:szCs w:val="24"/>
          <w:shd w:val="clear" w:color="auto" w:fill="FFFFFF"/>
        </w:rPr>
        <w:t>Sub</w:t>
      </w:r>
      <w:r w:rsidR="00007CC3" w:rsidRPr="008A69F3">
        <w:rPr>
          <w:snapToGrid w:val="0"/>
          <w:color w:val="000000"/>
          <w:szCs w:val="24"/>
          <w:shd w:val="clear" w:color="auto" w:fill="FFFFFF"/>
        </w:rPr>
        <w:t>section</w:t>
      </w:r>
      <w:r w:rsidRPr="008A69F3">
        <w:rPr>
          <w:snapToGrid w:val="0"/>
          <w:color w:val="000000"/>
          <w:szCs w:val="24"/>
          <w:shd w:val="clear" w:color="auto" w:fill="FFFFFF"/>
        </w:rPr>
        <w:t xml:space="preserve"> 13(1) sets out the requirements that must be met before a person can undertake a NLRD, including that the person must be mentioned in the IBC’s record of assessment of the proposed NLRD. Item 12 amends existing provisions to better align the provisions with the requirements for IBC records of assessment of NLRD proposals in </w:t>
      </w:r>
      <w:r w:rsidR="00007CC3" w:rsidRPr="008A69F3">
        <w:rPr>
          <w:snapToGrid w:val="0"/>
          <w:color w:val="000000"/>
          <w:szCs w:val="24"/>
          <w:shd w:val="clear" w:color="auto" w:fill="FFFFFF"/>
        </w:rPr>
        <w:t>section</w:t>
      </w:r>
      <w:r w:rsidRPr="008A69F3">
        <w:rPr>
          <w:snapToGrid w:val="0"/>
          <w:color w:val="000000"/>
          <w:szCs w:val="24"/>
          <w:shd w:val="clear" w:color="auto" w:fill="FFFFFF"/>
        </w:rPr>
        <w:t xml:space="preserve"> 13B, without changing the underlying requirements.</w:t>
      </w:r>
    </w:p>
    <w:p w:rsidR="00884D80" w:rsidRPr="008A69F3" w:rsidRDefault="00884D80" w:rsidP="00884D80">
      <w:pPr>
        <w:rPr>
          <w:bCs/>
          <w:i/>
          <w:szCs w:val="24"/>
          <w:u w:val="single"/>
        </w:rPr>
      </w:pPr>
    </w:p>
    <w:p w:rsidR="00431920" w:rsidRPr="008A69F3" w:rsidRDefault="00D41B0B" w:rsidP="00D833CC">
      <w:pPr>
        <w:rPr>
          <w:bCs/>
          <w:i/>
          <w:szCs w:val="24"/>
          <w:u w:val="single"/>
        </w:rPr>
      </w:pPr>
      <w:r w:rsidRPr="008A69F3">
        <w:rPr>
          <w:bCs/>
          <w:i/>
          <w:szCs w:val="24"/>
          <w:u w:val="single"/>
        </w:rPr>
        <w:t>Clause</w:t>
      </w:r>
      <w:r w:rsidR="00753661" w:rsidRPr="008A69F3">
        <w:rPr>
          <w:bCs/>
          <w:i/>
          <w:szCs w:val="24"/>
          <w:u w:val="single"/>
        </w:rPr>
        <w:t xml:space="preserve"> [1</w:t>
      </w:r>
      <w:r w:rsidR="00AF7825" w:rsidRPr="008A69F3">
        <w:rPr>
          <w:bCs/>
          <w:i/>
          <w:szCs w:val="24"/>
          <w:u w:val="single"/>
        </w:rPr>
        <w:t>4</w:t>
      </w:r>
      <w:r w:rsidR="00753661" w:rsidRPr="008A69F3">
        <w:rPr>
          <w:bCs/>
          <w:i/>
          <w:szCs w:val="24"/>
          <w:u w:val="single"/>
        </w:rPr>
        <w:t>]-[1</w:t>
      </w:r>
      <w:r w:rsidR="00AF7825" w:rsidRPr="008A69F3">
        <w:rPr>
          <w:bCs/>
          <w:i/>
          <w:szCs w:val="24"/>
          <w:u w:val="single"/>
        </w:rPr>
        <w:t>5</w:t>
      </w:r>
      <w:r w:rsidR="00753661" w:rsidRPr="008A69F3">
        <w:rPr>
          <w:bCs/>
          <w:i/>
          <w:szCs w:val="24"/>
          <w:u w:val="single"/>
        </w:rPr>
        <w:t>]</w:t>
      </w:r>
      <w:r w:rsidR="00CF2379" w:rsidRPr="008A69F3">
        <w:rPr>
          <w:bCs/>
          <w:i/>
          <w:szCs w:val="24"/>
          <w:u w:val="single"/>
        </w:rPr>
        <w:t xml:space="preserve"> -</w:t>
      </w:r>
      <w:r w:rsidR="00753661" w:rsidRPr="008A69F3">
        <w:rPr>
          <w:bCs/>
          <w:i/>
          <w:szCs w:val="24"/>
          <w:u w:val="single"/>
        </w:rPr>
        <w:t xml:space="preserve"> </w:t>
      </w:r>
      <w:r w:rsidR="00431920" w:rsidRPr="008A69F3">
        <w:rPr>
          <w:bCs/>
          <w:i/>
          <w:szCs w:val="24"/>
          <w:u w:val="single"/>
        </w:rPr>
        <w:t>Section</w:t>
      </w:r>
      <w:r w:rsidR="00753661" w:rsidRPr="008A69F3">
        <w:rPr>
          <w:bCs/>
          <w:i/>
          <w:szCs w:val="24"/>
          <w:u w:val="single"/>
        </w:rPr>
        <w:t>s</w:t>
      </w:r>
      <w:r w:rsidR="00431920" w:rsidRPr="008A69F3">
        <w:rPr>
          <w:bCs/>
          <w:i/>
          <w:szCs w:val="24"/>
          <w:u w:val="single"/>
        </w:rPr>
        <w:t xml:space="preserve"> 13 (2) (b)</w:t>
      </w:r>
      <w:r w:rsidR="00753661" w:rsidRPr="008A69F3">
        <w:rPr>
          <w:bCs/>
          <w:i/>
          <w:szCs w:val="24"/>
          <w:u w:val="single"/>
        </w:rPr>
        <w:t xml:space="preserve"> and 13(3)</w:t>
      </w:r>
    </w:p>
    <w:p w:rsidR="009E0C36" w:rsidRPr="008A69F3" w:rsidRDefault="009E0C36" w:rsidP="009E0C36">
      <w:pPr>
        <w:rPr>
          <w:bCs/>
          <w:i/>
          <w:szCs w:val="24"/>
          <w:u w:val="single"/>
        </w:rPr>
      </w:pPr>
    </w:p>
    <w:p w:rsidR="00C550D7" w:rsidRPr="008A69F3" w:rsidRDefault="00007CC3" w:rsidP="00C550D7">
      <w:pPr>
        <w:rPr>
          <w:bCs/>
          <w:iCs/>
          <w:szCs w:val="24"/>
        </w:rPr>
      </w:pPr>
      <w:r w:rsidRPr="008A69F3">
        <w:rPr>
          <w:bCs/>
          <w:iCs/>
          <w:szCs w:val="24"/>
        </w:rPr>
        <w:t>Section</w:t>
      </w:r>
      <w:r w:rsidR="00C550D7" w:rsidRPr="008A69F3">
        <w:rPr>
          <w:bCs/>
          <w:iCs/>
          <w:szCs w:val="24"/>
        </w:rPr>
        <w:t xml:space="preserve"> 13 sets out the requirements for the facilities in which NLRDs may be undertaken, and requirements for GMO transportation, storage and disposal outside those facilities (to the </w:t>
      </w:r>
      <w:r w:rsidR="00C550D7" w:rsidRPr="008A69F3">
        <w:rPr>
          <w:bCs/>
          <w:iCs/>
          <w:szCs w:val="24"/>
        </w:rPr>
        <w:lastRenderedPageBreak/>
        <w:t xml:space="preserve">extent that those activities are part of a NLRD). These </w:t>
      </w:r>
      <w:r w:rsidR="003E7CCA" w:rsidRPr="008A69F3">
        <w:rPr>
          <w:bCs/>
          <w:iCs/>
          <w:szCs w:val="24"/>
        </w:rPr>
        <w:t>clauses</w:t>
      </w:r>
      <w:r w:rsidR="00C550D7" w:rsidRPr="008A69F3">
        <w:rPr>
          <w:bCs/>
          <w:iCs/>
          <w:szCs w:val="24"/>
        </w:rPr>
        <w:t xml:space="preserve">, with </w:t>
      </w:r>
      <w:r w:rsidR="003E7CCA" w:rsidRPr="008A69F3">
        <w:rPr>
          <w:bCs/>
          <w:iCs/>
          <w:szCs w:val="24"/>
        </w:rPr>
        <w:t>clauses</w:t>
      </w:r>
      <w:r w:rsidR="00C550D7" w:rsidRPr="008A69F3">
        <w:rPr>
          <w:bCs/>
          <w:iCs/>
          <w:szCs w:val="24"/>
        </w:rPr>
        <w:t xml:space="preserve"> [</w:t>
      </w:r>
      <w:r w:rsidR="003C19EC" w:rsidRPr="008A69F3">
        <w:rPr>
          <w:bCs/>
          <w:iCs/>
          <w:szCs w:val="24"/>
        </w:rPr>
        <w:t>12</w:t>
      </w:r>
      <w:r w:rsidR="00C550D7" w:rsidRPr="008A69F3">
        <w:rPr>
          <w:bCs/>
          <w:iCs/>
          <w:szCs w:val="24"/>
        </w:rPr>
        <w:t>]</w:t>
      </w:r>
      <w:r w:rsidR="007D49FF" w:rsidRPr="008A69F3">
        <w:rPr>
          <w:bCs/>
          <w:iCs/>
          <w:szCs w:val="24"/>
        </w:rPr>
        <w:noBreakHyphen/>
      </w:r>
      <w:r w:rsidR="00C550D7" w:rsidRPr="008A69F3">
        <w:rPr>
          <w:bCs/>
          <w:iCs/>
          <w:szCs w:val="24"/>
        </w:rPr>
        <w:t>[1</w:t>
      </w:r>
      <w:r w:rsidR="003C19EC" w:rsidRPr="008A69F3">
        <w:rPr>
          <w:bCs/>
          <w:iCs/>
          <w:szCs w:val="24"/>
        </w:rPr>
        <w:t>3</w:t>
      </w:r>
      <w:r w:rsidR="00C550D7" w:rsidRPr="008A69F3">
        <w:rPr>
          <w:bCs/>
          <w:iCs/>
          <w:szCs w:val="24"/>
        </w:rPr>
        <w:t>], [</w:t>
      </w:r>
      <w:r w:rsidR="003C19EC" w:rsidRPr="008A69F3">
        <w:rPr>
          <w:bCs/>
          <w:iCs/>
          <w:szCs w:val="24"/>
        </w:rPr>
        <w:t>34</w:t>
      </w:r>
      <w:r w:rsidR="00C550D7" w:rsidRPr="008A69F3">
        <w:rPr>
          <w:bCs/>
          <w:iCs/>
          <w:szCs w:val="24"/>
        </w:rPr>
        <w:t>] and [</w:t>
      </w:r>
      <w:r w:rsidR="007D49FF" w:rsidRPr="008A69F3">
        <w:rPr>
          <w:bCs/>
          <w:iCs/>
          <w:szCs w:val="24"/>
        </w:rPr>
        <w:t>28</w:t>
      </w:r>
      <w:r w:rsidR="00C550D7" w:rsidRPr="008A69F3">
        <w:rPr>
          <w:bCs/>
          <w:iCs/>
          <w:szCs w:val="24"/>
        </w:rPr>
        <w:t>], clarify existing requirements.</w:t>
      </w:r>
    </w:p>
    <w:p w:rsidR="00C550D7" w:rsidRPr="008A69F3" w:rsidRDefault="00C550D7" w:rsidP="00C550D7">
      <w:pPr>
        <w:rPr>
          <w:bCs/>
          <w:iCs/>
          <w:szCs w:val="24"/>
        </w:rPr>
      </w:pPr>
      <w:r w:rsidRPr="008A69F3">
        <w:rPr>
          <w:bCs/>
          <w:iCs/>
          <w:szCs w:val="24"/>
        </w:rPr>
        <w:t xml:space="preserve"> </w:t>
      </w:r>
    </w:p>
    <w:p w:rsidR="00431920" w:rsidRPr="008A69F3" w:rsidRDefault="00C550D7" w:rsidP="00B13AC4">
      <w:pPr>
        <w:rPr>
          <w:bCs/>
          <w:i/>
          <w:szCs w:val="24"/>
          <w:u w:val="single"/>
        </w:rPr>
      </w:pPr>
      <w:r w:rsidRPr="008A69F3">
        <w:rPr>
          <w:bCs/>
          <w:iCs/>
          <w:szCs w:val="24"/>
        </w:rPr>
        <w:t xml:space="preserve">In regard to GMO transportation, storage or disposal being allowed outside a permitted facility if it is conducted in accordance with the Guidelines for the Transport, Storage and Disposal of GMOs, the Regulation </w:t>
      </w:r>
      <w:r w:rsidR="00CA696D" w:rsidRPr="008A69F3">
        <w:rPr>
          <w:bCs/>
          <w:iCs/>
          <w:szCs w:val="24"/>
        </w:rPr>
        <w:t>is</w:t>
      </w:r>
      <w:r w:rsidRPr="008A69F3">
        <w:rPr>
          <w:bCs/>
          <w:iCs/>
          <w:szCs w:val="24"/>
        </w:rPr>
        <w:t xml:space="preserve"> allowed to require compliance with guidelines as in force from time to time (subsection 193(2) of the Act).</w:t>
      </w:r>
    </w:p>
    <w:p w:rsidR="00431920" w:rsidRPr="008A69F3" w:rsidRDefault="00431920" w:rsidP="009E0C36">
      <w:pPr>
        <w:rPr>
          <w:bCs/>
          <w:iCs/>
          <w:szCs w:val="24"/>
          <w:u w:val="single"/>
        </w:rPr>
      </w:pPr>
    </w:p>
    <w:p w:rsidR="00431920" w:rsidRPr="008A69F3" w:rsidRDefault="00D41B0B" w:rsidP="00D833CC">
      <w:pPr>
        <w:rPr>
          <w:bCs/>
          <w:i/>
          <w:szCs w:val="24"/>
          <w:u w:val="single"/>
        </w:rPr>
      </w:pPr>
      <w:r w:rsidRPr="008A69F3">
        <w:rPr>
          <w:bCs/>
          <w:i/>
          <w:szCs w:val="24"/>
          <w:u w:val="single"/>
        </w:rPr>
        <w:t>Clause</w:t>
      </w:r>
      <w:r w:rsidR="00753661" w:rsidRPr="008A69F3">
        <w:rPr>
          <w:bCs/>
          <w:i/>
          <w:szCs w:val="24"/>
          <w:u w:val="single"/>
        </w:rPr>
        <w:t xml:space="preserve"> [1</w:t>
      </w:r>
      <w:r w:rsidR="00AF7825" w:rsidRPr="008A69F3">
        <w:rPr>
          <w:bCs/>
          <w:i/>
          <w:szCs w:val="24"/>
          <w:u w:val="single"/>
        </w:rPr>
        <w:t>6</w:t>
      </w:r>
      <w:r w:rsidR="00753661" w:rsidRPr="008A69F3">
        <w:rPr>
          <w:bCs/>
          <w:i/>
          <w:szCs w:val="24"/>
          <w:u w:val="single"/>
        </w:rPr>
        <w:t>]</w:t>
      </w:r>
      <w:r w:rsidR="00CF2379" w:rsidRPr="008A69F3">
        <w:rPr>
          <w:bCs/>
          <w:i/>
          <w:szCs w:val="24"/>
          <w:u w:val="single"/>
        </w:rPr>
        <w:t xml:space="preserve"> -</w:t>
      </w:r>
      <w:r w:rsidR="00753661" w:rsidRPr="008A69F3">
        <w:rPr>
          <w:bCs/>
          <w:i/>
          <w:szCs w:val="24"/>
          <w:u w:val="single"/>
        </w:rPr>
        <w:t xml:space="preserve"> </w:t>
      </w:r>
      <w:r w:rsidR="00431920" w:rsidRPr="008A69F3">
        <w:rPr>
          <w:bCs/>
          <w:i/>
          <w:szCs w:val="24"/>
          <w:u w:val="single"/>
        </w:rPr>
        <w:t xml:space="preserve">Section 13A </w:t>
      </w:r>
    </w:p>
    <w:p w:rsidR="00FC63BB" w:rsidRPr="008A69F3" w:rsidRDefault="00FC63BB" w:rsidP="009E0C36">
      <w:pPr>
        <w:rPr>
          <w:bCs/>
          <w:i/>
          <w:szCs w:val="24"/>
          <w:u w:val="single"/>
        </w:rPr>
      </w:pPr>
    </w:p>
    <w:p w:rsidR="00CF2379" w:rsidRPr="008A69F3" w:rsidRDefault="00CF2379" w:rsidP="009E0C36">
      <w:pPr>
        <w:rPr>
          <w:snapToGrid w:val="0"/>
          <w:color w:val="000000"/>
          <w:szCs w:val="24"/>
          <w:shd w:val="clear" w:color="auto" w:fill="FFFFFF"/>
        </w:rPr>
      </w:pPr>
      <w:r w:rsidRPr="008A69F3">
        <w:rPr>
          <w:snapToGrid w:val="0"/>
          <w:color w:val="000000"/>
          <w:szCs w:val="24"/>
          <w:shd w:val="clear" w:color="auto" w:fill="FFFFFF"/>
        </w:rPr>
        <w:t xml:space="preserve">Previous amendments to the Principal Regulation introduced a time limit for stopping NLRDs and provided for phased introduction of time limits to existing NLRDs. As the period of phased introduction is now complete, this </w:t>
      </w:r>
      <w:r w:rsidR="003E7CCA" w:rsidRPr="008A69F3">
        <w:rPr>
          <w:snapToGrid w:val="0"/>
          <w:color w:val="000000"/>
          <w:szCs w:val="24"/>
          <w:shd w:val="clear" w:color="auto" w:fill="FFFFFF"/>
        </w:rPr>
        <w:t>clause</w:t>
      </w:r>
      <w:r w:rsidRPr="008A69F3">
        <w:rPr>
          <w:snapToGrid w:val="0"/>
          <w:color w:val="000000"/>
          <w:szCs w:val="24"/>
          <w:shd w:val="clear" w:color="auto" w:fill="FFFFFF"/>
        </w:rPr>
        <w:t xml:space="preserve"> repeals Section 13A which detailed the phased introduction.</w:t>
      </w:r>
    </w:p>
    <w:p w:rsidR="00F94705" w:rsidRPr="008A69F3" w:rsidRDefault="00F94705" w:rsidP="009E0C36">
      <w:pPr>
        <w:rPr>
          <w:snapToGrid w:val="0"/>
          <w:color w:val="000000"/>
          <w:szCs w:val="24"/>
          <w:shd w:val="clear" w:color="auto" w:fill="FFFFFF"/>
        </w:rPr>
      </w:pPr>
    </w:p>
    <w:p w:rsidR="00F94705" w:rsidRPr="008A69F3" w:rsidRDefault="00466793" w:rsidP="009E0C36">
      <w:pPr>
        <w:rPr>
          <w:bCs/>
          <w:iCs/>
          <w:szCs w:val="24"/>
          <w:u w:val="single"/>
        </w:rPr>
      </w:pPr>
      <w:r w:rsidRPr="008A69F3">
        <w:rPr>
          <w:bCs/>
          <w:i/>
          <w:szCs w:val="24"/>
          <w:u w:val="single"/>
        </w:rPr>
        <w:t>Clause [1</w:t>
      </w:r>
      <w:r w:rsidR="00AF7825" w:rsidRPr="008A69F3">
        <w:rPr>
          <w:bCs/>
          <w:i/>
          <w:szCs w:val="24"/>
          <w:u w:val="single"/>
        </w:rPr>
        <w:t>7</w:t>
      </w:r>
      <w:r w:rsidRPr="008A69F3">
        <w:rPr>
          <w:bCs/>
          <w:i/>
          <w:szCs w:val="24"/>
          <w:u w:val="single"/>
        </w:rPr>
        <w:t xml:space="preserve">] - </w:t>
      </w:r>
      <w:r w:rsidR="00F94705" w:rsidRPr="008A69F3">
        <w:rPr>
          <w:bCs/>
          <w:iCs/>
          <w:szCs w:val="24"/>
          <w:u w:val="single"/>
        </w:rPr>
        <w:t>Section 13B (a) (i)</w:t>
      </w:r>
    </w:p>
    <w:p w:rsidR="00D06BEC" w:rsidRPr="0035275C" w:rsidRDefault="00D06BEC" w:rsidP="00D06BEC">
      <w:pPr>
        <w:rPr>
          <w:color w:val="000000"/>
          <w:szCs w:val="24"/>
          <w:shd w:val="clear" w:color="auto" w:fill="FFFFFF"/>
        </w:rPr>
      </w:pPr>
    </w:p>
    <w:p w:rsidR="00D06BEC" w:rsidRPr="008A69F3" w:rsidRDefault="00D06BEC" w:rsidP="00D06BEC">
      <w:pPr>
        <w:rPr>
          <w:szCs w:val="24"/>
        </w:rPr>
      </w:pPr>
      <w:r w:rsidRPr="008A69F3">
        <w:rPr>
          <w:szCs w:val="24"/>
        </w:rPr>
        <w:t xml:space="preserve">Clause </w:t>
      </w:r>
      <w:r w:rsidR="00F6484A" w:rsidRPr="008A69F3">
        <w:rPr>
          <w:szCs w:val="24"/>
        </w:rPr>
        <w:t xml:space="preserve">[17] </w:t>
      </w:r>
      <w:r w:rsidRPr="008A69F3">
        <w:rPr>
          <w:szCs w:val="24"/>
        </w:rPr>
        <w:t>clarifies that it is the person that submitted the NLRD proposal to the IBC, rather than the person proposing to undertake the dealing, that gives an identifying name to the dealing (noting that these may be the same person).</w:t>
      </w:r>
    </w:p>
    <w:p w:rsidR="00D06BEC" w:rsidRPr="008A69F3" w:rsidRDefault="00D06BEC" w:rsidP="00D06BEC">
      <w:pPr>
        <w:rPr>
          <w:i/>
          <w:iCs/>
          <w:szCs w:val="24"/>
          <w:u w:val="single"/>
        </w:rPr>
      </w:pPr>
    </w:p>
    <w:p w:rsidR="00F94705" w:rsidRPr="008A69F3" w:rsidRDefault="00466793" w:rsidP="009E0C36">
      <w:pPr>
        <w:rPr>
          <w:bCs/>
          <w:iCs/>
          <w:szCs w:val="24"/>
          <w:u w:val="single"/>
        </w:rPr>
      </w:pPr>
      <w:r w:rsidRPr="0035275C">
        <w:rPr>
          <w:bCs/>
          <w:i/>
          <w:szCs w:val="24"/>
          <w:u w:val="single"/>
        </w:rPr>
        <w:t>Clause [1</w:t>
      </w:r>
      <w:r w:rsidR="00AF7825" w:rsidRPr="0035275C">
        <w:rPr>
          <w:bCs/>
          <w:i/>
          <w:szCs w:val="24"/>
          <w:u w:val="single"/>
        </w:rPr>
        <w:t>8</w:t>
      </w:r>
      <w:r w:rsidRPr="008A69F3">
        <w:rPr>
          <w:bCs/>
          <w:i/>
          <w:szCs w:val="24"/>
          <w:u w:val="single"/>
        </w:rPr>
        <w:t xml:space="preserve">] - </w:t>
      </w:r>
      <w:r w:rsidR="00F94705" w:rsidRPr="008A69F3">
        <w:rPr>
          <w:bCs/>
          <w:iCs/>
          <w:szCs w:val="24"/>
          <w:u w:val="single"/>
        </w:rPr>
        <w:t>Section 13B (a) (iii) and (iv)</w:t>
      </w:r>
    </w:p>
    <w:p w:rsidR="007B40A1" w:rsidRPr="008A69F3" w:rsidRDefault="007B40A1" w:rsidP="007B40A1">
      <w:pPr>
        <w:rPr>
          <w:szCs w:val="24"/>
        </w:rPr>
      </w:pPr>
    </w:p>
    <w:p w:rsidR="007B40A1" w:rsidRPr="008A69F3" w:rsidRDefault="007B40A1" w:rsidP="007B40A1">
      <w:pPr>
        <w:rPr>
          <w:szCs w:val="24"/>
        </w:rPr>
      </w:pPr>
      <w:r w:rsidRPr="008A69F3">
        <w:rPr>
          <w:szCs w:val="24"/>
        </w:rPr>
        <w:t>Clause [</w:t>
      </w:r>
      <w:r w:rsidR="00F6484A" w:rsidRPr="008A69F3">
        <w:rPr>
          <w:szCs w:val="24"/>
        </w:rPr>
        <w:t>18</w:t>
      </w:r>
      <w:r w:rsidRPr="008A69F3">
        <w:rPr>
          <w:szCs w:val="24"/>
        </w:rPr>
        <w:t xml:space="preserve">] replaces sections 13B (a) (iii) and (iv) with amended sections to make clearer that consideration of Schedule 3 Part 3.3 is a necessary step in IBC assessment of whether a dealing is a NLRD, and requires this consideration be documented in the IBC’s record of assessment. IBCs are required to record their assessment of whether or not the proposed dealing is mentioned in Part 3.3 of Schedule 3. </w:t>
      </w:r>
    </w:p>
    <w:p w:rsidR="00D06BEC" w:rsidRPr="004C034B" w:rsidRDefault="00D06BEC" w:rsidP="009E0C36">
      <w:pPr>
        <w:rPr>
          <w:bCs/>
          <w:iCs/>
          <w:szCs w:val="24"/>
        </w:rPr>
      </w:pPr>
    </w:p>
    <w:p w:rsidR="00F94705" w:rsidRPr="008A69F3" w:rsidRDefault="00466793" w:rsidP="009E0C36">
      <w:pPr>
        <w:rPr>
          <w:bCs/>
          <w:iCs/>
          <w:szCs w:val="24"/>
          <w:u w:val="single"/>
        </w:rPr>
      </w:pPr>
      <w:r w:rsidRPr="0035275C">
        <w:rPr>
          <w:bCs/>
          <w:i/>
          <w:szCs w:val="24"/>
          <w:u w:val="single"/>
        </w:rPr>
        <w:t>Clause [1</w:t>
      </w:r>
      <w:r w:rsidR="00AF7825" w:rsidRPr="0035275C">
        <w:rPr>
          <w:bCs/>
          <w:i/>
          <w:szCs w:val="24"/>
          <w:u w:val="single"/>
        </w:rPr>
        <w:t>9</w:t>
      </w:r>
      <w:r w:rsidRPr="008A69F3">
        <w:rPr>
          <w:bCs/>
          <w:i/>
          <w:szCs w:val="24"/>
          <w:u w:val="single"/>
        </w:rPr>
        <w:t>]</w:t>
      </w:r>
      <w:r w:rsidR="0012514A" w:rsidRPr="008A69F3">
        <w:rPr>
          <w:bCs/>
          <w:i/>
          <w:szCs w:val="24"/>
          <w:u w:val="single"/>
        </w:rPr>
        <w:t>-</w:t>
      </w:r>
      <w:r w:rsidRPr="008A69F3">
        <w:rPr>
          <w:bCs/>
          <w:i/>
          <w:szCs w:val="24"/>
          <w:u w:val="single"/>
        </w:rPr>
        <w:t xml:space="preserve"> </w:t>
      </w:r>
      <w:r w:rsidR="00F94705" w:rsidRPr="008A69F3">
        <w:rPr>
          <w:bCs/>
          <w:iCs/>
          <w:szCs w:val="24"/>
          <w:u w:val="single"/>
        </w:rPr>
        <w:t>Section 13B (a) (vii)</w:t>
      </w:r>
    </w:p>
    <w:p w:rsidR="007E5B57" w:rsidRDefault="007E5B57" w:rsidP="007B40A1">
      <w:pPr>
        <w:rPr>
          <w:szCs w:val="24"/>
        </w:rPr>
      </w:pPr>
    </w:p>
    <w:p w:rsidR="007B40A1" w:rsidRPr="008A69F3" w:rsidRDefault="0012514A" w:rsidP="007B40A1">
      <w:pPr>
        <w:rPr>
          <w:szCs w:val="24"/>
        </w:rPr>
      </w:pPr>
      <w:r w:rsidRPr="0035275C">
        <w:rPr>
          <w:szCs w:val="24"/>
        </w:rPr>
        <w:t>Section</w:t>
      </w:r>
      <w:r w:rsidR="007B40A1" w:rsidRPr="008A69F3">
        <w:rPr>
          <w:szCs w:val="24"/>
        </w:rPr>
        <w:t xml:space="preserve"> 13B (a) (vii) requires IBCs to record their assessment of the facilities suitable for the dealing, both in terms of physical containment level and facility type. </w:t>
      </w:r>
      <w:r w:rsidRPr="004C034B">
        <w:rPr>
          <w:szCs w:val="24"/>
        </w:rPr>
        <w:t>Clause</w:t>
      </w:r>
      <w:r w:rsidR="007B40A1" w:rsidRPr="008A69F3">
        <w:rPr>
          <w:szCs w:val="24"/>
        </w:rPr>
        <w:t xml:space="preserve"> [</w:t>
      </w:r>
      <w:r w:rsidRPr="004C034B">
        <w:rPr>
          <w:szCs w:val="24"/>
        </w:rPr>
        <w:t>19</w:t>
      </w:r>
      <w:r w:rsidR="007B40A1" w:rsidRPr="008A69F3">
        <w:rPr>
          <w:szCs w:val="24"/>
        </w:rPr>
        <w:t>] requires that IBCs have regard to the requirements of section 13(2) when making this assessment. This ensures that the facilities IBCs may assess as suitable for the dealing are consistent with the requirements of section 13(2) for the facilities in which NLRDs may be undertaken (including as amended by Item [1</w:t>
      </w:r>
      <w:r w:rsidRPr="004C034B">
        <w:rPr>
          <w:szCs w:val="24"/>
        </w:rPr>
        <w:t>5</w:t>
      </w:r>
      <w:r w:rsidR="007B40A1" w:rsidRPr="008A69F3">
        <w:rPr>
          <w:szCs w:val="24"/>
        </w:rPr>
        <w:t xml:space="preserve">]). </w:t>
      </w:r>
    </w:p>
    <w:p w:rsidR="007B40A1" w:rsidRPr="004C034B" w:rsidRDefault="007B40A1" w:rsidP="009E0C36">
      <w:pPr>
        <w:rPr>
          <w:bCs/>
          <w:iCs/>
          <w:szCs w:val="24"/>
        </w:rPr>
      </w:pPr>
    </w:p>
    <w:p w:rsidR="00F94705" w:rsidRPr="008A69F3" w:rsidRDefault="00466793" w:rsidP="009E0C36">
      <w:pPr>
        <w:rPr>
          <w:bCs/>
          <w:iCs/>
          <w:szCs w:val="24"/>
          <w:u w:val="single"/>
        </w:rPr>
      </w:pPr>
      <w:r w:rsidRPr="0035275C">
        <w:rPr>
          <w:bCs/>
          <w:i/>
          <w:szCs w:val="24"/>
          <w:u w:val="single"/>
        </w:rPr>
        <w:t>Clause [</w:t>
      </w:r>
      <w:r w:rsidR="00AF7825" w:rsidRPr="0035275C">
        <w:rPr>
          <w:bCs/>
          <w:i/>
          <w:szCs w:val="24"/>
          <w:u w:val="single"/>
        </w:rPr>
        <w:t>20</w:t>
      </w:r>
      <w:r w:rsidRPr="008A69F3">
        <w:rPr>
          <w:bCs/>
          <w:i/>
          <w:szCs w:val="24"/>
          <w:u w:val="single"/>
        </w:rPr>
        <w:t>]</w:t>
      </w:r>
      <w:r w:rsidR="007E5B57">
        <w:rPr>
          <w:bCs/>
          <w:i/>
          <w:szCs w:val="24"/>
          <w:u w:val="single"/>
        </w:rPr>
        <w:t>-</w:t>
      </w:r>
      <w:r w:rsidRPr="0035275C">
        <w:rPr>
          <w:bCs/>
          <w:i/>
          <w:szCs w:val="24"/>
          <w:u w:val="single"/>
        </w:rPr>
        <w:t xml:space="preserve"> </w:t>
      </w:r>
      <w:r w:rsidR="00F94705" w:rsidRPr="008A69F3">
        <w:rPr>
          <w:bCs/>
          <w:iCs/>
          <w:szCs w:val="24"/>
          <w:u w:val="single"/>
        </w:rPr>
        <w:t>Section 13B (a) (x)</w:t>
      </w:r>
    </w:p>
    <w:p w:rsidR="009247B4" w:rsidRDefault="009247B4" w:rsidP="007B40A1">
      <w:pPr>
        <w:rPr>
          <w:szCs w:val="24"/>
        </w:rPr>
      </w:pPr>
    </w:p>
    <w:p w:rsidR="007B40A1" w:rsidRPr="008A69F3" w:rsidRDefault="007B40A1" w:rsidP="007B40A1">
      <w:pPr>
        <w:rPr>
          <w:szCs w:val="24"/>
        </w:rPr>
      </w:pPr>
      <w:r w:rsidRPr="008A69F3">
        <w:rPr>
          <w:szCs w:val="24"/>
        </w:rPr>
        <w:t>Section 13B (a) (x)</w:t>
      </w:r>
      <w:r w:rsidR="000D115E">
        <w:rPr>
          <w:szCs w:val="24"/>
        </w:rPr>
        <w:t xml:space="preserve"> </w:t>
      </w:r>
      <w:r w:rsidRPr="008A69F3">
        <w:rPr>
          <w:szCs w:val="24"/>
        </w:rPr>
        <w:t xml:space="preserve">requires IBCs to record who is proposing to undertake the dealing. </w:t>
      </w:r>
      <w:r w:rsidR="0012514A" w:rsidRPr="008A69F3">
        <w:rPr>
          <w:szCs w:val="24"/>
        </w:rPr>
        <w:t>Clause [20]</w:t>
      </w:r>
      <w:r w:rsidRPr="008A69F3">
        <w:rPr>
          <w:szCs w:val="24"/>
        </w:rPr>
        <w:t xml:space="preserve"> replaces a reference to “the name of the person or accredited organisation” with “the person or persons”. The reference to accredited organisations has been removed because dealings can only be undertaken by legal persons, and accredited organisations may not be legal persons.</w:t>
      </w:r>
    </w:p>
    <w:p w:rsidR="007B40A1" w:rsidRPr="008A69F3" w:rsidRDefault="007B40A1" w:rsidP="009E0C36">
      <w:pPr>
        <w:rPr>
          <w:bCs/>
          <w:iCs/>
          <w:szCs w:val="24"/>
          <w:u w:val="single"/>
        </w:rPr>
      </w:pPr>
    </w:p>
    <w:p w:rsidR="00F94705" w:rsidRPr="008A69F3" w:rsidRDefault="00466793" w:rsidP="009E0C36">
      <w:pPr>
        <w:rPr>
          <w:bCs/>
          <w:iCs/>
          <w:szCs w:val="24"/>
          <w:u w:val="single"/>
        </w:rPr>
      </w:pPr>
      <w:r w:rsidRPr="0035275C">
        <w:rPr>
          <w:bCs/>
          <w:i/>
          <w:szCs w:val="24"/>
          <w:u w:val="single"/>
        </w:rPr>
        <w:t>Clause [2</w:t>
      </w:r>
      <w:r w:rsidR="00AF7825" w:rsidRPr="0035275C">
        <w:rPr>
          <w:bCs/>
          <w:i/>
          <w:szCs w:val="24"/>
          <w:u w:val="single"/>
        </w:rPr>
        <w:t>1</w:t>
      </w:r>
      <w:r w:rsidRPr="008A69F3">
        <w:rPr>
          <w:bCs/>
          <w:i/>
          <w:szCs w:val="24"/>
          <w:u w:val="single"/>
        </w:rPr>
        <w:t>]</w:t>
      </w:r>
      <w:r w:rsidR="007E5B57">
        <w:rPr>
          <w:bCs/>
          <w:i/>
          <w:szCs w:val="24"/>
          <w:u w:val="single"/>
        </w:rPr>
        <w:t>-</w:t>
      </w:r>
      <w:r w:rsidRPr="0035275C">
        <w:rPr>
          <w:bCs/>
          <w:i/>
          <w:szCs w:val="24"/>
          <w:u w:val="single"/>
        </w:rPr>
        <w:t xml:space="preserve"> </w:t>
      </w:r>
      <w:r w:rsidR="00F94705" w:rsidRPr="008A69F3">
        <w:rPr>
          <w:bCs/>
          <w:iCs/>
          <w:szCs w:val="24"/>
          <w:u w:val="single"/>
        </w:rPr>
        <w:t>Section 13C (1) and (2)</w:t>
      </w:r>
    </w:p>
    <w:p w:rsidR="007B40A1" w:rsidRPr="0035275C" w:rsidRDefault="007B40A1" w:rsidP="007B40A1">
      <w:pPr>
        <w:snapToGrid w:val="0"/>
        <w:ind w:right="-172"/>
        <w:rPr>
          <w:rFonts w:ascii="&amp;quot" w:hAnsi="&amp;quot"/>
          <w:color w:val="000000"/>
          <w:szCs w:val="24"/>
          <w:highlight w:val="yellow"/>
          <w:lang w:eastAsia="en-AU"/>
        </w:rPr>
      </w:pPr>
    </w:p>
    <w:p w:rsidR="007B40A1" w:rsidRPr="008A69F3" w:rsidRDefault="007B40A1" w:rsidP="007B40A1">
      <w:pPr>
        <w:rPr>
          <w:szCs w:val="24"/>
        </w:rPr>
      </w:pPr>
      <w:r w:rsidRPr="008A69F3">
        <w:rPr>
          <w:szCs w:val="24"/>
        </w:rPr>
        <w:t>This clause replaces section 13C (1) and (2) with amended requirements for NLRD proponents to notify the Regulator, which provide clarifications of the following:</w:t>
      </w:r>
    </w:p>
    <w:p w:rsidR="007B40A1" w:rsidRPr="008A69F3" w:rsidRDefault="007B40A1" w:rsidP="007B40A1">
      <w:pPr>
        <w:pStyle w:val="ListParagraph"/>
        <w:numPr>
          <w:ilvl w:val="0"/>
          <w:numId w:val="6"/>
        </w:numPr>
        <w:rPr>
          <w:szCs w:val="24"/>
        </w:rPr>
      </w:pPr>
      <w:r w:rsidRPr="008A69F3">
        <w:rPr>
          <w:szCs w:val="24"/>
        </w:rPr>
        <w:t>NLRD reporting to the Regulator is only required from the person or accredited organisation that requested the IBC assess the proposed NLRD, not from any other person receiving a record of assessment from an IBC.</w:t>
      </w:r>
    </w:p>
    <w:p w:rsidR="007B40A1" w:rsidRPr="008A69F3" w:rsidRDefault="007B40A1" w:rsidP="007B40A1">
      <w:pPr>
        <w:pStyle w:val="ListParagraph"/>
        <w:numPr>
          <w:ilvl w:val="0"/>
          <w:numId w:val="6"/>
        </w:numPr>
        <w:rPr>
          <w:szCs w:val="24"/>
        </w:rPr>
      </w:pPr>
      <w:r w:rsidRPr="008A69F3">
        <w:rPr>
          <w:szCs w:val="24"/>
        </w:rPr>
        <w:lastRenderedPageBreak/>
        <w:t>To align with standard accredited organisation reporting, reporting to the Regulator is required no later than 30 September in the financial year following the year of assessment, rather than within the year of assessment.</w:t>
      </w:r>
    </w:p>
    <w:p w:rsidR="007B40A1" w:rsidRPr="008A69F3" w:rsidRDefault="007B40A1" w:rsidP="007B40A1">
      <w:pPr>
        <w:pStyle w:val="ListParagraph"/>
        <w:numPr>
          <w:ilvl w:val="0"/>
          <w:numId w:val="6"/>
        </w:numPr>
        <w:rPr>
          <w:szCs w:val="24"/>
        </w:rPr>
      </w:pPr>
      <w:r w:rsidRPr="008A69F3">
        <w:rPr>
          <w:szCs w:val="24"/>
        </w:rPr>
        <w:t>Amending a reference to the “Record of GMO and GM Product Dealings” to the “Record of GMO Dealings”, for consistency with previous amendments to the Act.</w:t>
      </w:r>
    </w:p>
    <w:p w:rsidR="007B40A1" w:rsidRDefault="007B40A1" w:rsidP="007B40A1">
      <w:pPr>
        <w:pStyle w:val="ListParagraph"/>
        <w:numPr>
          <w:ilvl w:val="0"/>
          <w:numId w:val="6"/>
        </w:numPr>
        <w:rPr>
          <w:szCs w:val="24"/>
        </w:rPr>
      </w:pPr>
      <w:r w:rsidRPr="008A69F3">
        <w:rPr>
          <w:szCs w:val="24"/>
        </w:rPr>
        <w:t xml:space="preserve">Within the time limit for notification, providing additional flexibility for accredited organisations to provide notifications to the Regulator throughout the financial year and certify in their annual report that all NLRDs for the financial year have previously been notified. </w:t>
      </w:r>
    </w:p>
    <w:p w:rsidR="00FE01D6" w:rsidRPr="008A69F3" w:rsidRDefault="00FE01D6" w:rsidP="00FE01D6">
      <w:pPr>
        <w:pStyle w:val="ListParagraph"/>
        <w:ind w:left="780"/>
        <w:rPr>
          <w:szCs w:val="24"/>
        </w:rPr>
      </w:pPr>
    </w:p>
    <w:p w:rsidR="00F94705" w:rsidRPr="008A69F3" w:rsidRDefault="00FE01D6" w:rsidP="009E0C36">
      <w:pPr>
        <w:rPr>
          <w:bCs/>
          <w:i/>
          <w:szCs w:val="24"/>
          <w:u w:val="single"/>
        </w:rPr>
      </w:pPr>
      <w:r w:rsidRPr="0035275C">
        <w:rPr>
          <w:bCs/>
          <w:i/>
          <w:szCs w:val="24"/>
          <w:u w:val="single"/>
        </w:rPr>
        <w:t>Clause [</w:t>
      </w:r>
      <w:r w:rsidR="00466793" w:rsidRPr="0035275C">
        <w:rPr>
          <w:bCs/>
          <w:i/>
          <w:szCs w:val="24"/>
          <w:u w:val="single"/>
        </w:rPr>
        <w:t>2</w:t>
      </w:r>
      <w:r w:rsidR="00AF7825" w:rsidRPr="008A69F3">
        <w:rPr>
          <w:bCs/>
          <w:i/>
          <w:szCs w:val="24"/>
          <w:u w:val="single"/>
        </w:rPr>
        <w:t>2</w:t>
      </w:r>
      <w:r w:rsidR="00466793" w:rsidRPr="008A69F3">
        <w:rPr>
          <w:bCs/>
          <w:i/>
          <w:szCs w:val="24"/>
          <w:u w:val="single"/>
        </w:rPr>
        <w:t>]</w:t>
      </w:r>
      <w:r w:rsidR="006F7322">
        <w:rPr>
          <w:bCs/>
          <w:i/>
          <w:szCs w:val="24"/>
          <w:u w:val="single"/>
        </w:rPr>
        <w:t xml:space="preserve">- </w:t>
      </w:r>
      <w:r w:rsidR="00F94705" w:rsidRPr="008A69F3">
        <w:rPr>
          <w:bCs/>
          <w:i/>
          <w:szCs w:val="24"/>
          <w:u w:val="single"/>
        </w:rPr>
        <w:t>Section 13C (3)</w:t>
      </w:r>
    </w:p>
    <w:p w:rsidR="006F7322" w:rsidRDefault="006F7322" w:rsidP="007B40A1">
      <w:pPr>
        <w:rPr>
          <w:szCs w:val="24"/>
        </w:rPr>
      </w:pPr>
    </w:p>
    <w:p w:rsidR="007B40A1" w:rsidRPr="008A69F3" w:rsidRDefault="007B40A1" w:rsidP="007B40A1">
      <w:pPr>
        <w:rPr>
          <w:szCs w:val="24"/>
        </w:rPr>
      </w:pPr>
      <w:r w:rsidRPr="008A69F3">
        <w:rPr>
          <w:szCs w:val="24"/>
        </w:rPr>
        <w:t>Section 13C (3) requires that a person given an IBC’s record of assessment of a NLRD proposal must retain it for eight years. Clause [</w:t>
      </w:r>
      <w:r w:rsidR="0012514A" w:rsidRPr="008A69F3">
        <w:rPr>
          <w:szCs w:val="24"/>
        </w:rPr>
        <w:t xml:space="preserve">22] </w:t>
      </w:r>
      <w:r w:rsidRPr="008A69F3">
        <w:rPr>
          <w:szCs w:val="24"/>
        </w:rPr>
        <w:t>specifies that this only applies to the NLRD proponent, not from any other person receiving a record of assessment from an IBC.</w:t>
      </w:r>
    </w:p>
    <w:p w:rsidR="007B40A1" w:rsidRPr="008A69F3" w:rsidRDefault="007B40A1" w:rsidP="009E0C36">
      <w:pPr>
        <w:rPr>
          <w:bCs/>
          <w:i/>
          <w:szCs w:val="24"/>
          <w:u w:val="single"/>
        </w:rPr>
      </w:pPr>
    </w:p>
    <w:p w:rsidR="007B40A1" w:rsidRPr="008A69F3" w:rsidRDefault="00466793" w:rsidP="007B40A1">
      <w:pPr>
        <w:rPr>
          <w:szCs w:val="24"/>
        </w:rPr>
      </w:pPr>
      <w:r w:rsidRPr="0035275C">
        <w:rPr>
          <w:bCs/>
          <w:i/>
          <w:szCs w:val="24"/>
          <w:u w:val="single"/>
        </w:rPr>
        <w:t>Clause [2</w:t>
      </w:r>
      <w:r w:rsidR="00AF7825" w:rsidRPr="0035275C">
        <w:rPr>
          <w:bCs/>
          <w:i/>
          <w:szCs w:val="24"/>
          <w:u w:val="single"/>
        </w:rPr>
        <w:t>3</w:t>
      </w:r>
      <w:r w:rsidRPr="008A69F3">
        <w:rPr>
          <w:bCs/>
          <w:i/>
          <w:szCs w:val="24"/>
          <w:u w:val="single"/>
        </w:rPr>
        <w:t>]</w:t>
      </w:r>
      <w:r w:rsidR="0012514A" w:rsidRPr="008A69F3">
        <w:rPr>
          <w:bCs/>
          <w:i/>
          <w:szCs w:val="24"/>
          <w:u w:val="single"/>
        </w:rPr>
        <w:t>-</w:t>
      </w:r>
      <w:r w:rsidRPr="008A69F3">
        <w:rPr>
          <w:bCs/>
          <w:i/>
          <w:szCs w:val="24"/>
          <w:u w:val="single"/>
        </w:rPr>
        <w:t xml:space="preserve"> </w:t>
      </w:r>
      <w:r w:rsidR="00F94705" w:rsidRPr="008A69F3">
        <w:rPr>
          <w:bCs/>
          <w:i/>
          <w:szCs w:val="24"/>
          <w:u w:val="single"/>
        </w:rPr>
        <w:t>Section 39</w:t>
      </w:r>
    </w:p>
    <w:p w:rsidR="006F7322" w:rsidRDefault="006F7322" w:rsidP="007B40A1">
      <w:pPr>
        <w:rPr>
          <w:szCs w:val="24"/>
        </w:rPr>
      </w:pPr>
    </w:p>
    <w:p w:rsidR="007B40A1" w:rsidRPr="008A69F3" w:rsidRDefault="007B40A1" w:rsidP="007B40A1">
      <w:pPr>
        <w:rPr>
          <w:szCs w:val="24"/>
        </w:rPr>
      </w:pPr>
      <w:r w:rsidRPr="008A69F3">
        <w:rPr>
          <w:szCs w:val="24"/>
        </w:rPr>
        <w:t>The Act requires the Regulator to maintain a public Record of GMO Dealings (the GMO Record), and section 39 details information to be included in the GMO Record for NLRDs and GM products. Clause [</w:t>
      </w:r>
      <w:r w:rsidR="0012514A" w:rsidRPr="008A69F3">
        <w:rPr>
          <w:szCs w:val="24"/>
        </w:rPr>
        <w:t>23]</w:t>
      </w:r>
      <w:r w:rsidRPr="008A69F3">
        <w:rPr>
          <w:szCs w:val="24"/>
        </w:rPr>
        <w:t xml:space="preserve"> replaces section 39 with an amended version from which references to GM products have been removed, as these provisions do not have any effect.</w:t>
      </w:r>
    </w:p>
    <w:p w:rsidR="007B40A1" w:rsidRPr="008A69F3" w:rsidRDefault="007B40A1" w:rsidP="007B40A1">
      <w:pPr>
        <w:rPr>
          <w:szCs w:val="24"/>
        </w:rPr>
      </w:pPr>
      <w:r w:rsidRPr="008A69F3">
        <w:rPr>
          <w:szCs w:val="24"/>
        </w:rPr>
        <w:t xml:space="preserve"> </w:t>
      </w:r>
    </w:p>
    <w:p w:rsidR="007B40A1" w:rsidRPr="008A69F3" w:rsidRDefault="007B40A1" w:rsidP="007B40A1">
      <w:pPr>
        <w:rPr>
          <w:szCs w:val="24"/>
        </w:rPr>
      </w:pPr>
      <w:r w:rsidRPr="008A69F3">
        <w:rPr>
          <w:szCs w:val="24"/>
        </w:rPr>
        <w:t>This clause also updates the descriptions of particulars for NLRDs that must be included in the GMO Record, for consistency with terminology elsewhere in the Principal Regulation and Act. The information required is not changed.</w:t>
      </w:r>
    </w:p>
    <w:p w:rsidR="003E7CCA" w:rsidRPr="004C034B" w:rsidRDefault="003E7CCA" w:rsidP="009E0C36">
      <w:pPr>
        <w:rPr>
          <w:bCs/>
          <w:i/>
          <w:szCs w:val="24"/>
          <w:u w:val="single"/>
        </w:rPr>
      </w:pPr>
    </w:p>
    <w:p w:rsidR="00B80FA9" w:rsidRPr="008A69F3" w:rsidRDefault="00D41B0B" w:rsidP="009E0C36">
      <w:pPr>
        <w:rPr>
          <w:bCs/>
          <w:i/>
          <w:szCs w:val="24"/>
          <w:u w:val="single"/>
        </w:rPr>
      </w:pPr>
      <w:r w:rsidRPr="0035275C">
        <w:rPr>
          <w:bCs/>
          <w:i/>
          <w:szCs w:val="24"/>
          <w:u w:val="single"/>
        </w:rPr>
        <w:t>Clause</w:t>
      </w:r>
      <w:r w:rsidR="00CF2379" w:rsidRPr="0035275C">
        <w:rPr>
          <w:bCs/>
          <w:i/>
          <w:szCs w:val="24"/>
          <w:u w:val="single"/>
        </w:rPr>
        <w:t xml:space="preserve"> [</w:t>
      </w:r>
      <w:r w:rsidR="00AF7825" w:rsidRPr="008A69F3">
        <w:rPr>
          <w:bCs/>
          <w:i/>
          <w:szCs w:val="24"/>
          <w:u w:val="single"/>
        </w:rPr>
        <w:t>24</w:t>
      </w:r>
      <w:r w:rsidR="00CF2379" w:rsidRPr="008A69F3">
        <w:rPr>
          <w:bCs/>
          <w:i/>
          <w:szCs w:val="24"/>
          <w:u w:val="single"/>
        </w:rPr>
        <w:t xml:space="preserve">] - </w:t>
      </w:r>
      <w:r w:rsidR="00B80FA9" w:rsidRPr="008A69F3">
        <w:rPr>
          <w:bCs/>
          <w:i/>
          <w:szCs w:val="24"/>
          <w:u w:val="single"/>
        </w:rPr>
        <w:t xml:space="preserve">New Section 41 </w:t>
      </w:r>
    </w:p>
    <w:p w:rsidR="001A2831" w:rsidRPr="008A69F3" w:rsidRDefault="001A2831" w:rsidP="009E0C36">
      <w:pPr>
        <w:rPr>
          <w:bCs/>
          <w:i/>
          <w:szCs w:val="24"/>
          <w:u w:val="single"/>
        </w:rPr>
      </w:pPr>
    </w:p>
    <w:p w:rsidR="001A2831" w:rsidRPr="008A69F3" w:rsidRDefault="001A2831" w:rsidP="009E0C36">
      <w:pPr>
        <w:rPr>
          <w:bCs/>
          <w:iCs/>
          <w:szCs w:val="24"/>
        </w:rPr>
      </w:pPr>
      <w:r w:rsidRPr="008A69F3">
        <w:rPr>
          <w:bCs/>
          <w:iCs/>
          <w:szCs w:val="24"/>
        </w:rPr>
        <w:t xml:space="preserve">AS/NZS 2243.3:2010 is incorporated into the </w:t>
      </w:r>
      <w:r w:rsidR="004E3AE1" w:rsidRPr="008A69F3">
        <w:rPr>
          <w:bCs/>
          <w:iCs/>
          <w:szCs w:val="24"/>
        </w:rPr>
        <w:t>Principal R</w:t>
      </w:r>
      <w:r w:rsidRPr="008A69F3">
        <w:rPr>
          <w:bCs/>
          <w:iCs/>
          <w:szCs w:val="24"/>
        </w:rPr>
        <w:t xml:space="preserve">egulation (see dictionary, definition of AS/NZS 2243.3:2010). The Legislation Act, s 47 (5) provides that an incorporated document is taken to be a notifiable instrument. A notifiable instrument must be notified on the Legislation Register under the Legislation Act. However, the Legislation Act, s 47 (5) may be displaced by the authorising law (the Act) or the incorporating instrument (this </w:t>
      </w:r>
      <w:r w:rsidR="00007CC3" w:rsidRPr="008A69F3">
        <w:rPr>
          <w:bCs/>
          <w:iCs/>
          <w:szCs w:val="24"/>
        </w:rPr>
        <w:t>R</w:t>
      </w:r>
      <w:r w:rsidRPr="008A69F3">
        <w:rPr>
          <w:bCs/>
          <w:iCs/>
          <w:szCs w:val="24"/>
        </w:rPr>
        <w:t xml:space="preserve">egulation) (see s 47 (7). </w:t>
      </w:r>
      <w:r w:rsidR="00CF2379" w:rsidRPr="008A69F3">
        <w:rPr>
          <w:bCs/>
          <w:iCs/>
          <w:szCs w:val="24"/>
        </w:rPr>
        <w:t xml:space="preserve">This </w:t>
      </w:r>
      <w:r w:rsidR="000E27AD" w:rsidRPr="008A69F3">
        <w:rPr>
          <w:bCs/>
          <w:iCs/>
          <w:szCs w:val="24"/>
        </w:rPr>
        <w:t>clause</w:t>
      </w:r>
      <w:r w:rsidR="00CF2379" w:rsidRPr="008A69F3">
        <w:rPr>
          <w:bCs/>
          <w:iCs/>
          <w:szCs w:val="24"/>
        </w:rPr>
        <w:t xml:space="preserve"> provides that t</w:t>
      </w:r>
      <w:r w:rsidRPr="008A69F3">
        <w:rPr>
          <w:bCs/>
          <w:iCs/>
          <w:szCs w:val="24"/>
        </w:rPr>
        <w:t>he Legislation Act, s 47 (5) is displaced here because the incorporated standards are subject to copyright and may be purchased over the internet.</w:t>
      </w:r>
    </w:p>
    <w:p w:rsidR="00431920" w:rsidRPr="008A69F3" w:rsidRDefault="00431920" w:rsidP="00431920">
      <w:pPr>
        <w:pStyle w:val="ListParagraph"/>
        <w:rPr>
          <w:bCs/>
          <w:i/>
          <w:szCs w:val="24"/>
          <w:u w:val="single"/>
        </w:rPr>
      </w:pPr>
    </w:p>
    <w:p w:rsidR="00431920" w:rsidRPr="008A69F3" w:rsidRDefault="00D41B0B" w:rsidP="00D833CC">
      <w:pPr>
        <w:rPr>
          <w:bCs/>
          <w:i/>
          <w:szCs w:val="24"/>
          <w:u w:val="single"/>
        </w:rPr>
      </w:pPr>
      <w:r w:rsidRPr="008A69F3">
        <w:rPr>
          <w:bCs/>
          <w:i/>
          <w:szCs w:val="24"/>
          <w:u w:val="single"/>
        </w:rPr>
        <w:t>Clause</w:t>
      </w:r>
      <w:r w:rsidR="00CF2379" w:rsidRPr="008A69F3">
        <w:rPr>
          <w:bCs/>
          <w:i/>
          <w:szCs w:val="24"/>
          <w:u w:val="single"/>
        </w:rPr>
        <w:t xml:space="preserve"> [</w:t>
      </w:r>
      <w:r w:rsidR="00AF7825" w:rsidRPr="008A69F3">
        <w:rPr>
          <w:bCs/>
          <w:i/>
          <w:szCs w:val="24"/>
          <w:u w:val="single"/>
        </w:rPr>
        <w:t>25</w:t>
      </w:r>
      <w:r w:rsidR="00CF2379" w:rsidRPr="008A69F3">
        <w:rPr>
          <w:bCs/>
          <w:i/>
          <w:szCs w:val="24"/>
          <w:u w:val="single"/>
        </w:rPr>
        <w:t xml:space="preserve">] - </w:t>
      </w:r>
      <w:r w:rsidR="00431920" w:rsidRPr="008A69F3">
        <w:rPr>
          <w:bCs/>
          <w:i/>
          <w:szCs w:val="24"/>
          <w:u w:val="single"/>
        </w:rPr>
        <w:t xml:space="preserve">New part 10 </w:t>
      </w:r>
    </w:p>
    <w:p w:rsidR="00AD45FB" w:rsidRPr="008A69F3" w:rsidRDefault="00AD45FB" w:rsidP="00AD45FB">
      <w:pPr>
        <w:rPr>
          <w:bCs/>
          <w:i/>
          <w:szCs w:val="24"/>
          <w:u w:val="single"/>
        </w:rPr>
      </w:pPr>
    </w:p>
    <w:p w:rsidR="00AD45FB" w:rsidRPr="008A69F3" w:rsidRDefault="00A63CC5" w:rsidP="00AD45FB">
      <w:pPr>
        <w:rPr>
          <w:bCs/>
          <w:iCs/>
          <w:szCs w:val="24"/>
        </w:rPr>
      </w:pPr>
      <w:r w:rsidRPr="008A69F3">
        <w:rPr>
          <w:bCs/>
          <w:iCs/>
          <w:szCs w:val="24"/>
        </w:rPr>
        <w:t>Thi</w:t>
      </w:r>
      <w:r w:rsidR="00FC63BB" w:rsidRPr="008A69F3">
        <w:rPr>
          <w:bCs/>
          <w:iCs/>
          <w:szCs w:val="24"/>
        </w:rPr>
        <w:t>s</w:t>
      </w:r>
      <w:r w:rsidR="00E16771" w:rsidRPr="008A69F3">
        <w:rPr>
          <w:bCs/>
          <w:iCs/>
          <w:szCs w:val="24"/>
        </w:rPr>
        <w:t xml:space="preserve"> </w:t>
      </w:r>
      <w:r w:rsidR="003E7CCA" w:rsidRPr="008A69F3">
        <w:rPr>
          <w:bCs/>
          <w:iCs/>
          <w:szCs w:val="24"/>
        </w:rPr>
        <w:t>clause</w:t>
      </w:r>
      <w:r w:rsidR="00BE46B5" w:rsidRPr="008A69F3">
        <w:rPr>
          <w:bCs/>
          <w:iCs/>
          <w:szCs w:val="24"/>
        </w:rPr>
        <w:t xml:space="preserve"> inserts a </w:t>
      </w:r>
      <w:r w:rsidR="00E16771" w:rsidRPr="008A69F3">
        <w:rPr>
          <w:bCs/>
          <w:iCs/>
          <w:szCs w:val="24"/>
        </w:rPr>
        <w:t xml:space="preserve">new </w:t>
      </w:r>
      <w:r w:rsidR="00BE46B5" w:rsidRPr="008A69F3">
        <w:rPr>
          <w:bCs/>
          <w:iCs/>
          <w:szCs w:val="24"/>
        </w:rPr>
        <w:t xml:space="preserve">part 10 to </w:t>
      </w:r>
      <w:r w:rsidRPr="008A69F3">
        <w:rPr>
          <w:bCs/>
          <w:iCs/>
          <w:szCs w:val="24"/>
        </w:rPr>
        <w:t>provide for the transition of dealings currently being conducted as exempt deali</w:t>
      </w:r>
      <w:r w:rsidR="00401D82" w:rsidRPr="008A69F3">
        <w:rPr>
          <w:bCs/>
          <w:iCs/>
          <w:szCs w:val="24"/>
        </w:rPr>
        <w:t xml:space="preserve">ng </w:t>
      </w:r>
      <w:r w:rsidRPr="008A69F3">
        <w:rPr>
          <w:bCs/>
          <w:iCs/>
          <w:szCs w:val="24"/>
        </w:rPr>
        <w:t xml:space="preserve">or NLRDs, but which require a higher level of authorisation as a result of the </w:t>
      </w:r>
      <w:r w:rsidR="00BD698F" w:rsidRPr="008A69F3">
        <w:rPr>
          <w:bCs/>
          <w:iCs/>
          <w:szCs w:val="24"/>
        </w:rPr>
        <w:t>amendments</w:t>
      </w:r>
      <w:r w:rsidRPr="008A69F3">
        <w:rPr>
          <w:bCs/>
          <w:iCs/>
          <w:szCs w:val="24"/>
        </w:rPr>
        <w:t>, or where the requirements for undertaking an NLRD change. A</w:t>
      </w:r>
      <w:r w:rsidR="0012514A" w:rsidRPr="008A69F3">
        <w:rPr>
          <w:bCs/>
          <w:iCs/>
          <w:szCs w:val="24"/>
        </w:rPr>
        <w:t xml:space="preserve"> p</w:t>
      </w:r>
      <w:r w:rsidRPr="008A69F3">
        <w:rPr>
          <w:bCs/>
          <w:iCs/>
          <w:szCs w:val="24"/>
        </w:rPr>
        <w:t xml:space="preserve">erson conducting such a dealing has 12 months to either cease the dealing or to obtain suitable authorisation to undertake the dealing. </w:t>
      </w:r>
      <w:r w:rsidR="00BE46B5" w:rsidRPr="008A69F3">
        <w:rPr>
          <w:bCs/>
          <w:iCs/>
          <w:szCs w:val="24"/>
        </w:rPr>
        <w:t>This new part will expire</w:t>
      </w:r>
      <w:r w:rsidR="00A87CB2" w:rsidRPr="008A69F3">
        <w:rPr>
          <w:bCs/>
          <w:iCs/>
          <w:szCs w:val="24"/>
        </w:rPr>
        <w:t xml:space="preserve"> </w:t>
      </w:r>
      <w:r w:rsidR="00BE46B5" w:rsidRPr="008A69F3">
        <w:rPr>
          <w:bCs/>
          <w:iCs/>
          <w:szCs w:val="24"/>
        </w:rPr>
        <w:t>12 months after the commencement of the Regulation.</w:t>
      </w:r>
    </w:p>
    <w:p w:rsidR="00946BBE" w:rsidRPr="008A69F3" w:rsidRDefault="00946BBE" w:rsidP="00946BBE">
      <w:pPr>
        <w:rPr>
          <w:bCs/>
          <w:iCs/>
          <w:szCs w:val="24"/>
        </w:rPr>
      </w:pPr>
    </w:p>
    <w:p w:rsidR="00946BBE" w:rsidRPr="008A69F3" w:rsidRDefault="00946BBE" w:rsidP="00946BBE">
      <w:pPr>
        <w:rPr>
          <w:bCs/>
          <w:iCs/>
          <w:szCs w:val="24"/>
        </w:rPr>
      </w:pPr>
      <w:r w:rsidRPr="008A69F3">
        <w:rPr>
          <w:bCs/>
          <w:iCs/>
          <w:szCs w:val="24"/>
        </w:rPr>
        <w:t>This clause provides for the continuation of NLRDs for which an IBC has not documented its assessment of whether the dealing is of a kind mentioned in Part 3.3 of Schedule 3, for NLRDs assessed prior to commencement of the requirement that IBCs record this information.</w:t>
      </w:r>
    </w:p>
    <w:p w:rsidR="00946BBE" w:rsidRPr="008A69F3" w:rsidRDefault="00946BBE" w:rsidP="00946BBE">
      <w:pPr>
        <w:rPr>
          <w:bCs/>
          <w:iCs/>
          <w:szCs w:val="24"/>
        </w:rPr>
      </w:pPr>
      <w:r w:rsidRPr="008A69F3">
        <w:rPr>
          <w:bCs/>
          <w:iCs/>
          <w:szCs w:val="24"/>
        </w:rPr>
        <w:t xml:space="preserve"> </w:t>
      </w:r>
    </w:p>
    <w:p w:rsidR="00946BBE" w:rsidRPr="008A69F3" w:rsidRDefault="00946BBE" w:rsidP="00946BBE">
      <w:pPr>
        <w:rPr>
          <w:bCs/>
          <w:iCs/>
          <w:szCs w:val="24"/>
        </w:rPr>
      </w:pPr>
      <w:r w:rsidRPr="008A69F3">
        <w:rPr>
          <w:bCs/>
          <w:iCs/>
          <w:szCs w:val="24"/>
        </w:rPr>
        <w:t>This clause also clarifies that for NLRDs assessed by an IBC on</w:t>
      </w:r>
      <w:r w:rsidRPr="004C034B">
        <w:rPr>
          <w:bCs/>
          <w:iCs/>
          <w:szCs w:val="24"/>
        </w:rPr>
        <w:t xml:space="preserve"> or after 1 </w:t>
      </w:r>
      <w:r w:rsidRPr="0035275C">
        <w:rPr>
          <w:bCs/>
          <w:iCs/>
          <w:szCs w:val="24"/>
        </w:rPr>
        <w:t xml:space="preserve">July </w:t>
      </w:r>
      <w:r w:rsidRPr="008A69F3">
        <w:rPr>
          <w:bCs/>
          <w:iCs/>
          <w:szCs w:val="24"/>
        </w:rPr>
        <w:t>2019 but before the commencement day, the NLRD reporting requirements under section 13C as amended by Schedule 1 apply.</w:t>
      </w:r>
    </w:p>
    <w:p w:rsidR="00EE13E4" w:rsidRPr="008A69F3" w:rsidRDefault="00EE13E4" w:rsidP="00D833CC">
      <w:pPr>
        <w:rPr>
          <w:bCs/>
          <w:i/>
          <w:szCs w:val="24"/>
          <w:u w:val="single"/>
        </w:rPr>
      </w:pPr>
    </w:p>
    <w:p w:rsidR="00DB4481" w:rsidRPr="008A69F3" w:rsidRDefault="00D41B0B" w:rsidP="00D833CC">
      <w:pPr>
        <w:rPr>
          <w:bCs/>
          <w:i/>
          <w:szCs w:val="24"/>
          <w:u w:val="single"/>
        </w:rPr>
      </w:pPr>
      <w:r w:rsidRPr="008A69F3">
        <w:rPr>
          <w:bCs/>
          <w:i/>
          <w:szCs w:val="24"/>
          <w:u w:val="single"/>
        </w:rPr>
        <w:t>Clause</w:t>
      </w:r>
      <w:r w:rsidR="00BE46B5" w:rsidRPr="008A69F3">
        <w:rPr>
          <w:bCs/>
          <w:i/>
          <w:szCs w:val="24"/>
          <w:u w:val="single"/>
        </w:rPr>
        <w:t xml:space="preserve"> [</w:t>
      </w:r>
      <w:r w:rsidR="00AF7825" w:rsidRPr="008A69F3">
        <w:rPr>
          <w:bCs/>
          <w:i/>
          <w:szCs w:val="24"/>
          <w:u w:val="single"/>
        </w:rPr>
        <w:t>26</w:t>
      </w:r>
      <w:r w:rsidR="00BE46B5" w:rsidRPr="008A69F3">
        <w:rPr>
          <w:bCs/>
          <w:i/>
          <w:szCs w:val="24"/>
          <w:u w:val="single"/>
        </w:rPr>
        <w:t xml:space="preserve">] - </w:t>
      </w:r>
      <w:r w:rsidR="00DB4481" w:rsidRPr="008A69F3">
        <w:rPr>
          <w:bCs/>
          <w:i/>
          <w:szCs w:val="24"/>
          <w:u w:val="single"/>
        </w:rPr>
        <w:t>Schedule 1A, new item 11</w:t>
      </w:r>
    </w:p>
    <w:p w:rsidR="00524CF4" w:rsidRPr="008A69F3" w:rsidRDefault="00524CF4" w:rsidP="00524CF4">
      <w:pPr>
        <w:rPr>
          <w:bCs/>
          <w:iCs/>
          <w:szCs w:val="24"/>
        </w:rPr>
      </w:pPr>
    </w:p>
    <w:p w:rsidR="00524CF4" w:rsidRPr="008A69F3" w:rsidRDefault="00524CF4" w:rsidP="00524CF4">
      <w:pPr>
        <w:rPr>
          <w:bCs/>
          <w:iCs/>
          <w:szCs w:val="24"/>
        </w:rPr>
      </w:pPr>
      <w:r w:rsidRPr="008A69F3">
        <w:rPr>
          <w:bCs/>
          <w:iCs/>
          <w:szCs w:val="24"/>
        </w:rPr>
        <w:t xml:space="preserve">This </w:t>
      </w:r>
      <w:r w:rsidR="003E7CCA" w:rsidRPr="008A69F3">
        <w:rPr>
          <w:bCs/>
          <w:iCs/>
          <w:szCs w:val="24"/>
        </w:rPr>
        <w:t>clause</w:t>
      </w:r>
      <w:r w:rsidR="00BE46B5" w:rsidRPr="008A69F3">
        <w:rPr>
          <w:bCs/>
          <w:iCs/>
          <w:szCs w:val="24"/>
        </w:rPr>
        <w:t xml:space="preserve"> </w:t>
      </w:r>
      <w:r w:rsidRPr="008A69F3">
        <w:rPr>
          <w:bCs/>
          <w:iCs/>
          <w:szCs w:val="24"/>
        </w:rPr>
        <w:t>adds a new item</w:t>
      </w:r>
      <w:r w:rsidR="0029004C" w:rsidRPr="008A69F3">
        <w:rPr>
          <w:bCs/>
          <w:iCs/>
          <w:szCs w:val="24"/>
        </w:rPr>
        <w:t xml:space="preserve"> 11</w:t>
      </w:r>
      <w:r w:rsidRPr="008A69F3">
        <w:rPr>
          <w:bCs/>
          <w:iCs/>
          <w:szCs w:val="24"/>
        </w:rPr>
        <w:t xml:space="preserve"> to Schedule 1A listing certain ribonucleic acid (RNA) interference techniques as techniques that are not gene technology. Schedule 1A supports </w:t>
      </w:r>
      <w:r w:rsidR="007D49FF" w:rsidRPr="008A69F3">
        <w:rPr>
          <w:bCs/>
          <w:iCs/>
          <w:szCs w:val="24"/>
        </w:rPr>
        <w:t>section</w:t>
      </w:r>
      <w:r w:rsidRPr="008A69F3">
        <w:rPr>
          <w:bCs/>
          <w:iCs/>
          <w:szCs w:val="24"/>
        </w:rPr>
        <w:t xml:space="preserve"> 4 for the purposes of the definition of “gene technology” in the Act. This provides clarity about the status of the described techniques, irrespective of whether the techniques otherwise meet the definition of “gene technology” in the Act. </w:t>
      </w:r>
    </w:p>
    <w:p w:rsidR="006F7322" w:rsidRDefault="006F7322" w:rsidP="00AD45FB">
      <w:pPr>
        <w:rPr>
          <w:bCs/>
          <w:i/>
          <w:szCs w:val="24"/>
          <w:u w:val="single"/>
        </w:rPr>
      </w:pPr>
    </w:p>
    <w:p w:rsidR="006F7322" w:rsidRPr="0035275C" w:rsidRDefault="006F7322" w:rsidP="00AD45FB">
      <w:pPr>
        <w:rPr>
          <w:bCs/>
          <w:i/>
          <w:szCs w:val="24"/>
          <w:u w:val="single"/>
        </w:rPr>
      </w:pPr>
    </w:p>
    <w:p w:rsidR="006F7322" w:rsidRDefault="006F7322" w:rsidP="00D833CC">
      <w:pPr>
        <w:rPr>
          <w:bCs/>
          <w:i/>
          <w:szCs w:val="24"/>
          <w:u w:val="single"/>
        </w:rPr>
      </w:pPr>
    </w:p>
    <w:p w:rsidR="000F2955" w:rsidRPr="008A69F3" w:rsidRDefault="00D41B0B" w:rsidP="00D833CC">
      <w:pPr>
        <w:rPr>
          <w:bCs/>
          <w:i/>
          <w:szCs w:val="24"/>
          <w:u w:val="single"/>
        </w:rPr>
      </w:pPr>
      <w:r w:rsidRPr="0035275C">
        <w:rPr>
          <w:bCs/>
          <w:i/>
          <w:szCs w:val="24"/>
          <w:u w:val="single"/>
        </w:rPr>
        <w:t>Clause</w:t>
      </w:r>
      <w:r w:rsidR="00BE46B5" w:rsidRPr="0035275C">
        <w:rPr>
          <w:bCs/>
          <w:i/>
          <w:szCs w:val="24"/>
          <w:u w:val="single"/>
        </w:rPr>
        <w:t xml:space="preserve"> [</w:t>
      </w:r>
      <w:r w:rsidR="00AF7825" w:rsidRPr="008A69F3">
        <w:rPr>
          <w:bCs/>
          <w:i/>
          <w:szCs w:val="24"/>
          <w:u w:val="single"/>
        </w:rPr>
        <w:t>27</w:t>
      </w:r>
      <w:r w:rsidR="00BE46B5" w:rsidRPr="008A69F3">
        <w:rPr>
          <w:bCs/>
          <w:i/>
          <w:szCs w:val="24"/>
          <w:u w:val="single"/>
        </w:rPr>
        <w:t xml:space="preserve">] - </w:t>
      </w:r>
      <w:r w:rsidR="00DB4481" w:rsidRPr="008A69F3">
        <w:rPr>
          <w:bCs/>
          <w:i/>
          <w:szCs w:val="24"/>
          <w:u w:val="single"/>
        </w:rPr>
        <w:t xml:space="preserve">New </w:t>
      </w:r>
      <w:r w:rsidR="00B437D1" w:rsidRPr="008A69F3">
        <w:rPr>
          <w:bCs/>
          <w:i/>
          <w:szCs w:val="24"/>
          <w:u w:val="single"/>
        </w:rPr>
        <w:t>S</w:t>
      </w:r>
      <w:r w:rsidR="00FB3A75" w:rsidRPr="008A69F3">
        <w:rPr>
          <w:bCs/>
          <w:i/>
          <w:szCs w:val="24"/>
          <w:u w:val="single"/>
        </w:rPr>
        <w:t>chedule 1</w:t>
      </w:r>
      <w:r w:rsidR="00AD45FB" w:rsidRPr="008A69F3">
        <w:rPr>
          <w:bCs/>
          <w:i/>
          <w:szCs w:val="24"/>
          <w:u w:val="single"/>
        </w:rPr>
        <w:t xml:space="preserve">B </w:t>
      </w:r>
    </w:p>
    <w:p w:rsidR="00AD45FB" w:rsidRPr="008A69F3" w:rsidRDefault="00AD45FB" w:rsidP="00AD45FB">
      <w:pPr>
        <w:rPr>
          <w:bCs/>
          <w:iCs/>
          <w:szCs w:val="24"/>
        </w:rPr>
      </w:pPr>
    </w:p>
    <w:p w:rsidR="00AD45FB" w:rsidRPr="008A69F3" w:rsidRDefault="005F27B7" w:rsidP="00AD45FB">
      <w:pPr>
        <w:rPr>
          <w:bCs/>
          <w:iCs/>
          <w:szCs w:val="24"/>
        </w:rPr>
      </w:pPr>
      <w:r w:rsidRPr="008A69F3">
        <w:rPr>
          <w:bCs/>
          <w:iCs/>
          <w:szCs w:val="24"/>
        </w:rPr>
        <w:t xml:space="preserve">This </w:t>
      </w:r>
      <w:r w:rsidR="003E7CCA" w:rsidRPr="008A69F3">
        <w:rPr>
          <w:bCs/>
          <w:iCs/>
          <w:szCs w:val="24"/>
        </w:rPr>
        <w:t xml:space="preserve">clause </w:t>
      </w:r>
      <w:r w:rsidRPr="008A69F3">
        <w:rPr>
          <w:bCs/>
          <w:iCs/>
          <w:szCs w:val="24"/>
        </w:rPr>
        <w:t xml:space="preserve">inserts a new </w:t>
      </w:r>
      <w:r w:rsidR="00994502" w:rsidRPr="008A69F3">
        <w:rPr>
          <w:bCs/>
          <w:iCs/>
          <w:szCs w:val="24"/>
        </w:rPr>
        <w:t>Schedule</w:t>
      </w:r>
      <w:r w:rsidRPr="008A69F3">
        <w:rPr>
          <w:bCs/>
          <w:iCs/>
          <w:szCs w:val="24"/>
        </w:rPr>
        <w:t xml:space="preserve"> 1B to support new </w:t>
      </w:r>
      <w:r w:rsidR="00BC481E" w:rsidRPr="008A69F3">
        <w:rPr>
          <w:bCs/>
          <w:iCs/>
          <w:szCs w:val="24"/>
        </w:rPr>
        <w:t>section 4A</w:t>
      </w:r>
      <w:r w:rsidRPr="008A69F3">
        <w:rPr>
          <w:bCs/>
          <w:iCs/>
          <w:szCs w:val="24"/>
        </w:rPr>
        <w:t xml:space="preserve">, listing </w:t>
      </w:r>
      <w:r w:rsidR="00AC117D" w:rsidRPr="008A69F3">
        <w:rPr>
          <w:bCs/>
          <w:iCs/>
          <w:szCs w:val="24"/>
        </w:rPr>
        <w:t xml:space="preserve">organisms that are GMOs for the purposes of the definition of “genetically modified organism” in the Act. This provides clarity about the status of listed organisms as understood within the context of the current technology. </w:t>
      </w:r>
    </w:p>
    <w:p w:rsidR="00255D45" w:rsidRPr="008A69F3" w:rsidRDefault="00255D45" w:rsidP="00612632">
      <w:pPr>
        <w:rPr>
          <w:bCs/>
          <w:i/>
          <w:szCs w:val="24"/>
          <w:u w:val="single"/>
        </w:rPr>
      </w:pPr>
    </w:p>
    <w:p w:rsidR="00255D45" w:rsidRPr="008A69F3" w:rsidRDefault="00D41B0B" w:rsidP="00D833CC">
      <w:pPr>
        <w:rPr>
          <w:bCs/>
          <w:i/>
          <w:szCs w:val="24"/>
          <w:u w:val="single"/>
        </w:rPr>
      </w:pPr>
      <w:r w:rsidRPr="008A69F3">
        <w:rPr>
          <w:bCs/>
          <w:i/>
          <w:szCs w:val="24"/>
          <w:u w:val="single"/>
        </w:rPr>
        <w:t>Clause</w:t>
      </w:r>
      <w:r w:rsidR="00BE46B5" w:rsidRPr="008A69F3">
        <w:rPr>
          <w:bCs/>
          <w:i/>
          <w:szCs w:val="24"/>
          <w:u w:val="single"/>
        </w:rPr>
        <w:t xml:space="preserve"> [2</w:t>
      </w:r>
      <w:r w:rsidR="00AF7825" w:rsidRPr="008A69F3">
        <w:rPr>
          <w:bCs/>
          <w:i/>
          <w:szCs w:val="24"/>
          <w:u w:val="single"/>
        </w:rPr>
        <w:t>8</w:t>
      </w:r>
      <w:r w:rsidR="00BE46B5" w:rsidRPr="008A69F3">
        <w:rPr>
          <w:bCs/>
          <w:i/>
          <w:szCs w:val="24"/>
          <w:u w:val="single"/>
        </w:rPr>
        <w:t xml:space="preserve">] - </w:t>
      </w:r>
      <w:r w:rsidR="00255D45" w:rsidRPr="008A69F3">
        <w:rPr>
          <w:bCs/>
          <w:i/>
          <w:szCs w:val="24"/>
          <w:u w:val="single"/>
        </w:rPr>
        <w:t>Schedule</w:t>
      </w:r>
      <w:r w:rsidR="00AD45FB" w:rsidRPr="008A69F3">
        <w:rPr>
          <w:bCs/>
          <w:i/>
          <w:szCs w:val="24"/>
          <w:u w:val="single"/>
        </w:rPr>
        <w:t xml:space="preserve"> 1, new item 4 </w:t>
      </w:r>
    </w:p>
    <w:p w:rsidR="005C2623" w:rsidRPr="008A69F3" w:rsidRDefault="005C2623" w:rsidP="005C2623">
      <w:pPr>
        <w:rPr>
          <w:bCs/>
          <w:iCs/>
          <w:szCs w:val="24"/>
        </w:rPr>
      </w:pPr>
    </w:p>
    <w:p w:rsidR="005C2623" w:rsidRPr="008A69F3" w:rsidRDefault="00BE46B5" w:rsidP="005C2623">
      <w:pPr>
        <w:rPr>
          <w:bCs/>
          <w:iCs/>
          <w:szCs w:val="24"/>
        </w:rPr>
      </w:pPr>
      <w:r w:rsidRPr="008A69F3">
        <w:rPr>
          <w:bCs/>
          <w:iCs/>
          <w:szCs w:val="24"/>
        </w:rPr>
        <w:t xml:space="preserve">This </w:t>
      </w:r>
      <w:r w:rsidR="003E7CCA" w:rsidRPr="008A69F3">
        <w:rPr>
          <w:bCs/>
          <w:iCs/>
          <w:szCs w:val="24"/>
        </w:rPr>
        <w:t xml:space="preserve">clause </w:t>
      </w:r>
      <w:r w:rsidRPr="008A69F3">
        <w:rPr>
          <w:bCs/>
          <w:iCs/>
          <w:szCs w:val="24"/>
        </w:rPr>
        <w:t>inserts a n</w:t>
      </w:r>
      <w:r w:rsidR="005C2623" w:rsidRPr="008A69F3">
        <w:rPr>
          <w:bCs/>
          <w:iCs/>
          <w:szCs w:val="24"/>
        </w:rPr>
        <w:t xml:space="preserve">ew item 4 </w:t>
      </w:r>
      <w:r w:rsidRPr="008A69F3">
        <w:rPr>
          <w:bCs/>
          <w:iCs/>
          <w:szCs w:val="24"/>
        </w:rPr>
        <w:t xml:space="preserve">to </w:t>
      </w:r>
      <w:r w:rsidR="005C2623" w:rsidRPr="008A69F3">
        <w:rPr>
          <w:bCs/>
          <w:iCs/>
          <w:szCs w:val="24"/>
        </w:rPr>
        <w:t>Schedule 1</w:t>
      </w:r>
      <w:r w:rsidRPr="008A69F3">
        <w:rPr>
          <w:bCs/>
          <w:iCs/>
          <w:szCs w:val="24"/>
        </w:rPr>
        <w:t>. New item 4</w:t>
      </w:r>
      <w:r w:rsidR="005C2623" w:rsidRPr="008A69F3">
        <w:rPr>
          <w:bCs/>
          <w:iCs/>
          <w:szCs w:val="24"/>
        </w:rPr>
        <w:t xml:space="preserve"> provides that organisms modified using SDNs are not GMOs, provided no nucleic acid template is added to guide homology-directed repair. The methodology applied to these organisms is sometimes known as SDN-1. Together with item 2 of new Schedule 1B</w:t>
      </w:r>
      <w:r w:rsidR="00616CF6" w:rsidRPr="008A69F3">
        <w:rPr>
          <w:bCs/>
          <w:iCs/>
          <w:szCs w:val="24"/>
        </w:rPr>
        <w:t xml:space="preserve">, </w:t>
      </w:r>
      <w:r w:rsidR="005C2623" w:rsidRPr="004C034B">
        <w:rPr>
          <w:bCs/>
          <w:iCs/>
          <w:szCs w:val="24"/>
        </w:rPr>
        <w:t>item 4 of Schedule 1 provides clarity</w:t>
      </w:r>
      <w:r w:rsidR="005C2623" w:rsidRPr="0035275C">
        <w:rPr>
          <w:bCs/>
          <w:iCs/>
          <w:szCs w:val="24"/>
        </w:rPr>
        <w:t xml:space="preserve"> about the status of organisms modified using SDNs with and without the use of repair templates, respectively.</w:t>
      </w:r>
    </w:p>
    <w:p w:rsidR="005C2623" w:rsidRPr="008A69F3" w:rsidRDefault="005C2623" w:rsidP="005C2623">
      <w:pPr>
        <w:rPr>
          <w:bCs/>
          <w:iCs/>
          <w:szCs w:val="24"/>
        </w:rPr>
      </w:pPr>
      <w:r w:rsidRPr="008A69F3">
        <w:rPr>
          <w:bCs/>
          <w:iCs/>
          <w:szCs w:val="24"/>
        </w:rPr>
        <w:t xml:space="preserve"> </w:t>
      </w:r>
    </w:p>
    <w:p w:rsidR="00AD45FB" w:rsidRPr="008A69F3" w:rsidRDefault="005C2623" w:rsidP="005C2623">
      <w:pPr>
        <w:rPr>
          <w:bCs/>
          <w:iCs/>
          <w:szCs w:val="24"/>
        </w:rPr>
      </w:pPr>
      <w:r w:rsidRPr="008A69F3">
        <w:rPr>
          <w:bCs/>
          <w:iCs/>
          <w:szCs w:val="24"/>
        </w:rPr>
        <w:t>New item 4 applies where one or more SDNs has been used to induce genomic DNA breaks in an organism, provided that no nucleic acid template has been added to guide homology</w:t>
      </w:r>
      <w:r w:rsidR="00B534B3" w:rsidRPr="008A69F3">
        <w:rPr>
          <w:bCs/>
          <w:iCs/>
          <w:szCs w:val="24"/>
        </w:rPr>
        <w:noBreakHyphen/>
      </w:r>
      <w:r w:rsidRPr="008A69F3">
        <w:rPr>
          <w:bCs/>
          <w:iCs/>
          <w:szCs w:val="24"/>
        </w:rPr>
        <w:t>directed repair. New item 4 relates only to organisms that do not have other traits as a result of gene technology. Specifically, this item does not apply to organisms expressing a SDN stably or transiently. It is noted that SDNs may be supplied to organisms in ways other than by stable or transient expression, for example injection of SDN proteins.</w:t>
      </w:r>
    </w:p>
    <w:p w:rsidR="000C4710" w:rsidRPr="008A69F3" w:rsidRDefault="000C4710" w:rsidP="005C2623">
      <w:pPr>
        <w:rPr>
          <w:bCs/>
          <w:iCs/>
          <w:szCs w:val="24"/>
        </w:rPr>
      </w:pPr>
    </w:p>
    <w:p w:rsidR="00255D45" w:rsidRPr="008A69F3" w:rsidRDefault="00255D45" w:rsidP="00255D45">
      <w:pPr>
        <w:pStyle w:val="ListParagraph"/>
        <w:rPr>
          <w:bCs/>
          <w:i/>
          <w:szCs w:val="24"/>
          <w:u w:val="single"/>
        </w:rPr>
      </w:pPr>
    </w:p>
    <w:p w:rsidR="00255D45" w:rsidRPr="008A69F3" w:rsidRDefault="00D41B0B" w:rsidP="00D833CC">
      <w:pPr>
        <w:rPr>
          <w:bCs/>
          <w:i/>
          <w:szCs w:val="24"/>
          <w:u w:val="single"/>
        </w:rPr>
      </w:pPr>
      <w:r w:rsidRPr="008A69F3">
        <w:rPr>
          <w:bCs/>
          <w:i/>
          <w:szCs w:val="24"/>
          <w:u w:val="single"/>
        </w:rPr>
        <w:t>Clause</w:t>
      </w:r>
      <w:r w:rsidR="00BE46B5" w:rsidRPr="008A69F3">
        <w:rPr>
          <w:bCs/>
          <w:i/>
          <w:szCs w:val="24"/>
          <w:u w:val="single"/>
        </w:rPr>
        <w:t xml:space="preserve"> [2</w:t>
      </w:r>
      <w:r w:rsidR="00AF7825" w:rsidRPr="008A69F3">
        <w:rPr>
          <w:bCs/>
          <w:i/>
          <w:szCs w:val="24"/>
          <w:u w:val="single"/>
        </w:rPr>
        <w:t>9</w:t>
      </w:r>
      <w:r w:rsidR="00BE46B5" w:rsidRPr="008A69F3">
        <w:rPr>
          <w:bCs/>
          <w:i/>
          <w:szCs w:val="24"/>
          <w:u w:val="single"/>
        </w:rPr>
        <w:t xml:space="preserve">] - </w:t>
      </w:r>
      <w:r w:rsidR="00255D45" w:rsidRPr="008A69F3">
        <w:rPr>
          <w:bCs/>
          <w:i/>
          <w:szCs w:val="24"/>
          <w:u w:val="single"/>
        </w:rPr>
        <w:t>Schedule</w:t>
      </w:r>
      <w:r w:rsidR="005C2623" w:rsidRPr="008A69F3">
        <w:rPr>
          <w:bCs/>
          <w:i/>
          <w:szCs w:val="24"/>
          <w:u w:val="single"/>
        </w:rPr>
        <w:t xml:space="preserve"> 1, new items 8-12</w:t>
      </w:r>
      <w:r w:rsidR="00255D45" w:rsidRPr="008A69F3">
        <w:rPr>
          <w:bCs/>
          <w:i/>
          <w:szCs w:val="24"/>
          <w:u w:val="single"/>
        </w:rPr>
        <w:t xml:space="preserve"> </w:t>
      </w:r>
    </w:p>
    <w:p w:rsidR="005C2623" w:rsidRPr="008A69F3" w:rsidRDefault="005C2623" w:rsidP="005C2623">
      <w:pPr>
        <w:rPr>
          <w:bCs/>
          <w:i/>
          <w:szCs w:val="24"/>
          <w:u w:val="single"/>
        </w:rPr>
      </w:pPr>
    </w:p>
    <w:p w:rsidR="00BE46B5" w:rsidRPr="008A69F3" w:rsidRDefault="00BE46B5" w:rsidP="005C2623">
      <w:pPr>
        <w:rPr>
          <w:bCs/>
          <w:iCs/>
          <w:szCs w:val="24"/>
        </w:rPr>
      </w:pPr>
      <w:r w:rsidRPr="008A69F3">
        <w:rPr>
          <w:bCs/>
          <w:iCs/>
          <w:szCs w:val="24"/>
        </w:rPr>
        <w:t xml:space="preserve">This </w:t>
      </w:r>
      <w:r w:rsidR="003E7CCA" w:rsidRPr="008A69F3">
        <w:rPr>
          <w:bCs/>
          <w:iCs/>
          <w:szCs w:val="24"/>
        </w:rPr>
        <w:t xml:space="preserve">clause </w:t>
      </w:r>
      <w:r w:rsidRPr="008A69F3">
        <w:rPr>
          <w:bCs/>
          <w:iCs/>
          <w:szCs w:val="24"/>
        </w:rPr>
        <w:t>inserts new items 8-12 into Schedule 1.</w:t>
      </w:r>
    </w:p>
    <w:p w:rsidR="00EA4F06" w:rsidRPr="008A69F3" w:rsidRDefault="005C2623" w:rsidP="00EA4F06">
      <w:pPr>
        <w:pStyle w:val="ListParagraph"/>
        <w:numPr>
          <w:ilvl w:val="0"/>
          <w:numId w:val="7"/>
        </w:numPr>
        <w:rPr>
          <w:bCs/>
          <w:iCs/>
          <w:szCs w:val="24"/>
        </w:rPr>
      </w:pPr>
      <w:r w:rsidRPr="008A69F3">
        <w:rPr>
          <w:bCs/>
          <w:iCs/>
          <w:szCs w:val="24"/>
        </w:rPr>
        <w:t>New item 8 of Schedule 1 provides, for the avoidance of doubt, that organisms derived from GMOs but which have not inherited traits that occurred because of gene technology are not GMOs, consistent with paragraph (b) of the definition of “genetically modified organism” in the Act</w:t>
      </w:r>
      <w:r w:rsidR="00EA4F06" w:rsidRPr="008A69F3">
        <w:rPr>
          <w:bCs/>
          <w:iCs/>
          <w:szCs w:val="24"/>
        </w:rPr>
        <w:t xml:space="preserve">. </w:t>
      </w:r>
    </w:p>
    <w:p w:rsidR="005C2623" w:rsidRPr="008A69F3" w:rsidRDefault="00BE46B5" w:rsidP="00EA4F06">
      <w:pPr>
        <w:pStyle w:val="ListParagraph"/>
        <w:numPr>
          <w:ilvl w:val="0"/>
          <w:numId w:val="7"/>
        </w:numPr>
        <w:rPr>
          <w:bCs/>
          <w:iCs/>
          <w:szCs w:val="24"/>
        </w:rPr>
      </w:pPr>
      <w:r w:rsidRPr="008A69F3">
        <w:rPr>
          <w:bCs/>
          <w:iCs/>
          <w:szCs w:val="24"/>
        </w:rPr>
        <w:t>N</w:t>
      </w:r>
      <w:r w:rsidR="00EA4F06" w:rsidRPr="008A69F3">
        <w:rPr>
          <w:bCs/>
          <w:iCs/>
          <w:szCs w:val="24"/>
        </w:rPr>
        <w:t xml:space="preserve">ew item 9 </w:t>
      </w:r>
      <w:r w:rsidRPr="008A69F3">
        <w:rPr>
          <w:bCs/>
          <w:iCs/>
          <w:szCs w:val="24"/>
        </w:rPr>
        <w:t xml:space="preserve">ensures that organisms inheriting traits described in items of Schedule 1 are not regulated as GMOs, if the requirements of </w:t>
      </w:r>
      <w:r w:rsidR="00007CC3" w:rsidRPr="008A69F3">
        <w:rPr>
          <w:bCs/>
          <w:iCs/>
          <w:szCs w:val="24"/>
        </w:rPr>
        <w:t>section</w:t>
      </w:r>
      <w:r w:rsidRPr="008A69F3">
        <w:rPr>
          <w:bCs/>
          <w:iCs/>
          <w:szCs w:val="24"/>
        </w:rPr>
        <w:t xml:space="preserve"> 5 (as amended by item [5]) are met. </w:t>
      </w:r>
    </w:p>
    <w:p w:rsidR="000F2955" w:rsidRPr="008A69F3" w:rsidRDefault="00EA4F06" w:rsidP="000F2955">
      <w:pPr>
        <w:pStyle w:val="ListParagraph"/>
        <w:numPr>
          <w:ilvl w:val="0"/>
          <w:numId w:val="7"/>
        </w:numPr>
        <w:rPr>
          <w:bCs/>
          <w:iCs/>
          <w:szCs w:val="24"/>
        </w:rPr>
      </w:pPr>
      <w:r w:rsidRPr="008A69F3">
        <w:rPr>
          <w:bCs/>
          <w:iCs/>
          <w:szCs w:val="24"/>
        </w:rPr>
        <w:t xml:space="preserve">New item 10 </w:t>
      </w:r>
      <w:r w:rsidR="005C2623" w:rsidRPr="008A69F3">
        <w:rPr>
          <w:snapToGrid w:val="0"/>
          <w:color w:val="000000"/>
          <w:szCs w:val="24"/>
        </w:rPr>
        <w:t>provides that organisms that have been modified by gene technology, but which no longer have the genetic modification or any traits that occurred because of gene technology, are not GMO</w:t>
      </w:r>
      <w:r w:rsidR="000F2955" w:rsidRPr="008A69F3">
        <w:rPr>
          <w:snapToGrid w:val="0"/>
          <w:color w:val="000000"/>
          <w:szCs w:val="24"/>
        </w:rPr>
        <w:t>s.</w:t>
      </w:r>
    </w:p>
    <w:p w:rsidR="005C2623" w:rsidRPr="008A69F3" w:rsidRDefault="00746202" w:rsidP="00324DC5">
      <w:pPr>
        <w:pStyle w:val="ListParagraph"/>
        <w:numPr>
          <w:ilvl w:val="0"/>
          <w:numId w:val="7"/>
        </w:numPr>
        <w:rPr>
          <w:bCs/>
          <w:iCs/>
          <w:szCs w:val="24"/>
        </w:rPr>
      </w:pPr>
      <w:r w:rsidRPr="008A69F3">
        <w:rPr>
          <w:bCs/>
          <w:iCs/>
          <w:szCs w:val="24"/>
        </w:rPr>
        <w:t>New items 11-12</w:t>
      </w:r>
      <w:r w:rsidR="00A87CB2" w:rsidRPr="008A69F3">
        <w:rPr>
          <w:bCs/>
          <w:iCs/>
          <w:szCs w:val="24"/>
        </w:rPr>
        <w:t>:</w:t>
      </w:r>
      <w:r w:rsidRPr="008A69F3">
        <w:rPr>
          <w:bCs/>
          <w:iCs/>
          <w:szCs w:val="24"/>
        </w:rPr>
        <w:t xml:space="preserve"> </w:t>
      </w:r>
      <w:r w:rsidR="0029004C" w:rsidRPr="008A69F3">
        <w:rPr>
          <w:bCs/>
          <w:iCs/>
          <w:szCs w:val="24"/>
        </w:rPr>
        <w:t>Clause [</w:t>
      </w:r>
      <w:r w:rsidR="00921F17" w:rsidRPr="008A69F3">
        <w:rPr>
          <w:bCs/>
          <w:iCs/>
          <w:szCs w:val="24"/>
        </w:rPr>
        <w:t>1.1]</w:t>
      </w:r>
      <w:r w:rsidR="005C2623" w:rsidRPr="008A69F3">
        <w:rPr>
          <w:bCs/>
          <w:iCs/>
          <w:szCs w:val="24"/>
        </w:rPr>
        <w:t xml:space="preserve"> of the Regulation repeals Schedule 1 item 1, a descriptive item which the Explanatory Statement to the </w:t>
      </w:r>
      <w:r w:rsidR="00A87CB2" w:rsidRPr="008A69F3">
        <w:rPr>
          <w:bCs/>
          <w:iCs/>
          <w:szCs w:val="24"/>
        </w:rPr>
        <w:t xml:space="preserve">Commonwealth </w:t>
      </w:r>
      <w:r w:rsidR="005C2623" w:rsidRPr="008A69F3">
        <w:rPr>
          <w:bCs/>
          <w:iCs/>
          <w:szCs w:val="24"/>
        </w:rPr>
        <w:t>Regulations indicates was intended to exclude mutagenised organisms from the scope of regulation as GMOs. To maintain the status of two organisms historically excluded from regulation as GMOs by Schedule 1 item 1,</w:t>
      </w:r>
      <w:r w:rsidR="008F7EED" w:rsidRPr="008A69F3">
        <w:rPr>
          <w:bCs/>
          <w:iCs/>
          <w:szCs w:val="24"/>
        </w:rPr>
        <w:t xml:space="preserve"> clause [2</w:t>
      </w:r>
      <w:r w:rsidR="00E50A5A" w:rsidRPr="008A69F3">
        <w:rPr>
          <w:bCs/>
          <w:iCs/>
          <w:szCs w:val="24"/>
        </w:rPr>
        <w:t>9</w:t>
      </w:r>
      <w:r w:rsidR="008F7EED" w:rsidRPr="008A69F3">
        <w:rPr>
          <w:bCs/>
          <w:iCs/>
          <w:szCs w:val="24"/>
        </w:rPr>
        <w:t>]</w:t>
      </w:r>
      <w:r w:rsidR="005C2623" w:rsidRPr="008A69F3">
        <w:rPr>
          <w:bCs/>
          <w:iCs/>
          <w:szCs w:val="24"/>
        </w:rPr>
        <w:t xml:space="preserve"> specifically lists the organisms in new items in Schedule 1. The organisms are Agrobacterium radiobacter </w:t>
      </w:r>
      <w:r w:rsidR="005C2623" w:rsidRPr="008A69F3">
        <w:rPr>
          <w:bCs/>
          <w:iCs/>
          <w:szCs w:val="24"/>
        </w:rPr>
        <w:lastRenderedPageBreak/>
        <w:t>strain K102</w:t>
      </w:r>
      <w:r w:rsidR="00ED1871" w:rsidRPr="008A69F3">
        <w:rPr>
          <w:bCs/>
          <w:iCs/>
          <w:szCs w:val="24"/>
        </w:rPr>
        <w:t>+</w:t>
      </w:r>
      <w:r w:rsidR="005C2623" w:rsidRPr="008A69F3">
        <w:rPr>
          <w:bCs/>
          <w:iCs/>
          <w:szCs w:val="24"/>
        </w:rPr>
        <w:t>6 (sometimes known as NoGall) and Pasteurella multocida strain PMP1 (sometimes known as Vaxsafe PM).</w:t>
      </w:r>
    </w:p>
    <w:p w:rsidR="00E50A5A" w:rsidRPr="008A69F3" w:rsidRDefault="00E50A5A" w:rsidP="00D833CC">
      <w:pPr>
        <w:rPr>
          <w:bCs/>
          <w:i/>
          <w:szCs w:val="24"/>
          <w:u w:val="single"/>
        </w:rPr>
      </w:pPr>
    </w:p>
    <w:p w:rsidR="005F469C" w:rsidRPr="008A69F3" w:rsidRDefault="00D41B0B" w:rsidP="00D833CC">
      <w:pPr>
        <w:rPr>
          <w:bCs/>
          <w:i/>
          <w:szCs w:val="24"/>
          <w:u w:val="single"/>
        </w:rPr>
      </w:pPr>
      <w:r w:rsidRPr="008A69F3">
        <w:rPr>
          <w:bCs/>
          <w:i/>
          <w:szCs w:val="24"/>
          <w:u w:val="single"/>
        </w:rPr>
        <w:t>Clause</w:t>
      </w:r>
      <w:r w:rsidR="00A87CB2" w:rsidRPr="008A69F3">
        <w:rPr>
          <w:bCs/>
          <w:i/>
          <w:szCs w:val="24"/>
          <w:u w:val="single"/>
        </w:rPr>
        <w:t xml:space="preserve"> [</w:t>
      </w:r>
      <w:r w:rsidR="00AF7825" w:rsidRPr="008A69F3">
        <w:rPr>
          <w:bCs/>
          <w:i/>
          <w:szCs w:val="24"/>
          <w:u w:val="single"/>
        </w:rPr>
        <w:t>30</w:t>
      </w:r>
      <w:r w:rsidR="00A87CB2" w:rsidRPr="008A69F3">
        <w:rPr>
          <w:bCs/>
          <w:i/>
          <w:szCs w:val="24"/>
          <w:u w:val="single"/>
        </w:rPr>
        <w:t xml:space="preserve">] - </w:t>
      </w:r>
      <w:r w:rsidR="005C2623" w:rsidRPr="008A69F3">
        <w:rPr>
          <w:bCs/>
          <w:i/>
          <w:szCs w:val="24"/>
          <w:u w:val="single"/>
        </w:rPr>
        <w:t xml:space="preserve">Schedule 2, part 2.1, item 4, column 2, </w:t>
      </w:r>
      <w:r w:rsidR="00A87CB2" w:rsidRPr="008A69F3">
        <w:rPr>
          <w:bCs/>
          <w:i/>
          <w:szCs w:val="24"/>
          <w:u w:val="single"/>
        </w:rPr>
        <w:t>subsections</w:t>
      </w:r>
      <w:r w:rsidR="005C2623" w:rsidRPr="008A69F3">
        <w:rPr>
          <w:bCs/>
          <w:i/>
          <w:szCs w:val="24"/>
          <w:u w:val="single"/>
        </w:rPr>
        <w:t xml:space="preserve"> (2) (b) and (c)</w:t>
      </w:r>
    </w:p>
    <w:p w:rsidR="002F21A6" w:rsidRPr="008A69F3" w:rsidRDefault="002F21A6" w:rsidP="002F21A6">
      <w:pPr>
        <w:rPr>
          <w:bCs/>
          <w:i/>
          <w:szCs w:val="24"/>
        </w:rPr>
      </w:pPr>
    </w:p>
    <w:p w:rsidR="002F21A6" w:rsidRPr="008A69F3" w:rsidRDefault="002F21A6" w:rsidP="002F21A6">
      <w:pPr>
        <w:rPr>
          <w:bCs/>
          <w:iCs/>
          <w:szCs w:val="24"/>
        </w:rPr>
      </w:pPr>
      <w:r w:rsidRPr="008A69F3">
        <w:rPr>
          <w:bCs/>
          <w:iCs/>
          <w:szCs w:val="24"/>
        </w:rPr>
        <w:t xml:space="preserve">This </w:t>
      </w:r>
      <w:r w:rsidR="00A8162E" w:rsidRPr="008A69F3">
        <w:rPr>
          <w:bCs/>
          <w:iCs/>
          <w:szCs w:val="24"/>
        </w:rPr>
        <w:t xml:space="preserve">clause </w:t>
      </w:r>
      <w:r w:rsidRPr="008A69F3">
        <w:rPr>
          <w:bCs/>
          <w:iCs/>
          <w:szCs w:val="24"/>
        </w:rPr>
        <w:t>replaces the Greek letter mu (µ), as part of a recognised international symbol indicating “micrograms”, with the word “micrograms”.</w:t>
      </w:r>
      <w:r w:rsidR="00D41B0B" w:rsidRPr="008A69F3">
        <w:rPr>
          <w:bCs/>
          <w:iCs/>
          <w:szCs w:val="24"/>
        </w:rPr>
        <w:t xml:space="preserve"> This provides a plain English explanation</w:t>
      </w:r>
      <w:r w:rsidR="003E7CCA" w:rsidRPr="008A69F3">
        <w:rPr>
          <w:bCs/>
          <w:iCs/>
          <w:szCs w:val="24"/>
        </w:rPr>
        <w:t xml:space="preserve"> in the regulation. </w:t>
      </w:r>
    </w:p>
    <w:p w:rsidR="00B41779" w:rsidRPr="008A69F3" w:rsidRDefault="00B41779" w:rsidP="00B41779">
      <w:pPr>
        <w:rPr>
          <w:bCs/>
          <w:i/>
          <w:szCs w:val="24"/>
        </w:rPr>
      </w:pPr>
    </w:p>
    <w:p w:rsidR="009247B4" w:rsidRDefault="009247B4" w:rsidP="00D833CC">
      <w:pPr>
        <w:rPr>
          <w:bCs/>
          <w:i/>
          <w:szCs w:val="24"/>
          <w:u w:val="single"/>
        </w:rPr>
      </w:pPr>
    </w:p>
    <w:p w:rsidR="009247B4" w:rsidRDefault="009247B4" w:rsidP="00D833CC">
      <w:pPr>
        <w:rPr>
          <w:bCs/>
          <w:i/>
          <w:szCs w:val="24"/>
          <w:u w:val="single"/>
        </w:rPr>
      </w:pPr>
    </w:p>
    <w:p w:rsidR="00C478AA" w:rsidRPr="008A69F3" w:rsidRDefault="00D41B0B" w:rsidP="00D833CC">
      <w:pPr>
        <w:rPr>
          <w:bCs/>
          <w:i/>
          <w:szCs w:val="24"/>
          <w:u w:val="single"/>
        </w:rPr>
      </w:pPr>
      <w:r w:rsidRPr="008A69F3">
        <w:rPr>
          <w:bCs/>
          <w:i/>
          <w:szCs w:val="24"/>
          <w:u w:val="single"/>
        </w:rPr>
        <w:t>Clause</w:t>
      </w:r>
      <w:r w:rsidR="00A87CB2" w:rsidRPr="008A69F3">
        <w:rPr>
          <w:bCs/>
          <w:i/>
          <w:szCs w:val="24"/>
          <w:u w:val="single"/>
        </w:rPr>
        <w:t xml:space="preserve"> [</w:t>
      </w:r>
      <w:r w:rsidR="00AF7825" w:rsidRPr="008A69F3">
        <w:rPr>
          <w:bCs/>
          <w:i/>
          <w:szCs w:val="24"/>
          <w:u w:val="single"/>
        </w:rPr>
        <w:t>31</w:t>
      </w:r>
      <w:r w:rsidR="00A87CB2" w:rsidRPr="008A69F3">
        <w:rPr>
          <w:bCs/>
          <w:i/>
          <w:szCs w:val="24"/>
          <w:u w:val="single"/>
        </w:rPr>
        <w:t xml:space="preserve">] - </w:t>
      </w:r>
      <w:r w:rsidR="00C478AA" w:rsidRPr="008A69F3">
        <w:rPr>
          <w:bCs/>
          <w:i/>
          <w:szCs w:val="24"/>
          <w:u w:val="single"/>
        </w:rPr>
        <w:t xml:space="preserve">Schedule 2, part 2.1, item 4, column 2, paragraph (2) (e) </w:t>
      </w:r>
    </w:p>
    <w:p w:rsidR="002F21A6" w:rsidRPr="008A69F3" w:rsidRDefault="002F21A6" w:rsidP="002F21A6">
      <w:pPr>
        <w:rPr>
          <w:bCs/>
          <w:i/>
          <w:szCs w:val="24"/>
        </w:rPr>
      </w:pPr>
    </w:p>
    <w:p w:rsidR="00A87CB2" w:rsidRPr="008A69F3" w:rsidRDefault="00A87CB2" w:rsidP="00A87CB2">
      <w:pPr>
        <w:rPr>
          <w:bCs/>
          <w:iCs/>
          <w:szCs w:val="24"/>
        </w:rPr>
      </w:pPr>
      <w:r w:rsidRPr="008A69F3">
        <w:rPr>
          <w:bCs/>
          <w:iCs/>
          <w:szCs w:val="24"/>
        </w:rPr>
        <w:t xml:space="preserve">This </w:t>
      </w:r>
      <w:r w:rsidR="003E7CCA" w:rsidRPr="008A69F3">
        <w:rPr>
          <w:bCs/>
          <w:iCs/>
          <w:szCs w:val="24"/>
        </w:rPr>
        <w:t xml:space="preserve">clause </w:t>
      </w:r>
      <w:r w:rsidRPr="008A69F3">
        <w:rPr>
          <w:bCs/>
          <w:iCs/>
          <w:szCs w:val="24"/>
        </w:rPr>
        <w:t xml:space="preserve">expands the scope of dealings involving viral sequences that may be undertaken as exempt dealings, while maintaining the requirement that such dealings are not exempt dealings if they can result in the production of infectious agents. This </w:t>
      </w:r>
      <w:r w:rsidR="003E7CCA" w:rsidRPr="008A69F3">
        <w:rPr>
          <w:bCs/>
          <w:iCs/>
          <w:szCs w:val="24"/>
        </w:rPr>
        <w:t xml:space="preserve">clause </w:t>
      </w:r>
      <w:r w:rsidRPr="008A69F3">
        <w:rPr>
          <w:bCs/>
          <w:iCs/>
          <w:szCs w:val="24"/>
        </w:rPr>
        <w:t>allows for cloning and propagation, in listed host/vector systems, of replication defective viral vectors or full-length viral genomes which are unable to be expressed in any unmodified host cell. In</w:t>
      </w:r>
      <w:r w:rsidR="0035275C">
        <w:rPr>
          <w:bCs/>
          <w:iCs/>
          <w:szCs w:val="24"/>
        </w:rPr>
        <w:t xml:space="preserve"> </w:t>
      </w:r>
      <w:r w:rsidRPr="008A69F3">
        <w:rPr>
          <w:bCs/>
          <w:iCs/>
          <w:szCs w:val="24"/>
        </w:rPr>
        <w:t>either case, if viral genes or other non-host factors necessary for replication and/or packaging into virions of viral nucleic acid are available during the dealings, this item does not apply.</w:t>
      </w:r>
    </w:p>
    <w:p w:rsidR="00A87CB2" w:rsidRPr="008A69F3" w:rsidRDefault="00A87CB2" w:rsidP="00A87CB2">
      <w:pPr>
        <w:rPr>
          <w:bCs/>
          <w:iCs/>
          <w:szCs w:val="24"/>
        </w:rPr>
      </w:pPr>
      <w:r w:rsidRPr="008A69F3">
        <w:rPr>
          <w:bCs/>
          <w:iCs/>
          <w:szCs w:val="24"/>
        </w:rPr>
        <w:t xml:space="preserve"> </w:t>
      </w:r>
    </w:p>
    <w:p w:rsidR="00A87CB2" w:rsidRPr="008A69F3" w:rsidRDefault="00A87CB2" w:rsidP="00A87CB2">
      <w:pPr>
        <w:rPr>
          <w:bCs/>
          <w:iCs/>
          <w:szCs w:val="24"/>
        </w:rPr>
      </w:pPr>
      <w:r w:rsidRPr="008A69F3">
        <w:rPr>
          <w:bCs/>
          <w:iCs/>
          <w:szCs w:val="24"/>
        </w:rPr>
        <w:t xml:space="preserve">Examples of dealings classified as exempt according to this </w:t>
      </w:r>
      <w:r w:rsidR="00A8162E" w:rsidRPr="008A69F3">
        <w:rPr>
          <w:bCs/>
          <w:iCs/>
          <w:szCs w:val="24"/>
        </w:rPr>
        <w:t xml:space="preserve">clause </w:t>
      </w:r>
      <w:r w:rsidRPr="008A69F3">
        <w:rPr>
          <w:bCs/>
          <w:iCs/>
          <w:szCs w:val="24"/>
        </w:rPr>
        <w:t>are dealings with a replication defective viral vector cloned into a plasmid and propagated in a bacterial host; and dealings with a modified or unmodified full-length viral genome cloned and propagated in a plasmid, provided the viral genome is unable to be transcribed from the plasmid in any potential host cell without additional factors being provided.</w:t>
      </w:r>
    </w:p>
    <w:p w:rsidR="002F21A6" w:rsidRPr="008A69F3" w:rsidRDefault="002F21A6" w:rsidP="002F21A6">
      <w:pPr>
        <w:rPr>
          <w:bCs/>
          <w:i/>
          <w:szCs w:val="24"/>
        </w:rPr>
      </w:pPr>
    </w:p>
    <w:p w:rsidR="00C478AA" w:rsidRPr="008A69F3" w:rsidRDefault="00D41B0B" w:rsidP="00D833CC">
      <w:pPr>
        <w:rPr>
          <w:bCs/>
          <w:i/>
          <w:szCs w:val="24"/>
          <w:u w:val="single"/>
        </w:rPr>
      </w:pPr>
      <w:r w:rsidRPr="008A69F3">
        <w:rPr>
          <w:bCs/>
          <w:i/>
          <w:szCs w:val="24"/>
          <w:u w:val="single"/>
        </w:rPr>
        <w:t>Clause</w:t>
      </w:r>
      <w:r w:rsidR="00A87CB2" w:rsidRPr="008A69F3">
        <w:rPr>
          <w:bCs/>
          <w:i/>
          <w:szCs w:val="24"/>
          <w:u w:val="single"/>
        </w:rPr>
        <w:t xml:space="preserve"> [</w:t>
      </w:r>
      <w:r w:rsidR="00AF7825" w:rsidRPr="008A69F3">
        <w:rPr>
          <w:bCs/>
          <w:i/>
          <w:szCs w:val="24"/>
          <w:u w:val="single"/>
        </w:rPr>
        <w:t>32</w:t>
      </w:r>
      <w:r w:rsidR="00A87CB2" w:rsidRPr="008A69F3">
        <w:rPr>
          <w:bCs/>
          <w:i/>
          <w:szCs w:val="24"/>
          <w:u w:val="single"/>
        </w:rPr>
        <w:t xml:space="preserve">] - </w:t>
      </w:r>
      <w:r w:rsidR="00C478AA" w:rsidRPr="008A69F3">
        <w:rPr>
          <w:bCs/>
          <w:i/>
          <w:szCs w:val="24"/>
          <w:u w:val="single"/>
        </w:rPr>
        <w:t xml:space="preserve">Schedule 2, part 2.1, item 5, column </w:t>
      </w:r>
      <w:r w:rsidR="00A87CB2" w:rsidRPr="008A69F3">
        <w:rPr>
          <w:bCs/>
          <w:i/>
          <w:szCs w:val="24"/>
          <w:u w:val="single"/>
        </w:rPr>
        <w:t>2</w:t>
      </w:r>
      <w:r w:rsidR="00C478AA" w:rsidRPr="008A69F3">
        <w:rPr>
          <w:bCs/>
          <w:i/>
          <w:szCs w:val="24"/>
          <w:u w:val="single"/>
        </w:rPr>
        <w:t xml:space="preserve"> </w:t>
      </w:r>
    </w:p>
    <w:p w:rsidR="002F21A6" w:rsidRPr="008A69F3" w:rsidRDefault="002F21A6" w:rsidP="002F21A6">
      <w:pPr>
        <w:rPr>
          <w:bCs/>
          <w:iCs/>
          <w:szCs w:val="24"/>
        </w:rPr>
      </w:pPr>
    </w:p>
    <w:p w:rsidR="002F21A6" w:rsidRPr="008A69F3" w:rsidRDefault="002F21A6" w:rsidP="002F21A6">
      <w:pPr>
        <w:rPr>
          <w:bCs/>
          <w:iCs/>
          <w:szCs w:val="24"/>
        </w:rPr>
      </w:pPr>
      <w:r w:rsidRPr="008A69F3">
        <w:rPr>
          <w:bCs/>
          <w:iCs/>
          <w:szCs w:val="24"/>
        </w:rPr>
        <w:t xml:space="preserve">This </w:t>
      </w:r>
      <w:r w:rsidR="00A8162E" w:rsidRPr="008A69F3">
        <w:rPr>
          <w:bCs/>
          <w:iCs/>
          <w:szCs w:val="24"/>
        </w:rPr>
        <w:t xml:space="preserve">clause </w:t>
      </w:r>
      <w:r w:rsidRPr="008A69F3">
        <w:rPr>
          <w:bCs/>
          <w:iCs/>
          <w:szCs w:val="24"/>
        </w:rPr>
        <w:t xml:space="preserve">amends </w:t>
      </w:r>
      <w:r w:rsidR="007D61CC" w:rsidRPr="008A69F3">
        <w:rPr>
          <w:bCs/>
          <w:iCs/>
          <w:szCs w:val="24"/>
        </w:rPr>
        <w:t xml:space="preserve">a cross-reference </w:t>
      </w:r>
      <w:r w:rsidR="008F7EED" w:rsidRPr="008A69F3">
        <w:rPr>
          <w:bCs/>
          <w:iCs/>
          <w:szCs w:val="24"/>
        </w:rPr>
        <w:t xml:space="preserve">as a consequence of </w:t>
      </w:r>
      <w:r w:rsidR="007D61CC" w:rsidRPr="008A69F3">
        <w:rPr>
          <w:bCs/>
          <w:iCs/>
          <w:szCs w:val="24"/>
        </w:rPr>
        <w:t>the substitution of table 2.2, items 1-6</w:t>
      </w:r>
      <w:r w:rsidR="00A87CB2" w:rsidRPr="008A69F3">
        <w:rPr>
          <w:bCs/>
          <w:iCs/>
          <w:szCs w:val="24"/>
        </w:rPr>
        <w:t xml:space="preserve"> [see </w:t>
      </w:r>
      <w:r w:rsidR="000E27AD" w:rsidRPr="008A69F3">
        <w:rPr>
          <w:bCs/>
          <w:iCs/>
          <w:szCs w:val="24"/>
        </w:rPr>
        <w:t>clause</w:t>
      </w:r>
      <w:r w:rsidR="00A87CB2" w:rsidRPr="008A69F3">
        <w:rPr>
          <w:bCs/>
          <w:iCs/>
          <w:szCs w:val="24"/>
        </w:rPr>
        <w:t xml:space="preserve"> [</w:t>
      </w:r>
      <w:r w:rsidR="00E50A5A" w:rsidRPr="008A69F3">
        <w:rPr>
          <w:bCs/>
          <w:iCs/>
          <w:szCs w:val="24"/>
        </w:rPr>
        <w:t>33</w:t>
      </w:r>
      <w:r w:rsidR="00A87CB2" w:rsidRPr="008A69F3">
        <w:rPr>
          <w:bCs/>
          <w:iCs/>
          <w:szCs w:val="24"/>
        </w:rPr>
        <w:t>]</w:t>
      </w:r>
      <w:r w:rsidR="007D61CC" w:rsidRPr="008A69F3">
        <w:rPr>
          <w:bCs/>
          <w:iCs/>
          <w:szCs w:val="24"/>
        </w:rPr>
        <w:t xml:space="preserve">. </w:t>
      </w:r>
    </w:p>
    <w:p w:rsidR="002F21A6" w:rsidRPr="008A69F3" w:rsidRDefault="002F21A6" w:rsidP="002F21A6">
      <w:pPr>
        <w:rPr>
          <w:bCs/>
          <w:i/>
          <w:szCs w:val="24"/>
        </w:rPr>
      </w:pPr>
    </w:p>
    <w:p w:rsidR="007D61CC" w:rsidRPr="008A69F3" w:rsidRDefault="00D41B0B" w:rsidP="00BD6972">
      <w:pPr>
        <w:rPr>
          <w:bCs/>
          <w:i/>
          <w:szCs w:val="24"/>
          <w:u w:val="single"/>
        </w:rPr>
      </w:pPr>
      <w:r w:rsidRPr="008A69F3">
        <w:rPr>
          <w:bCs/>
          <w:i/>
          <w:szCs w:val="24"/>
          <w:u w:val="single"/>
        </w:rPr>
        <w:t>Clause</w:t>
      </w:r>
      <w:r w:rsidR="00BD6972" w:rsidRPr="008A69F3">
        <w:rPr>
          <w:bCs/>
          <w:i/>
          <w:szCs w:val="24"/>
          <w:u w:val="single"/>
        </w:rPr>
        <w:t xml:space="preserve"> [</w:t>
      </w:r>
      <w:r w:rsidR="00AF7825" w:rsidRPr="008A69F3">
        <w:rPr>
          <w:bCs/>
          <w:i/>
          <w:szCs w:val="24"/>
          <w:u w:val="single"/>
        </w:rPr>
        <w:t>33</w:t>
      </w:r>
      <w:r w:rsidR="00BD6972" w:rsidRPr="008A69F3">
        <w:rPr>
          <w:bCs/>
          <w:i/>
          <w:szCs w:val="24"/>
          <w:u w:val="single"/>
        </w:rPr>
        <w:t xml:space="preserve">] </w:t>
      </w:r>
      <w:r w:rsidR="00C478AA" w:rsidRPr="008A69F3">
        <w:rPr>
          <w:bCs/>
          <w:i/>
          <w:szCs w:val="24"/>
          <w:u w:val="single"/>
        </w:rPr>
        <w:t xml:space="preserve">Schedule 2, part 2.2 </w:t>
      </w:r>
    </w:p>
    <w:p w:rsidR="008024F2" w:rsidRPr="008A69F3" w:rsidRDefault="008024F2" w:rsidP="00D833CC">
      <w:pPr>
        <w:rPr>
          <w:bCs/>
          <w:i/>
          <w:szCs w:val="24"/>
          <w:u w:val="single"/>
        </w:rPr>
      </w:pPr>
    </w:p>
    <w:p w:rsidR="007D61CC" w:rsidRPr="008A69F3" w:rsidRDefault="008024F2" w:rsidP="007D61CC">
      <w:pPr>
        <w:rPr>
          <w:bCs/>
          <w:iCs/>
          <w:szCs w:val="24"/>
        </w:rPr>
      </w:pPr>
      <w:r w:rsidRPr="008A69F3">
        <w:rPr>
          <w:bCs/>
          <w:iCs/>
          <w:szCs w:val="24"/>
        </w:rPr>
        <w:t xml:space="preserve">This </w:t>
      </w:r>
      <w:r w:rsidR="00A8162E" w:rsidRPr="008A69F3">
        <w:rPr>
          <w:bCs/>
          <w:iCs/>
          <w:szCs w:val="24"/>
        </w:rPr>
        <w:t xml:space="preserve">clause </w:t>
      </w:r>
      <w:r w:rsidRPr="008A69F3">
        <w:rPr>
          <w:bCs/>
          <w:iCs/>
          <w:szCs w:val="24"/>
        </w:rPr>
        <w:t xml:space="preserve">replaces </w:t>
      </w:r>
      <w:r w:rsidR="002F3237" w:rsidRPr="008A69F3">
        <w:rPr>
          <w:bCs/>
          <w:iCs/>
          <w:szCs w:val="24"/>
        </w:rPr>
        <w:t>p</w:t>
      </w:r>
      <w:r w:rsidRPr="008A69F3">
        <w:rPr>
          <w:bCs/>
          <w:iCs/>
          <w:szCs w:val="24"/>
        </w:rPr>
        <w:t xml:space="preserve">art 2.2 of Schedule 2. </w:t>
      </w:r>
      <w:r w:rsidR="007D61CC" w:rsidRPr="008A69F3">
        <w:rPr>
          <w:bCs/>
          <w:iCs/>
          <w:szCs w:val="24"/>
        </w:rPr>
        <w:t xml:space="preserve">The modifications on the table of hosts and vectors are as follows: </w:t>
      </w:r>
    </w:p>
    <w:p w:rsidR="004232B4" w:rsidRPr="008A69F3" w:rsidRDefault="00D61FE5" w:rsidP="00FC63BB">
      <w:pPr>
        <w:pStyle w:val="ListParagraph"/>
        <w:numPr>
          <w:ilvl w:val="0"/>
          <w:numId w:val="6"/>
        </w:numPr>
        <w:rPr>
          <w:bCs/>
          <w:iCs/>
          <w:szCs w:val="24"/>
        </w:rPr>
      </w:pPr>
      <w:r w:rsidRPr="008A69F3">
        <w:rPr>
          <w:bCs/>
          <w:iCs/>
          <w:szCs w:val="24"/>
        </w:rPr>
        <w:t>c</w:t>
      </w:r>
      <w:r w:rsidR="007D61CC" w:rsidRPr="008A69F3">
        <w:rPr>
          <w:bCs/>
          <w:iCs/>
          <w:szCs w:val="24"/>
        </w:rPr>
        <w:t xml:space="preserve">lause 2.2 clarifies the meaning of references in the </w:t>
      </w:r>
      <w:r w:rsidR="008024F2" w:rsidRPr="008A69F3">
        <w:rPr>
          <w:bCs/>
          <w:iCs/>
          <w:szCs w:val="24"/>
        </w:rPr>
        <w:t>P</w:t>
      </w:r>
      <w:r w:rsidR="007D61CC" w:rsidRPr="008A69F3">
        <w:rPr>
          <w:bCs/>
          <w:iCs/>
          <w:szCs w:val="24"/>
        </w:rPr>
        <w:t>rincip</w:t>
      </w:r>
      <w:r w:rsidR="008024F2" w:rsidRPr="008A69F3">
        <w:rPr>
          <w:bCs/>
          <w:iCs/>
          <w:szCs w:val="24"/>
        </w:rPr>
        <w:t>al</w:t>
      </w:r>
      <w:r w:rsidR="007D61CC" w:rsidRPr="008A69F3">
        <w:rPr>
          <w:bCs/>
          <w:iCs/>
          <w:szCs w:val="24"/>
        </w:rPr>
        <w:t xml:space="preserve"> </w:t>
      </w:r>
      <w:r w:rsidR="008024F2" w:rsidRPr="008A69F3">
        <w:rPr>
          <w:bCs/>
          <w:iCs/>
          <w:szCs w:val="24"/>
        </w:rPr>
        <w:t>R</w:t>
      </w:r>
      <w:r w:rsidR="007D61CC" w:rsidRPr="008A69F3">
        <w:rPr>
          <w:bCs/>
          <w:iCs/>
          <w:szCs w:val="24"/>
        </w:rPr>
        <w:t>egulation to hosts and vectors in this part</w:t>
      </w:r>
      <w:r w:rsidR="002F3237" w:rsidRPr="008A69F3">
        <w:rPr>
          <w:bCs/>
          <w:iCs/>
          <w:szCs w:val="24"/>
        </w:rPr>
        <w:t>;</w:t>
      </w:r>
      <w:r w:rsidR="007D61CC" w:rsidRPr="008A69F3">
        <w:rPr>
          <w:bCs/>
          <w:iCs/>
          <w:szCs w:val="24"/>
        </w:rPr>
        <w:t xml:space="preserve"> </w:t>
      </w:r>
    </w:p>
    <w:p w:rsidR="007D61CC" w:rsidRPr="008A69F3" w:rsidRDefault="00D61FE5" w:rsidP="007D61CC">
      <w:pPr>
        <w:pStyle w:val="ListParagraph"/>
        <w:numPr>
          <w:ilvl w:val="0"/>
          <w:numId w:val="6"/>
        </w:numPr>
        <w:rPr>
          <w:bCs/>
          <w:iCs/>
          <w:szCs w:val="24"/>
        </w:rPr>
      </w:pPr>
      <w:r w:rsidRPr="008A69F3">
        <w:rPr>
          <w:bCs/>
          <w:iCs/>
          <w:szCs w:val="24"/>
        </w:rPr>
        <w:t>a</w:t>
      </w:r>
      <w:r w:rsidR="007D61CC" w:rsidRPr="008A69F3">
        <w:rPr>
          <w:bCs/>
          <w:iCs/>
          <w:szCs w:val="24"/>
        </w:rPr>
        <w:t xml:space="preserve"> description of “host/vector system” has been added to support the new definition of “host/vector system” in </w:t>
      </w:r>
      <w:r w:rsidR="008024F2" w:rsidRPr="008A69F3">
        <w:rPr>
          <w:bCs/>
          <w:iCs/>
          <w:szCs w:val="24"/>
        </w:rPr>
        <w:t xml:space="preserve">the </w:t>
      </w:r>
      <w:r w:rsidR="007D61CC" w:rsidRPr="008A69F3">
        <w:rPr>
          <w:bCs/>
          <w:iCs/>
          <w:szCs w:val="24"/>
        </w:rPr>
        <w:t>Principal Regulation (see item [</w:t>
      </w:r>
      <w:r w:rsidR="008925EB" w:rsidRPr="008A69F3">
        <w:rPr>
          <w:bCs/>
          <w:iCs/>
          <w:szCs w:val="24"/>
        </w:rPr>
        <w:t>63</w:t>
      </w:r>
      <w:r w:rsidR="007D61CC" w:rsidRPr="008A69F3">
        <w:rPr>
          <w:bCs/>
          <w:iCs/>
          <w:szCs w:val="24"/>
        </w:rPr>
        <w:t>]), and provides clarity that where a listed vector is itself a GMO (for example, some viral vectors), dealings with that vector without a host are exempt dealings, provided other requirements for exempt classification are met;</w:t>
      </w:r>
    </w:p>
    <w:p w:rsidR="007D61CC" w:rsidRPr="008A69F3" w:rsidRDefault="00D61FE5" w:rsidP="007D61CC">
      <w:pPr>
        <w:pStyle w:val="ListParagraph"/>
        <w:numPr>
          <w:ilvl w:val="0"/>
          <w:numId w:val="6"/>
        </w:numPr>
        <w:rPr>
          <w:bCs/>
          <w:iCs/>
          <w:szCs w:val="24"/>
        </w:rPr>
      </w:pPr>
      <w:r w:rsidRPr="008A69F3">
        <w:rPr>
          <w:bCs/>
          <w:iCs/>
          <w:szCs w:val="24"/>
        </w:rPr>
        <w:t>t</w:t>
      </w:r>
      <w:r w:rsidR="007D61CC" w:rsidRPr="008A69F3">
        <w:rPr>
          <w:bCs/>
          <w:iCs/>
          <w:szCs w:val="24"/>
        </w:rPr>
        <w:t>able items and vectors have been re-numbered to improve the clarity of references to table items;</w:t>
      </w:r>
    </w:p>
    <w:p w:rsidR="007D61CC" w:rsidRPr="008A69F3" w:rsidRDefault="00D61FE5" w:rsidP="007D61CC">
      <w:pPr>
        <w:pStyle w:val="ListParagraph"/>
        <w:numPr>
          <w:ilvl w:val="0"/>
          <w:numId w:val="6"/>
        </w:numPr>
        <w:rPr>
          <w:bCs/>
          <w:iCs/>
          <w:szCs w:val="24"/>
        </w:rPr>
      </w:pPr>
      <w:r w:rsidRPr="008A69F3">
        <w:rPr>
          <w:bCs/>
          <w:iCs/>
          <w:szCs w:val="24"/>
        </w:rPr>
        <w:t>t</w:t>
      </w:r>
      <w:r w:rsidR="007D61CC" w:rsidRPr="008A69F3">
        <w:rPr>
          <w:bCs/>
          <w:iCs/>
          <w:szCs w:val="24"/>
        </w:rPr>
        <w:t>wo new hosts, which have been assessed to pose negligible risks to human health and safety or the environment, have been added: Corynebacterium glutamicum and Zymomonas mobilis; and</w:t>
      </w:r>
    </w:p>
    <w:p w:rsidR="007D61CC" w:rsidRPr="008A69F3" w:rsidRDefault="00D61FE5" w:rsidP="007D61CC">
      <w:pPr>
        <w:pStyle w:val="ListParagraph"/>
        <w:numPr>
          <w:ilvl w:val="0"/>
          <w:numId w:val="6"/>
        </w:numPr>
        <w:rPr>
          <w:bCs/>
          <w:iCs/>
          <w:szCs w:val="24"/>
        </w:rPr>
      </w:pPr>
      <w:r w:rsidRPr="008A69F3">
        <w:rPr>
          <w:bCs/>
          <w:iCs/>
          <w:szCs w:val="24"/>
        </w:rPr>
        <w:t>t</w:t>
      </w:r>
      <w:r w:rsidR="007D61CC" w:rsidRPr="008A69F3">
        <w:rPr>
          <w:bCs/>
          <w:iCs/>
          <w:szCs w:val="24"/>
        </w:rPr>
        <w:t>he vectors permitted for exempt dealings involving certain Agrobacterium species as a host and as a plant tissue culture vector have been clarified to reflect the intent of the original provisions, that they are restricted to disarmed Ti and disarmed Ri plasmids.</w:t>
      </w:r>
    </w:p>
    <w:p w:rsidR="007D61CC" w:rsidRPr="008A69F3" w:rsidRDefault="007D61CC" w:rsidP="007D61CC">
      <w:pPr>
        <w:ind w:left="420"/>
        <w:rPr>
          <w:bCs/>
          <w:iCs/>
          <w:szCs w:val="24"/>
          <w:highlight w:val="yellow"/>
        </w:rPr>
      </w:pPr>
    </w:p>
    <w:p w:rsidR="007D61CC" w:rsidRPr="008A69F3" w:rsidRDefault="00D41B0B" w:rsidP="00D833CC">
      <w:pPr>
        <w:rPr>
          <w:bCs/>
          <w:i/>
          <w:szCs w:val="24"/>
          <w:u w:val="single"/>
        </w:rPr>
      </w:pPr>
      <w:r w:rsidRPr="008A69F3">
        <w:rPr>
          <w:bCs/>
          <w:i/>
          <w:szCs w:val="24"/>
          <w:u w:val="single"/>
        </w:rPr>
        <w:t>Clause</w:t>
      </w:r>
      <w:r w:rsidR="008024F2" w:rsidRPr="008A69F3">
        <w:rPr>
          <w:bCs/>
          <w:i/>
          <w:szCs w:val="24"/>
          <w:u w:val="single"/>
        </w:rPr>
        <w:t xml:space="preserve"> [</w:t>
      </w:r>
      <w:r w:rsidR="00AF7825" w:rsidRPr="008A69F3">
        <w:rPr>
          <w:bCs/>
          <w:i/>
          <w:szCs w:val="24"/>
          <w:u w:val="single"/>
        </w:rPr>
        <w:t>34</w:t>
      </w:r>
      <w:r w:rsidR="008024F2" w:rsidRPr="008A69F3">
        <w:rPr>
          <w:bCs/>
          <w:i/>
          <w:szCs w:val="24"/>
          <w:u w:val="single"/>
        </w:rPr>
        <w:t xml:space="preserve">] - </w:t>
      </w:r>
      <w:r w:rsidR="00C478AA" w:rsidRPr="008A69F3">
        <w:rPr>
          <w:bCs/>
          <w:i/>
          <w:szCs w:val="24"/>
          <w:u w:val="single"/>
        </w:rPr>
        <w:t xml:space="preserve">Schedule 3, section 3.1 </w:t>
      </w:r>
    </w:p>
    <w:p w:rsidR="007D61CC" w:rsidRPr="008A69F3" w:rsidRDefault="007D61CC" w:rsidP="007D61CC">
      <w:pPr>
        <w:rPr>
          <w:bCs/>
          <w:iCs/>
          <w:szCs w:val="24"/>
        </w:rPr>
      </w:pPr>
    </w:p>
    <w:p w:rsidR="007D61CC" w:rsidRPr="008A69F3" w:rsidRDefault="007D61CC" w:rsidP="007D61CC">
      <w:pPr>
        <w:rPr>
          <w:bCs/>
          <w:iCs/>
          <w:szCs w:val="24"/>
        </w:rPr>
      </w:pPr>
      <w:r w:rsidRPr="008A69F3">
        <w:rPr>
          <w:bCs/>
          <w:iCs/>
          <w:szCs w:val="24"/>
        </w:rPr>
        <w:lastRenderedPageBreak/>
        <w:t xml:space="preserve">This </w:t>
      </w:r>
      <w:r w:rsidR="003E7CCA" w:rsidRPr="008A69F3">
        <w:rPr>
          <w:bCs/>
          <w:iCs/>
          <w:szCs w:val="24"/>
        </w:rPr>
        <w:t>clause</w:t>
      </w:r>
      <w:r w:rsidR="00032E6E" w:rsidRPr="008A69F3">
        <w:rPr>
          <w:bCs/>
          <w:iCs/>
          <w:szCs w:val="24"/>
        </w:rPr>
        <w:t xml:space="preserve"> amends </w:t>
      </w:r>
      <w:r w:rsidRPr="008A69F3">
        <w:rPr>
          <w:bCs/>
          <w:iCs/>
          <w:szCs w:val="24"/>
        </w:rPr>
        <w:t xml:space="preserve">a cross reference </w:t>
      </w:r>
      <w:r w:rsidR="008F7EED" w:rsidRPr="008A69F3">
        <w:rPr>
          <w:bCs/>
          <w:iCs/>
          <w:szCs w:val="24"/>
        </w:rPr>
        <w:t xml:space="preserve">as a consequence of </w:t>
      </w:r>
      <w:r w:rsidRPr="008A69F3">
        <w:rPr>
          <w:bCs/>
          <w:iCs/>
          <w:szCs w:val="24"/>
        </w:rPr>
        <w:t>the amendment of sub</w:t>
      </w:r>
      <w:r w:rsidR="00007CC3" w:rsidRPr="008A69F3">
        <w:rPr>
          <w:bCs/>
          <w:iCs/>
          <w:szCs w:val="24"/>
        </w:rPr>
        <w:t>section</w:t>
      </w:r>
      <w:r w:rsidR="008925EB" w:rsidRPr="008A69F3">
        <w:rPr>
          <w:bCs/>
          <w:iCs/>
          <w:szCs w:val="24"/>
        </w:rPr>
        <w:t xml:space="preserve"> </w:t>
      </w:r>
      <w:r w:rsidRPr="008A69F3">
        <w:rPr>
          <w:bCs/>
          <w:iCs/>
          <w:szCs w:val="24"/>
        </w:rPr>
        <w:t>13(3)</w:t>
      </w:r>
      <w:r w:rsidR="00032E6E" w:rsidRPr="008A69F3">
        <w:rPr>
          <w:bCs/>
          <w:iCs/>
          <w:szCs w:val="24"/>
        </w:rPr>
        <w:t xml:space="preserve"> by </w:t>
      </w:r>
      <w:r w:rsidR="008925EB" w:rsidRPr="008A69F3">
        <w:rPr>
          <w:bCs/>
          <w:iCs/>
          <w:szCs w:val="24"/>
        </w:rPr>
        <w:t>clause</w:t>
      </w:r>
      <w:r w:rsidR="00032E6E" w:rsidRPr="008A69F3">
        <w:rPr>
          <w:bCs/>
          <w:iCs/>
          <w:szCs w:val="24"/>
        </w:rPr>
        <w:t xml:space="preserve"> [1</w:t>
      </w:r>
      <w:r w:rsidR="008925EB" w:rsidRPr="008A69F3">
        <w:rPr>
          <w:bCs/>
          <w:iCs/>
          <w:szCs w:val="24"/>
        </w:rPr>
        <w:t>5</w:t>
      </w:r>
      <w:r w:rsidR="00032E6E" w:rsidRPr="008A69F3">
        <w:rPr>
          <w:bCs/>
          <w:iCs/>
          <w:szCs w:val="24"/>
        </w:rPr>
        <w:t>]</w:t>
      </w:r>
      <w:r w:rsidR="00324DC5" w:rsidRPr="008A69F3">
        <w:rPr>
          <w:bCs/>
          <w:iCs/>
          <w:szCs w:val="24"/>
        </w:rPr>
        <w:t xml:space="preserve">. </w:t>
      </w:r>
    </w:p>
    <w:p w:rsidR="007D61CC" w:rsidRPr="008A69F3" w:rsidRDefault="007D61CC" w:rsidP="007D61CC">
      <w:pPr>
        <w:rPr>
          <w:bCs/>
          <w:i/>
          <w:szCs w:val="24"/>
        </w:rPr>
      </w:pPr>
    </w:p>
    <w:p w:rsidR="00C478AA" w:rsidRPr="008A69F3" w:rsidRDefault="00D41B0B" w:rsidP="00D833CC">
      <w:pPr>
        <w:rPr>
          <w:bCs/>
          <w:i/>
          <w:szCs w:val="24"/>
          <w:u w:val="single"/>
        </w:rPr>
      </w:pPr>
      <w:r w:rsidRPr="008A69F3">
        <w:rPr>
          <w:bCs/>
          <w:i/>
          <w:szCs w:val="24"/>
          <w:u w:val="single"/>
        </w:rPr>
        <w:t>Clause</w:t>
      </w:r>
      <w:r w:rsidR="00BB6C12" w:rsidRPr="008A69F3">
        <w:rPr>
          <w:bCs/>
          <w:i/>
          <w:szCs w:val="24"/>
          <w:u w:val="single"/>
        </w:rPr>
        <w:t xml:space="preserve"> [</w:t>
      </w:r>
      <w:r w:rsidR="00AF7825" w:rsidRPr="008A69F3">
        <w:rPr>
          <w:bCs/>
          <w:i/>
          <w:szCs w:val="24"/>
          <w:u w:val="single"/>
        </w:rPr>
        <w:t>35</w:t>
      </w:r>
      <w:r w:rsidR="00BB6C12" w:rsidRPr="008A69F3">
        <w:rPr>
          <w:bCs/>
          <w:i/>
          <w:szCs w:val="24"/>
          <w:u w:val="single"/>
        </w:rPr>
        <w:t xml:space="preserve">] - </w:t>
      </w:r>
      <w:r w:rsidR="00540E5B" w:rsidRPr="008A69F3">
        <w:rPr>
          <w:bCs/>
          <w:i/>
          <w:szCs w:val="24"/>
          <w:u w:val="single"/>
        </w:rPr>
        <w:t xml:space="preserve">Schedule 3, section 3.1 </w:t>
      </w:r>
      <w:r w:rsidR="00BB6C12" w:rsidRPr="008A69F3">
        <w:rPr>
          <w:bCs/>
          <w:i/>
          <w:szCs w:val="24"/>
          <w:u w:val="single"/>
        </w:rPr>
        <w:t>(</w:t>
      </w:r>
      <w:r w:rsidR="00540E5B" w:rsidRPr="008A69F3">
        <w:rPr>
          <w:bCs/>
          <w:i/>
          <w:szCs w:val="24"/>
          <w:u w:val="single"/>
        </w:rPr>
        <w:t>c</w:t>
      </w:r>
      <w:r w:rsidR="00BB6C12" w:rsidRPr="008A69F3">
        <w:rPr>
          <w:bCs/>
          <w:i/>
          <w:szCs w:val="24"/>
          <w:u w:val="single"/>
        </w:rPr>
        <w:t>)</w:t>
      </w:r>
    </w:p>
    <w:p w:rsidR="000F2955" w:rsidRPr="008A69F3" w:rsidRDefault="000F2955" w:rsidP="000F2955">
      <w:pPr>
        <w:rPr>
          <w:bCs/>
          <w:i/>
          <w:szCs w:val="24"/>
        </w:rPr>
      </w:pPr>
    </w:p>
    <w:p w:rsidR="007D61CC" w:rsidRPr="008A69F3" w:rsidRDefault="000F2955" w:rsidP="007D61CC">
      <w:pPr>
        <w:rPr>
          <w:bCs/>
          <w:iCs/>
          <w:szCs w:val="24"/>
        </w:rPr>
      </w:pPr>
      <w:r w:rsidRPr="008A69F3">
        <w:rPr>
          <w:bCs/>
          <w:iCs/>
          <w:szCs w:val="24"/>
        </w:rPr>
        <w:t xml:space="preserve">This </w:t>
      </w:r>
      <w:r w:rsidR="003E7CCA" w:rsidRPr="008A69F3">
        <w:rPr>
          <w:bCs/>
          <w:iCs/>
          <w:szCs w:val="24"/>
        </w:rPr>
        <w:t xml:space="preserve">clause </w:t>
      </w:r>
      <w:r w:rsidR="00BB6C12" w:rsidRPr="008A69F3">
        <w:rPr>
          <w:bCs/>
          <w:iCs/>
          <w:szCs w:val="24"/>
        </w:rPr>
        <w:t xml:space="preserve">replaces section 3.1 (c) of Schedule 3 </w:t>
      </w:r>
      <w:r w:rsidRPr="008A69F3">
        <w:rPr>
          <w:bCs/>
          <w:iCs/>
          <w:szCs w:val="24"/>
        </w:rPr>
        <w:t>to clari</w:t>
      </w:r>
      <w:r w:rsidR="00BB6C12" w:rsidRPr="008A69F3">
        <w:rPr>
          <w:bCs/>
          <w:iCs/>
          <w:szCs w:val="24"/>
        </w:rPr>
        <w:t>f</w:t>
      </w:r>
      <w:r w:rsidRPr="008A69F3">
        <w:rPr>
          <w:bCs/>
          <w:iCs/>
          <w:szCs w:val="24"/>
        </w:rPr>
        <w:t>y the status of dealings with specified viral vectors with no host</w:t>
      </w:r>
      <w:r w:rsidR="00BB6C12" w:rsidRPr="008A69F3">
        <w:rPr>
          <w:bCs/>
          <w:iCs/>
          <w:szCs w:val="24"/>
        </w:rPr>
        <w:t xml:space="preserve">. </w:t>
      </w:r>
      <w:r w:rsidRPr="008A69F3">
        <w:rPr>
          <w:bCs/>
          <w:iCs/>
          <w:szCs w:val="24"/>
        </w:rPr>
        <w:t xml:space="preserve"> </w:t>
      </w:r>
      <w:r w:rsidR="00BB6C12" w:rsidRPr="008A69F3">
        <w:rPr>
          <w:bCs/>
          <w:iCs/>
          <w:szCs w:val="24"/>
        </w:rPr>
        <w:t xml:space="preserve">It also broadens the relevant considerations to modifications other than insertion of donor nucleic acid, such as deletions, nucleotide substitutions, down-regulation of other genes or RNA interference, to enable more consistent consideration of the ability of modifications to cause harm. This </w:t>
      </w:r>
      <w:r w:rsidR="00A8162E" w:rsidRPr="008A69F3">
        <w:rPr>
          <w:bCs/>
          <w:iCs/>
          <w:szCs w:val="24"/>
        </w:rPr>
        <w:t xml:space="preserve">clause </w:t>
      </w:r>
      <w:r w:rsidR="00BB6C12" w:rsidRPr="008A69F3">
        <w:rPr>
          <w:bCs/>
          <w:iCs/>
          <w:szCs w:val="24"/>
        </w:rPr>
        <w:t xml:space="preserve">also amends a cross-reference </w:t>
      </w:r>
      <w:r w:rsidR="008F7EED" w:rsidRPr="008A69F3">
        <w:rPr>
          <w:bCs/>
          <w:iCs/>
          <w:szCs w:val="24"/>
        </w:rPr>
        <w:t xml:space="preserve">as a consequence of </w:t>
      </w:r>
      <w:r w:rsidR="00BB6C12" w:rsidRPr="008A69F3">
        <w:rPr>
          <w:bCs/>
          <w:iCs/>
          <w:szCs w:val="24"/>
        </w:rPr>
        <w:t xml:space="preserve">the replacement of Part 2.2 of Schedule 2 (see </w:t>
      </w:r>
      <w:r w:rsidR="00A8162E" w:rsidRPr="008A69F3">
        <w:rPr>
          <w:bCs/>
          <w:iCs/>
          <w:szCs w:val="24"/>
        </w:rPr>
        <w:t xml:space="preserve">clause </w:t>
      </w:r>
      <w:r w:rsidR="00BB6C12" w:rsidRPr="008A69F3">
        <w:rPr>
          <w:bCs/>
          <w:iCs/>
          <w:szCs w:val="24"/>
        </w:rPr>
        <w:t>[</w:t>
      </w:r>
      <w:r w:rsidR="008925EB" w:rsidRPr="008A69F3">
        <w:rPr>
          <w:bCs/>
          <w:iCs/>
          <w:szCs w:val="24"/>
        </w:rPr>
        <w:t>33</w:t>
      </w:r>
      <w:r w:rsidR="00BB6C12" w:rsidRPr="008A69F3">
        <w:rPr>
          <w:bCs/>
          <w:iCs/>
          <w:szCs w:val="24"/>
        </w:rPr>
        <w:t>]).</w:t>
      </w:r>
    </w:p>
    <w:p w:rsidR="008925EB" w:rsidRPr="008A69F3" w:rsidRDefault="008925EB" w:rsidP="00D833CC">
      <w:pPr>
        <w:rPr>
          <w:bCs/>
          <w:i/>
          <w:szCs w:val="24"/>
          <w:u w:val="single"/>
        </w:rPr>
      </w:pPr>
    </w:p>
    <w:p w:rsidR="00540E5B" w:rsidRPr="008A69F3" w:rsidRDefault="00D41B0B" w:rsidP="00D833CC">
      <w:pPr>
        <w:rPr>
          <w:bCs/>
          <w:i/>
          <w:szCs w:val="24"/>
          <w:u w:val="single"/>
        </w:rPr>
      </w:pPr>
      <w:r w:rsidRPr="008A69F3">
        <w:rPr>
          <w:bCs/>
          <w:i/>
          <w:szCs w:val="24"/>
          <w:u w:val="single"/>
        </w:rPr>
        <w:t>Clause</w:t>
      </w:r>
      <w:r w:rsidR="00871A40" w:rsidRPr="008A69F3">
        <w:rPr>
          <w:bCs/>
          <w:i/>
          <w:szCs w:val="24"/>
          <w:u w:val="single"/>
        </w:rPr>
        <w:t xml:space="preserve"> [</w:t>
      </w:r>
      <w:r w:rsidR="00AF7825" w:rsidRPr="008A69F3">
        <w:rPr>
          <w:bCs/>
          <w:i/>
          <w:szCs w:val="24"/>
          <w:u w:val="single"/>
        </w:rPr>
        <w:t>36</w:t>
      </w:r>
      <w:r w:rsidR="00871A40" w:rsidRPr="008A69F3">
        <w:rPr>
          <w:bCs/>
          <w:i/>
          <w:szCs w:val="24"/>
          <w:u w:val="single"/>
        </w:rPr>
        <w:t xml:space="preserve">] - </w:t>
      </w:r>
      <w:r w:rsidR="00540E5B" w:rsidRPr="008A69F3">
        <w:rPr>
          <w:bCs/>
          <w:i/>
          <w:szCs w:val="24"/>
          <w:u w:val="single"/>
        </w:rPr>
        <w:t>Schedule 3, section 3.2</w:t>
      </w:r>
    </w:p>
    <w:p w:rsidR="00E42319" w:rsidRPr="008A69F3" w:rsidRDefault="00E42319" w:rsidP="00E42319">
      <w:pPr>
        <w:rPr>
          <w:bCs/>
          <w:iCs/>
          <w:szCs w:val="24"/>
        </w:rPr>
      </w:pPr>
    </w:p>
    <w:p w:rsidR="00E42319" w:rsidRPr="008A69F3" w:rsidRDefault="00E42319" w:rsidP="00E42319">
      <w:pPr>
        <w:rPr>
          <w:bCs/>
          <w:iCs/>
          <w:szCs w:val="24"/>
        </w:rPr>
      </w:pPr>
      <w:r w:rsidRPr="008A69F3">
        <w:rPr>
          <w:bCs/>
          <w:iCs/>
          <w:szCs w:val="24"/>
        </w:rPr>
        <w:t xml:space="preserve">This </w:t>
      </w:r>
      <w:r w:rsidR="003E7CCA" w:rsidRPr="008A69F3">
        <w:rPr>
          <w:bCs/>
          <w:iCs/>
          <w:szCs w:val="24"/>
        </w:rPr>
        <w:t xml:space="preserve">clause </w:t>
      </w:r>
      <w:r w:rsidR="00871A40" w:rsidRPr="008A69F3">
        <w:rPr>
          <w:bCs/>
          <w:iCs/>
          <w:szCs w:val="24"/>
        </w:rPr>
        <w:t xml:space="preserve">amends a cross reference </w:t>
      </w:r>
      <w:r w:rsidR="008F7EED" w:rsidRPr="008A69F3">
        <w:rPr>
          <w:bCs/>
          <w:iCs/>
          <w:szCs w:val="24"/>
        </w:rPr>
        <w:t xml:space="preserve">as a consequence of </w:t>
      </w:r>
      <w:r w:rsidR="00871A40" w:rsidRPr="008A69F3">
        <w:rPr>
          <w:bCs/>
          <w:iCs/>
          <w:szCs w:val="24"/>
        </w:rPr>
        <w:t xml:space="preserve">the amendment of </w:t>
      </w:r>
      <w:r w:rsidR="00B066F9" w:rsidRPr="008A69F3">
        <w:rPr>
          <w:bCs/>
          <w:iCs/>
          <w:szCs w:val="24"/>
        </w:rPr>
        <w:t>section</w:t>
      </w:r>
      <w:r w:rsidR="00871A40" w:rsidRPr="008A69F3">
        <w:rPr>
          <w:bCs/>
          <w:iCs/>
          <w:szCs w:val="24"/>
        </w:rPr>
        <w:t xml:space="preserve"> 13(3) by </w:t>
      </w:r>
      <w:r w:rsidR="008925EB" w:rsidRPr="008A69F3">
        <w:rPr>
          <w:bCs/>
          <w:iCs/>
          <w:szCs w:val="24"/>
        </w:rPr>
        <w:t>clause</w:t>
      </w:r>
      <w:r w:rsidR="00871A40" w:rsidRPr="008A69F3">
        <w:rPr>
          <w:bCs/>
          <w:iCs/>
          <w:szCs w:val="24"/>
        </w:rPr>
        <w:t xml:space="preserve"> [1</w:t>
      </w:r>
      <w:r w:rsidR="008925EB" w:rsidRPr="008A69F3">
        <w:rPr>
          <w:bCs/>
          <w:iCs/>
          <w:szCs w:val="24"/>
        </w:rPr>
        <w:t>5</w:t>
      </w:r>
      <w:r w:rsidR="00871A40" w:rsidRPr="008A69F3">
        <w:rPr>
          <w:bCs/>
          <w:iCs/>
          <w:szCs w:val="24"/>
        </w:rPr>
        <w:t xml:space="preserve">]. </w:t>
      </w:r>
    </w:p>
    <w:p w:rsidR="00E42319" w:rsidRPr="008A69F3" w:rsidRDefault="00E42319" w:rsidP="00E42319">
      <w:pPr>
        <w:rPr>
          <w:bCs/>
          <w:i/>
          <w:szCs w:val="24"/>
        </w:rPr>
      </w:pPr>
    </w:p>
    <w:p w:rsidR="00540E5B" w:rsidRPr="008A69F3" w:rsidRDefault="00D41B0B" w:rsidP="00D833CC">
      <w:pPr>
        <w:rPr>
          <w:bCs/>
          <w:i/>
          <w:szCs w:val="24"/>
          <w:u w:val="single"/>
        </w:rPr>
      </w:pPr>
      <w:r w:rsidRPr="008A69F3">
        <w:rPr>
          <w:bCs/>
          <w:i/>
          <w:szCs w:val="24"/>
          <w:u w:val="single"/>
        </w:rPr>
        <w:t>Clause</w:t>
      </w:r>
      <w:r w:rsidR="00F34F62" w:rsidRPr="008A69F3">
        <w:rPr>
          <w:bCs/>
          <w:i/>
          <w:szCs w:val="24"/>
          <w:u w:val="single"/>
        </w:rPr>
        <w:t xml:space="preserve"> [</w:t>
      </w:r>
      <w:r w:rsidR="00731BEB" w:rsidRPr="008A69F3">
        <w:rPr>
          <w:bCs/>
          <w:i/>
          <w:szCs w:val="24"/>
          <w:u w:val="single"/>
        </w:rPr>
        <w:t>37</w:t>
      </w:r>
      <w:r w:rsidR="00F34F62" w:rsidRPr="008A69F3">
        <w:rPr>
          <w:bCs/>
          <w:i/>
          <w:szCs w:val="24"/>
          <w:u w:val="single"/>
        </w:rPr>
        <w:t xml:space="preserve">] - </w:t>
      </w:r>
      <w:r w:rsidR="00540E5B" w:rsidRPr="008A69F3">
        <w:rPr>
          <w:bCs/>
          <w:i/>
          <w:szCs w:val="24"/>
          <w:u w:val="single"/>
        </w:rPr>
        <w:t>Schedule 3, section 3.2</w:t>
      </w:r>
      <w:r w:rsidR="0004697D" w:rsidRPr="008A69F3">
        <w:rPr>
          <w:bCs/>
          <w:i/>
          <w:szCs w:val="24"/>
          <w:u w:val="single"/>
        </w:rPr>
        <w:t xml:space="preserve"> (</w:t>
      </w:r>
      <w:r w:rsidR="00540E5B" w:rsidRPr="008A69F3">
        <w:rPr>
          <w:bCs/>
          <w:i/>
          <w:szCs w:val="24"/>
          <w:u w:val="single"/>
        </w:rPr>
        <w:t>d</w:t>
      </w:r>
      <w:r w:rsidR="0004697D" w:rsidRPr="008A69F3">
        <w:rPr>
          <w:bCs/>
          <w:i/>
          <w:szCs w:val="24"/>
          <w:u w:val="single"/>
        </w:rPr>
        <w:t>)</w:t>
      </w:r>
      <w:r w:rsidR="00540E5B" w:rsidRPr="008A69F3">
        <w:rPr>
          <w:bCs/>
          <w:i/>
          <w:szCs w:val="24"/>
          <w:u w:val="single"/>
        </w:rPr>
        <w:t xml:space="preserve"> </w:t>
      </w:r>
    </w:p>
    <w:p w:rsidR="00401D82" w:rsidRPr="008A69F3" w:rsidRDefault="00401D82" w:rsidP="00713560">
      <w:pPr>
        <w:rPr>
          <w:bCs/>
          <w:iCs/>
          <w:szCs w:val="24"/>
        </w:rPr>
      </w:pPr>
    </w:p>
    <w:p w:rsidR="00F34F62" w:rsidRPr="008A69F3" w:rsidRDefault="00F34F62" w:rsidP="00713560">
      <w:pPr>
        <w:rPr>
          <w:bCs/>
          <w:iCs/>
          <w:szCs w:val="24"/>
        </w:rPr>
      </w:pPr>
      <w:r w:rsidRPr="008A69F3">
        <w:rPr>
          <w:color w:val="000000"/>
          <w:szCs w:val="24"/>
          <w:shd w:val="clear" w:color="auto" w:fill="FFFFFF"/>
        </w:rPr>
        <w:t xml:space="preserve">This </w:t>
      </w:r>
      <w:r w:rsidR="003E7CCA" w:rsidRPr="008A69F3">
        <w:rPr>
          <w:color w:val="000000"/>
          <w:szCs w:val="24"/>
          <w:shd w:val="clear" w:color="auto" w:fill="FFFFFF"/>
        </w:rPr>
        <w:t xml:space="preserve">clause </w:t>
      </w:r>
      <w:r w:rsidRPr="008A69F3">
        <w:rPr>
          <w:color w:val="000000"/>
          <w:szCs w:val="24"/>
          <w:shd w:val="clear" w:color="auto" w:fill="FFFFFF"/>
        </w:rPr>
        <w:t xml:space="preserve">amends a reference to host/vector systems for consistency with usage of the term elsewhere in the </w:t>
      </w:r>
      <w:r w:rsidR="00007CC3" w:rsidRPr="008A69F3">
        <w:rPr>
          <w:color w:val="000000"/>
          <w:szCs w:val="24"/>
          <w:shd w:val="clear" w:color="auto" w:fill="FFFFFF"/>
        </w:rPr>
        <w:t xml:space="preserve">Principal </w:t>
      </w:r>
      <w:r w:rsidRPr="008A69F3">
        <w:rPr>
          <w:color w:val="000000"/>
          <w:szCs w:val="24"/>
          <w:shd w:val="clear" w:color="auto" w:fill="FFFFFF"/>
        </w:rPr>
        <w:t>Regulation.</w:t>
      </w:r>
    </w:p>
    <w:p w:rsidR="00713560" w:rsidRPr="008A69F3" w:rsidRDefault="00713560" w:rsidP="00713560">
      <w:pPr>
        <w:rPr>
          <w:bCs/>
          <w:i/>
          <w:szCs w:val="24"/>
        </w:rPr>
      </w:pPr>
    </w:p>
    <w:p w:rsidR="00830966" w:rsidRDefault="00D41B0B" w:rsidP="00830966">
      <w:pPr>
        <w:rPr>
          <w:bCs/>
          <w:i/>
          <w:szCs w:val="24"/>
          <w:u w:val="single"/>
        </w:rPr>
      </w:pPr>
      <w:r w:rsidRPr="008A69F3">
        <w:rPr>
          <w:bCs/>
          <w:i/>
          <w:szCs w:val="24"/>
          <w:u w:val="single"/>
        </w:rPr>
        <w:t>Clause</w:t>
      </w:r>
      <w:r w:rsidR="000840B4" w:rsidRPr="008A69F3">
        <w:rPr>
          <w:bCs/>
          <w:i/>
          <w:szCs w:val="24"/>
          <w:u w:val="single"/>
        </w:rPr>
        <w:t xml:space="preserve"> [</w:t>
      </w:r>
      <w:r w:rsidR="00731BEB" w:rsidRPr="008A69F3">
        <w:rPr>
          <w:bCs/>
          <w:i/>
          <w:szCs w:val="24"/>
          <w:u w:val="single"/>
        </w:rPr>
        <w:t>38</w:t>
      </w:r>
      <w:r w:rsidR="000840B4" w:rsidRPr="008A69F3">
        <w:rPr>
          <w:bCs/>
          <w:i/>
          <w:szCs w:val="24"/>
          <w:u w:val="single"/>
        </w:rPr>
        <w:t>]-[</w:t>
      </w:r>
      <w:r w:rsidR="00830966">
        <w:rPr>
          <w:bCs/>
          <w:i/>
          <w:szCs w:val="24"/>
          <w:u w:val="single"/>
        </w:rPr>
        <w:t>40</w:t>
      </w:r>
      <w:r w:rsidR="000840B4" w:rsidRPr="00830966">
        <w:rPr>
          <w:bCs/>
          <w:i/>
          <w:szCs w:val="24"/>
          <w:u w:val="single"/>
        </w:rPr>
        <w:t>]</w:t>
      </w:r>
      <w:r w:rsidR="000840B4" w:rsidRPr="0035275C">
        <w:rPr>
          <w:bCs/>
          <w:i/>
          <w:szCs w:val="24"/>
          <w:u w:val="single"/>
        </w:rPr>
        <w:t xml:space="preserve"> - </w:t>
      </w:r>
      <w:r w:rsidR="00540E5B" w:rsidRPr="0035275C">
        <w:rPr>
          <w:bCs/>
          <w:i/>
          <w:szCs w:val="24"/>
          <w:u w:val="single"/>
        </w:rPr>
        <w:t>S</w:t>
      </w:r>
      <w:r w:rsidR="00540E5B" w:rsidRPr="008A69F3">
        <w:rPr>
          <w:bCs/>
          <w:i/>
          <w:szCs w:val="24"/>
          <w:u w:val="single"/>
        </w:rPr>
        <w:t>chedule 3, section</w:t>
      </w:r>
      <w:r w:rsidR="000840B4" w:rsidRPr="008A69F3">
        <w:rPr>
          <w:bCs/>
          <w:i/>
          <w:szCs w:val="24"/>
          <w:u w:val="single"/>
        </w:rPr>
        <w:t>s 3.2(d)</w:t>
      </w:r>
      <w:r w:rsidR="00830966">
        <w:rPr>
          <w:bCs/>
          <w:i/>
          <w:szCs w:val="24"/>
          <w:u w:val="single"/>
        </w:rPr>
        <w:t xml:space="preserve"> to </w:t>
      </w:r>
      <w:r w:rsidR="00830966" w:rsidRPr="00D60F99">
        <w:rPr>
          <w:bCs/>
          <w:i/>
          <w:szCs w:val="24"/>
          <w:u w:val="single"/>
        </w:rPr>
        <w:t xml:space="preserve">(e) (i) </w:t>
      </w:r>
    </w:p>
    <w:p w:rsidR="00540E5B" w:rsidRPr="004C034B" w:rsidRDefault="00540E5B" w:rsidP="00D833CC">
      <w:pPr>
        <w:rPr>
          <w:bCs/>
          <w:i/>
          <w:szCs w:val="24"/>
          <w:u w:val="single"/>
        </w:rPr>
      </w:pPr>
    </w:p>
    <w:p w:rsidR="00401D82" w:rsidRPr="008A69F3" w:rsidRDefault="00401D82" w:rsidP="00401D82">
      <w:pPr>
        <w:rPr>
          <w:snapToGrid w:val="0"/>
          <w:color w:val="000000"/>
          <w:szCs w:val="24"/>
          <w:shd w:val="clear" w:color="auto" w:fill="FFFFFF"/>
        </w:rPr>
      </w:pPr>
      <w:r w:rsidRPr="0035275C">
        <w:rPr>
          <w:bCs/>
          <w:iCs/>
          <w:szCs w:val="24"/>
        </w:rPr>
        <w:t>Th</w:t>
      </w:r>
      <w:r w:rsidR="00830966">
        <w:rPr>
          <w:bCs/>
          <w:iCs/>
          <w:szCs w:val="24"/>
        </w:rPr>
        <w:t>ese</w:t>
      </w:r>
      <w:r w:rsidRPr="0035275C">
        <w:rPr>
          <w:bCs/>
          <w:iCs/>
          <w:szCs w:val="24"/>
        </w:rPr>
        <w:t xml:space="preserve"> </w:t>
      </w:r>
      <w:r w:rsidR="003E7CCA" w:rsidRPr="008A69F3">
        <w:rPr>
          <w:bCs/>
          <w:iCs/>
          <w:szCs w:val="24"/>
        </w:rPr>
        <w:t>clause</w:t>
      </w:r>
      <w:r w:rsidR="00830966">
        <w:rPr>
          <w:bCs/>
          <w:iCs/>
          <w:szCs w:val="24"/>
        </w:rPr>
        <w:t>s</w:t>
      </w:r>
      <w:r w:rsidR="000840B4" w:rsidRPr="0035275C">
        <w:rPr>
          <w:bCs/>
          <w:iCs/>
          <w:szCs w:val="24"/>
        </w:rPr>
        <w:t xml:space="preserve"> </w:t>
      </w:r>
      <w:r w:rsidR="000840B4" w:rsidRPr="0035275C">
        <w:rPr>
          <w:snapToGrid w:val="0"/>
          <w:color w:val="000000"/>
          <w:szCs w:val="24"/>
          <w:shd w:val="clear" w:color="auto" w:fill="FFFFFF"/>
        </w:rPr>
        <w:t>broaden</w:t>
      </w:r>
      <w:r w:rsidR="00830966">
        <w:rPr>
          <w:snapToGrid w:val="0"/>
          <w:color w:val="000000"/>
          <w:szCs w:val="24"/>
          <w:shd w:val="clear" w:color="auto" w:fill="FFFFFF"/>
        </w:rPr>
        <w:t xml:space="preserve"> </w:t>
      </w:r>
      <w:r w:rsidR="000840B4" w:rsidRPr="0035275C">
        <w:rPr>
          <w:snapToGrid w:val="0"/>
          <w:color w:val="000000"/>
          <w:szCs w:val="24"/>
          <w:shd w:val="clear" w:color="auto" w:fill="FFFFFF"/>
        </w:rPr>
        <w:t>the considerations required in sections 3.2(d)</w:t>
      </w:r>
      <w:r w:rsidR="0004697D" w:rsidRPr="008A69F3">
        <w:rPr>
          <w:snapToGrid w:val="0"/>
          <w:color w:val="000000"/>
          <w:szCs w:val="24"/>
          <w:shd w:val="clear" w:color="auto" w:fill="FFFFFF"/>
        </w:rPr>
        <w:t xml:space="preserve"> and (e) </w:t>
      </w:r>
      <w:r w:rsidR="000840B4" w:rsidRPr="008A69F3">
        <w:rPr>
          <w:snapToGrid w:val="0"/>
          <w:color w:val="000000"/>
          <w:szCs w:val="24"/>
          <w:shd w:val="clear" w:color="auto" w:fill="FFFFFF"/>
        </w:rPr>
        <w:t>of Schedule 3 to modifications other than insertion of donor nucleic acid, such as deletions, nucleotide substitutions, down-regulation of other genes or RNA interference, to enable more consistent consideration of the ability of modifications to cause harm.</w:t>
      </w:r>
    </w:p>
    <w:p w:rsidR="00401D82" w:rsidRPr="004C034B" w:rsidRDefault="00401D82" w:rsidP="00401D82">
      <w:pPr>
        <w:rPr>
          <w:bCs/>
          <w:i/>
          <w:szCs w:val="24"/>
        </w:rPr>
      </w:pPr>
    </w:p>
    <w:p w:rsidR="00540E5B" w:rsidRPr="008A69F3" w:rsidRDefault="00D41B0B" w:rsidP="00D833CC">
      <w:pPr>
        <w:rPr>
          <w:bCs/>
          <w:i/>
          <w:szCs w:val="24"/>
          <w:u w:val="single"/>
        </w:rPr>
      </w:pPr>
      <w:r w:rsidRPr="0035275C">
        <w:rPr>
          <w:bCs/>
          <w:i/>
          <w:szCs w:val="24"/>
          <w:u w:val="single"/>
        </w:rPr>
        <w:t>Clause</w:t>
      </w:r>
      <w:r w:rsidR="0004697D" w:rsidRPr="0035275C">
        <w:rPr>
          <w:bCs/>
          <w:i/>
          <w:szCs w:val="24"/>
          <w:u w:val="single"/>
        </w:rPr>
        <w:t xml:space="preserve"> [</w:t>
      </w:r>
      <w:r w:rsidR="00731BEB" w:rsidRPr="008A69F3">
        <w:rPr>
          <w:bCs/>
          <w:i/>
          <w:szCs w:val="24"/>
          <w:u w:val="single"/>
        </w:rPr>
        <w:t>4</w:t>
      </w:r>
      <w:r w:rsidR="00205203" w:rsidRPr="008A69F3">
        <w:rPr>
          <w:bCs/>
          <w:i/>
          <w:szCs w:val="24"/>
          <w:u w:val="single"/>
        </w:rPr>
        <w:t>1</w:t>
      </w:r>
      <w:r w:rsidR="0004697D" w:rsidRPr="008A69F3">
        <w:rPr>
          <w:bCs/>
          <w:i/>
          <w:szCs w:val="24"/>
          <w:u w:val="single"/>
        </w:rPr>
        <w:t xml:space="preserve">] - </w:t>
      </w:r>
      <w:r w:rsidR="00540E5B" w:rsidRPr="008A69F3">
        <w:rPr>
          <w:bCs/>
          <w:i/>
          <w:szCs w:val="24"/>
          <w:u w:val="single"/>
        </w:rPr>
        <w:t>Schedule 3, section 3.2 (h)</w:t>
      </w:r>
    </w:p>
    <w:p w:rsidR="00401D82" w:rsidRPr="008A69F3" w:rsidRDefault="00401D82" w:rsidP="00401D82">
      <w:pPr>
        <w:rPr>
          <w:bCs/>
          <w:i/>
          <w:szCs w:val="24"/>
        </w:rPr>
      </w:pPr>
    </w:p>
    <w:p w:rsidR="00401D82" w:rsidRPr="008A69F3" w:rsidRDefault="00401D82" w:rsidP="00401D82">
      <w:pPr>
        <w:rPr>
          <w:bCs/>
          <w:iCs/>
          <w:szCs w:val="24"/>
        </w:rPr>
      </w:pPr>
      <w:r w:rsidRPr="008A69F3">
        <w:rPr>
          <w:bCs/>
          <w:iCs/>
          <w:szCs w:val="24"/>
        </w:rPr>
        <w:t xml:space="preserve">This </w:t>
      </w:r>
      <w:r w:rsidR="003E7CCA" w:rsidRPr="008A69F3">
        <w:rPr>
          <w:bCs/>
          <w:iCs/>
          <w:szCs w:val="24"/>
        </w:rPr>
        <w:t>clause</w:t>
      </w:r>
      <w:r w:rsidR="0004697D" w:rsidRPr="008A69F3">
        <w:rPr>
          <w:bCs/>
          <w:iCs/>
          <w:szCs w:val="24"/>
        </w:rPr>
        <w:t xml:space="preserve"> amends a cross</w:t>
      </w:r>
      <w:r w:rsidR="0004697D" w:rsidRPr="008A69F3">
        <w:rPr>
          <w:bCs/>
          <w:iCs/>
          <w:szCs w:val="24"/>
        </w:rPr>
        <w:noBreakHyphen/>
        <w:t xml:space="preserve">reference </w:t>
      </w:r>
      <w:r w:rsidR="008F7EED" w:rsidRPr="008A69F3">
        <w:rPr>
          <w:bCs/>
          <w:iCs/>
          <w:szCs w:val="24"/>
        </w:rPr>
        <w:t xml:space="preserve">as a consequence of </w:t>
      </w:r>
      <w:r w:rsidR="0004697D" w:rsidRPr="008A69F3">
        <w:rPr>
          <w:bCs/>
          <w:iCs/>
          <w:szCs w:val="24"/>
        </w:rPr>
        <w:t>the replacement of part 2.2, item 1 of Schedule 3 (see item [25])</w:t>
      </w:r>
      <w:r w:rsidRPr="008A69F3">
        <w:rPr>
          <w:bCs/>
          <w:iCs/>
          <w:szCs w:val="24"/>
        </w:rPr>
        <w:t xml:space="preserve">. </w:t>
      </w:r>
    </w:p>
    <w:p w:rsidR="00401D82" w:rsidRPr="008A69F3" w:rsidRDefault="00401D82" w:rsidP="00401D82">
      <w:pPr>
        <w:rPr>
          <w:bCs/>
          <w:i/>
          <w:szCs w:val="24"/>
        </w:rPr>
      </w:pPr>
    </w:p>
    <w:p w:rsidR="00540E5B" w:rsidRPr="008A69F3" w:rsidRDefault="00D41B0B" w:rsidP="00D833CC">
      <w:pPr>
        <w:rPr>
          <w:bCs/>
          <w:i/>
          <w:szCs w:val="24"/>
          <w:u w:val="single"/>
        </w:rPr>
      </w:pPr>
      <w:r w:rsidRPr="008A69F3">
        <w:rPr>
          <w:bCs/>
          <w:i/>
          <w:szCs w:val="24"/>
          <w:u w:val="single"/>
        </w:rPr>
        <w:t>Clause</w:t>
      </w:r>
      <w:r w:rsidR="0004697D" w:rsidRPr="008A69F3">
        <w:rPr>
          <w:bCs/>
          <w:i/>
          <w:szCs w:val="24"/>
          <w:u w:val="single"/>
        </w:rPr>
        <w:t xml:space="preserve"> [</w:t>
      </w:r>
      <w:r w:rsidR="00731BEB" w:rsidRPr="008A69F3">
        <w:rPr>
          <w:bCs/>
          <w:i/>
          <w:szCs w:val="24"/>
          <w:u w:val="single"/>
        </w:rPr>
        <w:t>4</w:t>
      </w:r>
      <w:r w:rsidR="00205203" w:rsidRPr="008A69F3">
        <w:rPr>
          <w:bCs/>
          <w:i/>
          <w:szCs w:val="24"/>
          <w:u w:val="single"/>
        </w:rPr>
        <w:t>2</w:t>
      </w:r>
      <w:r w:rsidR="0004697D" w:rsidRPr="008A69F3">
        <w:rPr>
          <w:bCs/>
          <w:i/>
          <w:szCs w:val="24"/>
          <w:u w:val="single"/>
        </w:rPr>
        <w:t>]-[</w:t>
      </w:r>
      <w:r w:rsidR="00205203" w:rsidRPr="008A69F3">
        <w:rPr>
          <w:bCs/>
          <w:i/>
          <w:szCs w:val="24"/>
          <w:u w:val="single"/>
        </w:rPr>
        <w:t>50</w:t>
      </w:r>
      <w:r w:rsidR="0004697D" w:rsidRPr="008A69F3">
        <w:rPr>
          <w:bCs/>
          <w:i/>
          <w:szCs w:val="24"/>
          <w:u w:val="single"/>
        </w:rPr>
        <w:t xml:space="preserve">] - </w:t>
      </w:r>
      <w:r w:rsidR="00540E5B" w:rsidRPr="008A69F3">
        <w:rPr>
          <w:bCs/>
          <w:i/>
          <w:szCs w:val="24"/>
          <w:u w:val="single"/>
        </w:rPr>
        <w:t>Schedule 3, section</w:t>
      </w:r>
      <w:r w:rsidR="0004697D" w:rsidRPr="008A69F3">
        <w:rPr>
          <w:bCs/>
          <w:i/>
          <w:szCs w:val="24"/>
          <w:u w:val="single"/>
        </w:rPr>
        <w:t>s</w:t>
      </w:r>
      <w:r w:rsidR="00540E5B" w:rsidRPr="008A69F3">
        <w:rPr>
          <w:bCs/>
          <w:i/>
          <w:szCs w:val="24"/>
          <w:u w:val="single"/>
        </w:rPr>
        <w:t xml:space="preserve"> 3.2 (i)</w:t>
      </w:r>
      <w:r w:rsidR="0004697D" w:rsidRPr="008A69F3">
        <w:rPr>
          <w:bCs/>
          <w:i/>
          <w:szCs w:val="24"/>
          <w:u w:val="single"/>
        </w:rPr>
        <w:t>-(m)</w:t>
      </w:r>
      <w:r w:rsidR="00540E5B" w:rsidRPr="008A69F3">
        <w:rPr>
          <w:bCs/>
          <w:i/>
          <w:szCs w:val="24"/>
          <w:u w:val="single"/>
        </w:rPr>
        <w:t xml:space="preserve"> </w:t>
      </w:r>
    </w:p>
    <w:p w:rsidR="00324DC5" w:rsidRPr="008A69F3" w:rsidRDefault="00324DC5" w:rsidP="00CF6E5C">
      <w:pPr>
        <w:rPr>
          <w:bCs/>
          <w:iCs/>
          <w:szCs w:val="24"/>
        </w:rPr>
      </w:pPr>
    </w:p>
    <w:p w:rsidR="00401D82" w:rsidRPr="008A69F3" w:rsidRDefault="0004697D" w:rsidP="00401D82">
      <w:pPr>
        <w:rPr>
          <w:bCs/>
          <w:i/>
          <w:szCs w:val="24"/>
        </w:rPr>
      </w:pPr>
      <w:r w:rsidRPr="008A69F3">
        <w:rPr>
          <w:snapToGrid w:val="0"/>
          <w:color w:val="000000"/>
          <w:szCs w:val="24"/>
          <w:shd w:val="clear" w:color="auto" w:fill="FFFFFF"/>
        </w:rPr>
        <w:t xml:space="preserve">These </w:t>
      </w:r>
      <w:r w:rsidR="003E7CCA" w:rsidRPr="008A69F3">
        <w:rPr>
          <w:snapToGrid w:val="0"/>
          <w:color w:val="000000"/>
          <w:szCs w:val="24"/>
          <w:shd w:val="clear" w:color="auto" w:fill="FFFFFF"/>
        </w:rPr>
        <w:t>clauses</w:t>
      </w:r>
      <w:r w:rsidRPr="008A69F3">
        <w:rPr>
          <w:snapToGrid w:val="0"/>
          <w:color w:val="000000"/>
          <w:szCs w:val="24"/>
          <w:shd w:val="clear" w:color="auto" w:fill="FFFFFF"/>
        </w:rPr>
        <w:t xml:space="preserve"> amend </w:t>
      </w:r>
      <w:r w:rsidR="00732673" w:rsidRPr="008A69F3">
        <w:rPr>
          <w:snapToGrid w:val="0"/>
          <w:color w:val="000000"/>
          <w:szCs w:val="24"/>
          <w:shd w:val="clear" w:color="auto" w:fill="FFFFFF"/>
        </w:rPr>
        <w:t>sections 3.2</w:t>
      </w:r>
      <w:r w:rsidRPr="008A69F3">
        <w:rPr>
          <w:snapToGrid w:val="0"/>
          <w:color w:val="000000"/>
          <w:szCs w:val="24"/>
          <w:shd w:val="clear" w:color="auto" w:fill="FFFFFF"/>
        </w:rPr>
        <w:t xml:space="preserve"> (i)-(m) of Schedule 3 to clarify the status of dealings with a viral vector with no host, and amend paragraphs (k) and (m) to broaden the relevant considerations to modifications other than insertion of donor nucleic acid, such as deletions, nucleotide substitutions, down-regulation of other genes or RNA interference, to enable more consistent consideration of the ability of modifications to cause harm.</w:t>
      </w:r>
    </w:p>
    <w:p w:rsidR="00CA7B69" w:rsidRPr="008A69F3" w:rsidRDefault="00CA7B69" w:rsidP="00CA7B69">
      <w:pPr>
        <w:rPr>
          <w:bCs/>
          <w:i/>
          <w:szCs w:val="24"/>
        </w:rPr>
      </w:pPr>
    </w:p>
    <w:p w:rsidR="00952B8F" w:rsidRPr="008A69F3" w:rsidRDefault="00D41B0B" w:rsidP="00D833CC">
      <w:pPr>
        <w:rPr>
          <w:bCs/>
          <w:i/>
          <w:szCs w:val="24"/>
          <w:u w:val="single"/>
        </w:rPr>
      </w:pPr>
      <w:r w:rsidRPr="008A69F3">
        <w:rPr>
          <w:bCs/>
          <w:i/>
          <w:szCs w:val="24"/>
          <w:u w:val="single"/>
        </w:rPr>
        <w:t>Clause</w:t>
      </w:r>
      <w:r w:rsidR="00AB5C4E" w:rsidRPr="008A69F3">
        <w:rPr>
          <w:bCs/>
          <w:i/>
          <w:szCs w:val="24"/>
          <w:u w:val="single"/>
        </w:rPr>
        <w:t xml:space="preserve"> [</w:t>
      </w:r>
      <w:r w:rsidR="006D2576" w:rsidRPr="008A69F3">
        <w:rPr>
          <w:bCs/>
          <w:i/>
          <w:szCs w:val="24"/>
          <w:u w:val="single"/>
        </w:rPr>
        <w:t>51]</w:t>
      </w:r>
      <w:r w:rsidR="00AB5C4E" w:rsidRPr="008A69F3">
        <w:rPr>
          <w:bCs/>
          <w:i/>
          <w:szCs w:val="24"/>
          <w:u w:val="single"/>
        </w:rPr>
        <w:t xml:space="preserve"> </w:t>
      </w:r>
      <w:r w:rsidR="00952B8F" w:rsidRPr="008A69F3">
        <w:rPr>
          <w:bCs/>
          <w:i/>
          <w:szCs w:val="24"/>
          <w:u w:val="single"/>
        </w:rPr>
        <w:t>Schedule 3, section 3.2A</w:t>
      </w:r>
    </w:p>
    <w:p w:rsidR="00CA7B69" w:rsidRPr="008A69F3" w:rsidRDefault="00CA7B69" w:rsidP="00FC45AB">
      <w:pPr>
        <w:rPr>
          <w:bCs/>
          <w:iCs/>
          <w:szCs w:val="24"/>
        </w:rPr>
      </w:pPr>
    </w:p>
    <w:p w:rsidR="00FC45AB" w:rsidRPr="008A69F3" w:rsidRDefault="00CA7B69" w:rsidP="00FC45AB">
      <w:pPr>
        <w:rPr>
          <w:bCs/>
          <w:iCs/>
          <w:szCs w:val="24"/>
        </w:rPr>
      </w:pPr>
      <w:r w:rsidRPr="008A69F3">
        <w:rPr>
          <w:bCs/>
          <w:iCs/>
          <w:szCs w:val="24"/>
        </w:rPr>
        <w:t xml:space="preserve">This </w:t>
      </w:r>
      <w:r w:rsidR="003E7CCA" w:rsidRPr="008A69F3">
        <w:rPr>
          <w:bCs/>
          <w:iCs/>
          <w:szCs w:val="24"/>
        </w:rPr>
        <w:t>clause</w:t>
      </w:r>
      <w:r w:rsidR="00AB5C4E" w:rsidRPr="008A69F3">
        <w:rPr>
          <w:bCs/>
          <w:iCs/>
          <w:szCs w:val="24"/>
        </w:rPr>
        <w:t xml:space="preserve"> </w:t>
      </w:r>
      <w:r w:rsidRPr="008A69F3">
        <w:rPr>
          <w:bCs/>
          <w:iCs/>
          <w:szCs w:val="24"/>
        </w:rPr>
        <w:t xml:space="preserve">replaces </w:t>
      </w:r>
      <w:r w:rsidR="00AB5C4E" w:rsidRPr="008A69F3">
        <w:rPr>
          <w:bCs/>
          <w:iCs/>
          <w:szCs w:val="24"/>
        </w:rPr>
        <w:t>section 3.2A</w:t>
      </w:r>
      <w:r w:rsidRPr="008A69F3">
        <w:rPr>
          <w:bCs/>
          <w:iCs/>
          <w:szCs w:val="24"/>
        </w:rPr>
        <w:t xml:space="preserve"> of </w:t>
      </w:r>
      <w:r w:rsidR="00D61FE5" w:rsidRPr="008A69F3">
        <w:rPr>
          <w:bCs/>
          <w:iCs/>
          <w:szCs w:val="24"/>
        </w:rPr>
        <w:t>S</w:t>
      </w:r>
      <w:r w:rsidRPr="008A69F3">
        <w:rPr>
          <w:bCs/>
          <w:iCs/>
          <w:szCs w:val="24"/>
        </w:rPr>
        <w:t>chedule 3</w:t>
      </w:r>
      <w:r w:rsidR="00AB5C4E" w:rsidRPr="008A69F3">
        <w:rPr>
          <w:bCs/>
          <w:iCs/>
          <w:szCs w:val="24"/>
        </w:rPr>
        <w:t xml:space="preserve">, </w:t>
      </w:r>
      <w:r w:rsidR="00AB5C4E" w:rsidRPr="008A69F3">
        <w:rPr>
          <w:snapToGrid w:val="0"/>
          <w:color w:val="000000"/>
          <w:szCs w:val="24"/>
          <w:shd w:val="clear" w:color="auto" w:fill="FFFFFF"/>
        </w:rPr>
        <w:t xml:space="preserve">to clarify the intention of the section as laid out in the Explanatory Statement to the </w:t>
      </w:r>
      <w:r w:rsidR="00AB5C4E" w:rsidRPr="008A69F3">
        <w:rPr>
          <w:i/>
          <w:iCs/>
          <w:snapToGrid w:val="0"/>
          <w:color w:val="000000"/>
          <w:szCs w:val="24"/>
          <w:shd w:val="clear" w:color="auto" w:fill="FFFFFF"/>
        </w:rPr>
        <w:t>Gene Technology Amendment Regulations 2011 (No. 1)</w:t>
      </w:r>
      <w:r w:rsidR="00AB5C4E" w:rsidRPr="008A69F3">
        <w:rPr>
          <w:snapToGrid w:val="0"/>
          <w:color w:val="000000"/>
          <w:szCs w:val="24"/>
          <w:shd w:val="clear" w:color="auto" w:fill="FFFFFF"/>
        </w:rPr>
        <w:t xml:space="preserve">, and to specify that the section does not apply to replication defective retroviral vectors given direct consideration in sections 3.2(l) and (m) of Schedule 3. Any other dealing classified as a NLRD under Part 3 of Schedule 3 involving a risk group 3 parent microorganism (where the classification of the unmodified parent organism, according to the criteria of AS/NZS 2243.3:2010, is the relevant consideration) is required to be undertaken in facilities that are certified to at least physical containment level 3 and that are appropriate for the dealing, unless allowed otherwise under section 13(2)(c) or </w:t>
      </w:r>
      <w:r w:rsidR="00B066F9" w:rsidRPr="008A69F3">
        <w:rPr>
          <w:snapToGrid w:val="0"/>
          <w:color w:val="000000"/>
          <w:szCs w:val="24"/>
          <w:shd w:val="clear" w:color="auto" w:fill="FFFFFF"/>
        </w:rPr>
        <w:t>section</w:t>
      </w:r>
      <w:r w:rsidR="00AB5C4E" w:rsidRPr="008A69F3">
        <w:rPr>
          <w:snapToGrid w:val="0"/>
          <w:color w:val="000000"/>
          <w:szCs w:val="24"/>
          <w:shd w:val="clear" w:color="auto" w:fill="FFFFFF"/>
        </w:rPr>
        <w:t xml:space="preserve"> 13(3). Noting that the risk grouping of the unmodified parent organism is the relevant consideration, it is not within </w:t>
      </w:r>
      <w:r w:rsidR="00AB5C4E" w:rsidRPr="008A69F3">
        <w:rPr>
          <w:snapToGrid w:val="0"/>
          <w:color w:val="000000"/>
          <w:szCs w:val="24"/>
          <w:shd w:val="clear" w:color="auto" w:fill="FFFFFF"/>
        </w:rPr>
        <w:lastRenderedPageBreak/>
        <w:t>the discretion of an IBC assessing a NLRD proposal to assess whether genetic modifications may reduce the risk grouping of the organism.</w:t>
      </w:r>
      <w:r w:rsidRPr="008A69F3">
        <w:rPr>
          <w:bCs/>
          <w:iCs/>
          <w:szCs w:val="24"/>
        </w:rPr>
        <w:t xml:space="preserve"> </w:t>
      </w:r>
    </w:p>
    <w:p w:rsidR="00F20C32" w:rsidRPr="008A69F3" w:rsidRDefault="00F20C32" w:rsidP="00FC45AB">
      <w:pPr>
        <w:rPr>
          <w:bCs/>
          <w:iCs/>
          <w:szCs w:val="24"/>
        </w:rPr>
      </w:pPr>
    </w:p>
    <w:p w:rsidR="00F20C32" w:rsidRPr="008A69F3" w:rsidRDefault="00F20C32" w:rsidP="007876A1">
      <w:pPr>
        <w:rPr>
          <w:szCs w:val="24"/>
        </w:rPr>
      </w:pPr>
      <w:r w:rsidRPr="008A69F3">
        <w:rPr>
          <w:szCs w:val="24"/>
        </w:rPr>
        <w:t>Section 3.2A requires that any dealing classified as a NLRD under schedule 3, part 3.2</w:t>
      </w:r>
    </w:p>
    <w:p w:rsidR="00F20C32" w:rsidRPr="00830966" w:rsidRDefault="00F20C32" w:rsidP="007876A1">
      <w:pPr>
        <w:rPr>
          <w:szCs w:val="24"/>
        </w:rPr>
      </w:pPr>
      <w:r w:rsidRPr="004C034B">
        <w:rPr>
          <w:szCs w:val="24"/>
        </w:rPr>
        <w:t>involving a Risk Group 3 microorganism (according to the criteria of AS/NZS</w:t>
      </w:r>
    </w:p>
    <w:p w:rsidR="00F20C32" w:rsidRPr="008A69F3" w:rsidRDefault="00F20C32" w:rsidP="007876A1">
      <w:pPr>
        <w:rPr>
          <w:szCs w:val="24"/>
        </w:rPr>
      </w:pPr>
      <w:r w:rsidRPr="0035275C">
        <w:rPr>
          <w:szCs w:val="24"/>
        </w:rPr>
        <w:t>2243.3:2010) must be undertaken in facilities that are certified to at least physical</w:t>
      </w:r>
    </w:p>
    <w:p w:rsidR="00F20C32" w:rsidRPr="008A69F3" w:rsidRDefault="00F20C32" w:rsidP="007876A1">
      <w:pPr>
        <w:rPr>
          <w:szCs w:val="24"/>
        </w:rPr>
      </w:pPr>
      <w:r w:rsidRPr="008A69F3">
        <w:rPr>
          <w:szCs w:val="24"/>
        </w:rPr>
        <w:t>containment level 3 and that are appropriate for the dealing, unless allowed otherwise</w:t>
      </w:r>
    </w:p>
    <w:p w:rsidR="00F20C32" w:rsidRPr="008A69F3" w:rsidRDefault="00F20C32" w:rsidP="007876A1">
      <w:pPr>
        <w:rPr>
          <w:szCs w:val="24"/>
        </w:rPr>
      </w:pPr>
      <w:r w:rsidRPr="008A69F3">
        <w:rPr>
          <w:szCs w:val="24"/>
        </w:rPr>
        <w:t>under sections 13 (2) or (3). Risk group 3 microorganisms pose high risk to</w:t>
      </w:r>
    </w:p>
    <w:p w:rsidR="00F20C32" w:rsidRPr="008A69F3" w:rsidRDefault="00F20C32" w:rsidP="007876A1">
      <w:pPr>
        <w:rPr>
          <w:szCs w:val="24"/>
        </w:rPr>
      </w:pPr>
      <w:r w:rsidRPr="008A69F3">
        <w:rPr>
          <w:szCs w:val="24"/>
        </w:rPr>
        <w:t>individuals, and AS/NZS 2243.3:2010 indicates that work with these microorganisms</w:t>
      </w:r>
    </w:p>
    <w:p w:rsidR="00F20C32" w:rsidRPr="008A69F3" w:rsidRDefault="00F20C32" w:rsidP="007876A1">
      <w:pPr>
        <w:rPr>
          <w:szCs w:val="24"/>
        </w:rPr>
      </w:pPr>
      <w:r w:rsidRPr="008A69F3">
        <w:rPr>
          <w:szCs w:val="24"/>
        </w:rPr>
        <w:t>should be carried out in PC3 facilities to manage risks to human health and safety.</w:t>
      </w:r>
    </w:p>
    <w:p w:rsidR="00F20C32" w:rsidRPr="008A69F3" w:rsidRDefault="00F20C32" w:rsidP="00F20C32">
      <w:pPr>
        <w:rPr>
          <w:szCs w:val="24"/>
        </w:rPr>
      </w:pPr>
    </w:p>
    <w:p w:rsidR="00F20C32" w:rsidRPr="008A69F3" w:rsidRDefault="00F20C32" w:rsidP="007876A1">
      <w:pPr>
        <w:rPr>
          <w:szCs w:val="24"/>
        </w:rPr>
      </w:pPr>
      <w:r w:rsidRPr="008A69F3">
        <w:rPr>
          <w:szCs w:val="24"/>
        </w:rPr>
        <w:t>This paragraph encompasses all dealings involving GMOs for which the unmodified</w:t>
      </w:r>
    </w:p>
    <w:p w:rsidR="00F20C32" w:rsidRPr="008A69F3" w:rsidRDefault="00F20C32" w:rsidP="007876A1">
      <w:pPr>
        <w:rPr>
          <w:szCs w:val="24"/>
        </w:rPr>
      </w:pPr>
      <w:r w:rsidRPr="008A69F3">
        <w:rPr>
          <w:szCs w:val="24"/>
        </w:rPr>
        <w:t>parent organism is classified as Risk Group 3, and does not provide for IBCs to assess</w:t>
      </w:r>
    </w:p>
    <w:p w:rsidR="00F20C32" w:rsidRPr="008A69F3" w:rsidRDefault="00F20C32" w:rsidP="007876A1">
      <w:pPr>
        <w:rPr>
          <w:b/>
          <w:bCs/>
          <w:szCs w:val="24"/>
        </w:rPr>
      </w:pPr>
      <w:r w:rsidRPr="008A69F3">
        <w:rPr>
          <w:szCs w:val="24"/>
        </w:rPr>
        <w:t>any change to risk group classification as a result of genetic modifications. Such case-by</w:t>
      </w:r>
      <w:r w:rsidRPr="008A69F3">
        <w:rPr>
          <w:b/>
          <w:bCs/>
          <w:szCs w:val="24"/>
        </w:rPr>
        <w:t>-</w:t>
      </w:r>
    </w:p>
    <w:p w:rsidR="00F20C32" w:rsidRPr="008A69F3" w:rsidRDefault="00F20C32" w:rsidP="007876A1">
      <w:pPr>
        <w:rPr>
          <w:szCs w:val="24"/>
        </w:rPr>
      </w:pPr>
      <w:r w:rsidRPr="008A69F3">
        <w:rPr>
          <w:szCs w:val="24"/>
        </w:rPr>
        <w:t>case assessment is considered beyond the scope of the NLRD category.</w:t>
      </w:r>
    </w:p>
    <w:p w:rsidR="0035275C" w:rsidRDefault="0035275C" w:rsidP="00D833CC">
      <w:pPr>
        <w:rPr>
          <w:bCs/>
          <w:i/>
          <w:szCs w:val="24"/>
          <w:u w:val="single"/>
        </w:rPr>
      </w:pPr>
    </w:p>
    <w:p w:rsidR="00FC45AB" w:rsidRPr="008A69F3" w:rsidRDefault="00D41B0B" w:rsidP="00D833CC">
      <w:pPr>
        <w:rPr>
          <w:bCs/>
          <w:i/>
          <w:szCs w:val="24"/>
          <w:u w:val="single"/>
        </w:rPr>
      </w:pPr>
      <w:r w:rsidRPr="008A69F3">
        <w:rPr>
          <w:bCs/>
          <w:i/>
          <w:szCs w:val="24"/>
          <w:u w:val="single"/>
        </w:rPr>
        <w:t>Clause</w:t>
      </w:r>
      <w:r w:rsidR="00E00648" w:rsidRPr="008A69F3">
        <w:rPr>
          <w:bCs/>
          <w:i/>
          <w:szCs w:val="24"/>
          <w:u w:val="single"/>
        </w:rPr>
        <w:t xml:space="preserve"> [</w:t>
      </w:r>
      <w:r w:rsidR="00AB4B15" w:rsidRPr="008A69F3">
        <w:rPr>
          <w:bCs/>
          <w:i/>
          <w:szCs w:val="24"/>
          <w:u w:val="single"/>
        </w:rPr>
        <w:t>5</w:t>
      </w:r>
      <w:r w:rsidR="00E331D4" w:rsidRPr="008A69F3">
        <w:rPr>
          <w:bCs/>
          <w:i/>
          <w:szCs w:val="24"/>
          <w:u w:val="single"/>
        </w:rPr>
        <w:t>2</w:t>
      </w:r>
      <w:r w:rsidR="00E00648" w:rsidRPr="008A69F3">
        <w:rPr>
          <w:bCs/>
          <w:i/>
          <w:szCs w:val="24"/>
          <w:u w:val="single"/>
        </w:rPr>
        <w:t xml:space="preserve">] - </w:t>
      </w:r>
      <w:r w:rsidR="00EB3B21" w:rsidRPr="008A69F3">
        <w:rPr>
          <w:bCs/>
          <w:i/>
          <w:szCs w:val="24"/>
          <w:u w:val="single"/>
        </w:rPr>
        <w:t xml:space="preserve">Schedule 3, </w:t>
      </w:r>
      <w:r w:rsidR="00E36D6B" w:rsidRPr="008A69F3">
        <w:rPr>
          <w:bCs/>
          <w:i/>
          <w:szCs w:val="24"/>
          <w:u w:val="single"/>
        </w:rPr>
        <w:t xml:space="preserve">part 3.3, heading, note 2 </w:t>
      </w:r>
    </w:p>
    <w:p w:rsidR="00843A11" w:rsidRPr="008A69F3" w:rsidRDefault="00843A11" w:rsidP="00843A11">
      <w:pPr>
        <w:rPr>
          <w:bCs/>
          <w:i/>
          <w:szCs w:val="24"/>
        </w:rPr>
      </w:pPr>
    </w:p>
    <w:p w:rsidR="00C92037" w:rsidRPr="008A69F3" w:rsidRDefault="00C92037" w:rsidP="00843A11">
      <w:pPr>
        <w:rPr>
          <w:bCs/>
          <w:iCs/>
          <w:szCs w:val="24"/>
        </w:rPr>
      </w:pPr>
      <w:r w:rsidRPr="008A69F3">
        <w:rPr>
          <w:snapToGrid w:val="0"/>
          <w:color w:val="000000"/>
          <w:szCs w:val="24"/>
          <w:shd w:val="clear" w:color="auto" w:fill="FFFFFF"/>
        </w:rPr>
        <w:t xml:space="preserve">This </w:t>
      </w:r>
      <w:r w:rsidR="003E7CCA" w:rsidRPr="008A69F3">
        <w:rPr>
          <w:snapToGrid w:val="0"/>
          <w:color w:val="000000"/>
          <w:szCs w:val="24"/>
          <w:shd w:val="clear" w:color="auto" w:fill="FFFFFF"/>
        </w:rPr>
        <w:t>clause</w:t>
      </w:r>
      <w:r w:rsidRPr="008A69F3">
        <w:rPr>
          <w:snapToGrid w:val="0"/>
          <w:color w:val="000000"/>
          <w:szCs w:val="24"/>
          <w:shd w:val="clear" w:color="auto" w:fill="FFFFFF"/>
        </w:rPr>
        <w:t xml:space="preserve"> replaces the second note to the heading of </w:t>
      </w:r>
      <w:r w:rsidR="00D61FE5" w:rsidRPr="008A69F3">
        <w:rPr>
          <w:snapToGrid w:val="0"/>
          <w:color w:val="000000"/>
          <w:szCs w:val="24"/>
          <w:shd w:val="clear" w:color="auto" w:fill="FFFFFF"/>
        </w:rPr>
        <w:t>p</w:t>
      </w:r>
      <w:r w:rsidRPr="008A69F3">
        <w:rPr>
          <w:snapToGrid w:val="0"/>
          <w:color w:val="000000"/>
          <w:szCs w:val="24"/>
          <w:shd w:val="clear" w:color="auto" w:fill="FFFFFF"/>
        </w:rPr>
        <w:t xml:space="preserve">art 3.3 of Schedule 3 with an amended note including new reference to the mechanisms under the Act, in addition to licensing, by which a person may be authorised to undertake a dealing that is not a NLRD. </w:t>
      </w:r>
    </w:p>
    <w:p w:rsidR="00FC45AB" w:rsidRPr="008A69F3" w:rsidRDefault="00FC45AB" w:rsidP="00FC45AB">
      <w:pPr>
        <w:rPr>
          <w:bCs/>
          <w:i/>
          <w:szCs w:val="24"/>
        </w:rPr>
      </w:pPr>
    </w:p>
    <w:p w:rsidR="00E36D6B" w:rsidRPr="008A69F3" w:rsidRDefault="00D41B0B" w:rsidP="00D833CC">
      <w:pPr>
        <w:rPr>
          <w:bCs/>
          <w:i/>
          <w:szCs w:val="24"/>
          <w:u w:val="single"/>
        </w:rPr>
      </w:pPr>
      <w:r w:rsidRPr="008A69F3">
        <w:rPr>
          <w:bCs/>
          <w:i/>
          <w:szCs w:val="24"/>
          <w:u w:val="single"/>
        </w:rPr>
        <w:t>Clause</w:t>
      </w:r>
      <w:r w:rsidR="00C92037" w:rsidRPr="008A69F3">
        <w:rPr>
          <w:bCs/>
          <w:i/>
          <w:szCs w:val="24"/>
          <w:u w:val="single"/>
        </w:rPr>
        <w:t xml:space="preserve"> [</w:t>
      </w:r>
      <w:r w:rsidR="00AB4B15" w:rsidRPr="008A69F3">
        <w:rPr>
          <w:bCs/>
          <w:i/>
          <w:szCs w:val="24"/>
          <w:u w:val="single"/>
        </w:rPr>
        <w:t>5</w:t>
      </w:r>
      <w:r w:rsidR="00E331D4" w:rsidRPr="008A69F3">
        <w:rPr>
          <w:bCs/>
          <w:i/>
          <w:szCs w:val="24"/>
          <w:u w:val="single"/>
        </w:rPr>
        <w:t>3</w:t>
      </w:r>
      <w:r w:rsidR="00C92037" w:rsidRPr="008A69F3">
        <w:rPr>
          <w:bCs/>
          <w:i/>
          <w:szCs w:val="24"/>
          <w:u w:val="single"/>
        </w:rPr>
        <w:t xml:space="preserve">] - </w:t>
      </w:r>
      <w:r w:rsidR="00E36D6B" w:rsidRPr="008A69F3">
        <w:rPr>
          <w:bCs/>
          <w:i/>
          <w:szCs w:val="24"/>
          <w:u w:val="single"/>
        </w:rPr>
        <w:t xml:space="preserve">Schedule 3, section 3.3 (a) and (b) </w:t>
      </w:r>
    </w:p>
    <w:p w:rsidR="00FC45AB" w:rsidRPr="008A69F3" w:rsidRDefault="00FC45AB" w:rsidP="00FC45AB">
      <w:pPr>
        <w:rPr>
          <w:bCs/>
          <w:iCs/>
          <w:szCs w:val="24"/>
        </w:rPr>
      </w:pPr>
    </w:p>
    <w:p w:rsidR="00FC45AB" w:rsidRPr="008A69F3" w:rsidRDefault="00FC45AB" w:rsidP="00FC45AB">
      <w:pPr>
        <w:rPr>
          <w:bCs/>
          <w:iCs/>
          <w:szCs w:val="24"/>
        </w:rPr>
      </w:pPr>
      <w:r w:rsidRPr="008A69F3">
        <w:rPr>
          <w:bCs/>
          <w:iCs/>
          <w:szCs w:val="24"/>
        </w:rPr>
        <w:t xml:space="preserve">This </w:t>
      </w:r>
      <w:r w:rsidR="003E7CCA" w:rsidRPr="008A69F3">
        <w:rPr>
          <w:bCs/>
          <w:iCs/>
          <w:szCs w:val="24"/>
        </w:rPr>
        <w:t xml:space="preserve">clause </w:t>
      </w:r>
      <w:r w:rsidRPr="008A69F3">
        <w:rPr>
          <w:bCs/>
          <w:iCs/>
          <w:szCs w:val="24"/>
        </w:rPr>
        <w:t>replaces the Greek letter mu (µ) as part of a recognised international symbol indicating “micrograms” with the word “micrograms”</w:t>
      </w:r>
      <w:r w:rsidR="00DB4481" w:rsidRPr="008A69F3">
        <w:rPr>
          <w:bCs/>
          <w:iCs/>
          <w:szCs w:val="24"/>
        </w:rPr>
        <w:t xml:space="preserve">. </w:t>
      </w:r>
      <w:r w:rsidR="003E7CCA" w:rsidRPr="008A69F3">
        <w:rPr>
          <w:bCs/>
          <w:iCs/>
          <w:szCs w:val="24"/>
        </w:rPr>
        <w:t>This provides a plain English explanation in the regulation.</w:t>
      </w:r>
    </w:p>
    <w:p w:rsidR="00FC45AB" w:rsidRPr="008A69F3" w:rsidRDefault="00FC45AB" w:rsidP="00FC45AB">
      <w:pPr>
        <w:rPr>
          <w:bCs/>
          <w:iCs/>
          <w:szCs w:val="24"/>
        </w:rPr>
      </w:pPr>
    </w:p>
    <w:p w:rsidR="00751462" w:rsidRPr="0035275C" w:rsidRDefault="00D41B0B" w:rsidP="00D833CC">
      <w:pPr>
        <w:rPr>
          <w:bCs/>
          <w:i/>
          <w:szCs w:val="24"/>
          <w:u w:val="single"/>
        </w:rPr>
      </w:pPr>
      <w:r w:rsidRPr="008A69F3">
        <w:rPr>
          <w:bCs/>
          <w:i/>
          <w:szCs w:val="24"/>
          <w:u w:val="single"/>
        </w:rPr>
        <w:t>Clause</w:t>
      </w:r>
      <w:r w:rsidR="00C92037" w:rsidRPr="008A69F3">
        <w:rPr>
          <w:bCs/>
          <w:i/>
          <w:szCs w:val="24"/>
          <w:u w:val="single"/>
        </w:rPr>
        <w:t xml:space="preserve"> [</w:t>
      </w:r>
      <w:r w:rsidR="00AB4B15" w:rsidRPr="008A69F3">
        <w:rPr>
          <w:bCs/>
          <w:i/>
          <w:szCs w:val="24"/>
          <w:u w:val="single"/>
        </w:rPr>
        <w:t>5</w:t>
      </w:r>
      <w:r w:rsidR="00E331D4" w:rsidRPr="008A69F3">
        <w:rPr>
          <w:bCs/>
          <w:i/>
          <w:szCs w:val="24"/>
          <w:u w:val="single"/>
        </w:rPr>
        <w:t>4</w:t>
      </w:r>
      <w:r w:rsidR="00C92037" w:rsidRPr="008A69F3">
        <w:rPr>
          <w:bCs/>
          <w:i/>
          <w:szCs w:val="24"/>
          <w:u w:val="single"/>
        </w:rPr>
        <w:t>]</w:t>
      </w:r>
      <w:r w:rsidR="003931BD" w:rsidRPr="008A69F3">
        <w:rPr>
          <w:bCs/>
          <w:i/>
          <w:szCs w:val="24"/>
          <w:u w:val="single"/>
        </w:rPr>
        <w:t>-[</w:t>
      </w:r>
      <w:r w:rsidR="00190B46" w:rsidRPr="008A69F3">
        <w:rPr>
          <w:bCs/>
          <w:i/>
          <w:szCs w:val="24"/>
          <w:u w:val="single"/>
        </w:rPr>
        <w:t>56</w:t>
      </w:r>
      <w:r w:rsidR="003931BD" w:rsidRPr="008A69F3">
        <w:rPr>
          <w:bCs/>
          <w:i/>
          <w:szCs w:val="24"/>
          <w:u w:val="single"/>
        </w:rPr>
        <w:t>]</w:t>
      </w:r>
      <w:r w:rsidR="00C92037" w:rsidRPr="008A69F3">
        <w:rPr>
          <w:bCs/>
          <w:i/>
          <w:szCs w:val="24"/>
          <w:u w:val="single"/>
        </w:rPr>
        <w:t xml:space="preserve"> - </w:t>
      </w:r>
      <w:r w:rsidR="00751462" w:rsidRPr="008A69F3">
        <w:rPr>
          <w:bCs/>
          <w:i/>
          <w:szCs w:val="24"/>
          <w:u w:val="single"/>
        </w:rPr>
        <w:t>Schedule 3, section</w:t>
      </w:r>
      <w:r w:rsidR="003C7F60" w:rsidRPr="008A69F3">
        <w:rPr>
          <w:bCs/>
          <w:i/>
          <w:szCs w:val="24"/>
          <w:u w:val="single"/>
        </w:rPr>
        <w:t>s</w:t>
      </w:r>
      <w:r w:rsidR="00751462" w:rsidRPr="008A69F3">
        <w:rPr>
          <w:bCs/>
          <w:i/>
          <w:szCs w:val="24"/>
          <w:u w:val="single"/>
        </w:rPr>
        <w:t xml:space="preserve"> 3.3 (d)</w:t>
      </w:r>
      <w:r w:rsidR="003C7F60" w:rsidRPr="008A69F3">
        <w:rPr>
          <w:bCs/>
          <w:i/>
          <w:szCs w:val="24"/>
          <w:u w:val="single"/>
        </w:rPr>
        <w:t>-(</w:t>
      </w:r>
      <w:r w:rsidR="00190B46" w:rsidRPr="008A69F3">
        <w:rPr>
          <w:bCs/>
          <w:i/>
          <w:szCs w:val="24"/>
          <w:u w:val="single"/>
        </w:rPr>
        <w:t>e</w:t>
      </w:r>
      <w:r w:rsidR="003C7F60" w:rsidRPr="008A69F3">
        <w:rPr>
          <w:bCs/>
          <w:i/>
          <w:szCs w:val="24"/>
          <w:u w:val="single"/>
        </w:rPr>
        <w:t>)</w:t>
      </w:r>
      <w:r w:rsidR="00830966">
        <w:rPr>
          <w:bCs/>
          <w:i/>
          <w:szCs w:val="24"/>
          <w:u w:val="single"/>
        </w:rPr>
        <w:t xml:space="preserve">to (f)(ii), example </w:t>
      </w:r>
    </w:p>
    <w:p w:rsidR="00772B5B" w:rsidRPr="008A69F3" w:rsidRDefault="00772B5B" w:rsidP="00772B5B">
      <w:pPr>
        <w:rPr>
          <w:bCs/>
          <w:i/>
          <w:szCs w:val="24"/>
        </w:rPr>
      </w:pPr>
    </w:p>
    <w:p w:rsidR="003931BD" w:rsidRPr="008A69F3" w:rsidRDefault="003931BD" w:rsidP="00772B5B">
      <w:pPr>
        <w:rPr>
          <w:bCs/>
          <w:iCs/>
          <w:szCs w:val="24"/>
        </w:rPr>
      </w:pPr>
      <w:r w:rsidRPr="008A69F3">
        <w:rPr>
          <w:snapToGrid w:val="0"/>
          <w:color w:val="000000"/>
          <w:szCs w:val="24"/>
          <w:shd w:val="clear" w:color="auto" w:fill="FFFFFF"/>
        </w:rPr>
        <w:t xml:space="preserve">These </w:t>
      </w:r>
      <w:r w:rsidR="003E7CCA" w:rsidRPr="008A69F3">
        <w:rPr>
          <w:snapToGrid w:val="0"/>
          <w:color w:val="000000"/>
          <w:szCs w:val="24"/>
          <w:shd w:val="clear" w:color="auto" w:fill="FFFFFF"/>
        </w:rPr>
        <w:t>clauses</w:t>
      </w:r>
      <w:r w:rsidRPr="008A69F3">
        <w:rPr>
          <w:snapToGrid w:val="0"/>
          <w:color w:val="000000"/>
          <w:szCs w:val="24"/>
          <w:shd w:val="clear" w:color="auto" w:fill="FFFFFF"/>
        </w:rPr>
        <w:t xml:space="preserve"> amend sections 3.3(d)-(</w:t>
      </w:r>
      <w:r w:rsidR="00190B46" w:rsidRPr="008A69F3">
        <w:rPr>
          <w:snapToGrid w:val="0"/>
          <w:color w:val="000000"/>
          <w:szCs w:val="24"/>
          <w:shd w:val="clear" w:color="auto" w:fill="FFFFFF"/>
        </w:rPr>
        <w:t>e</w:t>
      </w:r>
      <w:r w:rsidRPr="008A69F3">
        <w:rPr>
          <w:snapToGrid w:val="0"/>
          <w:color w:val="000000"/>
          <w:szCs w:val="24"/>
          <w:shd w:val="clear" w:color="auto" w:fill="FFFFFF"/>
        </w:rPr>
        <w:t>) of Schedule 3 to broaden the relevant considerations to modifications other than insertion of donor nucleic acid, such as deletions, nucleotide substitutions, down-regulation of other genes or RNA interference, to enable more consistent consideration of the ability of modifications to cause harm. Item [</w:t>
      </w:r>
      <w:r w:rsidR="00190B46" w:rsidRPr="008A69F3">
        <w:rPr>
          <w:snapToGrid w:val="0"/>
          <w:color w:val="000000"/>
          <w:szCs w:val="24"/>
          <w:shd w:val="clear" w:color="auto" w:fill="FFFFFF"/>
        </w:rPr>
        <w:t>54</w:t>
      </w:r>
      <w:r w:rsidRPr="008A69F3">
        <w:rPr>
          <w:snapToGrid w:val="0"/>
          <w:color w:val="000000"/>
          <w:szCs w:val="24"/>
          <w:shd w:val="clear" w:color="auto" w:fill="FFFFFF"/>
        </w:rPr>
        <w:t xml:space="preserve">] also amends section 3.3(d) to clarify the status of dealings with the viral vector with no host. </w:t>
      </w:r>
    </w:p>
    <w:p w:rsidR="00FC45AB" w:rsidRPr="008A69F3" w:rsidRDefault="00FC45AB" w:rsidP="00772B5B">
      <w:pPr>
        <w:rPr>
          <w:bCs/>
          <w:iCs/>
          <w:szCs w:val="24"/>
        </w:rPr>
      </w:pPr>
    </w:p>
    <w:p w:rsidR="00324DC5" w:rsidRPr="008A69F3" w:rsidRDefault="00D41B0B" w:rsidP="00D833CC">
      <w:pPr>
        <w:rPr>
          <w:bCs/>
          <w:i/>
          <w:szCs w:val="24"/>
          <w:u w:val="single"/>
        </w:rPr>
      </w:pPr>
      <w:r w:rsidRPr="008A69F3">
        <w:rPr>
          <w:bCs/>
          <w:i/>
          <w:szCs w:val="24"/>
          <w:u w:val="single"/>
        </w:rPr>
        <w:t>Clause</w:t>
      </w:r>
      <w:r w:rsidR="003C7F60" w:rsidRPr="008A69F3">
        <w:rPr>
          <w:bCs/>
          <w:i/>
          <w:szCs w:val="24"/>
          <w:u w:val="single"/>
        </w:rPr>
        <w:t xml:space="preserve"> [</w:t>
      </w:r>
      <w:r w:rsidR="00E331D4" w:rsidRPr="008A69F3">
        <w:rPr>
          <w:bCs/>
          <w:i/>
          <w:szCs w:val="24"/>
          <w:u w:val="single"/>
        </w:rPr>
        <w:t>57</w:t>
      </w:r>
      <w:r w:rsidR="003C7F60" w:rsidRPr="008A69F3">
        <w:rPr>
          <w:bCs/>
          <w:i/>
          <w:szCs w:val="24"/>
          <w:u w:val="single"/>
        </w:rPr>
        <w:t>]-</w:t>
      </w:r>
      <w:r w:rsidR="00190B46" w:rsidRPr="008A69F3">
        <w:rPr>
          <w:bCs/>
          <w:i/>
          <w:szCs w:val="24"/>
          <w:u w:val="single"/>
        </w:rPr>
        <w:t>[</w:t>
      </w:r>
      <w:r w:rsidR="003C7F60" w:rsidRPr="008A69F3">
        <w:rPr>
          <w:bCs/>
          <w:i/>
          <w:szCs w:val="24"/>
          <w:u w:val="single"/>
        </w:rPr>
        <w:t>5</w:t>
      </w:r>
      <w:r w:rsidR="00190B46" w:rsidRPr="008A69F3">
        <w:rPr>
          <w:bCs/>
          <w:i/>
          <w:szCs w:val="24"/>
          <w:u w:val="single"/>
        </w:rPr>
        <w:t>8</w:t>
      </w:r>
      <w:r w:rsidR="003C7F60" w:rsidRPr="008A69F3">
        <w:rPr>
          <w:bCs/>
          <w:i/>
          <w:szCs w:val="24"/>
          <w:u w:val="single"/>
        </w:rPr>
        <w:t xml:space="preserve">] - </w:t>
      </w:r>
      <w:r w:rsidR="00935116" w:rsidRPr="008A69F3">
        <w:rPr>
          <w:bCs/>
          <w:i/>
          <w:szCs w:val="24"/>
          <w:u w:val="single"/>
        </w:rPr>
        <w:t>Schedule 3, section</w:t>
      </w:r>
      <w:r w:rsidR="003C7F60" w:rsidRPr="008A69F3">
        <w:rPr>
          <w:bCs/>
          <w:i/>
          <w:szCs w:val="24"/>
          <w:u w:val="single"/>
        </w:rPr>
        <w:t>s</w:t>
      </w:r>
      <w:r w:rsidR="00935116" w:rsidRPr="008A69F3">
        <w:rPr>
          <w:bCs/>
          <w:i/>
          <w:szCs w:val="24"/>
          <w:u w:val="single"/>
        </w:rPr>
        <w:t xml:space="preserve"> 3.3 (q) to (</w:t>
      </w:r>
      <w:r w:rsidR="001A2831" w:rsidRPr="008A69F3">
        <w:rPr>
          <w:bCs/>
          <w:i/>
          <w:szCs w:val="24"/>
          <w:u w:val="single"/>
        </w:rPr>
        <w:t>s)</w:t>
      </w:r>
      <w:r w:rsidR="003C7F60" w:rsidRPr="008A69F3">
        <w:rPr>
          <w:bCs/>
          <w:i/>
          <w:szCs w:val="24"/>
          <w:u w:val="single"/>
        </w:rPr>
        <w:t xml:space="preserve"> and 3.3 (2) to (4)</w:t>
      </w:r>
      <w:r w:rsidR="001A2831" w:rsidRPr="008A69F3">
        <w:rPr>
          <w:bCs/>
          <w:i/>
          <w:szCs w:val="24"/>
          <w:u w:val="single"/>
        </w:rPr>
        <w:t xml:space="preserve"> </w:t>
      </w:r>
    </w:p>
    <w:p w:rsidR="00833B2A" w:rsidRPr="008A69F3" w:rsidRDefault="00833B2A" w:rsidP="00833B2A">
      <w:pPr>
        <w:rPr>
          <w:bCs/>
          <w:i/>
          <w:szCs w:val="24"/>
        </w:rPr>
      </w:pPr>
    </w:p>
    <w:p w:rsidR="003C7F60" w:rsidRPr="008A69F3" w:rsidRDefault="003C7F60" w:rsidP="003C7F60">
      <w:pPr>
        <w:rPr>
          <w:bCs/>
          <w:i/>
          <w:szCs w:val="24"/>
        </w:rPr>
      </w:pPr>
      <w:r w:rsidRPr="008A69F3">
        <w:rPr>
          <w:bCs/>
          <w:i/>
          <w:szCs w:val="24"/>
        </w:rPr>
        <w:t>Risk group 3 and 4 micro-organisms</w:t>
      </w:r>
    </w:p>
    <w:p w:rsidR="003C7F60" w:rsidRPr="008A69F3" w:rsidRDefault="003C7F60" w:rsidP="003C7F60">
      <w:pPr>
        <w:rPr>
          <w:bCs/>
          <w:iCs/>
          <w:szCs w:val="24"/>
        </w:rPr>
      </w:pPr>
      <w:r w:rsidRPr="008A69F3">
        <w:rPr>
          <w:bCs/>
          <w:iCs/>
          <w:szCs w:val="24"/>
        </w:rPr>
        <w:t xml:space="preserve"> </w:t>
      </w:r>
    </w:p>
    <w:p w:rsidR="003C7F60" w:rsidRPr="008A69F3" w:rsidRDefault="003C7F60" w:rsidP="003C7F60">
      <w:pPr>
        <w:rPr>
          <w:bCs/>
          <w:iCs/>
          <w:szCs w:val="24"/>
        </w:rPr>
      </w:pPr>
      <w:r w:rsidRPr="008A69F3">
        <w:rPr>
          <w:bCs/>
          <w:iCs/>
          <w:szCs w:val="24"/>
        </w:rPr>
        <w:t xml:space="preserve">These </w:t>
      </w:r>
      <w:r w:rsidR="003E7CCA" w:rsidRPr="008A69F3">
        <w:rPr>
          <w:bCs/>
          <w:iCs/>
          <w:szCs w:val="24"/>
        </w:rPr>
        <w:t xml:space="preserve">clauses </w:t>
      </w:r>
      <w:r w:rsidRPr="008A69F3">
        <w:rPr>
          <w:bCs/>
          <w:iCs/>
          <w:szCs w:val="24"/>
        </w:rPr>
        <w:t>insert new sections 3.3</w:t>
      </w:r>
      <w:r w:rsidR="009D0C4E" w:rsidRPr="008A69F3">
        <w:rPr>
          <w:bCs/>
          <w:iCs/>
          <w:szCs w:val="24"/>
        </w:rPr>
        <w:t xml:space="preserve"> </w:t>
      </w:r>
      <w:r w:rsidRPr="008A69F3">
        <w:rPr>
          <w:bCs/>
          <w:iCs/>
          <w:szCs w:val="24"/>
        </w:rPr>
        <w:t>(q)</w:t>
      </w:r>
      <w:r w:rsidR="009D0C4E" w:rsidRPr="008A69F3">
        <w:rPr>
          <w:bCs/>
          <w:iCs/>
          <w:szCs w:val="24"/>
        </w:rPr>
        <w:t>-(s)</w:t>
      </w:r>
      <w:r w:rsidRPr="008A69F3">
        <w:rPr>
          <w:bCs/>
          <w:iCs/>
          <w:szCs w:val="24"/>
        </w:rPr>
        <w:t xml:space="preserve"> and 3.3 (2)</w:t>
      </w:r>
      <w:r w:rsidR="009D0C4E" w:rsidRPr="008A69F3">
        <w:rPr>
          <w:bCs/>
          <w:iCs/>
          <w:szCs w:val="24"/>
        </w:rPr>
        <w:t>-(4)</w:t>
      </w:r>
      <w:r w:rsidRPr="008A69F3">
        <w:rPr>
          <w:bCs/>
          <w:iCs/>
          <w:szCs w:val="24"/>
        </w:rPr>
        <w:t xml:space="preserve"> to Schedule 3, to clarify the intention of clause </w:t>
      </w:r>
      <w:r w:rsidR="0076127D" w:rsidRPr="008A69F3">
        <w:rPr>
          <w:bCs/>
          <w:iCs/>
          <w:szCs w:val="24"/>
        </w:rPr>
        <w:t>3</w:t>
      </w:r>
      <w:r w:rsidRPr="008A69F3">
        <w:rPr>
          <w:bCs/>
          <w:iCs/>
          <w:szCs w:val="24"/>
        </w:rPr>
        <w:t>.2</w:t>
      </w:r>
      <w:r w:rsidR="0076127D" w:rsidRPr="008A69F3">
        <w:rPr>
          <w:bCs/>
          <w:iCs/>
          <w:szCs w:val="24"/>
        </w:rPr>
        <w:t>A</w:t>
      </w:r>
      <w:r w:rsidRPr="008A69F3">
        <w:rPr>
          <w:bCs/>
          <w:iCs/>
          <w:szCs w:val="24"/>
        </w:rPr>
        <w:t xml:space="preserve"> and paragraph 3.</w:t>
      </w:r>
      <w:r w:rsidR="0076127D" w:rsidRPr="008A69F3">
        <w:rPr>
          <w:bCs/>
          <w:iCs/>
          <w:szCs w:val="24"/>
        </w:rPr>
        <w:t>3</w:t>
      </w:r>
      <w:r w:rsidRPr="008A69F3">
        <w:rPr>
          <w:bCs/>
          <w:iCs/>
          <w:szCs w:val="24"/>
        </w:rPr>
        <w:t xml:space="preserve"> (p) of Schedule 3</w:t>
      </w:r>
      <w:r w:rsidR="0076127D" w:rsidRPr="008A69F3">
        <w:rPr>
          <w:bCs/>
          <w:iCs/>
          <w:szCs w:val="24"/>
        </w:rPr>
        <w:t>.</w:t>
      </w:r>
      <w:r w:rsidRPr="008A69F3">
        <w:rPr>
          <w:bCs/>
          <w:iCs/>
          <w:szCs w:val="24"/>
        </w:rPr>
        <w:t xml:space="preserve"> New section 3.3(q) provides that dealings that would be NLRDs according to clause </w:t>
      </w:r>
      <w:r w:rsidR="0076127D" w:rsidRPr="008A69F3">
        <w:rPr>
          <w:bCs/>
          <w:iCs/>
          <w:szCs w:val="24"/>
        </w:rPr>
        <w:t>3</w:t>
      </w:r>
      <w:r w:rsidRPr="008A69F3">
        <w:rPr>
          <w:bCs/>
          <w:iCs/>
          <w:szCs w:val="24"/>
        </w:rPr>
        <w:t>.2</w:t>
      </w:r>
      <w:r w:rsidR="0076127D" w:rsidRPr="008A69F3">
        <w:rPr>
          <w:bCs/>
          <w:iCs/>
          <w:szCs w:val="24"/>
        </w:rPr>
        <w:t>A</w:t>
      </w:r>
      <w:r w:rsidRPr="008A69F3">
        <w:rPr>
          <w:bCs/>
          <w:iCs/>
          <w:szCs w:val="24"/>
        </w:rPr>
        <w:t xml:space="preserve"> but are not undertaken in the facilities in which such a NLRD must be undertaken are not </w:t>
      </w:r>
      <w:r w:rsidR="00190B46" w:rsidRPr="008A69F3">
        <w:rPr>
          <w:bCs/>
          <w:iCs/>
          <w:szCs w:val="24"/>
        </w:rPr>
        <w:t>NLRDs and</w:t>
      </w:r>
      <w:r w:rsidRPr="008A69F3">
        <w:rPr>
          <w:bCs/>
          <w:iCs/>
          <w:szCs w:val="24"/>
        </w:rPr>
        <w:t xml:space="preserve"> require licensing under Part 5 of the Act. </w:t>
      </w:r>
    </w:p>
    <w:p w:rsidR="003C7F60" w:rsidRPr="008A69F3" w:rsidRDefault="003C7F60" w:rsidP="003C7F60">
      <w:pPr>
        <w:rPr>
          <w:bCs/>
          <w:iCs/>
          <w:szCs w:val="24"/>
        </w:rPr>
      </w:pPr>
      <w:r w:rsidRPr="008A69F3">
        <w:rPr>
          <w:bCs/>
          <w:iCs/>
          <w:szCs w:val="24"/>
        </w:rPr>
        <w:t xml:space="preserve"> </w:t>
      </w:r>
    </w:p>
    <w:p w:rsidR="003C7F60" w:rsidRPr="008A69F3" w:rsidRDefault="003C7F60" w:rsidP="003C7F60">
      <w:pPr>
        <w:rPr>
          <w:bCs/>
          <w:iCs/>
          <w:szCs w:val="24"/>
        </w:rPr>
      </w:pPr>
      <w:r w:rsidRPr="008A69F3">
        <w:rPr>
          <w:bCs/>
          <w:iCs/>
          <w:szCs w:val="24"/>
        </w:rPr>
        <w:t>Paragraph 3.</w:t>
      </w:r>
      <w:r w:rsidR="0076127D" w:rsidRPr="008A69F3">
        <w:rPr>
          <w:bCs/>
          <w:iCs/>
          <w:szCs w:val="24"/>
        </w:rPr>
        <w:t>3</w:t>
      </w:r>
      <w:r w:rsidRPr="008A69F3">
        <w:rPr>
          <w:bCs/>
          <w:iCs/>
          <w:szCs w:val="24"/>
        </w:rPr>
        <w:t>(p) of Schedule 3 provides that a dealing involving a micro-organism that satisfies the criteria in AS/NZS 2243.3:2010 for classification as risk group 4, is not a NLRD. New section 3.3(2) specifies that the classification of the unmodified parent organism is the relevant consideration. As a result, an IBC assessing whether a proposed NLRD meets paragraph 3.</w:t>
      </w:r>
      <w:r w:rsidR="0076127D" w:rsidRPr="008A69F3">
        <w:rPr>
          <w:bCs/>
          <w:iCs/>
          <w:szCs w:val="24"/>
        </w:rPr>
        <w:t>3</w:t>
      </w:r>
      <w:r w:rsidRPr="008A69F3">
        <w:rPr>
          <w:bCs/>
          <w:iCs/>
          <w:szCs w:val="24"/>
        </w:rPr>
        <w:t>(p) does not have discretion to assess whether genetic modifications may reduce the risk grouping of the organism.</w:t>
      </w:r>
    </w:p>
    <w:p w:rsidR="003C7F60" w:rsidRPr="008A69F3" w:rsidRDefault="003C7F60" w:rsidP="003C7F60">
      <w:pPr>
        <w:rPr>
          <w:bCs/>
          <w:iCs/>
          <w:szCs w:val="24"/>
        </w:rPr>
      </w:pPr>
      <w:r w:rsidRPr="008A69F3">
        <w:rPr>
          <w:bCs/>
          <w:iCs/>
          <w:szCs w:val="24"/>
        </w:rPr>
        <w:t xml:space="preserve"> </w:t>
      </w:r>
    </w:p>
    <w:p w:rsidR="003E7CCA" w:rsidRPr="008A69F3" w:rsidRDefault="003E7CCA" w:rsidP="003C7F60">
      <w:pPr>
        <w:rPr>
          <w:bCs/>
          <w:iCs/>
          <w:szCs w:val="24"/>
        </w:rPr>
      </w:pPr>
    </w:p>
    <w:p w:rsidR="003C7F60" w:rsidRPr="008A69F3" w:rsidRDefault="003C7F60" w:rsidP="003C7F60">
      <w:pPr>
        <w:rPr>
          <w:bCs/>
          <w:i/>
          <w:szCs w:val="24"/>
        </w:rPr>
      </w:pPr>
      <w:r w:rsidRPr="008A69F3">
        <w:rPr>
          <w:bCs/>
          <w:i/>
          <w:szCs w:val="24"/>
        </w:rPr>
        <w:t>Gene drive GMOs</w:t>
      </w:r>
    </w:p>
    <w:p w:rsidR="003C7F60" w:rsidRPr="004C034B" w:rsidRDefault="003C7F60" w:rsidP="003C7F60">
      <w:pPr>
        <w:rPr>
          <w:bCs/>
          <w:iCs/>
          <w:szCs w:val="24"/>
        </w:rPr>
      </w:pPr>
      <w:r w:rsidRPr="004C034B">
        <w:rPr>
          <w:bCs/>
          <w:iCs/>
          <w:szCs w:val="24"/>
        </w:rPr>
        <w:lastRenderedPageBreak/>
        <w:t xml:space="preserve"> </w:t>
      </w:r>
    </w:p>
    <w:p w:rsidR="003C7F60" w:rsidRPr="008A69F3" w:rsidRDefault="003C7F60" w:rsidP="003C7F60">
      <w:pPr>
        <w:rPr>
          <w:bCs/>
          <w:iCs/>
          <w:szCs w:val="24"/>
        </w:rPr>
      </w:pPr>
      <w:r w:rsidRPr="0035275C">
        <w:rPr>
          <w:bCs/>
          <w:iCs/>
          <w:szCs w:val="24"/>
        </w:rPr>
        <w:t>Gene drives are genetic elements that are favoured for inheritance in sexually reproducing organisms. While most genomic sequences have a 50% chance of being inherited by offspring from sexually reproducing parents, a gene drive</w:t>
      </w:r>
      <w:r w:rsidRPr="008A69F3">
        <w:rPr>
          <w:bCs/>
          <w:iCs/>
          <w:szCs w:val="24"/>
        </w:rPr>
        <w:t xml:space="preserve"> biases inheritance and causes a nucleotide sequence (or set of sequences) to be inherited at a higher rate. This item lists dealings with GMOs with engineered gene drives as dealings that are not NLRDs, with the result that a licence is necessary to undertake contained dealings with gene drive GMOs.</w:t>
      </w:r>
    </w:p>
    <w:p w:rsidR="003C7F60" w:rsidRPr="008A69F3" w:rsidRDefault="003C7F60" w:rsidP="003C7F60">
      <w:pPr>
        <w:rPr>
          <w:bCs/>
          <w:iCs/>
          <w:szCs w:val="24"/>
        </w:rPr>
      </w:pPr>
      <w:r w:rsidRPr="008A69F3">
        <w:rPr>
          <w:bCs/>
          <w:iCs/>
          <w:szCs w:val="24"/>
        </w:rPr>
        <w:t xml:space="preserve"> </w:t>
      </w:r>
    </w:p>
    <w:p w:rsidR="003C7F60" w:rsidRPr="008A69F3" w:rsidRDefault="003C7F60" w:rsidP="003C7F60">
      <w:pPr>
        <w:rPr>
          <w:bCs/>
          <w:iCs/>
          <w:szCs w:val="24"/>
        </w:rPr>
      </w:pPr>
      <w:r w:rsidRPr="008A69F3">
        <w:rPr>
          <w:bCs/>
          <w:iCs/>
          <w:szCs w:val="24"/>
        </w:rPr>
        <w:t>Dealings with organisms with genetic modifications that increase the likelihood that a nucleotide sequence is inherited by offspring of sexually reproducing parents, to any extent, are dealings that are not NLRDs under new section 3.3(r) of Schedule 3. Dealings with viral vectors that are able to cause modifications in a host that create a functioning gene drive are treated the same as dealings with gene drive GMOs under new section 3.3(s). These provisions do not alter the status of GMOs with traits providing a selective advantage or that improve reproductive fecundity, where those traits do not directly alter the rate at which particular sequences are inherited from parent to offspring.</w:t>
      </w:r>
    </w:p>
    <w:p w:rsidR="003C7F60" w:rsidRPr="008A69F3" w:rsidRDefault="003C7F60" w:rsidP="003C7F60">
      <w:pPr>
        <w:rPr>
          <w:bCs/>
          <w:iCs/>
          <w:szCs w:val="24"/>
        </w:rPr>
      </w:pPr>
      <w:r w:rsidRPr="008A69F3">
        <w:rPr>
          <w:bCs/>
          <w:iCs/>
          <w:szCs w:val="24"/>
        </w:rPr>
        <w:t xml:space="preserve"> </w:t>
      </w:r>
    </w:p>
    <w:p w:rsidR="003C7F60" w:rsidRPr="008A69F3" w:rsidRDefault="003C7F60" w:rsidP="003C7F60">
      <w:pPr>
        <w:rPr>
          <w:bCs/>
          <w:iCs/>
          <w:szCs w:val="24"/>
        </w:rPr>
      </w:pPr>
      <w:r w:rsidRPr="008A69F3">
        <w:rPr>
          <w:bCs/>
          <w:iCs/>
          <w:szCs w:val="24"/>
        </w:rPr>
        <w:t xml:space="preserve">Engineered gene drives require several components to cause biased inheritance, and only organisms containing all components necessary for gene drive activity meet </w:t>
      </w:r>
      <w:r w:rsidR="00606441" w:rsidRPr="008A69F3">
        <w:rPr>
          <w:bCs/>
          <w:iCs/>
          <w:szCs w:val="24"/>
        </w:rPr>
        <w:t>section</w:t>
      </w:r>
      <w:r w:rsidRPr="008A69F3">
        <w:rPr>
          <w:bCs/>
          <w:iCs/>
          <w:szCs w:val="24"/>
        </w:rPr>
        <w:t xml:space="preserve"> 3.</w:t>
      </w:r>
      <w:r w:rsidR="00606441" w:rsidRPr="008A69F3">
        <w:rPr>
          <w:bCs/>
          <w:iCs/>
          <w:szCs w:val="24"/>
        </w:rPr>
        <w:t>3</w:t>
      </w:r>
      <w:r w:rsidRPr="008A69F3">
        <w:rPr>
          <w:bCs/>
          <w:iCs/>
          <w:szCs w:val="24"/>
        </w:rPr>
        <w:t xml:space="preserve">(r). Where organisms contain some but not all components necessary for gene drive activity, these organisms do not meet new </w:t>
      </w:r>
      <w:r w:rsidR="00606441" w:rsidRPr="008A69F3">
        <w:rPr>
          <w:bCs/>
          <w:iCs/>
          <w:szCs w:val="24"/>
        </w:rPr>
        <w:t>section</w:t>
      </w:r>
      <w:r w:rsidRPr="008A69F3">
        <w:rPr>
          <w:bCs/>
          <w:iCs/>
          <w:szCs w:val="24"/>
        </w:rPr>
        <w:t xml:space="preserve"> 3.</w:t>
      </w:r>
      <w:r w:rsidR="00606441" w:rsidRPr="008A69F3">
        <w:rPr>
          <w:bCs/>
          <w:iCs/>
          <w:szCs w:val="24"/>
        </w:rPr>
        <w:t>3</w:t>
      </w:r>
      <w:r w:rsidRPr="008A69F3">
        <w:rPr>
          <w:bCs/>
          <w:iCs/>
          <w:szCs w:val="24"/>
        </w:rPr>
        <w:t>(r) of Schedule 3 because inheritance of sequences from these organisms is not biased.</w:t>
      </w:r>
    </w:p>
    <w:p w:rsidR="003C7F60" w:rsidRPr="008A69F3" w:rsidRDefault="003C7F60" w:rsidP="003C7F60">
      <w:pPr>
        <w:rPr>
          <w:bCs/>
          <w:iCs/>
          <w:szCs w:val="24"/>
        </w:rPr>
      </w:pPr>
      <w:r w:rsidRPr="008A69F3">
        <w:rPr>
          <w:bCs/>
          <w:iCs/>
          <w:szCs w:val="24"/>
        </w:rPr>
        <w:t xml:space="preserve"> </w:t>
      </w:r>
    </w:p>
    <w:p w:rsidR="001A2831" w:rsidRPr="008A69F3" w:rsidRDefault="003C7F60" w:rsidP="003C7F60">
      <w:pPr>
        <w:rPr>
          <w:snapToGrid w:val="0"/>
          <w:color w:val="000000"/>
          <w:szCs w:val="24"/>
        </w:rPr>
      </w:pPr>
      <w:r w:rsidRPr="008A69F3">
        <w:rPr>
          <w:bCs/>
          <w:iCs/>
          <w:szCs w:val="24"/>
        </w:rPr>
        <w:t xml:space="preserve">Engineered gene drives may incorporate measures intended to limit the ability of the gene drive to persist across generations. Whether a gene drive GMO with such features meets new </w:t>
      </w:r>
      <w:r w:rsidR="00606441" w:rsidRPr="008A69F3">
        <w:rPr>
          <w:bCs/>
          <w:iCs/>
          <w:szCs w:val="24"/>
        </w:rPr>
        <w:t>section</w:t>
      </w:r>
      <w:r w:rsidRPr="008A69F3">
        <w:rPr>
          <w:bCs/>
          <w:iCs/>
          <w:szCs w:val="24"/>
        </w:rPr>
        <w:t xml:space="preserve"> 3.</w:t>
      </w:r>
      <w:r w:rsidR="00606441" w:rsidRPr="008A69F3">
        <w:rPr>
          <w:bCs/>
          <w:iCs/>
          <w:szCs w:val="24"/>
        </w:rPr>
        <w:t>3</w:t>
      </w:r>
      <w:r w:rsidRPr="008A69F3">
        <w:rPr>
          <w:bCs/>
          <w:iCs/>
          <w:szCs w:val="24"/>
        </w:rPr>
        <w:t>(r) depends upon whether biased inheritance is caused. For example, engineering gene drive components at unlinked genetic locations, such that each component is independently inherited, has been proposed as a mechanism to limit gene drive function through later generations of offspring (also known as a ‘split drive’). When all components of a split drive are present in one organism the gene drive is functional and biased inheritance occurs, and a licence is required for dealings with that organism.</w:t>
      </w:r>
    </w:p>
    <w:p w:rsidR="00653615" w:rsidRPr="008A69F3" w:rsidRDefault="00653615" w:rsidP="00653615">
      <w:pPr>
        <w:rPr>
          <w:snapToGrid w:val="0"/>
          <w:color w:val="000000"/>
          <w:szCs w:val="24"/>
          <w:highlight w:val="yellow"/>
        </w:rPr>
      </w:pPr>
    </w:p>
    <w:p w:rsidR="00935116" w:rsidRPr="008A69F3" w:rsidRDefault="00D41B0B" w:rsidP="00D833CC">
      <w:pPr>
        <w:rPr>
          <w:bCs/>
          <w:i/>
          <w:szCs w:val="24"/>
          <w:u w:val="single"/>
        </w:rPr>
      </w:pPr>
      <w:r w:rsidRPr="008A69F3">
        <w:rPr>
          <w:bCs/>
          <w:i/>
          <w:szCs w:val="24"/>
          <w:u w:val="single"/>
        </w:rPr>
        <w:t>Clause</w:t>
      </w:r>
      <w:r w:rsidR="00495D55" w:rsidRPr="008A69F3">
        <w:rPr>
          <w:bCs/>
          <w:i/>
          <w:szCs w:val="24"/>
          <w:u w:val="single"/>
        </w:rPr>
        <w:t xml:space="preserve"> [5</w:t>
      </w:r>
      <w:r w:rsidR="00190B46" w:rsidRPr="008A69F3">
        <w:rPr>
          <w:bCs/>
          <w:i/>
          <w:szCs w:val="24"/>
          <w:u w:val="single"/>
        </w:rPr>
        <w:t>9</w:t>
      </w:r>
      <w:r w:rsidR="00495D55" w:rsidRPr="008A69F3">
        <w:rPr>
          <w:bCs/>
          <w:i/>
          <w:szCs w:val="24"/>
          <w:u w:val="single"/>
        </w:rPr>
        <w:t xml:space="preserve">] - </w:t>
      </w:r>
      <w:r w:rsidR="00935116" w:rsidRPr="008A69F3">
        <w:rPr>
          <w:bCs/>
          <w:i/>
          <w:szCs w:val="24"/>
          <w:u w:val="single"/>
        </w:rPr>
        <w:t>Dictionary, note 3</w:t>
      </w:r>
    </w:p>
    <w:p w:rsidR="00713560" w:rsidRPr="008A69F3" w:rsidRDefault="00713560" w:rsidP="00713560">
      <w:pPr>
        <w:rPr>
          <w:bCs/>
          <w:i/>
          <w:szCs w:val="24"/>
        </w:rPr>
      </w:pPr>
    </w:p>
    <w:p w:rsidR="00713560" w:rsidRPr="008A69F3" w:rsidRDefault="0076074B" w:rsidP="00713560">
      <w:pPr>
        <w:rPr>
          <w:bCs/>
          <w:iCs/>
          <w:szCs w:val="24"/>
        </w:rPr>
      </w:pPr>
      <w:r w:rsidRPr="008A69F3">
        <w:rPr>
          <w:bCs/>
          <w:iCs/>
          <w:szCs w:val="24"/>
        </w:rPr>
        <w:t xml:space="preserve"> This clause adds a number of terms to the list of terms in the </w:t>
      </w:r>
      <w:r w:rsidR="00C24928" w:rsidRPr="008A69F3">
        <w:rPr>
          <w:bCs/>
          <w:iCs/>
          <w:szCs w:val="24"/>
        </w:rPr>
        <w:t>d</w:t>
      </w:r>
      <w:r w:rsidRPr="008A69F3">
        <w:rPr>
          <w:bCs/>
          <w:iCs/>
          <w:szCs w:val="24"/>
        </w:rPr>
        <w:t xml:space="preserve">ictionary, note 3. The list contains terms used in the </w:t>
      </w:r>
      <w:r w:rsidRPr="008A69F3">
        <w:rPr>
          <w:bCs/>
          <w:i/>
          <w:szCs w:val="24"/>
        </w:rPr>
        <w:t>Gene Technology Act 2003</w:t>
      </w:r>
      <w:r w:rsidRPr="008A69F3">
        <w:rPr>
          <w:bCs/>
          <w:iCs/>
          <w:szCs w:val="24"/>
        </w:rPr>
        <w:t xml:space="preserve"> that are also used in the </w:t>
      </w:r>
      <w:r w:rsidRPr="008A69F3">
        <w:rPr>
          <w:bCs/>
          <w:i/>
          <w:szCs w:val="24"/>
        </w:rPr>
        <w:t>Gene Technology Regulation 2004</w:t>
      </w:r>
      <w:r w:rsidRPr="008A69F3">
        <w:rPr>
          <w:bCs/>
          <w:iCs/>
          <w:szCs w:val="24"/>
        </w:rPr>
        <w:t>. Terms used in the regulation have the same meaning as terms used in the Act (see the Legislation Act, s 148).</w:t>
      </w:r>
    </w:p>
    <w:p w:rsidR="00AB4B15" w:rsidRPr="008A69F3" w:rsidRDefault="00AB4B15" w:rsidP="00713560">
      <w:pPr>
        <w:rPr>
          <w:bCs/>
          <w:iCs/>
          <w:szCs w:val="24"/>
        </w:rPr>
      </w:pPr>
    </w:p>
    <w:p w:rsidR="007B40A1" w:rsidRPr="008A69F3" w:rsidRDefault="00664EA8" w:rsidP="007B40A1">
      <w:pPr>
        <w:rPr>
          <w:bCs/>
          <w:i/>
          <w:szCs w:val="24"/>
        </w:rPr>
      </w:pPr>
      <w:r w:rsidRPr="008A69F3">
        <w:rPr>
          <w:bCs/>
          <w:i/>
          <w:szCs w:val="24"/>
        </w:rPr>
        <w:t>Clause [</w:t>
      </w:r>
      <w:r w:rsidR="00190B46" w:rsidRPr="008A69F3">
        <w:rPr>
          <w:bCs/>
          <w:i/>
          <w:szCs w:val="24"/>
        </w:rPr>
        <w:t>60</w:t>
      </w:r>
      <w:r w:rsidRPr="008A69F3">
        <w:rPr>
          <w:bCs/>
          <w:i/>
          <w:szCs w:val="24"/>
        </w:rPr>
        <w:t xml:space="preserve">]- </w:t>
      </w:r>
      <w:r w:rsidR="00F94705" w:rsidRPr="008A69F3">
        <w:rPr>
          <w:bCs/>
          <w:i/>
          <w:szCs w:val="24"/>
        </w:rPr>
        <w:t>Dictionary, note 3</w:t>
      </w:r>
    </w:p>
    <w:p w:rsidR="007B40A1" w:rsidRPr="008A69F3" w:rsidRDefault="007B40A1" w:rsidP="007B40A1">
      <w:pPr>
        <w:rPr>
          <w:bCs/>
          <w:iCs/>
          <w:szCs w:val="24"/>
        </w:rPr>
      </w:pPr>
    </w:p>
    <w:p w:rsidR="007B40A1" w:rsidRPr="008A69F3" w:rsidRDefault="007B40A1" w:rsidP="007B40A1">
      <w:pPr>
        <w:rPr>
          <w:szCs w:val="24"/>
        </w:rPr>
      </w:pPr>
      <w:r w:rsidRPr="008A69F3">
        <w:rPr>
          <w:szCs w:val="24"/>
        </w:rPr>
        <w:t>Clause [</w:t>
      </w:r>
      <w:r w:rsidR="00190B46" w:rsidRPr="008A69F3">
        <w:rPr>
          <w:szCs w:val="24"/>
        </w:rPr>
        <w:t>60</w:t>
      </w:r>
      <w:r w:rsidRPr="008A69F3">
        <w:rPr>
          <w:szCs w:val="24"/>
        </w:rPr>
        <w:t xml:space="preserve">] removes “GM product” from the list </w:t>
      </w:r>
      <w:r w:rsidR="00FE01D6" w:rsidRPr="008A69F3">
        <w:rPr>
          <w:szCs w:val="24"/>
        </w:rPr>
        <w:t>of terms</w:t>
      </w:r>
      <w:r w:rsidRPr="008A69F3">
        <w:rPr>
          <w:szCs w:val="24"/>
        </w:rPr>
        <w:t xml:space="preserve"> in the dictionary, note 3, as the Regulation repeals the term from the Principal Regulation. Note 3 to the Dictionary states that terms used in the Principal Regulation have the same meaning that they have in the Gene Technology Act 2003.</w:t>
      </w:r>
    </w:p>
    <w:p w:rsidR="00324DC5" w:rsidRPr="0035275C" w:rsidRDefault="00324DC5" w:rsidP="00713560">
      <w:pPr>
        <w:rPr>
          <w:bCs/>
          <w:iCs/>
          <w:szCs w:val="24"/>
        </w:rPr>
      </w:pPr>
    </w:p>
    <w:p w:rsidR="00190B46" w:rsidRPr="008A69F3" w:rsidRDefault="00D41B0B" w:rsidP="001E5A4E">
      <w:pPr>
        <w:rPr>
          <w:bCs/>
          <w:i/>
          <w:szCs w:val="24"/>
          <w:u w:val="single"/>
        </w:rPr>
      </w:pPr>
      <w:r w:rsidRPr="008A69F3">
        <w:rPr>
          <w:bCs/>
          <w:i/>
          <w:szCs w:val="24"/>
          <w:u w:val="single"/>
        </w:rPr>
        <w:t>Clause</w:t>
      </w:r>
      <w:r w:rsidR="001E5A4E" w:rsidRPr="008A69F3">
        <w:rPr>
          <w:bCs/>
          <w:i/>
          <w:szCs w:val="24"/>
          <w:u w:val="single"/>
        </w:rPr>
        <w:t xml:space="preserve"> [</w:t>
      </w:r>
      <w:r w:rsidR="00676E7A" w:rsidRPr="008A69F3">
        <w:rPr>
          <w:bCs/>
          <w:i/>
          <w:szCs w:val="24"/>
          <w:u w:val="single"/>
        </w:rPr>
        <w:t>6</w:t>
      </w:r>
      <w:r w:rsidR="00190B46" w:rsidRPr="008A69F3">
        <w:rPr>
          <w:bCs/>
          <w:i/>
          <w:szCs w:val="24"/>
          <w:u w:val="single"/>
        </w:rPr>
        <w:t>1</w:t>
      </w:r>
      <w:r w:rsidR="001E5A4E" w:rsidRPr="008A69F3">
        <w:rPr>
          <w:bCs/>
          <w:i/>
          <w:szCs w:val="24"/>
          <w:u w:val="single"/>
        </w:rPr>
        <w:t>]</w:t>
      </w:r>
      <w:r w:rsidR="00190B46" w:rsidRPr="008A69F3">
        <w:rPr>
          <w:bCs/>
          <w:i/>
          <w:szCs w:val="24"/>
          <w:u w:val="single"/>
        </w:rPr>
        <w:t>- Dictionary, note 3</w:t>
      </w:r>
    </w:p>
    <w:p w:rsidR="00190B46" w:rsidRPr="008A69F3" w:rsidRDefault="00190B46" w:rsidP="001E5A4E">
      <w:pPr>
        <w:rPr>
          <w:bCs/>
          <w:i/>
          <w:szCs w:val="24"/>
          <w:u w:val="single"/>
        </w:rPr>
      </w:pPr>
    </w:p>
    <w:p w:rsidR="00190B46" w:rsidRPr="008A69F3" w:rsidRDefault="00616CF6" w:rsidP="001E5A4E">
      <w:pPr>
        <w:rPr>
          <w:bCs/>
          <w:iCs/>
          <w:szCs w:val="24"/>
        </w:rPr>
      </w:pPr>
      <w:r w:rsidRPr="008A69F3">
        <w:rPr>
          <w:bCs/>
          <w:iCs/>
          <w:szCs w:val="24"/>
        </w:rPr>
        <w:t xml:space="preserve">Clause [61] </w:t>
      </w:r>
      <w:r w:rsidRPr="008A69F3">
        <w:rPr>
          <w:szCs w:val="24"/>
        </w:rPr>
        <w:t>removes “GM product” from the list of terms in the dictionary, note 3, as the Regulation repeals the term from the Principal Regulation. Note 3 to the Dictionary states that terms used in the Principal Regulation have the same meaning that they have in the Gene Technology Act 2003.</w:t>
      </w:r>
    </w:p>
    <w:p w:rsidR="00616CF6" w:rsidRPr="004C034B" w:rsidRDefault="00616CF6" w:rsidP="001E5A4E">
      <w:pPr>
        <w:rPr>
          <w:bCs/>
          <w:i/>
          <w:szCs w:val="24"/>
          <w:u w:val="single"/>
        </w:rPr>
      </w:pPr>
    </w:p>
    <w:p w:rsidR="00935116" w:rsidRPr="008A69F3" w:rsidRDefault="00190B46" w:rsidP="001E5A4E">
      <w:pPr>
        <w:rPr>
          <w:bCs/>
          <w:i/>
          <w:szCs w:val="24"/>
          <w:u w:val="single"/>
        </w:rPr>
      </w:pPr>
      <w:r w:rsidRPr="0035275C">
        <w:rPr>
          <w:bCs/>
          <w:i/>
          <w:szCs w:val="24"/>
          <w:u w:val="single"/>
        </w:rPr>
        <w:t xml:space="preserve">Clause </w:t>
      </w:r>
      <w:r w:rsidR="001E5A4E" w:rsidRPr="008A69F3">
        <w:rPr>
          <w:bCs/>
          <w:i/>
          <w:szCs w:val="24"/>
          <w:u w:val="single"/>
        </w:rPr>
        <w:t>[</w:t>
      </w:r>
      <w:r w:rsidR="00676E7A" w:rsidRPr="008A69F3">
        <w:rPr>
          <w:bCs/>
          <w:i/>
          <w:szCs w:val="24"/>
          <w:u w:val="single"/>
        </w:rPr>
        <w:t>6</w:t>
      </w:r>
      <w:r w:rsidRPr="008A69F3">
        <w:rPr>
          <w:bCs/>
          <w:i/>
          <w:szCs w:val="24"/>
          <w:u w:val="single"/>
        </w:rPr>
        <w:t>2</w:t>
      </w:r>
      <w:r w:rsidR="001E5A4E" w:rsidRPr="008A69F3">
        <w:rPr>
          <w:bCs/>
          <w:i/>
          <w:szCs w:val="24"/>
          <w:u w:val="single"/>
        </w:rPr>
        <w:t xml:space="preserve">] - </w:t>
      </w:r>
      <w:r w:rsidR="00935116" w:rsidRPr="008A69F3">
        <w:rPr>
          <w:bCs/>
          <w:i/>
          <w:szCs w:val="24"/>
          <w:u w:val="single"/>
        </w:rPr>
        <w:t xml:space="preserve">Dictionary, </w:t>
      </w:r>
      <w:r w:rsidR="001E5A4E" w:rsidRPr="008A69F3">
        <w:rPr>
          <w:bCs/>
          <w:i/>
          <w:szCs w:val="24"/>
          <w:u w:val="single"/>
        </w:rPr>
        <w:t>new definition</w:t>
      </w:r>
      <w:r w:rsidR="00F94705" w:rsidRPr="008A69F3">
        <w:rPr>
          <w:bCs/>
          <w:i/>
          <w:szCs w:val="24"/>
          <w:u w:val="single"/>
        </w:rPr>
        <w:t xml:space="preserve"> of characterised</w:t>
      </w:r>
    </w:p>
    <w:p w:rsidR="001E5A4E" w:rsidRPr="008A69F3" w:rsidRDefault="001E5A4E" w:rsidP="00D833CC">
      <w:pPr>
        <w:rPr>
          <w:bCs/>
          <w:i/>
          <w:szCs w:val="24"/>
          <w:u w:val="single"/>
        </w:rPr>
      </w:pPr>
    </w:p>
    <w:p w:rsidR="00EC311F" w:rsidRPr="008A69F3" w:rsidRDefault="001E5A4E" w:rsidP="00EC311F">
      <w:pPr>
        <w:rPr>
          <w:bCs/>
          <w:iCs/>
          <w:szCs w:val="24"/>
        </w:rPr>
      </w:pPr>
      <w:r w:rsidRPr="008A69F3">
        <w:rPr>
          <w:bCs/>
          <w:iCs/>
          <w:szCs w:val="24"/>
        </w:rPr>
        <w:lastRenderedPageBreak/>
        <w:t>Th</w:t>
      </w:r>
      <w:r w:rsidR="00830966">
        <w:rPr>
          <w:bCs/>
          <w:iCs/>
          <w:szCs w:val="24"/>
        </w:rPr>
        <w:t>is</w:t>
      </w:r>
      <w:r w:rsidRPr="0035275C">
        <w:rPr>
          <w:bCs/>
          <w:iCs/>
          <w:szCs w:val="24"/>
        </w:rPr>
        <w:t xml:space="preserve"> </w:t>
      </w:r>
      <w:r w:rsidR="003E7CCA" w:rsidRPr="008A69F3">
        <w:rPr>
          <w:bCs/>
          <w:iCs/>
          <w:szCs w:val="24"/>
        </w:rPr>
        <w:t>claus</w:t>
      </w:r>
      <w:r w:rsidR="00830966">
        <w:rPr>
          <w:bCs/>
          <w:iCs/>
          <w:szCs w:val="24"/>
        </w:rPr>
        <w:t xml:space="preserve">e inserts a new definition </w:t>
      </w:r>
      <w:r w:rsidR="000B7539" w:rsidRPr="008A69F3">
        <w:rPr>
          <w:bCs/>
          <w:iCs/>
          <w:szCs w:val="24"/>
        </w:rPr>
        <w:t xml:space="preserve">of ‘characterised’ </w:t>
      </w:r>
    </w:p>
    <w:p w:rsidR="00190B46" w:rsidRPr="008A69F3" w:rsidRDefault="00190B46" w:rsidP="00EC311F">
      <w:pPr>
        <w:rPr>
          <w:bCs/>
          <w:iCs/>
          <w:szCs w:val="24"/>
        </w:rPr>
      </w:pPr>
    </w:p>
    <w:p w:rsidR="00190B46" w:rsidRPr="004C034B" w:rsidRDefault="00190B46" w:rsidP="00EC311F">
      <w:pPr>
        <w:rPr>
          <w:bCs/>
          <w:i/>
          <w:szCs w:val="24"/>
        </w:rPr>
      </w:pPr>
      <w:r w:rsidRPr="008A69F3">
        <w:rPr>
          <w:bCs/>
          <w:i/>
          <w:szCs w:val="24"/>
        </w:rPr>
        <w:t xml:space="preserve">Clause [63]- Dictionary, new definitions </w:t>
      </w:r>
    </w:p>
    <w:p w:rsidR="00616CF6" w:rsidRPr="0035275C" w:rsidRDefault="00616CF6" w:rsidP="00616CF6">
      <w:pPr>
        <w:rPr>
          <w:bCs/>
          <w:iCs/>
          <w:szCs w:val="24"/>
        </w:rPr>
      </w:pPr>
    </w:p>
    <w:p w:rsidR="00616CF6" w:rsidRPr="008A69F3" w:rsidRDefault="00616CF6" w:rsidP="00616CF6">
      <w:pPr>
        <w:rPr>
          <w:bCs/>
          <w:iCs/>
          <w:szCs w:val="24"/>
        </w:rPr>
      </w:pPr>
      <w:r w:rsidRPr="008A69F3">
        <w:rPr>
          <w:bCs/>
          <w:iCs/>
          <w:szCs w:val="24"/>
        </w:rPr>
        <w:t xml:space="preserve">This clause inserts new definitions of ‘host’ and ‘host/vector system’. </w:t>
      </w:r>
    </w:p>
    <w:p w:rsidR="00CD4465" w:rsidRPr="004C034B" w:rsidRDefault="00CD4465" w:rsidP="00CD4465">
      <w:pPr>
        <w:rPr>
          <w:bCs/>
          <w:iCs/>
          <w:szCs w:val="24"/>
        </w:rPr>
      </w:pPr>
    </w:p>
    <w:p w:rsidR="00935116" w:rsidRPr="008A69F3" w:rsidRDefault="00D41B0B" w:rsidP="00D833CC">
      <w:pPr>
        <w:rPr>
          <w:bCs/>
          <w:i/>
          <w:szCs w:val="24"/>
          <w:u w:val="single"/>
        </w:rPr>
      </w:pPr>
      <w:r w:rsidRPr="0035275C">
        <w:rPr>
          <w:bCs/>
          <w:i/>
          <w:szCs w:val="24"/>
          <w:u w:val="single"/>
        </w:rPr>
        <w:t>Clause</w:t>
      </w:r>
      <w:r w:rsidR="000B7539" w:rsidRPr="0035275C">
        <w:rPr>
          <w:bCs/>
          <w:i/>
          <w:szCs w:val="24"/>
          <w:u w:val="single"/>
        </w:rPr>
        <w:t xml:space="preserve"> [</w:t>
      </w:r>
      <w:r w:rsidR="00676E7A" w:rsidRPr="008A69F3">
        <w:rPr>
          <w:bCs/>
          <w:i/>
          <w:szCs w:val="24"/>
          <w:u w:val="single"/>
        </w:rPr>
        <w:t>6</w:t>
      </w:r>
      <w:r w:rsidR="00190B46" w:rsidRPr="008A69F3">
        <w:rPr>
          <w:bCs/>
          <w:i/>
          <w:szCs w:val="24"/>
          <w:u w:val="single"/>
        </w:rPr>
        <w:t>4</w:t>
      </w:r>
      <w:r w:rsidR="000B7539" w:rsidRPr="008A69F3">
        <w:rPr>
          <w:bCs/>
          <w:i/>
          <w:szCs w:val="24"/>
          <w:u w:val="single"/>
        </w:rPr>
        <w:t xml:space="preserve">] - </w:t>
      </w:r>
      <w:r w:rsidR="00935116" w:rsidRPr="008A69F3">
        <w:rPr>
          <w:bCs/>
          <w:i/>
          <w:szCs w:val="24"/>
          <w:u w:val="single"/>
        </w:rPr>
        <w:t xml:space="preserve">Dictionary, definition of toxin producing organism </w:t>
      </w:r>
    </w:p>
    <w:p w:rsidR="00EC311F" w:rsidRPr="008A69F3" w:rsidRDefault="00EC311F" w:rsidP="00B41779">
      <w:pPr>
        <w:rPr>
          <w:bCs/>
          <w:iCs/>
          <w:szCs w:val="24"/>
        </w:rPr>
      </w:pPr>
    </w:p>
    <w:p w:rsidR="00EC311F" w:rsidRPr="008A69F3" w:rsidRDefault="00EC311F" w:rsidP="00B41779">
      <w:pPr>
        <w:rPr>
          <w:bCs/>
          <w:iCs/>
          <w:szCs w:val="24"/>
        </w:rPr>
      </w:pPr>
      <w:r w:rsidRPr="008A69F3">
        <w:rPr>
          <w:bCs/>
          <w:iCs/>
          <w:szCs w:val="24"/>
        </w:rPr>
        <w:t xml:space="preserve">This </w:t>
      </w:r>
      <w:r w:rsidR="003E7CCA" w:rsidRPr="008A69F3">
        <w:rPr>
          <w:bCs/>
          <w:iCs/>
          <w:szCs w:val="24"/>
        </w:rPr>
        <w:t>clause</w:t>
      </w:r>
      <w:r w:rsidR="000B7539" w:rsidRPr="008A69F3">
        <w:rPr>
          <w:bCs/>
          <w:iCs/>
          <w:szCs w:val="24"/>
        </w:rPr>
        <w:t xml:space="preserve"> </w:t>
      </w:r>
      <w:r w:rsidRPr="008A69F3">
        <w:rPr>
          <w:bCs/>
          <w:iCs/>
          <w:szCs w:val="24"/>
        </w:rPr>
        <w:t>replaces the Greek letter mu (µ), as part of a recognised international symbol indicating micrograms, with the word “micrograms”, in the definition of “toxin-producing organ</w:t>
      </w:r>
      <w:r w:rsidR="00DB4481" w:rsidRPr="008A69F3">
        <w:rPr>
          <w:bCs/>
          <w:iCs/>
          <w:szCs w:val="24"/>
        </w:rPr>
        <w:t xml:space="preserve">ism”. </w:t>
      </w:r>
    </w:p>
    <w:p w:rsidR="00EC311F" w:rsidRPr="008A69F3" w:rsidRDefault="00EC311F" w:rsidP="00B41779">
      <w:pPr>
        <w:rPr>
          <w:bCs/>
          <w:i/>
          <w:szCs w:val="24"/>
        </w:rPr>
      </w:pPr>
    </w:p>
    <w:p w:rsidR="00935116" w:rsidRPr="008A69F3" w:rsidRDefault="00D41B0B" w:rsidP="00D833CC">
      <w:pPr>
        <w:rPr>
          <w:bCs/>
          <w:i/>
          <w:szCs w:val="24"/>
          <w:u w:val="single"/>
        </w:rPr>
      </w:pPr>
      <w:r w:rsidRPr="008A69F3">
        <w:rPr>
          <w:bCs/>
          <w:i/>
          <w:szCs w:val="24"/>
          <w:u w:val="single"/>
        </w:rPr>
        <w:t>Clause</w:t>
      </w:r>
      <w:r w:rsidR="00431871" w:rsidRPr="008A69F3">
        <w:rPr>
          <w:bCs/>
          <w:i/>
          <w:szCs w:val="24"/>
          <w:u w:val="single"/>
        </w:rPr>
        <w:t xml:space="preserve"> [</w:t>
      </w:r>
      <w:r w:rsidR="00676E7A" w:rsidRPr="008A69F3">
        <w:rPr>
          <w:bCs/>
          <w:i/>
          <w:szCs w:val="24"/>
          <w:u w:val="single"/>
        </w:rPr>
        <w:t>6</w:t>
      </w:r>
      <w:r w:rsidR="00190B46" w:rsidRPr="008A69F3">
        <w:rPr>
          <w:bCs/>
          <w:i/>
          <w:szCs w:val="24"/>
          <w:u w:val="single"/>
        </w:rPr>
        <w:t>5</w:t>
      </w:r>
      <w:r w:rsidR="00431871" w:rsidRPr="008A69F3">
        <w:rPr>
          <w:bCs/>
          <w:i/>
          <w:szCs w:val="24"/>
          <w:u w:val="single"/>
        </w:rPr>
        <w:t xml:space="preserve">] - </w:t>
      </w:r>
      <w:r w:rsidR="00935116" w:rsidRPr="008A69F3">
        <w:rPr>
          <w:bCs/>
          <w:i/>
          <w:szCs w:val="24"/>
          <w:u w:val="single"/>
        </w:rPr>
        <w:t xml:space="preserve">Dictionary, new definition of vector </w:t>
      </w:r>
    </w:p>
    <w:p w:rsidR="00EC311F" w:rsidRPr="008A69F3" w:rsidRDefault="00EC311F" w:rsidP="00EC311F">
      <w:pPr>
        <w:rPr>
          <w:bCs/>
          <w:iCs/>
          <w:szCs w:val="24"/>
        </w:rPr>
      </w:pPr>
    </w:p>
    <w:p w:rsidR="00EC311F" w:rsidRPr="008A69F3" w:rsidRDefault="00EC311F" w:rsidP="00EC311F">
      <w:pPr>
        <w:rPr>
          <w:bCs/>
          <w:iCs/>
          <w:szCs w:val="24"/>
        </w:rPr>
      </w:pPr>
      <w:r w:rsidRPr="008A69F3">
        <w:rPr>
          <w:bCs/>
          <w:iCs/>
          <w:szCs w:val="24"/>
        </w:rPr>
        <w:t xml:space="preserve">This </w:t>
      </w:r>
      <w:r w:rsidR="003E7CCA" w:rsidRPr="008A69F3">
        <w:rPr>
          <w:bCs/>
          <w:iCs/>
          <w:szCs w:val="24"/>
        </w:rPr>
        <w:t>clause</w:t>
      </w:r>
      <w:r w:rsidR="00431871" w:rsidRPr="008A69F3">
        <w:rPr>
          <w:bCs/>
          <w:iCs/>
          <w:szCs w:val="24"/>
        </w:rPr>
        <w:t xml:space="preserve"> </w:t>
      </w:r>
      <w:r w:rsidRPr="008A69F3">
        <w:rPr>
          <w:bCs/>
          <w:iCs/>
          <w:szCs w:val="24"/>
        </w:rPr>
        <w:t xml:space="preserve">inserts a new definition </w:t>
      </w:r>
      <w:r w:rsidR="00C24928" w:rsidRPr="008A69F3">
        <w:rPr>
          <w:bCs/>
          <w:iCs/>
          <w:szCs w:val="24"/>
        </w:rPr>
        <w:t>of</w:t>
      </w:r>
      <w:r w:rsidRPr="008A69F3">
        <w:rPr>
          <w:bCs/>
          <w:iCs/>
          <w:szCs w:val="24"/>
        </w:rPr>
        <w:t xml:space="preserve"> </w:t>
      </w:r>
      <w:r w:rsidR="00C24928" w:rsidRPr="008A69F3">
        <w:rPr>
          <w:bCs/>
          <w:iCs/>
          <w:szCs w:val="24"/>
        </w:rPr>
        <w:t>‘</w:t>
      </w:r>
      <w:r w:rsidRPr="008A69F3">
        <w:rPr>
          <w:bCs/>
          <w:iCs/>
          <w:szCs w:val="24"/>
        </w:rPr>
        <w:t>vector</w:t>
      </w:r>
      <w:r w:rsidR="00C24928" w:rsidRPr="008A69F3">
        <w:rPr>
          <w:bCs/>
          <w:iCs/>
          <w:szCs w:val="24"/>
        </w:rPr>
        <w:t>’</w:t>
      </w:r>
      <w:r w:rsidRPr="008A69F3">
        <w:rPr>
          <w:bCs/>
          <w:iCs/>
          <w:szCs w:val="24"/>
        </w:rPr>
        <w:t xml:space="preserve">. </w:t>
      </w:r>
    </w:p>
    <w:p w:rsidR="00190B46" w:rsidRPr="008A69F3" w:rsidRDefault="00190B46" w:rsidP="00D833CC">
      <w:pPr>
        <w:rPr>
          <w:bCs/>
          <w:i/>
          <w:szCs w:val="24"/>
          <w:u w:val="single"/>
        </w:rPr>
      </w:pPr>
    </w:p>
    <w:p w:rsidR="00EC311F" w:rsidRPr="008A69F3" w:rsidRDefault="00D41B0B" w:rsidP="00D833CC">
      <w:pPr>
        <w:rPr>
          <w:bCs/>
          <w:i/>
          <w:szCs w:val="24"/>
          <w:u w:val="single"/>
        </w:rPr>
      </w:pPr>
      <w:r w:rsidRPr="008A69F3">
        <w:rPr>
          <w:bCs/>
          <w:i/>
          <w:szCs w:val="24"/>
          <w:u w:val="single"/>
        </w:rPr>
        <w:t>Clause</w:t>
      </w:r>
      <w:r w:rsidR="000B7539" w:rsidRPr="008A69F3">
        <w:rPr>
          <w:bCs/>
          <w:i/>
          <w:szCs w:val="24"/>
          <w:u w:val="single"/>
        </w:rPr>
        <w:t xml:space="preserve"> [</w:t>
      </w:r>
      <w:r w:rsidR="00676E7A" w:rsidRPr="008A69F3">
        <w:rPr>
          <w:bCs/>
          <w:i/>
          <w:szCs w:val="24"/>
          <w:u w:val="single"/>
        </w:rPr>
        <w:t>6</w:t>
      </w:r>
      <w:r w:rsidR="00190B46" w:rsidRPr="008A69F3">
        <w:rPr>
          <w:bCs/>
          <w:i/>
          <w:szCs w:val="24"/>
          <w:u w:val="single"/>
        </w:rPr>
        <w:t>6</w:t>
      </w:r>
      <w:r w:rsidR="000B7539" w:rsidRPr="008A69F3">
        <w:rPr>
          <w:bCs/>
          <w:i/>
          <w:szCs w:val="24"/>
          <w:u w:val="single"/>
        </w:rPr>
        <w:t xml:space="preserve">] - </w:t>
      </w:r>
      <w:r w:rsidR="00935116" w:rsidRPr="008A69F3">
        <w:rPr>
          <w:bCs/>
          <w:i/>
          <w:szCs w:val="24"/>
          <w:u w:val="single"/>
        </w:rPr>
        <w:t xml:space="preserve">Further amendments, mentions </w:t>
      </w:r>
      <w:r w:rsidR="00EF3AC1" w:rsidRPr="008A69F3">
        <w:rPr>
          <w:bCs/>
          <w:i/>
          <w:szCs w:val="24"/>
          <w:u w:val="single"/>
        </w:rPr>
        <w:t xml:space="preserve">of </w:t>
      </w:r>
      <w:r w:rsidR="00935116" w:rsidRPr="008A69F3">
        <w:rPr>
          <w:bCs/>
          <w:i/>
          <w:szCs w:val="24"/>
          <w:u w:val="single"/>
        </w:rPr>
        <w:t xml:space="preserve">part 2.2 </w:t>
      </w:r>
    </w:p>
    <w:p w:rsidR="00EC311F" w:rsidRPr="008A69F3" w:rsidRDefault="00EC311F" w:rsidP="00EC311F">
      <w:pPr>
        <w:rPr>
          <w:bCs/>
          <w:iCs/>
          <w:szCs w:val="24"/>
        </w:rPr>
      </w:pPr>
    </w:p>
    <w:p w:rsidR="00EC311F" w:rsidRPr="008A69F3" w:rsidRDefault="00EC311F" w:rsidP="00EC311F">
      <w:pPr>
        <w:rPr>
          <w:bCs/>
          <w:iCs/>
          <w:szCs w:val="24"/>
        </w:rPr>
      </w:pPr>
      <w:r w:rsidRPr="008A69F3">
        <w:rPr>
          <w:bCs/>
          <w:iCs/>
          <w:szCs w:val="24"/>
        </w:rPr>
        <w:t xml:space="preserve">This </w:t>
      </w:r>
      <w:r w:rsidR="003E7CCA" w:rsidRPr="008A69F3">
        <w:rPr>
          <w:bCs/>
          <w:iCs/>
          <w:szCs w:val="24"/>
        </w:rPr>
        <w:t>clause</w:t>
      </w:r>
      <w:r w:rsidR="00EF3AC1" w:rsidRPr="008A69F3">
        <w:rPr>
          <w:bCs/>
          <w:iCs/>
          <w:szCs w:val="24"/>
        </w:rPr>
        <w:t xml:space="preserve"> replaces references to Part 2.2 with table 2.2 </w:t>
      </w:r>
      <w:r w:rsidR="008F7EED" w:rsidRPr="008A69F3">
        <w:rPr>
          <w:bCs/>
          <w:iCs/>
          <w:szCs w:val="24"/>
        </w:rPr>
        <w:t xml:space="preserve">as a consequence of </w:t>
      </w:r>
      <w:r w:rsidR="00EF3AC1" w:rsidRPr="008A69F3">
        <w:rPr>
          <w:bCs/>
          <w:iCs/>
          <w:szCs w:val="24"/>
        </w:rPr>
        <w:t xml:space="preserve">the substitution of Part 2.2 of Schedule 2 with new table 2.2. </w:t>
      </w:r>
    </w:p>
    <w:p w:rsidR="00E47FAB" w:rsidRPr="004C034B" w:rsidRDefault="00E47FAB" w:rsidP="00EC311F">
      <w:pPr>
        <w:rPr>
          <w:bCs/>
          <w:i/>
          <w:szCs w:val="24"/>
          <w:u w:val="single"/>
        </w:rPr>
      </w:pPr>
    </w:p>
    <w:p w:rsidR="00713560" w:rsidRPr="008A69F3" w:rsidRDefault="00C52B2E" w:rsidP="00EC311F">
      <w:pPr>
        <w:rPr>
          <w:b/>
          <w:iCs/>
          <w:szCs w:val="24"/>
        </w:rPr>
      </w:pPr>
      <w:r w:rsidRPr="008A69F3">
        <w:rPr>
          <w:b/>
          <w:iCs/>
          <w:szCs w:val="24"/>
        </w:rPr>
        <w:t>Schedule 1, item 1 -</w:t>
      </w:r>
      <w:r w:rsidR="006D2576">
        <w:rPr>
          <w:b/>
          <w:iCs/>
          <w:szCs w:val="24"/>
        </w:rPr>
        <w:t xml:space="preserve"> </w:t>
      </w:r>
      <w:r w:rsidR="00713560" w:rsidRPr="0035275C">
        <w:rPr>
          <w:b/>
          <w:iCs/>
          <w:szCs w:val="24"/>
        </w:rPr>
        <w:t>Delayed amendment - 8 October 2020</w:t>
      </w:r>
    </w:p>
    <w:p w:rsidR="006C4478" w:rsidRPr="008A69F3" w:rsidRDefault="006C4478" w:rsidP="006C4478">
      <w:pPr>
        <w:rPr>
          <w:bCs/>
          <w:iCs/>
          <w:szCs w:val="24"/>
        </w:rPr>
      </w:pPr>
      <w:r w:rsidRPr="008A69F3">
        <w:rPr>
          <w:bCs/>
          <w:iCs/>
          <w:szCs w:val="24"/>
        </w:rPr>
        <w:t xml:space="preserve">Schedule 1 item 1 is a descriptive item on the list of organisms that are not GMOs that, with changes in technology and use of scientific terminology, has become ambiguous, and has been interpreted in a variety of ways in respect to newly developed technologies. </w:t>
      </w:r>
      <w:r w:rsidR="00B8518D" w:rsidRPr="008A69F3">
        <w:rPr>
          <w:bCs/>
          <w:iCs/>
          <w:szCs w:val="24"/>
        </w:rPr>
        <w:t>Item [2.1]</w:t>
      </w:r>
      <w:r w:rsidRPr="008A69F3">
        <w:rPr>
          <w:bCs/>
          <w:iCs/>
          <w:szCs w:val="24"/>
        </w:rPr>
        <w:t xml:space="preserve"> repeals Schedule 1 item 1. </w:t>
      </w:r>
    </w:p>
    <w:p w:rsidR="006C4478" w:rsidRPr="008A69F3" w:rsidRDefault="006C4478" w:rsidP="006C4478">
      <w:pPr>
        <w:rPr>
          <w:bCs/>
          <w:iCs/>
          <w:szCs w:val="24"/>
        </w:rPr>
      </w:pPr>
      <w:r w:rsidRPr="008A69F3">
        <w:rPr>
          <w:bCs/>
          <w:iCs/>
          <w:szCs w:val="24"/>
        </w:rPr>
        <w:t xml:space="preserve"> </w:t>
      </w:r>
    </w:p>
    <w:p w:rsidR="006C4478" w:rsidRPr="008A69F3" w:rsidRDefault="006C4478" w:rsidP="006C4478">
      <w:pPr>
        <w:rPr>
          <w:bCs/>
          <w:iCs/>
          <w:szCs w:val="24"/>
        </w:rPr>
      </w:pPr>
      <w:r w:rsidRPr="008A69F3">
        <w:rPr>
          <w:bCs/>
          <w:iCs/>
          <w:szCs w:val="24"/>
        </w:rPr>
        <w:t xml:space="preserve">The Explanatory Statement to the </w:t>
      </w:r>
      <w:r w:rsidR="0063177C" w:rsidRPr="008A69F3">
        <w:rPr>
          <w:bCs/>
          <w:iCs/>
          <w:szCs w:val="24"/>
        </w:rPr>
        <w:t>Commonwealth</w:t>
      </w:r>
      <w:r w:rsidRPr="008A69F3">
        <w:rPr>
          <w:bCs/>
          <w:iCs/>
          <w:szCs w:val="24"/>
        </w:rPr>
        <w:t xml:space="preserve"> Regulations indicates Schedule 1 item 1 was intended to exclude mutagenised organisms from the scope of regulation as GMOs. Subsequent amendments have listed electromagnetic radiation mutagenesis, particle radiation mutagenesis and chemical mutagenesis techniques in Schedule 1A as techniques that are not gene technology, and the status of organisms modified by these techniques are not affected by repeal of Schedule 1 item 1. The two other organisms known to be historically excluded from regulation as GMOs by Schedule 1 item 1 are specifically listed in Schedule 1 to retain their status (see</w:t>
      </w:r>
      <w:r w:rsidR="00532BCF" w:rsidRPr="008A69F3">
        <w:rPr>
          <w:bCs/>
          <w:iCs/>
          <w:szCs w:val="24"/>
        </w:rPr>
        <w:t xml:space="preserve"> clause [21]</w:t>
      </w:r>
      <w:r w:rsidRPr="008A69F3">
        <w:rPr>
          <w:bCs/>
          <w:iCs/>
          <w:szCs w:val="24"/>
        </w:rPr>
        <w:t>). Public consultation seeking to establish whether any other organisms were considered to be excluded from regulation as GMOs under Schedule 1 item 1 did not identify any other organisms.</w:t>
      </w:r>
    </w:p>
    <w:p w:rsidR="006C4478" w:rsidRPr="008A69F3" w:rsidRDefault="006C4478" w:rsidP="006C4478">
      <w:pPr>
        <w:rPr>
          <w:bCs/>
          <w:iCs/>
          <w:szCs w:val="24"/>
        </w:rPr>
      </w:pPr>
      <w:r w:rsidRPr="008A69F3">
        <w:rPr>
          <w:bCs/>
          <w:iCs/>
          <w:szCs w:val="24"/>
        </w:rPr>
        <w:t xml:space="preserve"> </w:t>
      </w:r>
    </w:p>
    <w:p w:rsidR="00775AFD" w:rsidRDefault="00775AFD" w:rsidP="003A7527"/>
    <w:p w:rsidR="001D3288" w:rsidRPr="001D3288" w:rsidRDefault="001D3288" w:rsidP="009D4309">
      <w:pPr>
        <w:rPr>
          <w:sz w:val="20"/>
        </w:rPr>
      </w:pPr>
    </w:p>
    <w:sectPr w:rsidR="001D3288" w:rsidRPr="001D3288" w:rsidSect="001D3288">
      <w:pgSz w:w="11906" w:h="16838"/>
      <w:pgMar w:top="851"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F37" w:rsidRDefault="00A16F37" w:rsidP="001D3288">
      <w:r>
        <w:separator/>
      </w:r>
    </w:p>
  </w:endnote>
  <w:endnote w:type="continuationSeparator" w:id="0">
    <w:p w:rsidR="00A16F37" w:rsidRDefault="00A16F37" w:rsidP="001D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D1" w:rsidRDefault="009E3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D1" w:rsidRPr="009E3FD1" w:rsidRDefault="009E3FD1" w:rsidP="009E3FD1">
    <w:pPr>
      <w:pStyle w:val="Footer"/>
      <w:jc w:val="center"/>
      <w:rPr>
        <w:rFonts w:cs="Arial"/>
        <w:sz w:val="14"/>
      </w:rPr>
    </w:pPr>
    <w:r w:rsidRPr="009E3FD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D1" w:rsidRDefault="009E3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F37" w:rsidRDefault="00A16F37" w:rsidP="001D3288">
      <w:r>
        <w:separator/>
      </w:r>
    </w:p>
  </w:footnote>
  <w:footnote w:type="continuationSeparator" w:id="0">
    <w:p w:rsidR="00A16F37" w:rsidRDefault="00A16F37" w:rsidP="001D3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D1" w:rsidRDefault="009E3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F17" w:rsidRDefault="00921F17">
    <w:pPr>
      <w:pStyle w:val="Header"/>
    </w:pPr>
    <w:r>
      <w:rPr>
        <w:noProof/>
      </w:rPr>
      <w:pict>
        <v:shapetype id="_x0000_t202" coordsize="21600,21600" o:spt="202" path="m,l,21600r21600,l21600,xe">
          <v:stroke joinstyle="miter"/>
          <v:path gradientshapeok="t" o:connecttype="rect"/>
        </v:shapetype>
        <v:shape id="MSIPCM860f446a8f585e1411bcb27e" o:spid="_x0000_s2049" type="#_x0000_t202" alt="{&quot;HashCode&quot;:431350885,&quot;Height&quot;:9999999.0,&quot;Width&quot;:9999999.0,&quot;Placement&quot;:&quot;Header&quot;,&quot;Index&quot;:&quot;Primary&quot;,&quot;Section&quot;:1,&quot;Top&quot;:0.0,&quot;Left&quot;:0.0}" style="position:absolute;margin-left:0;margin-top:0;width:612pt;height:36.55pt;z-index:251657216;mso-position-horizontal:center;mso-position-horizontal-relative:page;mso-position-vertical:top;mso-position-vertical-relative:page;v-text-anchor:middle" o:allowincell="f" filled="f" stroked="f">
          <v:textbox inset=",0,,0">
            <w:txbxContent>
              <w:p w:rsidR="00921F17" w:rsidRPr="00460237" w:rsidRDefault="00921F17" w:rsidP="00921F17">
                <w:pPr>
                  <w:jc w:val="center"/>
                  <w:rPr>
                    <w:rFonts w:ascii="Calibri" w:hAnsi="Calibri" w:cs="Calibri"/>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F17" w:rsidRDefault="00921F17">
    <w:pPr>
      <w:pStyle w:val="Header"/>
    </w:pPr>
    <w:r>
      <w:rPr>
        <w:noProof/>
      </w:rPr>
      <w:pict>
        <v:shapetype id="_x0000_t202" coordsize="21600,21600" o:spt="202" path="m,l,21600r21600,l21600,xe">
          <v:stroke joinstyle="miter"/>
          <v:path gradientshapeok="t" o:connecttype="rect"/>
        </v:shapetype>
        <v:shape id="MSIPCM226345d18ba0241646f8d0f9" o:spid="_x0000_s2050" type="#_x0000_t202" alt="{&quot;HashCode&quot;:431350885,&quot;Height&quot;:9999999.0,&quot;Width&quot;:9999999.0,&quot;Placement&quot;:&quot;Header&quot;,&quot;Index&quot;:&quot;FirstPage&quot;,&quot;Section&quot;:1,&quot;Top&quot;:0.0,&quot;Left&quot;:0.0}" style="position:absolute;margin-left:0;margin-top:0;width:612pt;height:36.55pt;z-index:251658240;mso-position-horizontal:center;mso-position-horizontal-relative:page;mso-position-vertical:top;mso-position-vertical-relative:page;v-text-anchor:middle" o:allowincell="f" filled="f" stroked="f">
          <v:textbox inset=",0,,0">
            <w:txbxContent>
              <w:p w:rsidR="00921F17" w:rsidRPr="00460237" w:rsidRDefault="00921F17" w:rsidP="00921F17">
                <w:pPr>
                  <w:jc w:val="center"/>
                  <w:rPr>
                    <w:rFonts w:ascii="Calibri" w:hAnsi="Calibri" w:cs="Calibri"/>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A8B1A9"/>
    <w:multiLevelType w:val="hybridMultilevel"/>
    <w:tmpl w:val="503B21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C7970"/>
    <w:multiLevelType w:val="hybridMultilevel"/>
    <w:tmpl w:val="44F00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C53217"/>
    <w:multiLevelType w:val="hybridMultilevel"/>
    <w:tmpl w:val="A4CEFB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DF90F1E"/>
    <w:multiLevelType w:val="hybridMultilevel"/>
    <w:tmpl w:val="337EF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7D55DE"/>
    <w:multiLevelType w:val="hybridMultilevel"/>
    <w:tmpl w:val="21F287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DF13AC"/>
    <w:multiLevelType w:val="hybridMultilevel"/>
    <w:tmpl w:val="21F287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D31323"/>
    <w:multiLevelType w:val="hybridMultilevel"/>
    <w:tmpl w:val="A89AC71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636C7A87"/>
    <w:multiLevelType w:val="hybridMultilevel"/>
    <w:tmpl w:val="DD720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6C3431"/>
    <w:multiLevelType w:val="hybridMultilevel"/>
    <w:tmpl w:val="CF660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033C84"/>
    <w:multiLevelType w:val="hybridMultilevel"/>
    <w:tmpl w:val="BA060960"/>
    <w:lvl w:ilvl="0" w:tplc="6BB0A1E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0B43AE"/>
    <w:multiLevelType w:val="hybridMultilevel"/>
    <w:tmpl w:val="AF246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9"/>
  </w:num>
  <w:num w:numId="5">
    <w:abstractNumId w:val="5"/>
  </w:num>
  <w:num w:numId="6">
    <w:abstractNumId w:val="6"/>
  </w:num>
  <w:num w:numId="7">
    <w:abstractNumId w:val="7"/>
  </w:num>
  <w:num w:numId="8">
    <w:abstractNumId w:val="0"/>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527"/>
    <w:rsid w:val="0000148B"/>
    <w:rsid w:val="00007CC3"/>
    <w:rsid w:val="00015B98"/>
    <w:rsid w:val="00032E6E"/>
    <w:rsid w:val="00035DB3"/>
    <w:rsid w:val="000363D1"/>
    <w:rsid w:val="00036EE9"/>
    <w:rsid w:val="00040DEA"/>
    <w:rsid w:val="00044924"/>
    <w:rsid w:val="0004697D"/>
    <w:rsid w:val="00057DB4"/>
    <w:rsid w:val="00072D06"/>
    <w:rsid w:val="00072D79"/>
    <w:rsid w:val="0008356A"/>
    <w:rsid w:val="000840B4"/>
    <w:rsid w:val="000A145E"/>
    <w:rsid w:val="000A5865"/>
    <w:rsid w:val="000B162E"/>
    <w:rsid w:val="000B3074"/>
    <w:rsid w:val="000B6FAD"/>
    <w:rsid w:val="000B7539"/>
    <w:rsid w:val="000C4039"/>
    <w:rsid w:val="000C4710"/>
    <w:rsid w:val="000D115E"/>
    <w:rsid w:val="000E27AD"/>
    <w:rsid w:val="000F2955"/>
    <w:rsid w:val="000F52B7"/>
    <w:rsid w:val="000F5B87"/>
    <w:rsid w:val="000F6145"/>
    <w:rsid w:val="000F7BC6"/>
    <w:rsid w:val="00106F77"/>
    <w:rsid w:val="00110A9C"/>
    <w:rsid w:val="001124EA"/>
    <w:rsid w:val="0012514A"/>
    <w:rsid w:val="00150C32"/>
    <w:rsid w:val="001737E8"/>
    <w:rsid w:val="00190B46"/>
    <w:rsid w:val="001A2831"/>
    <w:rsid w:val="001B432C"/>
    <w:rsid w:val="001C42BE"/>
    <w:rsid w:val="001D05F3"/>
    <w:rsid w:val="001D3288"/>
    <w:rsid w:val="001E2BE8"/>
    <w:rsid w:val="001E5237"/>
    <w:rsid w:val="001E5A4E"/>
    <w:rsid w:val="001F3430"/>
    <w:rsid w:val="00205203"/>
    <w:rsid w:val="0021225F"/>
    <w:rsid w:val="00224EB6"/>
    <w:rsid w:val="00225361"/>
    <w:rsid w:val="00227B3A"/>
    <w:rsid w:val="0025140A"/>
    <w:rsid w:val="00252211"/>
    <w:rsid w:val="00255D45"/>
    <w:rsid w:val="00267421"/>
    <w:rsid w:val="0027031D"/>
    <w:rsid w:val="0027171D"/>
    <w:rsid w:val="00274CD6"/>
    <w:rsid w:val="00275881"/>
    <w:rsid w:val="00282D57"/>
    <w:rsid w:val="00286837"/>
    <w:rsid w:val="0029004C"/>
    <w:rsid w:val="002904F6"/>
    <w:rsid w:val="002B6A4E"/>
    <w:rsid w:val="002D277D"/>
    <w:rsid w:val="002E13B0"/>
    <w:rsid w:val="002E2080"/>
    <w:rsid w:val="002E5B64"/>
    <w:rsid w:val="002F21A6"/>
    <w:rsid w:val="002F3237"/>
    <w:rsid w:val="00324DC5"/>
    <w:rsid w:val="003335B7"/>
    <w:rsid w:val="003424CC"/>
    <w:rsid w:val="0035275C"/>
    <w:rsid w:val="0037189B"/>
    <w:rsid w:val="0037725E"/>
    <w:rsid w:val="0038238C"/>
    <w:rsid w:val="00391D89"/>
    <w:rsid w:val="00392285"/>
    <w:rsid w:val="003931BD"/>
    <w:rsid w:val="003A1A1A"/>
    <w:rsid w:val="003A7527"/>
    <w:rsid w:val="003C19EC"/>
    <w:rsid w:val="003C425B"/>
    <w:rsid w:val="003C7497"/>
    <w:rsid w:val="003C7F60"/>
    <w:rsid w:val="003E7CCA"/>
    <w:rsid w:val="003F18ED"/>
    <w:rsid w:val="00401D82"/>
    <w:rsid w:val="00413932"/>
    <w:rsid w:val="004232B4"/>
    <w:rsid w:val="00431871"/>
    <w:rsid w:val="00431920"/>
    <w:rsid w:val="00435C9A"/>
    <w:rsid w:val="0043632F"/>
    <w:rsid w:val="004423D0"/>
    <w:rsid w:val="0044409E"/>
    <w:rsid w:val="00453D0D"/>
    <w:rsid w:val="00455B1A"/>
    <w:rsid w:val="00460237"/>
    <w:rsid w:val="00466793"/>
    <w:rsid w:val="00467537"/>
    <w:rsid w:val="00484A93"/>
    <w:rsid w:val="004851E4"/>
    <w:rsid w:val="00495D55"/>
    <w:rsid w:val="00496D23"/>
    <w:rsid w:val="004B6056"/>
    <w:rsid w:val="004C034B"/>
    <w:rsid w:val="004C2659"/>
    <w:rsid w:val="004D56DA"/>
    <w:rsid w:val="004E3AE1"/>
    <w:rsid w:val="004F71A1"/>
    <w:rsid w:val="00514A97"/>
    <w:rsid w:val="00514C4F"/>
    <w:rsid w:val="00514D26"/>
    <w:rsid w:val="00524CF4"/>
    <w:rsid w:val="00532BCF"/>
    <w:rsid w:val="00533DB5"/>
    <w:rsid w:val="00540E5B"/>
    <w:rsid w:val="00563A24"/>
    <w:rsid w:val="005777C6"/>
    <w:rsid w:val="005B0F14"/>
    <w:rsid w:val="005C2623"/>
    <w:rsid w:val="005C67F7"/>
    <w:rsid w:val="005E465B"/>
    <w:rsid w:val="005F27B7"/>
    <w:rsid w:val="005F469C"/>
    <w:rsid w:val="00606441"/>
    <w:rsid w:val="00612632"/>
    <w:rsid w:val="006134CA"/>
    <w:rsid w:val="00616CF6"/>
    <w:rsid w:val="00622D8D"/>
    <w:rsid w:val="0063177C"/>
    <w:rsid w:val="0063330F"/>
    <w:rsid w:val="0063559D"/>
    <w:rsid w:val="00645836"/>
    <w:rsid w:val="00646755"/>
    <w:rsid w:val="00653615"/>
    <w:rsid w:val="00664EA8"/>
    <w:rsid w:val="0067065F"/>
    <w:rsid w:val="00676E7A"/>
    <w:rsid w:val="006928D4"/>
    <w:rsid w:val="006C1FE1"/>
    <w:rsid w:val="006C4478"/>
    <w:rsid w:val="006D2576"/>
    <w:rsid w:val="006D345A"/>
    <w:rsid w:val="006F7322"/>
    <w:rsid w:val="006F74F2"/>
    <w:rsid w:val="00713560"/>
    <w:rsid w:val="007215A9"/>
    <w:rsid w:val="00731A78"/>
    <w:rsid w:val="00731BEB"/>
    <w:rsid w:val="00732673"/>
    <w:rsid w:val="007360A6"/>
    <w:rsid w:val="00746202"/>
    <w:rsid w:val="00751462"/>
    <w:rsid w:val="00753661"/>
    <w:rsid w:val="0076074B"/>
    <w:rsid w:val="0076127D"/>
    <w:rsid w:val="00766E26"/>
    <w:rsid w:val="00772B5B"/>
    <w:rsid w:val="00773B51"/>
    <w:rsid w:val="00775AFD"/>
    <w:rsid w:val="00781244"/>
    <w:rsid w:val="007876A1"/>
    <w:rsid w:val="00793316"/>
    <w:rsid w:val="007B3A14"/>
    <w:rsid w:val="007B40A1"/>
    <w:rsid w:val="007D49FF"/>
    <w:rsid w:val="007D61CC"/>
    <w:rsid w:val="007E5B57"/>
    <w:rsid w:val="007E67AA"/>
    <w:rsid w:val="007E7F3C"/>
    <w:rsid w:val="007F0F26"/>
    <w:rsid w:val="007F576A"/>
    <w:rsid w:val="00801C15"/>
    <w:rsid w:val="008024F2"/>
    <w:rsid w:val="008064C6"/>
    <w:rsid w:val="0080772A"/>
    <w:rsid w:val="00811705"/>
    <w:rsid w:val="00830966"/>
    <w:rsid w:val="00833B2A"/>
    <w:rsid w:val="0083566B"/>
    <w:rsid w:val="00843A11"/>
    <w:rsid w:val="00865F70"/>
    <w:rsid w:val="00871A40"/>
    <w:rsid w:val="00874ABE"/>
    <w:rsid w:val="008839A3"/>
    <w:rsid w:val="00884D80"/>
    <w:rsid w:val="008925EB"/>
    <w:rsid w:val="008A01D4"/>
    <w:rsid w:val="008A52BE"/>
    <w:rsid w:val="008A69F3"/>
    <w:rsid w:val="008B1A8F"/>
    <w:rsid w:val="008C35DA"/>
    <w:rsid w:val="008C386C"/>
    <w:rsid w:val="008D152F"/>
    <w:rsid w:val="008E21D6"/>
    <w:rsid w:val="008F45BF"/>
    <w:rsid w:val="008F640B"/>
    <w:rsid w:val="008F7EED"/>
    <w:rsid w:val="00903734"/>
    <w:rsid w:val="00921F17"/>
    <w:rsid w:val="009247B4"/>
    <w:rsid w:val="00935116"/>
    <w:rsid w:val="00936E02"/>
    <w:rsid w:val="00946BBE"/>
    <w:rsid w:val="00950781"/>
    <w:rsid w:val="00952B8F"/>
    <w:rsid w:val="00974F51"/>
    <w:rsid w:val="00990EB4"/>
    <w:rsid w:val="0099293D"/>
    <w:rsid w:val="009935E5"/>
    <w:rsid w:val="00994502"/>
    <w:rsid w:val="00996780"/>
    <w:rsid w:val="009A1823"/>
    <w:rsid w:val="009B55A9"/>
    <w:rsid w:val="009C0C3A"/>
    <w:rsid w:val="009D0C4E"/>
    <w:rsid w:val="009D4309"/>
    <w:rsid w:val="009E0C36"/>
    <w:rsid w:val="009E3FD1"/>
    <w:rsid w:val="009F0615"/>
    <w:rsid w:val="00A10DB9"/>
    <w:rsid w:val="00A12093"/>
    <w:rsid w:val="00A1609E"/>
    <w:rsid w:val="00A16F37"/>
    <w:rsid w:val="00A20919"/>
    <w:rsid w:val="00A20D41"/>
    <w:rsid w:val="00A4442D"/>
    <w:rsid w:val="00A455A1"/>
    <w:rsid w:val="00A456E1"/>
    <w:rsid w:val="00A46A9A"/>
    <w:rsid w:val="00A47188"/>
    <w:rsid w:val="00A540E8"/>
    <w:rsid w:val="00A63CC5"/>
    <w:rsid w:val="00A8162E"/>
    <w:rsid w:val="00A87CB2"/>
    <w:rsid w:val="00A92EE5"/>
    <w:rsid w:val="00A940D5"/>
    <w:rsid w:val="00A9488D"/>
    <w:rsid w:val="00AA5A72"/>
    <w:rsid w:val="00AB12DD"/>
    <w:rsid w:val="00AB4B15"/>
    <w:rsid w:val="00AB5C4E"/>
    <w:rsid w:val="00AB6C0E"/>
    <w:rsid w:val="00AC117D"/>
    <w:rsid w:val="00AC3C07"/>
    <w:rsid w:val="00AD45FB"/>
    <w:rsid w:val="00AD68BF"/>
    <w:rsid w:val="00AF7825"/>
    <w:rsid w:val="00B066F9"/>
    <w:rsid w:val="00B13AC4"/>
    <w:rsid w:val="00B4045C"/>
    <w:rsid w:val="00B41779"/>
    <w:rsid w:val="00B437D1"/>
    <w:rsid w:val="00B4778D"/>
    <w:rsid w:val="00B534B3"/>
    <w:rsid w:val="00B80FA9"/>
    <w:rsid w:val="00B8518D"/>
    <w:rsid w:val="00BA7481"/>
    <w:rsid w:val="00BB6C12"/>
    <w:rsid w:val="00BC15AD"/>
    <w:rsid w:val="00BC481E"/>
    <w:rsid w:val="00BC6BB5"/>
    <w:rsid w:val="00BD6972"/>
    <w:rsid w:val="00BD698F"/>
    <w:rsid w:val="00BE46B5"/>
    <w:rsid w:val="00BF3643"/>
    <w:rsid w:val="00C149BF"/>
    <w:rsid w:val="00C24928"/>
    <w:rsid w:val="00C271AA"/>
    <w:rsid w:val="00C478AA"/>
    <w:rsid w:val="00C52B2E"/>
    <w:rsid w:val="00C550D7"/>
    <w:rsid w:val="00C7680B"/>
    <w:rsid w:val="00C773AE"/>
    <w:rsid w:val="00C87182"/>
    <w:rsid w:val="00C92037"/>
    <w:rsid w:val="00CA67C1"/>
    <w:rsid w:val="00CA696D"/>
    <w:rsid w:val="00CA7B69"/>
    <w:rsid w:val="00CB0CED"/>
    <w:rsid w:val="00CD4465"/>
    <w:rsid w:val="00CE6EF9"/>
    <w:rsid w:val="00CF2236"/>
    <w:rsid w:val="00CF2379"/>
    <w:rsid w:val="00CF6E5C"/>
    <w:rsid w:val="00CF7C0A"/>
    <w:rsid w:val="00D06BEC"/>
    <w:rsid w:val="00D1495C"/>
    <w:rsid w:val="00D155AF"/>
    <w:rsid w:val="00D159CE"/>
    <w:rsid w:val="00D36180"/>
    <w:rsid w:val="00D373F9"/>
    <w:rsid w:val="00D41B0B"/>
    <w:rsid w:val="00D51609"/>
    <w:rsid w:val="00D541BB"/>
    <w:rsid w:val="00D61FE5"/>
    <w:rsid w:val="00D64F2F"/>
    <w:rsid w:val="00D70F4E"/>
    <w:rsid w:val="00D7690E"/>
    <w:rsid w:val="00D833CC"/>
    <w:rsid w:val="00D87EC1"/>
    <w:rsid w:val="00D93CE7"/>
    <w:rsid w:val="00DB290C"/>
    <w:rsid w:val="00DB4481"/>
    <w:rsid w:val="00DB6C8C"/>
    <w:rsid w:val="00DC5167"/>
    <w:rsid w:val="00DD3154"/>
    <w:rsid w:val="00DD6545"/>
    <w:rsid w:val="00DE1C89"/>
    <w:rsid w:val="00DE7EB4"/>
    <w:rsid w:val="00DF0DC7"/>
    <w:rsid w:val="00DF2C4A"/>
    <w:rsid w:val="00E00648"/>
    <w:rsid w:val="00E16771"/>
    <w:rsid w:val="00E25076"/>
    <w:rsid w:val="00E331D4"/>
    <w:rsid w:val="00E36D6B"/>
    <w:rsid w:val="00E42319"/>
    <w:rsid w:val="00E47FAB"/>
    <w:rsid w:val="00E50A5A"/>
    <w:rsid w:val="00E71FBC"/>
    <w:rsid w:val="00E953ED"/>
    <w:rsid w:val="00EA4F06"/>
    <w:rsid w:val="00EB3B21"/>
    <w:rsid w:val="00EB515F"/>
    <w:rsid w:val="00EC311F"/>
    <w:rsid w:val="00ED1871"/>
    <w:rsid w:val="00ED21A6"/>
    <w:rsid w:val="00ED22DB"/>
    <w:rsid w:val="00ED50C6"/>
    <w:rsid w:val="00EE13E4"/>
    <w:rsid w:val="00EF3AC1"/>
    <w:rsid w:val="00F0478A"/>
    <w:rsid w:val="00F15D12"/>
    <w:rsid w:val="00F20C32"/>
    <w:rsid w:val="00F34F62"/>
    <w:rsid w:val="00F40E77"/>
    <w:rsid w:val="00F6484A"/>
    <w:rsid w:val="00F712B3"/>
    <w:rsid w:val="00F87E6E"/>
    <w:rsid w:val="00F94705"/>
    <w:rsid w:val="00FA53AB"/>
    <w:rsid w:val="00FA5427"/>
    <w:rsid w:val="00FA5D45"/>
    <w:rsid w:val="00FA6426"/>
    <w:rsid w:val="00FB3A75"/>
    <w:rsid w:val="00FB5047"/>
    <w:rsid w:val="00FB7575"/>
    <w:rsid w:val="00FC2DB4"/>
    <w:rsid w:val="00FC45AB"/>
    <w:rsid w:val="00FC63BB"/>
    <w:rsid w:val="00FD29DF"/>
    <w:rsid w:val="00FD699C"/>
    <w:rsid w:val="00FE01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10411FE-C552-48F8-A82C-F1EC544E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527"/>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7527"/>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3A7527"/>
    <w:rPr>
      <w:rFonts w:ascii="Arial" w:eastAsia="Times New Roman" w:hAnsi="Arial" w:cs="Times New Roman"/>
      <w:sz w:val="18"/>
      <w:szCs w:val="20"/>
    </w:rPr>
  </w:style>
  <w:style w:type="character" w:customStyle="1" w:styleId="Calibri12">
    <w:name w:val="Calibri 12"/>
    <w:uiPriority w:val="1"/>
    <w:qFormat/>
    <w:rsid w:val="003A7527"/>
    <w:rPr>
      <w:rFonts w:ascii="Calibri" w:hAnsi="Calibri"/>
      <w:sz w:val="24"/>
    </w:rPr>
  </w:style>
  <w:style w:type="paragraph" w:styleId="Header">
    <w:name w:val="header"/>
    <w:basedOn w:val="Normal"/>
    <w:link w:val="HeaderChar"/>
    <w:uiPriority w:val="99"/>
    <w:unhideWhenUsed/>
    <w:rsid w:val="001D3288"/>
    <w:pPr>
      <w:tabs>
        <w:tab w:val="center" w:pos="4513"/>
        <w:tab w:val="right" w:pos="9026"/>
      </w:tabs>
    </w:pPr>
  </w:style>
  <w:style w:type="character" w:customStyle="1" w:styleId="HeaderChar">
    <w:name w:val="Header Char"/>
    <w:link w:val="Header"/>
    <w:uiPriority w:val="99"/>
    <w:rsid w:val="001D328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7065F"/>
    <w:rPr>
      <w:rFonts w:ascii="Segoe UI" w:hAnsi="Segoe UI" w:cs="Segoe UI"/>
      <w:sz w:val="18"/>
      <w:szCs w:val="18"/>
    </w:rPr>
  </w:style>
  <w:style w:type="character" w:customStyle="1" w:styleId="BalloonTextChar">
    <w:name w:val="Balloon Text Char"/>
    <w:link w:val="BalloonText"/>
    <w:uiPriority w:val="99"/>
    <w:semiHidden/>
    <w:rsid w:val="0067065F"/>
    <w:rPr>
      <w:rFonts w:ascii="Segoe UI" w:eastAsia="Times New Roman" w:hAnsi="Segoe UI" w:cs="Segoe UI"/>
      <w:sz w:val="18"/>
      <w:szCs w:val="18"/>
    </w:rPr>
  </w:style>
  <w:style w:type="paragraph" w:styleId="ListParagraph">
    <w:name w:val="List Paragraph"/>
    <w:basedOn w:val="Normal"/>
    <w:uiPriority w:val="34"/>
    <w:qFormat/>
    <w:rsid w:val="00A940D5"/>
    <w:pPr>
      <w:ind w:left="720"/>
      <w:contextualSpacing/>
    </w:pPr>
  </w:style>
  <w:style w:type="character" w:styleId="CommentReference">
    <w:name w:val="annotation reference"/>
    <w:uiPriority w:val="99"/>
    <w:semiHidden/>
    <w:unhideWhenUsed/>
    <w:rsid w:val="00401D82"/>
    <w:rPr>
      <w:sz w:val="16"/>
      <w:szCs w:val="16"/>
    </w:rPr>
  </w:style>
  <w:style w:type="paragraph" w:styleId="CommentText">
    <w:name w:val="annotation text"/>
    <w:basedOn w:val="Normal"/>
    <w:link w:val="CommentTextChar"/>
    <w:uiPriority w:val="99"/>
    <w:semiHidden/>
    <w:unhideWhenUsed/>
    <w:rsid w:val="00401D82"/>
    <w:rPr>
      <w:sz w:val="20"/>
    </w:rPr>
  </w:style>
  <w:style w:type="character" w:customStyle="1" w:styleId="CommentTextChar">
    <w:name w:val="Comment Text Char"/>
    <w:link w:val="CommentText"/>
    <w:uiPriority w:val="99"/>
    <w:semiHidden/>
    <w:rsid w:val="00401D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1D82"/>
    <w:rPr>
      <w:b/>
      <w:bCs/>
    </w:rPr>
  </w:style>
  <w:style w:type="character" w:customStyle="1" w:styleId="CommentSubjectChar">
    <w:name w:val="Comment Subject Char"/>
    <w:link w:val="CommentSubject"/>
    <w:uiPriority w:val="99"/>
    <w:semiHidden/>
    <w:rsid w:val="00401D82"/>
    <w:rPr>
      <w:rFonts w:ascii="Times New Roman" w:eastAsia="Times New Roman" w:hAnsi="Times New Roman" w:cs="Times New Roman"/>
      <w:b/>
      <w:bCs/>
      <w:sz w:val="20"/>
      <w:szCs w:val="20"/>
    </w:rPr>
  </w:style>
  <w:style w:type="paragraph" w:customStyle="1" w:styleId="Default">
    <w:name w:val="Default"/>
    <w:rsid w:val="00ED22DB"/>
    <w:pPr>
      <w:autoSpaceDE w:val="0"/>
      <w:autoSpaceDN w:val="0"/>
      <w:adjustRightInd w:val="0"/>
    </w:pPr>
    <w:rPr>
      <w:rFonts w:ascii="Times New Roman" w:hAnsi="Times New Roman"/>
      <w:color w:val="000000"/>
      <w:sz w:val="24"/>
      <w:szCs w:val="24"/>
      <w:lang w:eastAsia="en-US"/>
    </w:rPr>
  </w:style>
  <w:style w:type="paragraph" w:styleId="Revision">
    <w:name w:val="Revision"/>
    <w:hidden/>
    <w:uiPriority w:val="99"/>
    <w:semiHidden/>
    <w:rsid w:val="00BE46B5"/>
    <w:rPr>
      <w:rFonts w:ascii="Times New Roman" w:eastAsia="Times New Roman" w:hAnsi="Times New Roman"/>
      <w:sz w:val="24"/>
      <w:lang w:eastAsia="en-US"/>
    </w:rPr>
  </w:style>
  <w:style w:type="character" w:customStyle="1" w:styleId="CharPartNo">
    <w:name w:val="CharPartNo"/>
    <w:basedOn w:val="DefaultParagraphFont"/>
    <w:uiPriority w:val="1"/>
    <w:qFormat/>
    <w:rsid w:val="0029004C"/>
  </w:style>
  <w:style w:type="character" w:customStyle="1" w:styleId="CharPartText">
    <w:name w:val="CharPartText"/>
    <w:basedOn w:val="DefaultParagraphFont"/>
    <w:uiPriority w:val="1"/>
    <w:qFormat/>
    <w:rsid w:val="00290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6995">
      <w:bodyDiv w:val="1"/>
      <w:marLeft w:val="0"/>
      <w:marRight w:val="0"/>
      <w:marTop w:val="0"/>
      <w:marBottom w:val="0"/>
      <w:divBdr>
        <w:top w:val="none" w:sz="0" w:space="0" w:color="auto"/>
        <w:left w:val="none" w:sz="0" w:space="0" w:color="auto"/>
        <w:bottom w:val="none" w:sz="0" w:space="0" w:color="auto"/>
        <w:right w:val="none" w:sz="0" w:space="0" w:color="auto"/>
      </w:divBdr>
    </w:div>
    <w:div w:id="349532059">
      <w:bodyDiv w:val="1"/>
      <w:marLeft w:val="0"/>
      <w:marRight w:val="0"/>
      <w:marTop w:val="0"/>
      <w:marBottom w:val="0"/>
      <w:divBdr>
        <w:top w:val="none" w:sz="0" w:space="0" w:color="auto"/>
        <w:left w:val="none" w:sz="0" w:space="0" w:color="auto"/>
        <w:bottom w:val="none" w:sz="0" w:space="0" w:color="auto"/>
        <w:right w:val="none" w:sz="0" w:space="0" w:color="auto"/>
      </w:divBdr>
    </w:div>
    <w:div w:id="408384635">
      <w:bodyDiv w:val="1"/>
      <w:marLeft w:val="0"/>
      <w:marRight w:val="0"/>
      <w:marTop w:val="0"/>
      <w:marBottom w:val="0"/>
      <w:divBdr>
        <w:top w:val="none" w:sz="0" w:space="0" w:color="auto"/>
        <w:left w:val="none" w:sz="0" w:space="0" w:color="auto"/>
        <w:bottom w:val="none" w:sz="0" w:space="0" w:color="auto"/>
        <w:right w:val="none" w:sz="0" w:space="0" w:color="auto"/>
      </w:divBdr>
    </w:div>
    <w:div w:id="617102803">
      <w:bodyDiv w:val="1"/>
      <w:marLeft w:val="0"/>
      <w:marRight w:val="0"/>
      <w:marTop w:val="0"/>
      <w:marBottom w:val="0"/>
      <w:divBdr>
        <w:top w:val="none" w:sz="0" w:space="0" w:color="auto"/>
        <w:left w:val="none" w:sz="0" w:space="0" w:color="auto"/>
        <w:bottom w:val="none" w:sz="0" w:space="0" w:color="auto"/>
        <w:right w:val="none" w:sz="0" w:space="0" w:color="auto"/>
      </w:divBdr>
    </w:div>
    <w:div w:id="871193152">
      <w:bodyDiv w:val="1"/>
      <w:marLeft w:val="0"/>
      <w:marRight w:val="0"/>
      <w:marTop w:val="0"/>
      <w:marBottom w:val="0"/>
      <w:divBdr>
        <w:top w:val="none" w:sz="0" w:space="0" w:color="auto"/>
        <w:left w:val="none" w:sz="0" w:space="0" w:color="auto"/>
        <w:bottom w:val="none" w:sz="0" w:space="0" w:color="auto"/>
        <w:right w:val="none" w:sz="0" w:space="0" w:color="auto"/>
      </w:divBdr>
    </w:div>
    <w:div w:id="914626274">
      <w:bodyDiv w:val="1"/>
      <w:marLeft w:val="0"/>
      <w:marRight w:val="0"/>
      <w:marTop w:val="0"/>
      <w:marBottom w:val="0"/>
      <w:divBdr>
        <w:top w:val="none" w:sz="0" w:space="0" w:color="auto"/>
        <w:left w:val="none" w:sz="0" w:space="0" w:color="auto"/>
        <w:bottom w:val="none" w:sz="0" w:space="0" w:color="auto"/>
        <w:right w:val="none" w:sz="0" w:space="0" w:color="auto"/>
      </w:divBdr>
    </w:div>
    <w:div w:id="1601336924">
      <w:bodyDiv w:val="1"/>
      <w:marLeft w:val="0"/>
      <w:marRight w:val="0"/>
      <w:marTop w:val="0"/>
      <w:marBottom w:val="0"/>
      <w:divBdr>
        <w:top w:val="none" w:sz="0" w:space="0" w:color="auto"/>
        <w:left w:val="none" w:sz="0" w:space="0" w:color="auto"/>
        <w:bottom w:val="none" w:sz="0" w:space="0" w:color="auto"/>
        <w:right w:val="none" w:sz="0" w:space="0" w:color="auto"/>
      </w:divBdr>
    </w:div>
    <w:div w:id="19963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E26D6-99F4-4662-9BE9-6CDD77DF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5026</Words>
  <Characters>26326</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5</cp:revision>
  <cp:lastPrinted>2020-01-02T21:35:00Z</cp:lastPrinted>
  <dcterms:created xsi:type="dcterms:W3CDTF">2020-09-09T05:08:00Z</dcterms:created>
  <dcterms:modified xsi:type="dcterms:W3CDTF">2020-09-09T05:08:00Z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d47f2-2d0a-4515-b8de-e13c18f23c62_Enabled">
    <vt:lpwstr>true</vt:lpwstr>
  </property>
  <property fmtid="{D5CDD505-2E9C-101B-9397-08002B2CF9AE}" pid="3" name="MSIP_Label_690d47f2-2d0a-4515-b8de-e13c18f23c62_SetDate">
    <vt:lpwstr>2020-09-08T23:37:41Z</vt:lpwstr>
  </property>
  <property fmtid="{D5CDD505-2E9C-101B-9397-08002B2CF9AE}" pid="4" name="MSIP_Label_690d47f2-2d0a-4515-b8de-e13c18f23c62_Method">
    <vt:lpwstr>Privileged</vt:lpwstr>
  </property>
  <property fmtid="{D5CDD505-2E9C-101B-9397-08002B2CF9AE}" pid="5" name="MSIP_Label_690d47f2-2d0a-4515-b8de-e13c18f23c62_Name">
    <vt:lpwstr>OFFICIAL</vt:lpwstr>
  </property>
  <property fmtid="{D5CDD505-2E9C-101B-9397-08002B2CF9AE}" pid="6" name="MSIP_Label_690d47f2-2d0a-4515-b8de-e13c18f23c62_SiteId">
    <vt:lpwstr>b46c1908-0334-4236-b978-585ee88e4199</vt:lpwstr>
  </property>
  <property fmtid="{D5CDD505-2E9C-101B-9397-08002B2CF9AE}" pid="7" name="MSIP_Label_690d47f2-2d0a-4515-b8de-e13c18f23c62_ActionId">
    <vt:lpwstr>f503e97e-6a00-4aa2-ab76-170f46ed87da</vt:lpwstr>
  </property>
  <property fmtid="{D5CDD505-2E9C-101B-9397-08002B2CF9AE}" pid="8" name="MSIP_Label_690d47f2-2d0a-4515-b8de-e13c18f23c62_ContentBits">
    <vt:lpwstr>1</vt:lpwstr>
  </property>
  <property fmtid="{D5CDD505-2E9C-101B-9397-08002B2CF9AE}" pid="9" name="DMSID">
    <vt:lpwstr>1244657</vt:lpwstr>
  </property>
  <property fmtid="{D5CDD505-2E9C-101B-9397-08002B2CF9AE}" pid="10" name="CHECKEDOUTFROMJMS">
    <vt:lpwstr/>
  </property>
  <property fmtid="{D5CDD505-2E9C-101B-9397-08002B2CF9AE}" pid="11" name="JMSREQUIREDCHECKIN">
    <vt:lpwstr/>
  </property>
</Properties>
</file>