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E7534" w14:textId="77777777" w:rsidR="00CB6828" w:rsidRDefault="00CB6828" w:rsidP="00CB6828">
      <w:pPr>
        <w:jc w:val="center"/>
      </w:pPr>
      <w:r>
        <w:t>2020</w:t>
      </w:r>
    </w:p>
    <w:p w14:paraId="37330D88" w14:textId="77777777" w:rsidR="00CB6828" w:rsidRDefault="00CB6828" w:rsidP="00CB6828">
      <w:pPr>
        <w:jc w:val="center"/>
      </w:pPr>
    </w:p>
    <w:p w14:paraId="3C9AE962" w14:textId="77777777" w:rsidR="00CB6828" w:rsidRDefault="00CB6828" w:rsidP="00CB6828">
      <w:pPr>
        <w:jc w:val="center"/>
      </w:pPr>
    </w:p>
    <w:p w14:paraId="1DF81950" w14:textId="77777777" w:rsidR="00CB6828" w:rsidRDefault="00CB6828" w:rsidP="00CB6828">
      <w:pPr>
        <w:jc w:val="center"/>
      </w:pPr>
    </w:p>
    <w:p w14:paraId="51EFDB31" w14:textId="77777777" w:rsidR="00CB6828" w:rsidRDefault="00CB6828" w:rsidP="00CB6828">
      <w:pPr>
        <w:jc w:val="center"/>
      </w:pPr>
    </w:p>
    <w:p w14:paraId="79B8CB6D" w14:textId="77777777" w:rsidR="00CB6828" w:rsidRDefault="00CB6828" w:rsidP="00CB6828">
      <w:pPr>
        <w:jc w:val="center"/>
      </w:pPr>
    </w:p>
    <w:p w14:paraId="416112A1" w14:textId="77777777" w:rsidR="00CB6828" w:rsidRDefault="00CB6828" w:rsidP="00CB6828">
      <w:pPr>
        <w:jc w:val="center"/>
      </w:pPr>
    </w:p>
    <w:p w14:paraId="4414720B" w14:textId="77777777" w:rsidR="00CB6828" w:rsidRDefault="00CB6828" w:rsidP="00CB6828">
      <w:pPr>
        <w:jc w:val="center"/>
      </w:pPr>
      <w:r>
        <w:t xml:space="preserve">THE LEGISLATIVE ASSEMBLY FOR THE </w:t>
      </w:r>
    </w:p>
    <w:p w14:paraId="5F67FBBE" w14:textId="77777777" w:rsidR="00CB6828" w:rsidRDefault="00CB6828" w:rsidP="00CB6828">
      <w:pPr>
        <w:jc w:val="center"/>
      </w:pPr>
      <w:r>
        <w:t>AUSTRALIAN CAPITAL TERRITORY</w:t>
      </w:r>
    </w:p>
    <w:p w14:paraId="33318982" w14:textId="77777777" w:rsidR="00CB6828" w:rsidRDefault="00CB6828" w:rsidP="00CB6828">
      <w:pPr>
        <w:jc w:val="center"/>
      </w:pPr>
    </w:p>
    <w:p w14:paraId="0E74FFC5" w14:textId="77777777" w:rsidR="00CB6828" w:rsidRDefault="00CB6828" w:rsidP="00CB6828">
      <w:pPr>
        <w:jc w:val="center"/>
      </w:pPr>
    </w:p>
    <w:p w14:paraId="3984DD3E" w14:textId="77777777" w:rsidR="00CB6828" w:rsidRDefault="00CB6828" w:rsidP="00CB6828">
      <w:pPr>
        <w:jc w:val="center"/>
      </w:pPr>
    </w:p>
    <w:p w14:paraId="39286199" w14:textId="77777777" w:rsidR="00CB6828" w:rsidRDefault="00CB6828" w:rsidP="00CB6828">
      <w:pPr>
        <w:jc w:val="center"/>
      </w:pPr>
    </w:p>
    <w:p w14:paraId="5D350EC2" w14:textId="77777777" w:rsidR="00CB6828" w:rsidRDefault="00CB6828" w:rsidP="00CB6828">
      <w:pPr>
        <w:jc w:val="center"/>
      </w:pPr>
    </w:p>
    <w:p w14:paraId="5784230F" w14:textId="77777777" w:rsidR="00CB6828" w:rsidRDefault="00CB6828" w:rsidP="00CB6828">
      <w:pPr>
        <w:jc w:val="center"/>
      </w:pPr>
    </w:p>
    <w:p w14:paraId="0341D696" w14:textId="5F828540" w:rsidR="00CB6828" w:rsidRDefault="00CB6828" w:rsidP="00CB6828">
      <w:pPr>
        <w:jc w:val="center"/>
      </w:pPr>
      <w:bookmarkStart w:id="0" w:name="_Hlk49956007"/>
      <w:r>
        <w:t>Leases (Commercial and Retail) COVID-19 Emergency Response Declaration 2020</w:t>
      </w:r>
      <w:r w:rsidR="00D4213C">
        <w:t xml:space="preserve"> (No. 2)</w:t>
      </w:r>
    </w:p>
    <w:p w14:paraId="0FD1EDB2" w14:textId="540207E1" w:rsidR="00CB6828" w:rsidRDefault="00CB6828" w:rsidP="00CB6828">
      <w:pPr>
        <w:jc w:val="center"/>
      </w:pPr>
      <w:r w:rsidRPr="003B068D">
        <w:t>DI2020-</w:t>
      </w:r>
      <w:r w:rsidR="001D5ED1">
        <w:t>283</w:t>
      </w:r>
    </w:p>
    <w:bookmarkEnd w:id="0"/>
    <w:p w14:paraId="039877CC" w14:textId="77777777" w:rsidR="00CB6828" w:rsidRDefault="00CB6828" w:rsidP="00CB6828">
      <w:pPr>
        <w:jc w:val="center"/>
      </w:pPr>
    </w:p>
    <w:p w14:paraId="0B388516" w14:textId="77777777" w:rsidR="00CB6828" w:rsidRDefault="00CB6828" w:rsidP="00CB6828">
      <w:pPr>
        <w:jc w:val="center"/>
      </w:pPr>
    </w:p>
    <w:p w14:paraId="12564468" w14:textId="6B58C032" w:rsidR="00CB6828" w:rsidRDefault="001D5ED1" w:rsidP="00CB6828">
      <w:pPr>
        <w:jc w:val="center"/>
      </w:pPr>
      <w:r>
        <w:t xml:space="preserve">SUPPLEMENTARY </w:t>
      </w:r>
      <w:r w:rsidR="00CB6828">
        <w:t>EXPLANATORY STATEMENT</w:t>
      </w:r>
    </w:p>
    <w:p w14:paraId="128B1217" w14:textId="77777777" w:rsidR="00CB6828" w:rsidRDefault="00CB6828" w:rsidP="00CB6828">
      <w:pPr>
        <w:jc w:val="center"/>
      </w:pPr>
    </w:p>
    <w:p w14:paraId="7C41BAB1" w14:textId="77777777" w:rsidR="00CB6828" w:rsidRDefault="00CB6828" w:rsidP="00CB6828">
      <w:pPr>
        <w:jc w:val="center"/>
      </w:pPr>
    </w:p>
    <w:p w14:paraId="00A41D4D" w14:textId="77777777" w:rsidR="00CB6828" w:rsidRDefault="00CB6828" w:rsidP="00CB6828">
      <w:pPr>
        <w:jc w:val="center"/>
      </w:pPr>
    </w:p>
    <w:p w14:paraId="3304D656" w14:textId="77777777" w:rsidR="00CB6828" w:rsidRDefault="00CB6828" w:rsidP="00CB6828">
      <w:pPr>
        <w:jc w:val="center"/>
      </w:pPr>
    </w:p>
    <w:p w14:paraId="5B9F6008" w14:textId="77777777" w:rsidR="00CB6828" w:rsidRDefault="00CB6828" w:rsidP="00CB6828">
      <w:pPr>
        <w:jc w:val="center"/>
      </w:pPr>
    </w:p>
    <w:p w14:paraId="0C34007E" w14:textId="77777777" w:rsidR="00CB6828" w:rsidRDefault="00CB6828" w:rsidP="00CB6828">
      <w:pPr>
        <w:jc w:val="center"/>
      </w:pPr>
    </w:p>
    <w:p w14:paraId="42039B05" w14:textId="77777777" w:rsidR="00CB6828" w:rsidRDefault="00CB6828" w:rsidP="00CB6828">
      <w:pPr>
        <w:jc w:val="center"/>
      </w:pPr>
    </w:p>
    <w:p w14:paraId="1F5EDFF7" w14:textId="77777777" w:rsidR="00CB6828" w:rsidRDefault="00CB6828" w:rsidP="00CB6828">
      <w:pPr>
        <w:jc w:val="center"/>
      </w:pPr>
    </w:p>
    <w:p w14:paraId="15C2D5B5" w14:textId="77777777" w:rsidR="00CB6828" w:rsidRDefault="00CB6828" w:rsidP="00CB6828">
      <w:pPr>
        <w:jc w:val="right"/>
      </w:pPr>
      <w:r>
        <w:t>Presented by</w:t>
      </w:r>
    </w:p>
    <w:p w14:paraId="6E8D4576" w14:textId="78860FD1" w:rsidR="00CB6828" w:rsidRDefault="001B5C1C" w:rsidP="00CB6828">
      <w:pPr>
        <w:jc w:val="right"/>
      </w:pPr>
      <w:r>
        <w:t>Shane Rattenbury</w:t>
      </w:r>
      <w:r w:rsidR="00A8318E" w:rsidRPr="001B5C1C">
        <w:t xml:space="preserve"> </w:t>
      </w:r>
      <w:r w:rsidR="00CB6828" w:rsidRPr="001B5C1C">
        <w:t>MLA</w:t>
      </w:r>
    </w:p>
    <w:p w14:paraId="3CAEAF5C" w14:textId="77777777" w:rsidR="00CB6828" w:rsidRDefault="00CB6828" w:rsidP="00CB6828">
      <w:pPr>
        <w:jc w:val="right"/>
      </w:pPr>
    </w:p>
    <w:p w14:paraId="148A410E" w14:textId="529E1849" w:rsidR="00CB6828" w:rsidRDefault="00CB6828" w:rsidP="00CB6828">
      <w:pPr>
        <w:jc w:val="center"/>
        <w:rPr>
          <w:b/>
          <w:bCs/>
          <w:sz w:val="32"/>
          <w:szCs w:val="32"/>
        </w:rPr>
      </w:pPr>
      <w:r w:rsidRPr="00271AA4">
        <w:rPr>
          <w:b/>
          <w:bCs/>
          <w:sz w:val="32"/>
          <w:szCs w:val="32"/>
        </w:rPr>
        <w:lastRenderedPageBreak/>
        <w:t>Leases (Commercial and Retail) COVID-19 Emergency Response Declaration 2020</w:t>
      </w:r>
      <w:r w:rsidR="008B4972">
        <w:rPr>
          <w:b/>
          <w:bCs/>
          <w:sz w:val="32"/>
          <w:szCs w:val="32"/>
        </w:rPr>
        <w:t xml:space="preserve"> (No</w:t>
      </w:r>
      <w:r w:rsidR="00457B12">
        <w:rPr>
          <w:b/>
          <w:bCs/>
          <w:sz w:val="32"/>
          <w:szCs w:val="32"/>
        </w:rPr>
        <w:t>.</w:t>
      </w:r>
      <w:r w:rsidR="008B4972">
        <w:rPr>
          <w:b/>
          <w:bCs/>
          <w:sz w:val="32"/>
          <w:szCs w:val="32"/>
        </w:rPr>
        <w:t xml:space="preserve"> 2)</w:t>
      </w:r>
    </w:p>
    <w:p w14:paraId="16168702" w14:textId="5D54DB9E" w:rsidR="00512CBE" w:rsidRPr="00271AA4" w:rsidRDefault="00512CBE" w:rsidP="00CB682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SUPPLEMENTARY EXPLANATORY STATEMENT</w:t>
      </w:r>
    </w:p>
    <w:p w14:paraId="16EE6764" w14:textId="77777777" w:rsidR="00CB6828" w:rsidRDefault="00CB6828" w:rsidP="00CB6828">
      <w:pPr>
        <w:rPr>
          <w:b/>
          <w:bCs/>
        </w:rPr>
      </w:pPr>
    </w:p>
    <w:p w14:paraId="25218EBC" w14:textId="3FA381E0" w:rsidR="001D5ED1" w:rsidRDefault="00CB6828" w:rsidP="00CB6828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>
        <w:rPr>
          <w:i/>
          <w:iCs/>
          <w:sz w:val="24"/>
          <w:szCs w:val="24"/>
        </w:rPr>
        <w:t>Leases (Commercial and Retail) COVID-19 Emergency Response Declaration 2020</w:t>
      </w:r>
      <w:r w:rsidR="00D4213C">
        <w:rPr>
          <w:i/>
          <w:iCs/>
          <w:sz w:val="24"/>
          <w:szCs w:val="24"/>
        </w:rPr>
        <w:t xml:space="preserve"> </w:t>
      </w:r>
      <w:r w:rsidR="00D8052F">
        <w:rPr>
          <w:i/>
          <w:iCs/>
          <w:sz w:val="24"/>
          <w:szCs w:val="24"/>
        </w:rPr>
        <w:t>(</w:t>
      </w:r>
      <w:r w:rsidR="00D4213C">
        <w:rPr>
          <w:i/>
          <w:iCs/>
          <w:sz w:val="24"/>
          <w:szCs w:val="24"/>
        </w:rPr>
        <w:t>No. 2</w:t>
      </w:r>
      <w:r w:rsidR="00D8052F"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</w:rPr>
        <w:t xml:space="preserve"> </w:t>
      </w:r>
      <w:r w:rsidR="00512CBE">
        <w:rPr>
          <w:sz w:val="24"/>
          <w:szCs w:val="24"/>
        </w:rPr>
        <w:t xml:space="preserve">(the </w:t>
      </w:r>
      <w:r w:rsidR="00923E54">
        <w:rPr>
          <w:sz w:val="24"/>
          <w:szCs w:val="24"/>
        </w:rPr>
        <w:t xml:space="preserve">new </w:t>
      </w:r>
      <w:r w:rsidR="00512CBE">
        <w:rPr>
          <w:sz w:val="24"/>
          <w:szCs w:val="24"/>
        </w:rPr>
        <w:t xml:space="preserve">Declaration) </w:t>
      </w:r>
      <w:r>
        <w:rPr>
          <w:sz w:val="24"/>
          <w:szCs w:val="24"/>
        </w:rPr>
        <w:t xml:space="preserve">is a disallowable instrument made under section 177 of the </w:t>
      </w:r>
      <w:r>
        <w:rPr>
          <w:i/>
          <w:iCs/>
          <w:sz w:val="24"/>
          <w:szCs w:val="24"/>
        </w:rPr>
        <w:t>Leases (Commercial and Retail)</w:t>
      </w:r>
      <w:r>
        <w:rPr>
          <w:sz w:val="24"/>
          <w:szCs w:val="24"/>
        </w:rPr>
        <w:t xml:space="preserve"> </w:t>
      </w:r>
      <w:r w:rsidRPr="00EB41B1">
        <w:rPr>
          <w:i/>
          <w:iCs/>
          <w:sz w:val="24"/>
          <w:szCs w:val="24"/>
        </w:rPr>
        <w:t>Act</w:t>
      </w:r>
      <w:r>
        <w:rPr>
          <w:sz w:val="24"/>
          <w:szCs w:val="24"/>
        </w:rPr>
        <w:t xml:space="preserve"> </w:t>
      </w:r>
      <w:r w:rsidRPr="00512CBE">
        <w:rPr>
          <w:i/>
          <w:iCs/>
          <w:sz w:val="24"/>
          <w:szCs w:val="24"/>
        </w:rPr>
        <w:t>2001</w:t>
      </w:r>
      <w:r>
        <w:rPr>
          <w:sz w:val="24"/>
          <w:szCs w:val="24"/>
        </w:rPr>
        <w:t>.</w:t>
      </w:r>
      <w:r w:rsidR="00683EEA">
        <w:rPr>
          <w:sz w:val="24"/>
          <w:szCs w:val="24"/>
        </w:rPr>
        <w:t xml:space="preserve"> </w:t>
      </w:r>
    </w:p>
    <w:p w14:paraId="2552AD63" w14:textId="485F0AB2" w:rsidR="00D57760" w:rsidRDefault="00D4213C" w:rsidP="00CB6828">
      <w:pPr>
        <w:rPr>
          <w:sz w:val="24"/>
          <w:szCs w:val="24"/>
        </w:rPr>
      </w:pPr>
      <w:r w:rsidRPr="00D4213C">
        <w:rPr>
          <w:sz w:val="24"/>
          <w:szCs w:val="24"/>
        </w:rPr>
        <w:t xml:space="preserve">The Declaration </w:t>
      </w:r>
      <w:r w:rsidR="001D5ED1">
        <w:rPr>
          <w:sz w:val="24"/>
          <w:szCs w:val="24"/>
        </w:rPr>
        <w:t>was notified on the ACT Legislation Register on 10 September 2020</w:t>
      </w:r>
      <w:r w:rsidR="00C072D5">
        <w:rPr>
          <w:sz w:val="24"/>
          <w:szCs w:val="24"/>
        </w:rPr>
        <w:t>. The Declaration</w:t>
      </w:r>
      <w:r w:rsidR="001D5ED1">
        <w:rPr>
          <w:sz w:val="24"/>
          <w:szCs w:val="24"/>
        </w:rPr>
        <w:t xml:space="preserve"> </w:t>
      </w:r>
      <w:r w:rsidRPr="00D4213C">
        <w:rPr>
          <w:sz w:val="24"/>
          <w:szCs w:val="24"/>
        </w:rPr>
        <w:t>revoke</w:t>
      </w:r>
      <w:r w:rsidR="001D5ED1">
        <w:rPr>
          <w:sz w:val="24"/>
          <w:szCs w:val="24"/>
        </w:rPr>
        <w:t>d</w:t>
      </w:r>
      <w:r w:rsidRPr="00D4213C">
        <w:rPr>
          <w:sz w:val="24"/>
          <w:szCs w:val="24"/>
        </w:rPr>
        <w:t xml:space="preserve"> the </w:t>
      </w:r>
      <w:r w:rsidR="002346B0">
        <w:rPr>
          <w:i/>
          <w:iCs/>
          <w:sz w:val="24"/>
          <w:szCs w:val="24"/>
        </w:rPr>
        <w:t>Leases (Commercial and Retail) COVID-19 Emergency Response Declaration 2020</w:t>
      </w:r>
      <w:r w:rsidR="002346B0" w:rsidRPr="00D4213C">
        <w:rPr>
          <w:sz w:val="24"/>
          <w:szCs w:val="24"/>
        </w:rPr>
        <w:t xml:space="preserve"> </w:t>
      </w:r>
      <w:r w:rsidRPr="00D4213C">
        <w:rPr>
          <w:sz w:val="24"/>
          <w:szCs w:val="24"/>
        </w:rPr>
        <w:t>(DI2020-</w:t>
      </w:r>
      <w:r w:rsidR="002346B0">
        <w:rPr>
          <w:sz w:val="24"/>
          <w:szCs w:val="24"/>
        </w:rPr>
        <w:t>92</w:t>
      </w:r>
      <w:r w:rsidRPr="00D4213C">
        <w:rPr>
          <w:sz w:val="24"/>
          <w:szCs w:val="24"/>
        </w:rPr>
        <w:t xml:space="preserve">) </w:t>
      </w:r>
      <w:r w:rsidR="001D5ED1">
        <w:rPr>
          <w:sz w:val="24"/>
          <w:szCs w:val="24"/>
        </w:rPr>
        <w:t>on 28 September 2020.</w:t>
      </w:r>
    </w:p>
    <w:p w14:paraId="3004033B" w14:textId="2B226DB6" w:rsidR="005E3524" w:rsidRDefault="009536FB" w:rsidP="00040B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new </w:t>
      </w:r>
      <w:r w:rsidRPr="00D4213C">
        <w:rPr>
          <w:sz w:val="24"/>
          <w:szCs w:val="24"/>
        </w:rPr>
        <w:t xml:space="preserve">Declaration </w:t>
      </w:r>
      <w:r>
        <w:rPr>
          <w:sz w:val="24"/>
          <w:szCs w:val="24"/>
        </w:rPr>
        <w:t>amend</w:t>
      </w:r>
      <w:r w:rsidR="00040BC2">
        <w:rPr>
          <w:sz w:val="24"/>
          <w:szCs w:val="24"/>
        </w:rPr>
        <w:t>s</w:t>
      </w:r>
      <w:r>
        <w:rPr>
          <w:sz w:val="24"/>
          <w:szCs w:val="24"/>
        </w:rPr>
        <w:t xml:space="preserve"> the definition of an impacted tenant </w:t>
      </w:r>
      <w:r w:rsidR="00040BC2">
        <w:rPr>
          <w:sz w:val="24"/>
          <w:szCs w:val="24"/>
        </w:rPr>
        <w:t xml:space="preserve">to reflect the operation of the </w:t>
      </w:r>
      <w:r w:rsidR="00040BC2" w:rsidRPr="00512CBE">
        <w:rPr>
          <w:sz w:val="24"/>
          <w:szCs w:val="24"/>
        </w:rPr>
        <w:t>Commonwealth Government’s JobKeeper scheme from 28 September 2020</w:t>
      </w:r>
      <w:r w:rsidR="00040BC2">
        <w:rPr>
          <w:sz w:val="24"/>
          <w:szCs w:val="24"/>
        </w:rPr>
        <w:t xml:space="preserve">. </w:t>
      </w:r>
      <w:r w:rsidR="005E3524" w:rsidRPr="00512CBE">
        <w:rPr>
          <w:sz w:val="24"/>
          <w:szCs w:val="24"/>
        </w:rPr>
        <w:t>The Commonwealth</w:t>
      </w:r>
      <w:r w:rsidR="005E3524">
        <w:rPr>
          <w:sz w:val="24"/>
          <w:szCs w:val="24"/>
        </w:rPr>
        <w:t xml:space="preserve">’s </w:t>
      </w:r>
      <w:r w:rsidR="005E3524" w:rsidRPr="00622592">
        <w:rPr>
          <w:i/>
          <w:iCs/>
          <w:sz w:val="24"/>
          <w:szCs w:val="24"/>
        </w:rPr>
        <w:t>Coronavirus Economic Response Package (Payments and Benefits) Rules 2020</w:t>
      </w:r>
      <w:r w:rsidR="005E3524" w:rsidRPr="00622592">
        <w:rPr>
          <w:sz w:val="24"/>
          <w:szCs w:val="24"/>
        </w:rPr>
        <w:t> (the Rules)</w:t>
      </w:r>
      <w:r w:rsidR="005E3524">
        <w:rPr>
          <w:sz w:val="24"/>
          <w:szCs w:val="24"/>
        </w:rPr>
        <w:t xml:space="preserve"> establish the JobKeeper scheme and specify details of the scheme.</w:t>
      </w:r>
    </w:p>
    <w:p w14:paraId="52FD59BB" w14:textId="77777777" w:rsidR="001F6DE0" w:rsidRDefault="001F6DE0" w:rsidP="00040BC2">
      <w:pPr>
        <w:spacing w:after="0" w:line="240" w:lineRule="auto"/>
        <w:rPr>
          <w:sz w:val="24"/>
          <w:szCs w:val="24"/>
        </w:rPr>
      </w:pPr>
    </w:p>
    <w:p w14:paraId="62D7A1CD" w14:textId="2ED8ECB3" w:rsidR="001F6DE0" w:rsidRDefault="001F6DE0" w:rsidP="00040B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Initially, the Commonwealth Government’s JobKeeper scheme was set to conclude at the end of September 2020. However, o</w:t>
      </w:r>
      <w:r w:rsidRPr="00D4213C">
        <w:rPr>
          <w:sz w:val="24"/>
          <w:szCs w:val="24"/>
        </w:rPr>
        <w:t xml:space="preserve">n 21 July 2020, the Commonwealth Government announced an extension of the JobKeeper </w:t>
      </w:r>
      <w:r>
        <w:rPr>
          <w:sz w:val="24"/>
          <w:szCs w:val="24"/>
        </w:rPr>
        <w:t>scheme</w:t>
      </w:r>
      <w:r w:rsidRPr="00D4213C">
        <w:rPr>
          <w:sz w:val="24"/>
          <w:szCs w:val="24"/>
        </w:rPr>
        <w:t xml:space="preserve"> until 28 March 2021. </w:t>
      </w:r>
      <w:r w:rsidRPr="00B67658">
        <w:rPr>
          <w:sz w:val="24"/>
          <w:szCs w:val="24"/>
        </w:rPr>
        <w:t xml:space="preserve">On 7 August 2020 the Commonwealth Government announced new requirements for the extended JobKeeper </w:t>
      </w:r>
      <w:r>
        <w:rPr>
          <w:sz w:val="24"/>
          <w:szCs w:val="24"/>
        </w:rPr>
        <w:t>scheme to operate from 28 September 2020</w:t>
      </w:r>
      <w:r w:rsidRPr="00B67658">
        <w:rPr>
          <w:sz w:val="24"/>
          <w:szCs w:val="24"/>
        </w:rPr>
        <w:t xml:space="preserve">. </w:t>
      </w:r>
    </w:p>
    <w:p w14:paraId="10B01633" w14:textId="74BEC0C8" w:rsidR="005E3524" w:rsidRDefault="005E3524" w:rsidP="00040BC2">
      <w:pPr>
        <w:spacing w:after="0" w:line="240" w:lineRule="auto"/>
        <w:rPr>
          <w:sz w:val="24"/>
          <w:szCs w:val="24"/>
        </w:rPr>
      </w:pPr>
    </w:p>
    <w:p w14:paraId="42E88798" w14:textId="76B16247" w:rsidR="00622592" w:rsidRDefault="001F6DE0" w:rsidP="00040BC2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Due to ACT caretaker conventions, the new Declaration had to be notified before 11 September 2020 to ensure a new </w:t>
      </w:r>
      <w:r w:rsidR="008A41EA">
        <w:rPr>
          <w:rFonts w:eastAsia="Times New Roman"/>
          <w:sz w:val="24"/>
          <w:szCs w:val="24"/>
        </w:rPr>
        <w:t>declaration</w:t>
      </w:r>
      <w:r>
        <w:rPr>
          <w:rFonts w:eastAsia="Times New Roman"/>
          <w:sz w:val="24"/>
          <w:szCs w:val="24"/>
        </w:rPr>
        <w:t xml:space="preserve"> was in place before 28 September 2020. Accordingly</w:t>
      </w:r>
      <w:r w:rsidR="008A41EA">
        <w:rPr>
          <w:rFonts w:eastAsia="Times New Roman"/>
          <w:sz w:val="24"/>
          <w:szCs w:val="24"/>
        </w:rPr>
        <w:t xml:space="preserve">, the new </w:t>
      </w:r>
      <w:r w:rsidR="00A3235D">
        <w:rPr>
          <w:rFonts w:eastAsia="Times New Roman"/>
          <w:sz w:val="24"/>
          <w:szCs w:val="24"/>
        </w:rPr>
        <w:t>D</w:t>
      </w:r>
      <w:r w:rsidR="008A41EA">
        <w:rPr>
          <w:rFonts w:eastAsia="Times New Roman"/>
          <w:sz w:val="24"/>
          <w:szCs w:val="24"/>
        </w:rPr>
        <w:t>eclaration was notified</w:t>
      </w:r>
      <w:r>
        <w:rPr>
          <w:rFonts w:eastAsia="Times New Roman"/>
          <w:sz w:val="24"/>
          <w:szCs w:val="24"/>
        </w:rPr>
        <w:t xml:space="preserve"> before the Commonwealth</w:t>
      </w:r>
      <w:r w:rsidR="008A41EA">
        <w:rPr>
          <w:rFonts w:eastAsia="Times New Roman"/>
          <w:sz w:val="24"/>
          <w:szCs w:val="24"/>
        </w:rPr>
        <w:t>’s</w:t>
      </w:r>
      <w:r>
        <w:rPr>
          <w:rFonts w:eastAsia="Times New Roman"/>
          <w:sz w:val="24"/>
          <w:szCs w:val="24"/>
        </w:rPr>
        <w:t xml:space="preserve"> amended Rules</w:t>
      </w:r>
      <w:r w:rsidR="008A41EA">
        <w:rPr>
          <w:rFonts w:eastAsia="Times New Roman"/>
          <w:sz w:val="24"/>
          <w:szCs w:val="24"/>
        </w:rPr>
        <w:t xml:space="preserve"> were made</w:t>
      </w:r>
      <w:r>
        <w:rPr>
          <w:rFonts w:eastAsia="Times New Roman"/>
          <w:sz w:val="24"/>
          <w:szCs w:val="24"/>
        </w:rPr>
        <w:t>.</w:t>
      </w:r>
    </w:p>
    <w:p w14:paraId="5E9D8F28" w14:textId="77777777" w:rsidR="009D7FFA" w:rsidRDefault="009D7FFA" w:rsidP="00040BC2">
      <w:pPr>
        <w:spacing w:after="0" w:line="240" w:lineRule="auto"/>
        <w:rPr>
          <w:sz w:val="24"/>
          <w:szCs w:val="24"/>
        </w:rPr>
      </w:pPr>
    </w:p>
    <w:p w14:paraId="1CEF2D6F" w14:textId="3E99712C" w:rsidR="00622592" w:rsidRDefault="00622592" w:rsidP="00040BC2">
      <w:pPr>
        <w:spacing w:after="0" w:line="240" w:lineRule="auto"/>
        <w:rPr>
          <w:sz w:val="24"/>
          <w:szCs w:val="24"/>
        </w:rPr>
      </w:pPr>
      <w:r w:rsidRPr="00512CBE">
        <w:rPr>
          <w:sz w:val="24"/>
          <w:szCs w:val="24"/>
        </w:rPr>
        <w:t>The Commonwealth</w:t>
      </w:r>
      <w:r>
        <w:rPr>
          <w:sz w:val="24"/>
          <w:szCs w:val="24"/>
        </w:rPr>
        <w:t xml:space="preserve">’s </w:t>
      </w:r>
      <w:r w:rsidR="008A41EA" w:rsidRPr="009D7FFA">
        <w:rPr>
          <w:sz w:val="24"/>
          <w:szCs w:val="24"/>
        </w:rPr>
        <w:t>amendments to the Ru</w:t>
      </w:r>
      <w:r w:rsidR="00334507" w:rsidRPr="009D7FFA">
        <w:rPr>
          <w:sz w:val="24"/>
          <w:szCs w:val="24"/>
        </w:rPr>
        <w:t>l</w:t>
      </w:r>
      <w:r w:rsidR="008A41EA" w:rsidRPr="009D7FFA">
        <w:rPr>
          <w:sz w:val="24"/>
          <w:szCs w:val="24"/>
        </w:rPr>
        <w:t>es</w:t>
      </w:r>
      <w:r w:rsidR="00334507">
        <w:rPr>
          <w:sz w:val="24"/>
          <w:szCs w:val="24"/>
        </w:rPr>
        <w:t xml:space="preserve"> (</w:t>
      </w:r>
      <w:r w:rsidRPr="00622592">
        <w:rPr>
          <w:i/>
          <w:iCs/>
          <w:sz w:val="24"/>
          <w:szCs w:val="24"/>
        </w:rPr>
        <w:t>Coronavirus Economic Response Package (Payments and Benefits) Amendment Rules (No. 8) 2020</w:t>
      </w:r>
      <w:r>
        <w:rPr>
          <w:sz w:val="24"/>
          <w:szCs w:val="24"/>
        </w:rPr>
        <w:t xml:space="preserve">, commenced on 16 September 2020 and provided for both Extension 1 and Extension 2 of the JobKeeper scheme. </w:t>
      </w:r>
      <w:r>
        <w:rPr>
          <w:rFonts w:eastAsia="Times New Roman"/>
          <w:sz w:val="24"/>
          <w:szCs w:val="24"/>
        </w:rPr>
        <w:t xml:space="preserve">Extension 1 of JobKeeper </w:t>
      </w:r>
      <w:r w:rsidRPr="00512CBE">
        <w:rPr>
          <w:rFonts w:eastAsia="Times New Roman"/>
          <w:sz w:val="24"/>
          <w:szCs w:val="24"/>
        </w:rPr>
        <w:t>beg</w:t>
      </w:r>
      <w:r>
        <w:rPr>
          <w:rFonts w:eastAsia="Times New Roman"/>
          <w:sz w:val="24"/>
          <w:szCs w:val="24"/>
        </w:rPr>
        <w:t>an on 28 September 2020</w:t>
      </w:r>
      <w:r w:rsidRPr="00512CBE">
        <w:rPr>
          <w:rFonts w:eastAsia="Times New Roman"/>
          <w:sz w:val="24"/>
          <w:szCs w:val="24"/>
        </w:rPr>
        <w:t xml:space="preserve"> and ends on 3 January 2021.</w:t>
      </w:r>
      <w:r>
        <w:rPr>
          <w:rFonts w:eastAsia="Times New Roman"/>
          <w:sz w:val="24"/>
          <w:szCs w:val="24"/>
        </w:rPr>
        <w:t xml:space="preserve"> Extension 2 of JobKeeper commences on 4 January 2021 and ends on 28 March 2021.</w:t>
      </w:r>
    </w:p>
    <w:p w14:paraId="7DE5E956" w14:textId="45AFC98F" w:rsidR="00040BC2" w:rsidRDefault="00040BC2" w:rsidP="00040BC2">
      <w:pPr>
        <w:spacing w:after="0" w:line="240" w:lineRule="auto"/>
        <w:rPr>
          <w:sz w:val="24"/>
          <w:szCs w:val="24"/>
        </w:rPr>
      </w:pPr>
    </w:p>
    <w:p w14:paraId="5C96C9A6" w14:textId="133261DB" w:rsidR="004560CD" w:rsidRDefault="00334507" w:rsidP="00A931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new Declaration intended to apply to impacted tenants until 31 January 2021. </w:t>
      </w:r>
    </w:p>
    <w:p w14:paraId="1036BD12" w14:textId="77777777" w:rsidR="004560CD" w:rsidRDefault="004560CD" w:rsidP="00A9313C">
      <w:pPr>
        <w:spacing w:after="0" w:line="240" w:lineRule="auto"/>
        <w:rPr>
          <w:sz w:val="24"/>
          <w:szCs w:val="24"/>
        </w:rPr>
      </w:pPr>
    </w:p>
    <w:p w14:paraId="572AEB26" w14:textId="1AA07E7D" w:rsidR="00A9313C" w:rsidRPr="004560CD" w:rsidRDefault="00334507" w:rsidP="004560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means the </w:t>
      </w:r>
      <w:r w:rsidR="002C07B0">
        <w:rPr>
          <w:sz w:val="24"/>
          <w:szCs w:val="24"/>
        </w:rPr>
        <w:t>n</w:t>
      </w:r>
      <w:r>
        <w:rPr>
          <w:sz w:val="24"/>
          <w:szCs w:val="24"/>
        </w:rPr>
        <w:t>ew Declaration</w:t>
      </w:r>
      <w:r w:rsidR="009D7FFA">
        <w:rPr>
          <w:sz w:val="24"/>
          <w:szCs w:val="24"/>
        </w:rPr>
        <w:t xml:space="preserve"> </w:t>
      </w:r>
      <w:r w:rsidR="004560CD">
        <w:rPr>
          <w:sz w:val="24"/>
          <w:szCs w:val="24"/>
        </w:rPr>
        <w:t xml:space="preserve">will also apply to an impacted tenant who has only qualified </w:t>
      </w:r>
      <w:r w:rsidR="00A9313C" w:rsidRPr="004560CD">
        <w:rPr>
          <w:sz w:val="24"/>
          <w:szCs w:val="24"/>
        </w:rPr>
        <w:t>under Extension 2</w:t>
      </w:r>
      <w:r w:rsidR="004560CD" w:rsidRPr="004560CD">
        <w:rPr>
          <w:sz w:val="24"/>
          <w:szCs w:val="24"/>
        </w:rPr>
        <w:t xml:space="preserve"> for JobKeeper fortnights after </w:t>
      </w:r>
      <w:r w:rsidR="004560CD">
        <w:rPr>
          <w:sz w:val="24"/>
          <w:szCs w:val="24"/>
        </w:rPr>
        <w:t>3</w:t>
      </w:r>
      <w:r w:rsidR="004560CD" w:rsidRPr="004560CD">
        <w:rPr>
          <w:sz w:val="24"/>
          <w:szCs w:val="24"/>
        </w:rPr>
        <w:t xml:space="preserve"> January 2021 and before 31 January</w:t>
      </w:r>
      <w:r w:rsidR="004560CD">
        <w:rPr>
          <w:sz w:val="24"/>
          <w:szCs w:val="24"/>
        </w:rPr>
        <w:t xml:space="preserve"> 2021.</w:t>
      </w:r>
    </w:p>
    <w:p w14:paraId="102A281B" w14:textId="77777777" w:rsidR="00A9313C" w:rsidRDefault="00A9313C" w:rsidP="00A9313C">
      <w:pPr>
        <w:spacing w:after="0" w:line="240" w:lineRule="auto"/>
        <w:rPr>
          <w:sz w:val="24"/>
          <w:szCs w:val="24"/>
        </w:rPr>
      </w:pPr>
    </w:p>
    <w:p w14:paraId="178A4418" w14:textId="019ADA82" w:rsidR="00C072D5" w:rsidRDefault="002C07B0" w:rsidP="00C072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312D3D" w:rsidRPr="00C072D5">
        <w:rPr>
          <w:sz w:val="24"/>
          <w:szCs w:val="24"/>
        </w:rPr>
        <w:t>his Supplementary Explanatory Statement</w:t>
      </w:r>
      <w:r w:rsidR="00DC4D26">
        <w:rPr>
          <w:sz w:val="24"/>
          <w:szCs w:val="24"/>
        </w:rPr>
        <w:t>, therefore, clarifies the</w:t>
      </w:r>
      <w:r w:rsidR="00312D3D" w:rsidRPr="00C072D5">
        <w:rPr>
          <w:sz w:val="24"/>
          <w:szCs w:val="24"/>
        </w:rPr>
        <w:t xml:space="preserve"> scope</w:t>
      </w:r>
      <w:r w:rsidR="00C072D5">
        <w:rPr>
          <w:sz w:val="24"/>
          <w:szCs w:val="24"/>
        </w:rPr>
        <w:t xml:space="preserve"> of the </w:t>
      </w:r>
      <w:r w:rsidR="009D7FFA">
        <w:rPr>
          <w:sz w:val="24"/>
          <w:szCs w:val="24"/>
        </w:rPr>
        <w:t xml:space="preserve">new </w:t>
      </w:r>
      <w:r w:rsidR="00C072D5">
        <w:rPr>
          <w:sz w:val="24"/>
          <w:szCs w:val="24"/>
        </w:rPr>
        <w:t>Declaration</w:t>
      </w:r>
      <w:r w:rsidR="00312D3D" w:rsidRPr="00C072D5">
        <w:rPr>
          <w:sz w:val="24"/>
          <w:szCs w:val="24"/>
        </w:rPr>
        <w:t>.</w:t>
      </w:r>
      <w:r w:rsidR="00C072D5" w:rsidRPr="00C072D5">
        <w:rPr>
          <w:sz w:val="24"/>
          <w:szCs w:val="24"/>
        </w:rPr>
        <w:t xml:space="preserve">  </w:t>
      </w:r>
    </w:p>
    <w:p w14:paraId="261CBA92" w14:textId="77777777" w:rsidR="00C072D5" w:rsidRDefault="00C072D5" w:rsidP="00C072D5">
      <w:pPr>
        <w:spacing w:after="0" w:line="240" w:lineRule="auto"/>
        <w:rPr>
          <w:sz w:val="24"/>
          <w:szCs w:val="24"/>
        </w:rPr>
      </w:pPr>
    </w:p>
    <w:p w14:paraId="4C239AEB" w14:textId="37214D26" w:rsidR="00682036" w:rsidRPr="001D5ED1" w:rsidRDefault="00682036" w:rsidP="00CB6828">
      <w:pPr>
        <w:rPr>
          <w:sz w:val="24"/>
          <w:szCs w:val="24"/>
        </w:rPr>
      </w:pPr>
    </w:p>
    <w:sectPr w:rsidR="00682036" w:rsidRPr="001D5E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E2193" w14:textId="77777777" w:rsidR="00B80043" w:rsidRDefault="00B80043" w:rsidP="00AA7E62">
      <w:pPr>
        <w:spacing w:after="0" w:line="240" w:lineRule="auto"/>
      </w:pPr>
      <w:r>
        <w:separator/>
      </w:r>
    </w:p>
  </w:endnote>
  <w:endnote w:type="continuationSeparator" w:id="0">
    <w:p w14:paraId="15458912" w14:textId="77777777" w:rsidR="00B80043" w:rsidRDefault="00B80043" w:rsidP="00AA7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993A7" w14:textId="77777777" w:rsidR="005829DA" w:rsidRDefault="005829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E5926" w14:textId="0CBD073F" w:rsidR="00AA7E62" w:rsidRPr="005829DA" w:rsidRDefault="005829DA" w:rsidP="005829DA">
    <w:pPr>
      <w:pStyle w:val="Footer"/>
      <w:jc w:val="center"/>
      <w:rPr>
        <w:rFonts w:ascii="Arial" w:hAnsi="Arial" w:cs="Arial"/>
        <w:sz w:val="14"/>
      </w:rPr>
    </w:pPr>
    <w:r w:rsidRPr="005829DA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6B727" w14:textId="77777777" w:rsidR="005829DA" w:rsidRDefault="00582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DAF94" w14:textId="77777777" w:rsidR="00B80043" w:rsidRDefault="00B80043" w:rsidP="00AA7E62">
      <w:pPr>
        <w:spacing w:after="0" w:line="240" w:lineRule="auto"/>
      </w:pPr>
      <w:r>
        <w:separator/>
      </w:r>
    </w:p>
  </w:footnote>
  <w:footnote w:type="continuationSeparator" w:id="0">
    <w:p w14:paraId="4E762218" w14:textId="77777777" w:rsidR="00B80043" w:rsidRDefault="00B80043" w:rsidP="00AA7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6337E" w14:textId="77777777" w:rsidR="005829DA" w:rsidRDefault="005829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6E807" w14:textId="77777777" w:rsidR="005829DA" w:rsidRDefault="005829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D955E" w14:textId="77777777" w:rsidR="005829DA" w:rsidRDefault="005829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644A6"/>
    <w:multiLevelType w:val="hybridMultilevel"/>
    <w:tmpl w:val="CBBEF63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AF4083"/>
    <w:multiLevelType w:val="hybridMultilevel"/>
    <w:tmpl w:val="F7F066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C571E"/>
    <w:multiLevelType w:val="hybridMultilevel"/>
    <w:tmpl w:val="C6D211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872B8"/>
    <w:multiLevelType w:val="hybridMultilevel"/>
    <w:tmpl w:val="9516D9AA"/>
    <w:lvl w:ilvl="0" w:tplc="E0BAD32E">
      <w:start w:val="1"/>
      <w:numFmt w:val="decimal"/>
      <w:pStyle w:val="CS-Paragraphnumbering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66EA8"/>
    <w:multiLevelType w:val="hybridMultilevel"/>
    <w:tmpl w:val="FD181AD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67C5F85"/>
    <w:multiLevelType w:val="hybridMultilevel"/>
    <w:tmpl w:val="998AE4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28"/>
    <w:rsid w:val="000003E1"/>
    <w:rsid w:val="00000B27"/>
    <w:rsid w:val="00002515"/>
    <w:rsid w:val="00003912"/>
    <w:rsid w:val="00010EE6"/>
    <w:rsid w:val="0001178B"/>
    <w:rsid w:val="0002599A"/>
    <w:rsid w:val="00025FDA"/>
    <w:rsid w:val="00031F4C"/>
    <w:rsid w:val="00040BC2"/>
    <w:rsid w:val="000424FF"/>
    <w:rsid w:val="00060155"/>
    <w:rsid w:val="0006101E"/>
    <w:rsid w:val="0006270A"/>
    <w:rsid w:val="00066D06"/>
    <w:rsid w:val="000674AA"/>
    <w:rsid w:val="000770EF"/>
    <w:rsid w:val="000834AB"/>
    <w:rsid w:val="00095D49"/>
    <w:rsid w:val="000B3DCF"/>
    <w:rsid w:val="000C13A9"/>
    <w:rsid w:val="000C670C"/>
    <w:rsid w:val="000C6CB9"/>
    <w:rsid w:val="000D7327"/>
    <w:rsid w:val="000E0CCF"/>
    <w:rsid w:val="000E0DE9"/>
    <w:rsid w:val="00107CA2"/>
    <w:rsid w:val="00113FDE"/>
    <w:rsid w:val="001151BD"/>
    <w:rsid w:val="001368EF"/>
    <w:rsid w:val="001618B2"/>
    <w:rsid w:val="001643F4"/>
    <w:rsid w:val="00164EFF"/>
    <w:rsid w:val="001703BE"/>
    <w:rsid w:val="00186378"/>
    <w:rsid w:val="001B16E5"/>
    <w:rsid w:val="001B5C1C"/>
    <w:rsid w:val="001C45CC"/>
    <w:rsid w:val="001D5ED1"/>
    <w:rsid w:val="001E26BC"/>
    <w:rsid w:val="001E7618"/>
    <w:rsid w:val="001F5DB4"/>
    <w:rsid w:val="001F6DE0"/>
    <w:rsid w:val="0020520E"/>
    <w:rsid w:val="00210C09"/>
    <w:rsid w:val="00231706"/>
    <w:rsid w:val="002346B0"/>
    <w:rsid w:val="00246564"/>
    <w:rsid w:val="00251352"/>
    <w:rsid w:val="002639C9"/>
    <w:rsid w:val="0029138E"/>
    <w:rsid w:val="002C07B0"/>
    <w:rsid w:val="002C74E2"/>
    <w:rsid w:val="002D353D"/>
    <w:rsid w:val="002D62E1"/>
    <w:rsid w:val="002E55B2"/>
    <w:rsid w:val="002F1142"/>
    <w:rsid w:val="002F4909"/>
    <w:rsid w:val="002F79F9"/>
    <w:rsid w:val="0030336F"/>
    <w:rsid w:val="00306883"/>
    <w:rsid w:val="0030700D"/>
    <w:rsid w:val="00310D8F"/>
    <w:rsid w:val="00312D3D"/>
    <w:rsid w:val="0032333B"/>
    <w:rsid w:val="00326978"/>
    <w:rsid w:val="00334507"/>
    <w:rsid w:val="00361AF4"/>
    <w:rsid w:val="00361B82"/>
    <w:rsid w:val="00382871"/>
    <w:rsid w:val="00386BA9"/>
    <w:rsid w:val="003A3216"/>
    <w:rsid w:val="003A3C56"/>
    <w:rsid w:val="003A5ACC"/>
    <w:rsid w:val="003A7C5D"/>
    <w:rsid w:val="003B068D"/>
    <w:rsid w:val="003B0BDF"/>
    <w:rsid w:val="003C4ABF"/>
    <w:rsid w:val="003C7B05"/>
    <w:rsid w:val="003E42D2"/>
    <w:rsid w:val="004156C3"/>
    <w:rsid w:val="00420D52"/>
    <w:rsid w:val="00421A0E"/>
    <w:rsid w:val="00450691"/>
    <w:rsid w:val="00454E4C"/>
    <w:rsid w:val="004560CD"/>
    <w:rsid w:val="00457B12"/>
    <w:rsid w:val="00464383"/>
    <w:rsid w:val="004668F5"/>
    <w:rsid w:val="00472AB5"/>
    <w:rsid w:val="004742C8"/>
    <w:rsid w:val="004801E7"/>
    <w:rsid w:val="004A2C4F"/>
    <w:rsid w:val="004A3EF3"/>
    <w:rsid w:val="004C35EC"/>
    <w:rsid w:val="004D2456"/>
    <w:rsid w:val="004F226F"/>
    <w:rsid w:val="004F30E3"/>
    <w:rsid w:val="004F4829"/>
    <w:rsid w:val="00500D2E"/>
    <w:rsid w:val="005111F1"/>
    <w:rsid w:val="00512CBE"/>
    <w:rsid w:val="00515174"/>
    <w:rsid w:val="00522C84"/>
    <w:rsid w:val="00527F06"/>
    <w:rsid w:val="005379F7"/>
    <w:rsid w:val="0054537A"/>
    <w:rsid w:val="00551059"/>
    <w:rsid w:val="00555E8B"/>
    <w:rsid w:val="0056011C"/>
    <w:rsid w:val="00564556"/>
    <w:rsid w:val="00566024"/>
    <w:rsid w:val="0057122D"/>
    <w:rsid w:val="0057481F"/>
    <w:rsid w:val="00574D67"/>
    <w:rsid w:val="005759DC"/>
    <w:rsid w:val="005761DF"/>
    <w:rsid w:val="005801E3"/>
    <w:rsid w:val="005829DA"/>
    <w:rsid w:val="005851A5"/>
    <w:rsid w:val="005904D4"/>
    <w:rsid w:val="00592CC7"/>
    <w:rsid w:val="005A7AD3"/>
    <w:rsid w:val="005B43DA"/>
    <w:rsid w:val="005C158F"/>
    <w:rsid w:val="005C17FE"/>
    <w:rsid w:val="005C4DC4"/>
    <w:rsid w:val="005D023E"/>
    <w:rsid w:val="005E3524"/>
    <w:rsid w:val="005F1441"/>
    <w:rsid w:val="005F5C36"/>
    <w:rsid w:val="006008A2"/>
    <w:rsid w:val="006015F1"/>
    <w:rsid w:val="006022D5"/>
    <w:rsid w:val="006056F4"/>
    <w:rsid w:val="006102E8"/>
    <w:rsid w:val="006168B6"/>
    <w:rsid w:val="00622592"/>
    <w:rsid w:val="00630BD1"/>
    <w:rsid w:val="0065572B"/>
    <w:rsid w:val="00655CBB"/>
    <w:rsid w:val="00662A77"/>
    <w:rsid w:val="00665825"/>
    <w:rsid w:val="00670397"/>
    <w:rsid w:val="006731AC"/>
    <w:rsid w:val="00682036"/>
    <w:rsid w:val="00683EEA"/>
    <w:rsid w:val="0068587B"/>
    <w:rsid w:val="006861B4"/>
    <w:rsid w:val="006A28A8"/>
    <w:rsid w:val="006A2D36"/>
    <w:rsid w:val="006A7AF2"/>
    <w:rsid w:val="006C20B7"/>
    <w:rsid w:val="006C21EF"/>
    <w:rsid w:val="006D44CC"/>
    <w:rsid w:val="006D79E5"/>
    <w:rsid w:val="0070008E"/>
    <w:rsid w:val="0070520B"/>
    <w:rsid w:val="00726948"/>
    <w:rsid w:val="007402B3"/>
    <w:rsid w:val="00750C31"/>
    <w:rsid w:val="00751950"/>
    <w:rsid w:val="00762C80"/>
    <w:rsid w:val="00762DEE"/>
    <w:rsid w:val="0076633A"/>
    <w:rsid w:val="00793AEE"/>
    <w:rsid w:val="007E29D5"/>
    <w:rsid w:val="007E5A31"/>
    <w:rsid w:val="007E690F"/>
    <w:rsid w:val="00807DDD"/>
    <w:rsid w:val="00817632"/>
    <w:rsid w:val="0082182E"/>
    <w:rsid w:val="008474E4"/>
    <w:rsid w:val="008643A8"/>
    <w:rsid w:val="0086605E"/>
    <w:rsid w:val="008812D8"/>
    <w:rsid w:val="00881D21"/>
    <w:rsid w:val="008849BB"/>
    <w:rsid w:val="00892377"/>
    <w:rsid w:val="008929F6"/>
    <w:rsid w:val="00896FA4"/>
    <w:rsid w:val="008A41EA"/>
    <w:rsid w:val="008B4972"/>
    <w:rsid w:val="008C7341"/>
    <w:rsid w:val="008D3F21"/>
    <w:rsid w:val="008D5E57"/>
    <w:rsid w:val="008E39DA"/>
    <w:rsid w:val="008F6DC5"/>
    <w:rsid w:val="00910CB5"/>
    <w:rsid w:val="00921D6C"/>
    <w:rsid w:val="00923E54"/>
    <w:rsid w:val="00930023"/>
    <w:rsid w:val="009337BF"/>
    <w:rsid w:val="00940701"/>
    <w:rsid w:val="009508F4"/>
    <w:rsid w:val="009536FB"/>
    <w:rsid w:val="00962B5A"/>
    <w:rsid w:val="009635C2"/>
    <w:rsid w:val="009764F3"/>
    <w:rsid w:val="009840C5"/>
    <w:rsid w:val="00990167"/>
    <w:rsid w:val="009903B8"/>
    <w:rsid w:val="009A1548"/>
    <w:rsid w:val="009A3C16"/>
    <w:rsid w:val="009A6110"/>
    <w:rsid w:val="009B1915"/>
    <w:rsid w:val="009C215E"/>
    <w:rsid w:val="009D68B5"/>
    <w:rsid w:val="009D7FFA"/>
    <w:rsid w:val="00A3235D"/>
    <w:rsid w:val="00A3665D"/>
    <w:rsid w:val="00A37C66"/>
    <w:rsid w:val="00A4160C"/>
    <w:rsid w:val="00A51EDB"/>
    <w:rsid w:val="00A62875"/>
    <w:rsid w:val="00A63437"/>
    <w:rsid w:val="00A655B6"/>
    <w:rsid w:val="00A81530"/>
    <w:rsid w:val="00A8318E"/>
    <w:rsid w:val="00A87167"/>
    <w:rsid w:val="00A90807"/>
    <w:rsid w:val="00A9313C"/>
    <w:rsid w:val="00A9752A"/>
    <w:rsid w:val="00AA489E"/>
    <w:rsid w:val="00AA6B38"/>
    <w:rsid w:val="00AA7E62"/>
    <w:rsid w:val="00AB61EF"/>
    <w:rsid w:val="00AC1AFB"/>
    <w:rsid w:val="00AC70C4"/>
    <w:rsid w:val="00AD364E"/>
    <w:rsid w:val="00AD7910"/>
    <w:rsid w:val="00AE23F7"/>
    <w:rsid w:val="00AF086C"/>
    <w:rsid w:val="00B07A86"/>
    <w:rsid w:val="00B159F4"/>
    <w:rsid w:val="00B3216E"/>
    <w:rsid w:val="00B3537A"/>
    <w:rsid w:val="00B46D07"/>
    <w:rsid w:val="00B66452"/>
    <w:rsid w:val="00B67658"/>
    <w:rsid w:val="00B80043"/>
    <w:rsid w:val="00B902EC"/>
    <w:rsid w:val="00B917E6"/>
    <w:rsid w:val="00BA2F45"/>
    <w:rsid w:val="00BB5231"/>
    <w:rsid w:val="00BB58C7"/>
    <w:rsid w:val="00BB7B17"/>
    <w:rsid w:val="00BC21A7"/>
    <w:rsid w:val="00BC4E40"/>
    <w:rsid w:val="00BC5298"/>
    <w:rsid w:val="00BE2E9B"/>
    <w:rsid w:val="00BE3D33"/>
    <w:rsid w:val="00BE6951"/>
    <w:rsid w:val="00BF40E1"/>
    <w:rsid w:val="00C04382"/>
    <w:rsid w:val="00C072D5"/>
    <w:rsid w:val="00C10362"/>
    <w:rsid w:val="00C24B08"/>
    <w:rsid w:val="00C24F2F"/>
    <w:rsid w:val="00C315C7"/>
    <w:rsid w:val="00C317BD"/>
    <w:rsid w:val="00C31FA4"/>
    <w:rsid w:val="00C34C2D"/>
    <w:rsid w:val="00C42BCC"/>
    <w:rsid w:val="00C530AC"/>
    <w:rsid w:val="00C573E4"/>
    <w:rsid w:val="00C84188"/>
    <w:rsid w:val="00CA1DB9"/>
    <w:rsid w:val="00CA2B79"/>
    <w:rsid w:val="00CA4DBC"/>
    <w:rsid w:val="00CA6153"/>
    <w:rsid w:val="00CB6828"/>
    <w:rsid w:val="00CC358A"/>
    <w:rsid w:val="00CC5851"/>
    <w:rsid w:val="00CC6FB1"/>
    <w:rsid w:val="00CF0F73"/>
    <w:rsid w:val="00CF7761"/>
    <w:rsid w:val="00D04EF2"/>
    <w:rsid w:val="00D1294E"/>
    <w:rsid w:val="00D1668C"/>
    <w:rsid w:val="00D17A17"/>
    <w:rsid w:val="00D242FD"/>
    <w:rsid w:val="00D24687"/>
    <w:rsid w:val="00D304A7"/>
    <w:rsid w:val="00D32856"/>
    <w:rsid w:val="00D32D15"/>
    <w:rsid w:val="00D4213C"/>
    <w:rsid w:val="00D44C4A"/>
    <w:rsid w:val="00D46950"/>
    <w:rsid w:val="00D5099D"/>
    <w:rsid w:val="00D57760"/>
    <w:rsid w:val="00D679A0"/>
    <w:rsid w:val="00D8052F"/>
    <w:rsid w:val="00D80699"/>
    <w:rsid w:val="00D8331B"/>
    <w:rsid w:val="00D83EDD"/>
    <w:rsid w:val="00D85592"/>
    <w:rsid w:val="00DA17C5"/>
    <w:rsid w:val="00DA3FCD"/>
    <w:rsid w:val="00DB6A1D"/>
    <w:rsid w:val="00DB6F11"/>
    <w:rsid w:val="00DC4D26"/>
    <w:rsid w:val="00DD209C"/>
    <w:rsid w:val="00DD6F7C"/>
    <w:rsid w:val="00DE7F4B"/>
    <w:rsid w:val="00E11116"/>
    <w:rsid w:val="00E132E5"/>
    <w:rsid w:val="00E14256"/>
    <w:rsid w:val="00E267E2"/>
    <w:rsid w:val="00E314A5"/>
    <w:rsid w:val="00E335DC"/>
    <w:rsid w:val="00E400E1"/>
    <w:rsid w:val="00E436FC"/>
    <w:rsid w:val="00E51571"/>
    <w:rsid w:val="00E5246E"/>
    <w:rsid w:val="00E56219"/>
    <w:rsid w:val="00E7387F"/>
    <w:rsid w:val="00E87D8A"/>
    <w:rsid w:val="00EA40CB"/>
    <w:rsid w:val="00EB41B1"/>
    <w:rsid w:val="00EC0730"/>
    <w:rsid w:val="00EC4822"/>
    <w:rsid w:val="00ED4D37"/>
    <w:rsid w:val="00EE0806"/>
    <w:rsid w:val="00EE55C3"/>
    <w:rsid w:val="00EF3BB6"/>
    <w:rsid w:val="00EF3CED"/>
    <w:rsid w:val="00EF68EC"/>
    <w:rsid w:val="00F075B3"/>
    <w:rsid w:val="00F22F4F"/>
    <w:rsid w:val="00F25766"/>
    <w:rsid w:val="00F25CA2"/>
    <w:rsid w:val="00F70463"/>
    <w:rsid w:val="00F7432F"/>
    <w:rsid w:val="00F76BD2"/>
    <w:rsid w:val="00F8798E"/>
    <w:rsid w:val="00F95019"/>
    <w:rsid w:val="00FB1A82"/>
    <w:rsid w:val="00FC0125"/>
    <w:rsid w:val="00FC3BD9"/>
    <w:rsid w:val="00FC4855"/>
    <w:rsid w:val="00FE5997"/>
    <w:rsid w:val="00FF3EA5"/>
    <w:rsid w:val="00FF406A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1725CA5"/>
  <w15:chartTrackingRefBased/>
  <w15:docId w15:val="{AF8F38D0-926C-401E-A64E-8B66B787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54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178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82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B6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8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8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0E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1178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customStyle="1" w:styleId="CS-Paragraphnumbering">
    <w:name w:val="CS - Paragraph numbering"/>
    <w:basedOn w:val="Normal"/>
    <w:rsid w:val="0030700D"/>
    <w:pPr>
      <w:numPr>
        <w:numId w:val="1"/>
      </w:numPr>
      <w:spacing w:after="120" w:line="276" w:lineRule="auto"/>
      <w:ind w:left="567" w:right="-45" w:hanging="567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855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7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E62"/>
  </w:style>
  <w:style w:type="paragraph" w:styleId="Footer">
    <w:name w:val="footer"/>
    <w:basedOn w:val="Normal"/>
    <w:link w:val="FooterChar"/>
    <w:uiPriority w:val="99"/>
    <w:unhideWhenUsed/>
    <w:rsid w:val="00AA7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E62"/>
  </w:style>
  <w:style w:type="character" w:styleId="Hyperlink">
    <w:name w:val="Hyperlink"/>
    <w:basedOn w:val="DefaultParagraphFont"/>
    <w:uiPriority w:val="99"/>
    <w:unhideWhenUsed/>
    <w:rsid w:val="000424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12391AAB221547928664E87676517A" ma:contentTypeVersion="11" ma:contentTypeDescription="Create a new document." ma:contentTypeScope="" ma:versionID="14eb6b6fa9381815f1e0c5f1f61ba5bc">
  <xsd:schema xmlns:xsd="http://www.w3.org/2001/XMLSchema" xmlns:xs="http://www.w3.org/2001/XMLSchema" xmlns:p="http://schemas.microsoft.com/office/2006/metadata/properties" xmlns:ns3="ff87ebfe-5e48-458b-9337-5030b6c6e162" xmlns:ns4="b686c82a-ad9d-453a-b34f-1682c36784a7" targetNamespace="http://schemas.microsoft.com/office/2006/metadata/properties" ma:root="true" ma:fieldsID="c1f1624706056da9ca3c9fcea49c8d39" ns3:_="" ns4:_="">
    <xsd:import namespace="ff87ebfe-5e48-458b-9337-5030b6c6e162"/>
    <xsd:import namespace="b686c82a-ad9d-453a-b34f-1682c36784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7ebfe-5e48-458b-9337-5030b6c6e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6c82a-ad9d-453a-b34f-1682c36784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87E01B-3503-4A03-A9A8-82A7E058D8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330653-5A06-47BD-A009-3587FDFC7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7ebfe-5e48-458b-9337-5030b6c6e162"/>
    <ds:schemaRef ds:uri="b686c82a-ad9d-453a-b34f-1682c3678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3CEB6C-47C8-4569-A787-87A6684548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4A5753-1C8A-4B08-9C64-28E61D336F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2142</Characters>
  <Application>Microsoft Office Word</Application>
  <DocSecurity>0</DocSecurity>
  <Lines>72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dcterms:created xsi:type="dcterms:W3CDTF">2020-12-08T07:24:00Z</dcterms:created>
  <dcterms:modified xsi:type="dcterms:W3CDTF">2020-12-08T07:24:00Z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0x0101000412391AAB221547928664E87676517A</vt:lpwstr>
  </property>
</Properties>
</file>