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528B9" w14:textId="77777777" w:rsidR="00CB4FF3" w:rsidRPr="00516145" w:rsidRDefault="00CB4FF3" w:rsidP="00CB4FF3">
      <w:pPr>
        <w:rPr>
          <w:rFonts w:ascii="Arial" w:hAnsi="Arial" w:cs="Arial"/>
          <w:b/>
          <w:bCs/>
        </w:rPr>
      </w:pPr>
    </w:p>
    <w:p w14:paraId="2FF80DDC" w14:textId="3059D2B3" w:rsidR="00CB4FF3" w:rsidRPr="00516145" w:rsidRDefault="00CB4FF3" w:rsidP="00CB4FF3">
      <w:pPr>
        <w:jc w:val="center"/>
        <w:rPr>
          <w:rFonts w:ascii="Arial" w:hAnsi="Arial" w:cs="Arial"/>
          <w:b/>
          <w:bCs/>
          <w:sz w:val="28"/>
          <w:szCs w:val="28"/>
        </w:rPr>
      </w:pPr>
      <w:r w:rsidRPr="00516145">
        <w:rPr>
          <w:rFonts w:ascii="Arial" w:hAnsi="Arial" w:cs="Arial"/>
          <w:b/>
          <w:bCs/>
          <w:sz w:val="28"/>
          <w:szCs w:val="28"/>
        </w:rPr>
        <w:t>20</w:t>
      </w:r>
      <w:r w:rsidR="00BD750F" w:rsidRPr="00516145">
        <w:rPr>
          <w:rFonts w:ascii="Arial" w:hAnsi="Arial" w:cs="Arial"/>
          <w:b/>
          <w:bCs/>
          <w:sz w:val="28"/>
          <w:szCs w:val="28"/>
        </w:rPr>
        <w:t>2</w:t>
      </w:r>
      <w:r w:rsidR="00BA0178">
        <w:rPr>
          <w:rFonts w:ascii="Arial" w:hAnsi="Arial" w:cs="Arial"/>
          <w:b/>
          <w:bCs/>
          <w:sz w:val="28"/>
          <w:szCs w:val="28"/>
        </w:rPr>
        <w:t>0</w:t>
      </w:r>
    </w:p>
    <w:p w14:paraId="5A3883CB" w14:textId="77777777" w:rsidR="00CB4FF3" w:rsidRPr="00516145" w:rsidRDefault="00CB4FF3" w:rsidP="00CB4FF3">
      <w:pPr>
        <w:jc w:val="center"/>
        <w:rPr>
          <w:rFonts w:ascii="Arial" w:hAnsi="Arial" w:cs="Arial"/>
          <w:b/>
          <w:bCs/>
          <w:sz w:val="28"/>
          <w:szCs w:val="28"/>
        </w:rPr>
      </w:pPr>
    </w:p>
    <w:p w14:paraId="4524D88A" w14:textId="77777777" w:rsidR="00CB4FF3" w:rsidRPr="00516145" w:rsidRDefault="00CB4FF3" w:rsidP="00CB4FF3">
      <w:pPr>
        <w:jc w:val="center"/>
        <w:rPr>
          <w:rFonts w:ascii="Arial" w:hAnsi="Arial" w:cs="Arial"/>
          <w:b/>
          <w:bCs/>
          <w:sz w:val="28"/>
          <w:szCs w:val="28"/>
        </w:rPr>
      </w:pPr>
    </w:p>
    <w:p w14:paraId="3193FF26" w14:textId="77777777" w:rsidR="00CB4FF3" w:rsidRPr="00516145" w:rsidRDefault="00CB4FF3" w:rsidP="00CB4FF3">
      <w:pPr>
        <w:jc w:val="center"/>
        <w:rPr>
          <w:rFonts w:ascii="Arial" w:hAnsi="Arial" w:cs="Arial"/>
          <w:b/>
          <w:bCs/>
          <w:sz w:val="28"/>
          <w:szCs w:val="28"/>
        </w:rPr>
      </w:pPr>
    </w:p>
    <w:p w14:paraId="15B0268E" w14:textId="77777777" w:rsidR="00CB4FF3" w:rsidRPr="00516145" w:rsidRDefault="00CB4FF3" w:rsidP="00CB4FF3">
      <w:pPr>
        <w:ind w:left="284"/>
        <w:jc w:val="center"/>
        <w:rPr>
          <w:rFonts w:ascii="Arial" w:hAnsi="Arial" w:cs="Arial"/>
          <w:b/>
          <w:bCs/>
          <w:sz w:val="28"/>
          <w:szCs w:val="28"/>
        </w:rPr>
      </w:pPr>
      <w:r w:rsidRPr="00516145">
        <w:rPr>
          <w:rFonts w:ascii="Arial" w:hAnsi="Arial" w:cs="Arial"/>
          <w:b/>
          <w:bCs/>
          <w:sz w:val="28"/>
          <w:szCs w:val="28"/>
        </w:rPr>
        <w:t xml:space="preserve">THE LEGISLATIVE ASSEMBLY FOR THE </w:t>
      </w:r>
      <w:r w:rsidRPr="00516145">
        <w:rPr>
          <w:rFonts w:ascii="Arial" w:hAnsi="Arial" w:cs="Arial"/>
          <w:b/>
          <w:bCs/>
          <w:sz w:val="28"/>
          <w:szCs w:val="28"/>
        </w:rPr>
        <w:br/>
        <w:t>AUSTRALIAN CAPITAL TERRITORY</w:t>
      </w:r>
    </w:p>
    <w:p w14:paraId="21C3CF95" w14:textId="77777777" w:rsidR="00CB4FF3" w:rsidRPr="00516145" w:rsidRDefault="00CB4FF3" w:rsidP="00CB4FF3">
      <w:pPr>
        <w:ind w:left="3600"/>
        <w:jc w:val="center"/>
        <w:rPr>
          <w:rFonts w:ascii="Arial" w:hAnsi="Arial" w:cs="Arial"/>
          <w:b/>
          <w:bCs/>
          <w:sz w:val="28"/>
          <w:szCs w:val="28"/>
        </w:rPr>
      </w:pPr>
    </w:p>
    <w:p w14:paraId="6FFF513B" w14:textId="77777777" w:rsidR="00CB4FF3" w:rsidRPr="00516145" w:rsidRDefault="00CB4FF3" w:rsidP="00CB4FF3">
      <w:pPr>
        <w:ind w:left="3600"/>
        <w:jc w:val="center"/>
        <w:rPr>
          <w:rFonts w:ascii="Arial" w:hAnsi="Arial" w:cs="Arial"/>
          <w:b/>
          <w:bCs/>
          <w:sz w:val="28"/>
          <w:szCs w:val="28"/>
        </w:rPr>
      </w:pPr>
    </w:p>
    <w:p w14:paraId="30DC36ED" w14:textId="77777777" w:rsidR="00CB4FF3" w:rsidRPr="00516145" w:rsidRDefault="00CB4FF3" w:rsidP="00CB4FF3">
      <w:pPr>
        <w:jc w:val="center"/>
        <w:rPr>
          <w:rFonts w:ascii="Arial" w:hAnsi="Arial" w:cs="Arial"/>
          <w:b/>
          <w:bCs/>
          <w:sz w:val="28"/>
          <w:szCs w:val="28"/>
        </w:rPr>
      </w:pPr>
    </w:p>
    <w:p w14:paraId="0B33EA8F" w14:textId="77777777" w:rsidR="00CB4FF3" w:rsidRPr="00516145" w:rsidRDefault="00CB4FF3" w:rsidP="00CB4FF3">
      <w:pPr>
        <w:jc w:val="center"/>
        <w:rPr>
          <w:rFonts w:ascii="Arial" w:hAnsi="Arial" w:cs="Arial"/>
          <w:b/>
          <w:bCs/>
          <w:sz w:val="28"/>
          <w:szCs w:val="28"/>
        </w:rPr>
      </w:pPr>
    </w:p>
    <w:p w14:paraId="61BA15DC" w14:textId="740DBE1F" w:rsidR="00CB4FF3" w:rsidRPr="00516145" w:rsidRDefault="00BD750F" w:rsidP="00CB4FF3">
      <w:pPr>
        <w:jc w:val="center"/>
        <w:rPr>
          <w:rFonts w:ascii="Arial" w:hAnsi="Arial" w:cs="Arial"/>
          <w:b/>
          <w:bCs/>
          <w:sz w:val="28"/>
          <w:szCs w:val="28"/>
        </w:rPr>
      </w:pPr>
      <w:r w:rsidRPr="00516145">
        <w:rPr>
          <w:rFonts w:ascii="Arial" w:hAnsi="Arial" w:cs="Arial"/>
          <w:b/>
          <w:bCs/>
          <w:sz w:val="28"/>
          <w:szCs w:val="28"/>
        </w:rPr>
        <w:t xml:space="preserve">PLANNING AND </w:t>
      </w:r>
      <w:r w:rsidR="00A84B39">
        <w:rPr>
          <w:rFonts w:ascii="Arial" w:hAnsi="Arial" w:cs="Arial"/>
          <w:b/>
          <w:bCs/>
          <w:sz w:val="28"/>
          <w:szCs w:val="28"/>
        </w:rPr>
        <w:t>UNIT TITLES</w:t>
      </w:r>
      <w:r w:rsidRPr="00516145">
        <w:rPr>
          <w:rFonts w:ascii="Arial" w:hAnsi="Arial" w:cs="Arial"/>
          <w:b/>
          <w:bCs/>
          <w:sz w:val="28"/>
          <w:szCs w:val="28"/>
        </w:rPr>
        <w:t xml:space="preserve"> LEGISLATION AMENDMENT BILL </w:t>
      </w:r>
      <w:r w:rsidR="00516145">
        <w:rPr>
          <w:rFonts w:ascii="Arial" w:hAnsi="Arial" w:cs="Arial"/>
          <w:b/>
          <w:bCs/>
          <w:sz w:val="28"/>
          <w:szCs w:val="28"/>
        </w:rPr>
        <w:t>202</w:t>
      </w:r>
      <w:r w:rsidR="00BA0178">
        <w:rPr>
          <w:rFonts w:ascii="Arial" w:hAnsi="Arial" w:cs="Arial"/>
          <w:b/>
          <w:bCs/>
          <w:sz w:val="28"/>
          <w:szCs w:val="28"/>
        </w:rPr>
        <w:t>0</w:t>
      </w:r>
    </w:p>
    <w:p w14:paraId="3AE595AE" w14:textId="77777777" w:rsidR="00CB4FF3" w:rsidRPr="00516145" w:rsidRDefault="00CB4FF3" w:rsidP="00CB4FF3">
      <w:pPr>
        <w:jc w:val="center"/>
        <w:rPr>
          <w:rFonts w:ascii="Arial" w:hAnsi="Arial" w:cs="Arial"/>
          <w:b/>
          <w:bCs/>
          <w:sz w:val="28"/>
          <w:szCs w:val="28"/>
        </w:rPr>
      </w:pPr>
    </w:p>
    <w:p w14:paraId="14ABF840" w14:textId="77777777" w:rsidR="00CB4FF3" w:rsidRPr="00516145" w:rsidRDefault="00CB4FF3" w:rsidP="00CB4FF3">
      <w:pPr>
        <w:jc w:val="center"/>
        <w:rPr>
          <w:rFonts w:ascii="Arial" w:hAnsi="Arial" w:cs="Arial"/>
          <w:b/>
          <w:bCs/>
          <w:sz w:val="28"/>
          <w:szCs w:val="28"/>
        </w:rPr>
      </w:pPr>
    </w:p>
    <w:p w14:paraId="245F6008" w14:textId="77777777" w:rsidR="00CB4FF3" w:rsidRPr="00516145" w:rsidRDefault="00CB4FF3" w:rsidP="00CB4FF3">
      <w:pPr>
        <w:jc w:val="center"/>
        <w:rPr>
          <w:rFonts w:ascii="Arial" w:hAnsi="Arial" w:cs="Arial"/>
          <w:b/>
          <w:bCs/>
          <w:sz w:val="28"/>
          <w:szCs w:val="28"/>
        </w:rPr>
      </w:pPr>
    </w:p>
    <w:p w14:paraId="73455413" w14:textId="77777777" w:rsidR="00665FFF" w:rsidRPr="00665FFF" w:rsidRDefault="00665FFF" w:rsidP="00665FFF">
      <w:pPr>
        <w:ind w:left="720"/>
        <w:jc w:val="center"/>
        <w:rPr>
          <w:b/>
          <w:bCs/>
        </w:rPr>
      </w:pPr>
      <w:r w:rsidRPr="00665FFF">
        <w:rPr>
          <w:b/>
          <w:bCs/>
        </w:rPr>
        <w:t>EXPLANATORY STATEMENT</w:t>
      </w:r>
    </w:p>
    <w:p w14:paraId="45B7614D" w14:textId="77777777" w:rsidR="00665FFF" w:rsidRPr="00665FFF" w:rsidRDefault="00665FFF" w:rsidP="00665FFF">
      <w:pPr>
        <w:ind w:firstLine="720"/>
        <w:jc w:val="center"/>
        <w:rPr>
          <w:b/>
          <w:bCs/>
        </w:rPr>
      </w:pPr>
      <w:r w:rsidRPr="00665FFF">
        <w:rPr>
          <w:b/>
          <w:bCs/>
        </w:rPr>
        <w:t>and</w:t>
      </w:r>
    </w:p>
    <w:p w14:paraId="271C9F51" w14:textId="77777777" w:rsidR="00665FFF" w:rsidRPr="00665FFF" w:rsidRDefault="00665FFF" w:rsidP="00665FFF">
      <w:pPr>
        <w:ind w:left="720"/>
        <w:jc w:val="center"/>
        <w:rPr>
          <w:b/>
          <w:bCs/>
        </w:rPr>
      </w:pPr>
      <w:r w:rsidRPr="00665FFF">
        <w:rPr>
          <w:b/>
          <w:bCs/>
        </w:rPr>
        <w:t>HUMAN RIGHTS COMPATIBILITY STATEMENT</w:t>
      </w:r>
    </w:p>
    <w:p w14:paraId="10189FD3" w14:textId="77777777" w:rsidR="00665FFF" w:rsidRPr="00665FFF" w:rsidRDefault="00665FFF" w:rsidP="00665FFF">
      <w:pPr>
        <w:ind w:left="720"/>
        <w:jc w:val="center"/>
        <w:rPr>
          <w:b/>
          <w:bCs/>
        </w:rPr>
      </w:pPr>
      <w:r w:rsidRPr="00665FFF">
        <w:rPr>
          <w:b/>
          <w:bCs/>
        </w:rPr>
        <w:t>(</w:t>
      </w:r>
      <w:r w:rsidRPr="00665FFF">
        <w:rPr>
          <w:b/>
          <w:bCs/>
          <w:i/>
          <w:iCs/>
        </w:rPr>
        <w:t>Human Rights Act 2004</w:t>
      </w:r>
      <w:r w:rsidRPr="00665FFF">
        <w:rPr>
          <w:b/>
          <w:bCs/>
        </w:rPr>
        <w:t>, s 37)</w:t>
      </w:r>
    </w:p>
    <w:p w14:paraId="197B7EDA" w14:textId="77777777" w:rsidR="00CB4FF3" w:rsidRPr="00516145" w:rsidRDefault="00CB4FF3" w:rsidP="00CB4FF3">
      <w:pPr>
        <w:jc w:val="center"/>
        <w:rPr>
          <w:rFonts w:ascii="Arial" w:hAnsi="Arial" w:cs="Arial"/>
          <w:b/>
          <w:bCs/>
          <w:sz w:val="28"/>
          <w:szCs w:val="28"/>
        </w:rPr>
      </w:pPr>
    </w:p>
    <w:p w14:paraId="31BE3202" w14:textId="77777777" w:rsidR="00CB4FF3" w:rsidRPr="00516145" w:rsidRDefault="00CB4FF3" w:rsidP="00CB4FF3">
      <w:pPr>
        <w:jc w:val="center"/>
        <w:rPr>
          <w:rFonts w:ascii="Arial" w:hAnsi="Arial" w:cs="Arial"/>
          <w:b/>
          <w:bCs/>
          <w:sz w:val="28"/>
          <w:szCs w:val="28"/>
        </w:rPr>
      </w:pPr>
    </w:p>
    <w:p w14:paraId="68915522" w14:textId="77777777" w:rsidR="00CB4FF3" w:rsidRPr="00516145" w:rsidRDefault="00CB4FF3" w:rsidP="00CB4FF3">
      <w:pPr>
        <w:jc w:val="center"/>
        <w:rPr>
          <w:rFonts w:ascii="Arial" w:hAnsi="Arial" w:cs="Arial"/>
          <w:b/>
          <w:bCs/>
          <w:sz w:val="28"/>
          <w:szCs w:val="28"/>
        </w:rPr>
      </w:pPr>
    </w:p>
    <w:p w14:paraId="2A7BF476" w14:textId="77777777" w:rsidR="00CB4FF3" w:rsidRPr="00516145" w:rsidRDefault="00CB4FF3" w:rsidP="00CB4FF3">
      <w:pPr>
        <w:jc w:val="center"/>
        <w:rPr>
          <w:rFonts w:ascii="Arial" w:hAnsi="Arial" w:cs="Arial"/>
          <w:b/>
          <w:bCs/>
          <w:sz w:val="28"/>
          <w:szCs w:val="28"/>
        </w:rPr>
      </w:pPr>
    </w:p>
    <w:p w14:paraId="705E170D" w14:textId="77777777" w:rsidR="00CB4FF3" w:rsidRPr="00516145" w:rsidRDefault="00CB4FF3" w:rsidP="00CB4FF3">
      <w:pPr>
        <w:jc w:val="center"/>
        <w:rPr>
          <w:rFonts w:ascii="Arial" w:hAnsi="Arial" w:cs="Arial"/>
          <w:b/>
          <w:bCs/>
          <w:sz w:val="28"/>
          <w:szCs w:val="28"/>
        </w:rPr>
      </w:pPr>
    </w:p>
    <w:p w14:paraId="64A732CD" w14:textId="77777777" w:rsidR="00CB4FF3" w:rsidRPr="00516145" w:rsidRDefault="00CB4FF3" w:rsidP="00CB4FF3">
      <w:pPr>
        <w:jc w:val="center"/>
        <w:rPr>
          <w:rFonts w:ascii="Arial" w:hAnsi="Arial" w:cs="Arial"/>
          <w:b/>
          <w:bCs/>
          <w:sz w:val="28"/>
          <w:szCs w:val="28"/>
        </w:rPr>
      </w:pPr>
    </w:p>
    <w:p w14:paraId="7D54BDA8" w14:textId="77777777" w:rsidR="00CB4FF3" w:rsidRPr="006073C9" w:rsidRDefault="00CB4FF3" w:rsidP="00CB4FF3">
      <w:pPr>
        <w:ind w:left="5040"/>
        <w:jc w:val="right"/>
        <w:rPr>
          <w:rFonts w:ascii="Arial" w:hAnsi="Arial" w:cs="Arial"/>
          <w:b/>
          <w:bCs/>
          <w:sz w:val="28"/>
          <w:szCs w:val="28"/>
        </w:rPr>
      </w:pPr>
      <w:r w:rsidRPr="006073C9">
        <w:rPr>
          <w:rFonts w:ascii="Arial" w:hAnsi="Arial" w:cs="Arial"/>
          <w:b/>
          <w:bCs/>
          <w:sz w:val="28"/>
          <w:szCs w:val="28"/>
        </w:rPr>
        <w:t>Presented by</w:t>
      </w:r>
    </w:p>
    <w:p w14:paraId="36FCD868" w14:textId="4D325BDF" w:rsidR="00CB4FF3" w:rsidRPr="006073C9" w:rsidRDefault="006073C9" w:rsidP="00CB4FF3">
      <w:pPr>
        <w:ind w:left="5040"/>
        <w:jc w:val="right"/>
        <w:rPr>
          <w:rFonts w:ascii="Arial" w:hAnsi="Arial" w:cs="Arial"/>
          <w:b/>
          <w:bCs/>
          <w:sz w:val="28"/>
          <w:szCs w:val="28"/>
        </w:rPr>
      </w:pPr>
      <w:r w:rsidRPr="006073C9">
        <w:rPr>
          <w:rFonts w:ascii="Arial" w:hAnsi="Arial" w:cs="Arial"/>
          <w:b/>
          <w:bCs/>
          <w:sz w:val="28"/>
          <w:szCs w:val="28"/>
        </w:rPr>
        <w:t>Mr Mick Gentleman</w:t>
      </w:r>
      <w:r w:rsidR="00915CF5" w:rsidRPr="006073C9">
        <w:rPr>
          <w:rFonts w:ascii="Arial" w:hAnsi="Arial" w:cs="Arial"/>
          <w:b/>
          <w:bCs/>
          <w:sz w:val="28"/>
          <w:szCs w:val="28"/>
        </w:rPr>
        <w:t xml:space="preserve"> MLA</w:t>
      </w:r>
    </w:p>
    <w:p w14:paraId="1D06E9B9" w14:textId="77777777" w:rsidR="00CB4FF3" w:rsidRPr="00516145" w:rsidRDefault="00CB4FF3" w:rsidP="00CB4FF3">
      <w:pPr>
        <w:ind w:left="2835"/>
        <w:jc w:val="right"/>
        <w:rPr>
          <w:rFonts w:ascii="Arial" w:hAnsi="Arial" w:cs="Arial"/>
          <w:b/>
          <w:bCs/>
          <w:sz w:val="28"/>
          <w:szCs w:val="28"/>
        </w:rPr>
      </w:pPr>
      <w:r w:rsidRPr="006073C9">
        <w:rPr>
          <w:rFonts w:ascii="Arial" w:hAnsi="Arial" w:cs="Arial"/>
          <w:b/>
          <w:bCs/>
          <w:sz w:val="28"/>
          <w:szCs w:val="28"/>
        </w:rPr>
        <w:t>Minister for Planning and Land Management</w:t>
      </w:r>
    </w:p>
    <w:p w14:paraId="2D410CD0" w14:textId="77777777" w:rsidR="00CB4FF3" w:rsidRPr="00516145" w:rsidRDefault="00CB4FF3" w:rsidP="00CB4FF3">
      <w:pPr>
        <w:rPr>
          <w:rFonts w:ascii="Arial" w:hAnsi="Arial" w:cs="Arial"/>
          <w:b/>
          <w:bCs/>
        </w:rPr>
      </w:pPr>
      <w:r w:rsidRPr="00516145">
        <w:rPr>
          <w:rFonts w:ascii="Arial" w:hAnsi="Arial" w:cs="Arial"/>
          <w:b/>
          <w:bCs/>
        </w:rPr>
        <w:lastRenderedPageBreak/>
        <w:br w:type="page"/>
      </w:r>
    </w:p>
    <w:p w14:paraId="339560A7" w14:textId="1566425C" w:rsidR="00CB4FF3" w:rsidRPr="00516145" w:rsidRDefault="00AC6320" w:rsidP="00CB4FF3">
      <w:pPr>
        <w:rPr>
          <w:rFonts w:ascii="Arial" w:hAnsi="Arial" w:cs="Arial"/>
          <w:b/>
          <w:bCs/>
          <w:sz w:val="24"/>
          <w:szCs w:val="24"/>
        </w:rPr>
      </w:pPr>
      <w:r w:rsidRPr="00516145">
        <w:rPr>
          <w:rFonts w:ascii="Arial" w:hAnsi="Arial" w:cs="Arial"/>
          <w:b/>
          <w:bCs/>
          <w:sz w:val="24"/>
          <w:szCs w:val="24"/>
        </w:rPr>
        <w:lastRenderedPageBreak/>
        <w:t xml:space="preserve">PLANNING AND </w:t>
      </w:r>
      <w:r w:rsidR="00A84B39">
        <w:rPr>
          <w:rFonts w:ascii="Arial" w:hAnsi="Arial" w:cs="Arial"/>
          <w:b/>
          <w:bCs/>
          <w:sz w:val="24"/>
          <w:szCs w:val="24"/>
        </w:rPr>
        <w:t>UNIT TITLES</w:t>
      </w:r>
      <w:r w:rsidRPr="00516145">
        <w:rPr>
          <w:rFonts w:ascii="Arial" w:hAnsi="Arial" w:cs="Arial"/>
          <w:b/>
          <w:bCs/>
          <w:sz w:val="24"/>
          <w:szCs w:val="24"/>
        </w:rPr>
        <w:t xml:space="preserve"> LEGISLATION AMENDMENT BILL </w:t>
      </w:r>
      <w:r w:rsidR="00516145">
        <w:rPr>
          <w:rFonts w:ascii="Arial" w:hAnsi="Arial" w:cs="Arial"/>
          <w:b/>
          <w:bCs/>
          <w:sz w:val="24"/>
          <w:szCs w:val="24"/>
        </w:rPr>
        <w:t>202</w:t>
      </w:r>
      <w:r w:rsidR="00BA0178">
        <w:rPr>
          <w:rFonts w:ascii="Arial" w:hAnsi="Arial" w:cs="Arial"/>
          <w:b/>
          <w:bCs/>
          <w:sz w:val="24"/>
          <w:szCs w:val="24"/>
        </w:rPr>
        <w:t>0</w:t>
      </w:r>
    </w:p>
    <w:p w14:paraId="1D1DD44B" w14:textId="621AB935" w:rsidR="00AC6320" w:rsidRPr="00516145" w:rsidRDefault="00AC6320" w:rsidP="00CB4FF3">
      <w:pPr>
        <w:rPr>
          <w:rFonts w:ascii="Arial" w:hAnsi="Arial" w:cs="Arial"/>
          <w:i/>
          <w:iCs/>
          <w:sz w:val="24"/>
          <w:szCs w:val="24"/>
        </w:rPr>
      </w:pPr>
      <w:r w:rsidRPr="00516145">
        <w:rPr>
          <w:rFonts w:ascii="Arial" w:hAnsi="Arial" w:cs="Arial"/>
          <w:sz w:val="24"/>
          <w:szCs w:val="24"/>
        </w:rPr>
        <w:t xml:space="preserve">This Bill is not a Significant Bill. Significant Bills are bills that have been assessed as likely to have significant engagement of human rights and require more detailed reasoning in relation to compatibility with the </w:t>
      </w:r>
      <w:r w:rsidRPr="00516145">
        <w:rPr>
          <w:rFonts w:ascii="Arial" w:hAnsi="Arial" w:cs="Arial"/>
          <w:i/>
          <w:iCs/>
          <w:sz w:val="24"/>
          <w:szCs w:val="24"/>
        </w:rPr>
        <w:t xml:space="preserve">Human Rights Act 2004. </w:t>
      </w:r>
    </w:p>
    <w:p w14:paraId="04A9BF63" w14:textId="77777777" w:rsidR="00CB4FF3" w:rsidRPr="00516145" w:rsidRDefault="00CB4FF3" w:rsidP="002672C5">
      <w:pPr>
        <w:spacing w:after="0"/>
        <w:rPr>
          <w:rFonts w:ascii="Arial" w:hAnsi="Arial" w:cs="Arial"/>
          <w:b/>
          <w:sz w:val="24"/>
          <w:szCs w:val="24"/>
          <w:u w:val="single"/>
        </w:rPr>
      </w:pPr>
      <w:r w:rsidRPr="00516145">
        <w:rPr>
          <w:rFonts w:ascii="Arial" w:hAnsi="Arial" w:cs="Arial"/>
          <w:b/>
          <w:sz w:val="24"/>
          <w:szCs w:val="24"/>
          <w:u w:val="single"/>
        </w:rPr>
        <w:t>Introduction</w:t>
      </w:r>
    </w:p>
    <w:p w14:paraId="7F1FEED6" w14:textId="379F3EEC" w:rsidR="00CB4FF3" w:rsidRPr="00516145" w:rsidRDefault="00CB4FF3" w:rsidP="00CB4FF3">
      <w:pPr>
        <w:rPr>
          <w:rFonts w:ascii="Arial" w:hAnsi="Arial" w:cs="Arial"/>
          <w:sz w:val="24"/>
          <w:szCs w:val="24"/>
        </w:rPr>
      </w:pPr>
      <w:r w:rsidRPr="00516145">
        <w:rPr>
          <w:rFonts w:ascii="Arial" w:hAnsi="Arial" w:cs="Arial"/>
          <w:sz w:val="24"/>
          <w:szCs w:val="24"/>
        </w:rPr>
        <w:t xml:space="preserve">This explanatory statement relates to the </w:t>
      </w:r>
      <w:r w:rsidR="00BD750F" w:rsidRPr="00516145">
        <w:rPr>
          <w:rFonts w:ascii="Arial" w:hAnsi="Arial" w:cs="Arial"/>
          <w:i/>
          <w:sz w:val="24"/>
          <w:szCs w:val="24"/>
        </w:rPr>
        <w:t xml:space="preserve">Planning and </w:t>
      </w:r>
      <w:r w:rsidR="00A84B39">
        <w:rPr>
          <w:rFonts w:ascii="Arial" w:hAnsi="Arial" w:cs="Arial"/>
          <w:i/>
          <w:sz w:val="24"/>
          <w:szCs w:val="24"/>
        </w:rPr>
        <w:t>Unit Titles</w:t>
      </w:r>
      <w:r w:rsidR="00BD750F" w:rsidRPr="00516145">
        <w:rPr>
          <w:rFonts w:ascii="Arial" w:hAnsi="Arial" w:cs="Arial"/>
          <w:i/>
          <w:sz w:val="24"/>
          <w:szCs w:val="24"/>
        </w:rPr>
        <w:t xml:space="preserve"> Legislation Amendment Bill </w:t>
      </w:r>
      <w:r w:rsidR="00A84B39">
        <w:rPr>
          <w:rFonts w:ascii="Arial" w:hAnsi="Arial" w:cs="Arial"/>
          <w:i/>
          <w:sz w:val="24"/>
          <w:szCs w:val="24"/>
        </w:rPr>
        <w:t>202</w:t>
      </w:r>
      <w:r w:rsidR="00BA0178">
        <w:rPr>
          <w:rFonts w:ascii="Arial" w:hAnsi="Arial" w:cs="Arial"/>
          <w:i/>
          <w:sz w:val="24"/>
          <w:szCs w:val="24"/>
        </w:rPr>
        <w:t>0</w:t>
      </w:r>
      <w:r w:rsidR="00DA4A4F" w:rsidRPr="00516145">
        <w:rPr>
          <w:rFonts w:ascii="Arial" w:hAnsi="Arial" w:cs="Arial"/>
          <w:sz w:val="24"/>
          <w:szCs w:val="24"/>
        </w:rPr>
        <w:t xml:space="preserve"> </w:t>
      </w:r>
      <w:r w:rsidRPr="00516145">
        <w:rPr>
          <w:rFonts w:ascii="Arial" w:hAnsi="Arial" w:cs="Arial"/>
          <w:sz w:val="24"/>
          <w:szCs w:val="24"/>
        </w:rPr>
        <w:t>(the Bill) as presented to the Legislative Assembly. It has been prepared in order to assist the reader of the Bill and to help inform debate. It does not form part of the Bill and has not been endorsed by the Legislative Assembly.</w:t>
      </w:r>
    </w:p>
    <w:p w14:paraId="4534F8B4" w14:textId="4A41B903" w:rsidR="00CB4FF3" w:rsidRPr="00516145" w:rsidRDefault="00CB4FF3" w:rsidP="00AC6320">
      <w:pPr>
        <w:rPr>
          <w:rFonts w:ascii="Arial" w:hAnsi="Arial" w:cs="Arial"/>
          <w:sz w:val="24"/>
          <w:szCs w:val="24"/>
        </w:rPr>
      </w:pPr>
      <w:r w:rsidRPr="00516145">
        <w:rPr>
          <w:rFonts w:ascii="Arial" w:hAnsi="Arial" w:cs="Arial"/>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1C35E0AB" w14:textId="77777777" w:rsidR="00CB4FF3" w:rsidRPr="00516145" w:rsidRDefault="00CB4FF3" w:rsidP="002672C5">
      <w:pPr>
        <w:spacing w:after="0"/>
        <w:rPr>
          <w:rFonts w:ascii="Arial" w:hAnsi="Arial" w:cs="Arial"/>
          <w:sz w:val="24"/>
          <w:szCs w:val="24"/>
          <w:u w:val="single"/>
        </w:rPr>
      </w:pPr>
      <w:r w:rsidRPr="00516145">
        <w:rPr>
          <w:rFonts w:ascii="Arial" w:hAnsi="Arial" w:cs="Arial"/>
          <w:b/>
          <w:sz w:val="24"/>
          <w:szCs w:val="24"/>
          <w:u w:val="single"/>
        </w:rPr>
        <w:t>Background</w:t>
      </w:r>
    </w:p>
    <w:p w14:paraId="7DD9D557" w14:textId="2BF02FDF" w:rsidR="00BD750F" w:rsidRPr="00516145" w:rsidRDefault="00AC6320" w:rsidP="00CB4FF3">
      <w:pPr>
        <w:rPr>
          <w:rFonts w:ascii="Arial" w:hAnsi="Arial" w:cs="Arial"/>
          <w:sz w:val="24"/>
          <w:szCs w:val="24"/>
        </w:rPr>
      </w:pPr>
      <w:r w:rsidRPr="00516145">
        <w:rPr>
          <w:rFonts w:ascii="Arial" w:hAnsi="Arial" w:cs="Arial"/>
          <w:sz w:val="24"/>
          <w:szCs w:val="24"/>
        </w:rPr>
        <w:t xml:space="preserve">The Bill is an omnibus bill to enable minor legislative amendments related to the portfolio responsibilities of the Environment, Planning and Sustainable Development Directorate (EPSDD) to be dealt with expediently and to consolidate amendments into one place, making the amendment process more accessible. The omnibus bill process helps the government </w:t>
      </w:r>
      <w:r w:rsidR="00570BDA">
        <w:rPr>
          <w:rFonts w:ascii="Arial" w:hAnsi="Arial" w:cs="Arial"/>
          <w:sz w:val="24"/>
          <w:szCs w:val="24"/>
        </w:rPr>
        <w:t>to</w:t>
      </w:r>
      <w:r w:rsidRPr="00516145">
        <w:rPr>
          <w:rFonts w:ascii="Arial" w:hAnsi="Arial" w:cs="Arial"/>
          <w:sz w:val="24"/>
          <w:szCs w:val="24"/>
        </w:rPr>
        <w:t xml:space="preserve"> be agile and responsive to changing circumstances and to </w:t>
      </w:r>
      <w:r w:rsidR="00570BDA">
        <w:rPr>
          <w:rFonts w:ascii="Arial" w:hAnsi="Arial" w:cs="Arial"/>
          <w:sz w:val="24"/>
          <w:szCs w:val="24"/>
        </w:rPr>
        <w:t>make sure</w:t>
      </w:r>
      <w:r w:rsidRPr="00516145">
        <w:rPr>
          <w:rFonts w:ascii="Arial" w:hAnsi="Arial" w:cs="Arial"/>
          <w:sz w:val="24"/>
          <w:szCs w:val="24"/>
        </w:rPr>
        <w:t xml:space="preserve"> that legislation remains clear, concise and up to date. </w:t>
      </w:r>
    </w:p>
    <w:p w14:paraId="7BA69A47" w14:textId="7FEE8A5C" w:rsidR="00AC6320" w:rsidRPr="00516145" w:rsidRDefault="00AC6320" w:rsidP="00CB4FF3">
      <w:pPr>
        <w:rPr>
          <w:rFonts w:ascii="Arial" w:hAnsi="Arial" w:cs="Arial"/>
          <w:b/>
          <w:bCs/>
          <w:sz w:val="24"/>
          <w:szCs w:val="24"/>
        </w:rPr>
      </w:pPr>
      <w:r w:rsidRPr="00516145">
        <w:rPr>
          <w:rFonts w:ascii="Arial" w:hAnsi="Arial" w:cs="Arial"/>
          <w:b/>
          <w:bCs/>
          <w:sz w:val="24"/>
          <w:szCs w:val="24"/>
        </w:rPr>
        <w:t>OVERVIEW OF THE BILL</w:t>
      </w:r>
    </w:p>
    <w:p w14:paraId="7D3EE1F4" w14:textId="37DBF001" w:rsidR="00AC6320" w:rsidRPr="00516145" w:rsidRDefault="00AC6320" w:rsidP="00CB4FF3">
      <w:pPr>
        <w:rPr>
          <w:rFonts w:ascii="Arial" w:hAnsi="Arial" w:cs="Arial"/>
          <w:sz w:val="24"/>
          <w:szCs w:val="24"/>
        </w:rPr>
      </w:pPr>
      <w:r w:rsidRPr="00516145">
        <w:rPr>
          <w:rFonts w:ascii="Arial" w:hAnsi="Arial" w:cs="Arial"/>
          <w:sz w:val="24"/>
          <w:szCs w:val="24"/>
        </w:rPr>
        <w:t>The purpose of the Bill is to make a range of amendments to improve the operation of three pieces of legislation administered by the Justice and Community Safety Directorate (JACS), and one piece of legislation administered by the Environment, Planning and Sustainable Development Directorate:</w:t>
      </w:r>
    </w:p>
    <w:p w14:paraId="5491A49F" w14:textId="77777777" w:rsidR="00B550F3" w:rsidRDefault="00B550F3" w:rsidP="00B550F3">
      <w:pPr>
        <w:pStyle w:val="ListParagraph"/>
        <w:numPr>
          <w:ilvl w:val="0"/>
          <w:numId w:val="2"/>
        </w:numPr>
        <w:rPr>
          <w:rFonts w:ascii="Arial" w:hAnsi="Arial" w:cs="Arial"/>
          <w:i/>
          <w:iCs/>
          <w:sz w:val="24"/>
          <w:szCs w:val="24"/>
        </w:rPr>
      </w:pPr>
      <w:r w:rsidRPr="00B550F3">
        <w:rPr>
          <w:rFonts w:ascii="Arial" w:hAnsi="Arial" w:cs="Arial"/>
          <w:i/>
          <w:iCs/>
          <w:sz w:val="24"/>
          <w:szCs w:val="24"/>
        </w:rPr>
        <w:t>Civil Law (Property) Act 2006</w:t>
      </w:r>
    </w:p>
    <w:p w14:paraId="469F458A" w14:textId="77777777" w:rsidR="00B550F3" w:rsidRDefault="00B550F3" w:rsidP="00B550F3">
      <w:pPr>
        <w:pStyle w:val="ListParagraph"/>
        <w:numPr>
          <w:ilvl w:val="0"/>
          <w:numId w:val="2"/>
        </w:numPr>
        <w:rPr>
          <w:rFonts w:ascii="Arial" w:hAnsi="Arial" w:cs="Arial"/>
          <w:i/>
          <w:iCs/>
          <w:sz w:val="24"/>
          <w:szCs w:val="24"/>
        </w:rPr>
      </w:pPr>
      <w:r w:rsidRPr="00B550F3">
        <w:rPr>
          <w:rFonts w:ascii="Arial" w:hAnsi="Arial" w:cs="Arial"/>
          <w:i/>
          <w:iCs/>
          <w:sz w:val="24"/>
          <w:szCs w:val="24"/>
        </w:rPr>
        <w:t>Civil Law (Property) Regulation 2020</w:t>
      </w:r>
    </w:p>
    <w:p w14:paraId="37CDCBBC" w14:textId="77777777" w:rsidR="00B550F3" w:rsidRDefault="00B550F3" w:rsidP="00B550F3">
      <w:pPr>
        <w:pStyle w:val="ListParagraph"/>
        <w:numPr>
          <w:ilvl w:val="0"/>
          <w:numId w:val="2"/>
        </w:numPr>
        <w:rPr>
          <w:rFonts w:ascii="Arial" w:hAnsi="Arial" w:cs="Arial"/>
          <w:i/>
          <w:iCs/>
          <w:sz w:val="24"/>
          <w:szCs w:val="24"/>
        </w:rPr>
      </w:pPr>
      <w:r w:rsidRPr="00B550F3">
        <w:rPr>
          <w:rFonts w:ascii="Arial" w:hAnsi="Arial" w:cs="Arial"/>
          <w:i/>
          <w:iCs/>
          <w:sz w:val="24"/>
          <w:szCs w:val="24"/>
        </w:rPr>
        <w:t>Civil Law (Sale of Residential Property) Act 2003</w:t>
      </w:r>
    </w:p>
    <w:p w14:paraId="17905107" w14:textId="77777777" w:rsidR="00B550F3" w:rsidRDefault="00B550F3" w:rsidP="00B550F3">
      <w:pPr>
        <w:pStyle w:val="ListParagraph"/>
        <w:numPr>
          <w:ilvl w:val="0"/>
          <w:numId w:val="2"/>
        </w:numPr>
        <w:rPr>
          <w:rFonts w:ascii="Arial" w:hAnsi="Arial" w:cs="Arial"/>
          <w:i/>
          <w:iCs/>
          <w:sz w:val="24"/>
          <w:szCs w:val="24"/>
        </w:rPr>
      </w:pPr>
      <w:r w:rsidRPr="00B550F3">
        <w:rPr>
          <w:rFonts w:ascii="Arial" w:hAnsi="Arial" w:cs="Arial"/>
          <w:i/>
          <w:iCs/>
          <w:sz w:val="24"/>
          <w:szCs w:val="24"/>
        </w:rPr>
        <w:t>Planning and Development Act 2007</w:t>
      </w:r>
    </w:p>
    <w:p w14:paraId="74B93B37" w14:textId="62D81AFD" w:rsidR="00B550F3" w:rsidRPr="00B550F3" w:rsidRDefault="00B550F3" w:rsidP="00B550F3">
      <w:pPr>
        <w:pStyle w:val="ListParagraph"/>
        <w:numPr>
          <w:ilvl w:val="0"/>
          <w:numId w:val="2"/>
        </w:numPr>
        <w:rPr>
          <w:rFonts w:ascii="Arial" w:hAnsi="Arial" w:cs="Arial"/>
          <w:i/>
          <w:iCs/>
          <w:sz w:val="24"/>
          <w:szCs w:val="24"/>
        </w:rPr>
      </w:pPr>
      <w:r w:rsidRPr="00B550F3">
        <w:rPr>
          <w:rFonts w:ascii="Arial" w:hAnsi="Arial" w:cs="Arial"/>
          <w:i/>
          <w:iCs/>
          <w:sz w:val="24"/>
          <w:szCs w:val="24"/>
        </w:rPr>
        <w:t>Unit Titles (Management) Act 2011.</w:t>
      </w:r>
    </w:p>
    <w:p w14:paraId="2385B5A1" w14:textId="71365A3F" w:rsidR="00AC6320" w:rsidRPr="00516145" w:rsidRDefault="00AC6320" w:rsidP="00AC6320">
      <w:pPr>
        <w:rPr>
          <w:rFonts w:ascii="Arial" w:hAnsi="Arial" w:cs="Arial"/>
          <w:sz w:val="24"/>
          <w:szCs w:val="24"/>
        </w:rPr>
      </w:pPr>
      <w:r w:rsidRPr="00516145">
        <w:rPr>
          <w:rFonts w:ascii="Arial" w:hAnsi="Arial" w:cs="Arial"/>
          <w:sz w:val="24"/>
          <w:szCs w:val="24"/>
        </w:rPr>
        <w:t>The amendments relate to unit title and community concessional lease provisions in the relevant legislation.</w:t>
      </w:r>
    </w:p>
    <w:p w14:paraId="0EC8D43E" w14:textId="49C27F82" w:rsidR="00AC6320" w:rsidRPr="00516145" w:rsidRDefault="00AC6320" w:rsidP="00AC6320">
      <w:pPr>
        <w:rPr>
          <w:rFonts w:ascii="Arial" w:hAnsi="Arial" w:cs="Arial"/>
          <w:b/>
          <w:bCs/>
          <w:sz w:val="24"/>
          <w:szCs w:val="24"/>
        </w:rPr>
      </w:pPr>
      <w:r w:rsidRPr="00516145">
        <w:rPr>
          <w:rFonts w:ascii="Arial" w:hAnsi="Arial" w:cs="Arial"/>
          <w:b/>
          <w:bCs/>
          <w:sz w:val="24"/>
          <w:szCs w:val="24"/>
        </w:rPr>
        <w:t>CONSULTATION ON THE PROPOSED APPROACH</w:t>
      </w:r>
    </w:p>
    <w:p w14:paraId="51BAF1D7" w14:textId="77777777" w:rsidR="00724F81" w:rsidRPr="00516145" w:rsidRDefault="00AC6320" w:rsidP="00AC6320">
      <w:pPr>
        <w:rPr>
          <w:rFonts w:ascii="Arial" w:hAnsi="Arial" w:cs="Arial"/>
          <w:sz w:val="24"/>
          <w:szCs w:val="24"/>
        </w:rPr>
      </w:pPr>
      <w:r w:rsidRPr="00516145">
        <w:rPr>
          <w:rFonts w:ascii="Arial" w:hAnsi="Arial" w:cs="Arial"/>
          <w:sz w:val="24"/>
          <w:szCs w:val="24"/>
        </w:rPr>
        <w:t xml:space="preserve">As the Bill is an </w:t>
      </w:r>
      <w:r w:rsidR="00724F81" w:rsidRPr="00516145">
        <w:rPr>
          <w:rFonts w:ascii="Arial" w:hAnsi="Arial" w:cs="Arial"/>
          <w:sz w:val="24"/>
          <w:szCs w:val="24"/>
        </w:rPr>
        <w:t>omnibus bill designed to make minor and technical changes to various pieces of legislation, consultation on the Bill was conducted internally with ACT Government Directorates, including the Legislation, Policy and Programs and Human Rights and Social Policy divisions at the Justice and Community Safety Directorate.</w:t>
      </w:r>
    </w:p>
    <w:p w14:paraId="45A27E82" w14:textId="1DBE7F7C" w:rsidR="00AC6320" w:rsidRPr="00516145" w:rsidRDefault="00724F81" w:rsidP="00AC6320">
      <w:pPr>
        <w:rPr>
          <w:rFonts w:ascii="Arial" w:hAnsi="Arial" w:cs="Arial"/>
          <w:sz w:val="24"/>
          <w:szCs w:val="24"/>
        </w:rPr>
      </w:pPr>
      <w:r w:rsidRPr="00516145">
        <w:rPr>
          <w:rFonts w:ascii="Arial" w:hAnsi="Arial" w:cs="Arial"/>
          <w:sz w:val="24"/>
          <w:szCs w:val="24"/>
        </w:rPr>
        <w:lastRenderedPageBreak/>
        <w:t xml:space="preserve">The ACT Unit Title Reform Consultative Group, which is comprised of industry and community representatives, was </w:t>
      </w:r>
      <w:r w:rsidR="006073C9">
        <w:rPr>
          <w:rFonts w:ascii="Arial" w:hAnsi="Arial" w:cs="Arial"/>
          <w:sz w:val="24"/>
          <w:szCs w:val="24"/>
        </w:rPr>
        <w:t>consulted on</w:t>
      </w:r>
      <w:r w:rsidRPr="00516145">
        <w:rPr>
          <w:rFonts w:ascii="Arial" w:hAnsi="Arial" w:cs="Arial"/>
          <w:sz w:val="24"/>
          <w:szCs w:val="24"/>
        </w:rPr>
        <w:t xml:space="preserve"> the proposed amendments to unit title</w:t>
      </w:r>
      <w:r w:rsidR="006073C9">
        <w:rPr>
          <w:rFonts w:ascii="Arial" w:hAnsi="Arial" w:cs="Arial"/>
          <w:sz w:val="24"/>
          <w:szCs w:val="24"/>
        </w:rPr>
        <w:t>s</w:t>
      </w:r>
      <w:r w:rsidRPr="00516145">
        <w:rPr>
          <w:rFonts w:ascii="Arial" w:hAnsi="Arial" w:cs="Arial"/>
          <w:sz w:val="24"/>
          <w:szCs w:val="24"/>
        </w:rPr>
        <w:t xml:space="preserve"> legislation. </w:t>
      </w:r>
    </w:p>
    <w:p w14:paraId="2252EC93" w14:textId="36D7314A" w:rsidR="00724F81" w:rsidRPr="00516145" w:rsidRDefault="00724F81" w:rsidP="00AC6320">
      <w:pPr>
        <w:rPr>
          <w:rFonts w:ascii="Arial" w:hAnsi="Arial" w:cs="Arial"/>
          <w:b/>
          <w:bCs/>
          <w:sz w:val="24"/>
          <w:szCs w:val="24"/>
        </w:rPr>
      </w:pPr>
      <w:r w:rsidRPr="00516145">
        <w:rPr>
          <w:rFonts w:ascii="Arial" w:hAnsi="Arial" w:cs="Arial"/>
          <w:b/>
          <w:bCs/>
          <w:sz w:val="24"/>
          <w:szCs w:val="24"/>
        </w:rPr>
        <w:t>CONSISTENCY WITH HUMAN RIGHTS</w:t>
      </w:r>
    </w:p>
    <w:p w14:paraId="788AAFB5" w14:textId="0B3B1238" w:rsidR="00724F81" w:rsidRPr="00516145" w:rsidRDefault="004E48D6" w:rsidP="00AC6320">
      <w:pPr>
        <w:rPr>
          <w:rFonts w:ascii="Arial" w:hAnsi="Arial" w:cs="Arial"/>
          <w:b/>
          <w:bCs/>
          <w:sz w:val="24"/>
          <w:szCs w:val="24"/>
        </w:rPr>
      </w:pPr>
      <w:r w:rsidRPr="00516145">
        <w:rPr>
          <w:rFonts w:ascii="Arial" w:hAnsi="Arial" w:cs="Arial"/>
          <w:b/>
          <w:bCs/>
          <w:sz w:val="24"/>
          <w:szCs w:val="24"/>
        </w:rPr>
        <w:t>Rights engaged</w:t>
      </w:r>
    </w:p>
    <w:p w14:paraId="172D1362" w14:textId="18926569" w:rsidR="00403298" w:rsidRPr="00516145" w:rsidRDefault="00917E42" w:rsidP="00CB4FF3">
      <w:pPr>
        <w:rPr>
          <w:rFonts w:ascii="Arial" w:hAnsi="Arial" w:cs="Arial"/>
          <w:sz w:val="24"/>
          <w:szCs w:val="24"/>
        </w:rPr>
      </w:pPr>
      <w:r w:rsidRPr="00516145">
        <w:rPr>
          <w:rFonts w:ascii="Arial" w:hAnsi="Arial" w:cs="Arial"/>
          <w:sz w:val="24"/>
          <w:szCs w:val="24"/>
        </w:rPr>
        <w:t xml:space="preserve">The Bill may </w:t>
      </w:r>
      <w:r w:rsidR="00DB53B1">
        <w:rPr>
          <w:rFonts w:ascii="Arial" w:hAnsi="Arial" w:cs="Arial"/>
          <w:sz w:val="24"/>
          <w:szCs w:val="24"/>
        </w:rPr>
        <w:t xml:space="preserve">be considered to </w:t>
      </w:r>
      <w:r w:rsidRPr="00516145">
        <w:rPr>
          <w:rFonts w:ascii="Arial" w:hAnsi="Arial" w:cs="Arial"/>
          <w:sz w:val="24"/>
          <w:szCs w:val="24"/>
        </w:rPr>
        <w:t>engage the right to taking part in public life in section</w:t>
      </w:r>
      <w:r w:rsidR="00B550F3">
        <w:rPr>
          <w:rFonts w:ascii="Arial" w:hAnsi="Arial" w:cs="Arial"/>
          <w:sz w:val="24"/>
          <w:szCs w:val="24"/>
        </w:rPr>
        <w:t> </w:t>
      </w:r>
      <w:r w:rsidRPr="00516145">
        <w:rPr>
          <w:rFonts w:ascii="Arial" w:hAnsi="Arial" w:cs="Arial"/>
          <w:sz w:val="24"/>
          <w:szCs w:val="24"/>
        </w:rPr>
        <w:t xml:space="preserve">17 of the </w:t>
      </w:r>
      <w:r w:rsidRPr="00516145">
        <w:rPr>
          <w:rFonts w:ascii="Arial" w:hAnsi="Arial" w:cs="Arial"/>
          <w:i/>
          <w:iCs/>
          <w:sz w:val="24"/>
          <w:szCs w:val="24"/>
        </w:rPr>
        <w:t xml:space="preserve">Human Rights Act 2004 </w:t>
      </w:r>
      <w:r w:rsidRPr="00516145">
        <w:rPr>
          <w:rFonts w:ascii="Arial" w:hAnsi="Arial" w:cs="Arial"/>
          <w:sz w:val="24"/>
          <w:szCs w:val="24"/>
        </w:rPr>
        <w:t>(HRA)</w:t>
      </w:r>
      <w:r w:rsidRPr="00516145">
        <w:rPr>
          <w:rFonts w:ascii="Arial" w:hAnsi="Arial" w:cs="Arial"/>
          <w:i/>
          <w:iCs/>
          <w:sz w:val="24"/>
          <w:szCs w:val="24"/>
        </w:rPr>
        <w:t xml:space="preserve">. </w:t>
      </w:r>
    </w:p>
    <w:p w14:paraId="2D5BF89D" w14:textId="000B9C81" w:rsidR="00917E42" w:rsidRPr="00516145" w:rsidRDefault="00917E42" w:rsidP="00551D6A">
      <w:pPr>
        <w:pStyle w:val="ListParagraph"/>
        <w:numPr>
          <w:ilvl w:val="0"/>
          <w:numId w:val="3"/>
        </w:numPr>
        <w:rPr>
          <w:rFonts w:ascii="Arial" w:hAnsi="Arial" w:cs="Arial"/>
          <w:b/>
          <w:bCs/>
          <w:i/>
          <w:iCs/>
          <w:sz w:val="24"/>
          <w:szCs w:val="24"/>
        </w:rPr>
      </w:pPr>
      <w:r w:rsidRPr="00516145">
        <w:rPr>
          <w:rFonts w:ascii="Arial" w:hAnsi="Arial" w:cs="Arial"/>
          <w:b/>
          <w:bCs/>
          <w:i/>
          <w:iCs/>
          <w:sz w:val="24"/>
          <w:szCs w:val="24"/>
        </w:rPr>
        <w:t>Nature of the right and the limitation (s28(a) and (c))</w:t>
      </w:r>
    </w:p>
    <w:p w14:paraId="587FA2F4" w14:textId="0DFABE12" w:rsidR="00917E42" w:rsidRPr="00516145" w:rsidRDefault="00917E42" w:rsidP="00917E42">
      <w:pPr>
        <w:spacing w:after="0"/>
        <w:rPr>
          <w:rFonts w:ascii="Arial" w:hAnsi="Arial" w:cs="Arial"/>
          <w:sz w:val="24"/>
          <w:szCs w:val="24"/>
        </w:rPr>
      </w:pPr>
      <w:r w:rsidRPr="00516145">
        <w:rPr>
          <w:rFonts w:ascii="Arial" w:hAnsi="Arial" w:cs="Arial"/>
          <w:sz w:val="24"/>
          <w:szCs w:val="24"/>
        </w:rPr>
        <w:t>Section 17 of the HRA provides:</w:t>
      </w:r>
    </w:p>
    <w:p w14:paraId="3B2979E6" w14:textId="77777777" w:rsidR="00917E42" w:rsidRPr="00516145" w:rsidRDefault="00917E42" w:rsidP="00917E42">
      <w:pPr>
        <w:pStyle w:val="Amainreturn"/>
        <w:keepNext/>
        <w:spacing w:before="0"/>
        <w:ind w:left="0"/>
        <w:rPr>
          <w:rFonts w:ascii="Arial" w:hAnsi="Arial" w:cs="Arial"/>
          <w:szCs w:val="24"/>
        </w:rPr>
      </w:pPr>
      <w:r w:rsidRPr="00516145">
        <w:rPr>
          <w:rFonts w:ascii="Arial" w:hAnsi="Arial" w:cs="Arial"/>
          <w:szCs w:val="24"/>
        </w:rPr>
        <w:t>Every citizen has the right, and is to have the opportunity, to—</w:t>
      </w:r>
    </w:p>
    <w:p w14:paraId="41364B6A" w14:textId="77777777" w:rsidR="00917E42" w:rsidRPr="00516145" w:rsidRDefault="00917E42" w:rsidP="00917E42">
      <w:pPr>
        <w:pStyle w:val="Apara"/>
        <w:spacing w:before="0"/>
        <w:rPr>
          <w:rFonts w:ascii="Arial" w:hAnsi="Arial" w:cs="Arial"/>
          <w:szCs w:val="24"/>
        </w:rPr>
      </w:pPr>
      <w:r w:rsidRPr="00516145">
        <w:rPr>
          <w:rFonts w:ascii="Arial" w:hAnsi="Arial" w:cs="Arial"/>
          <w:szCs w:val="24"/>
        </w:rPr>
        <w:tab/>
        <w:t>(a)</w:t>
      </w:r>
      <w:r w:rsidRPr="00516145">
        <w:rPr>
          <w:rFonts w:ascii="Arial" w:hAnsi="Arial" w:cs="Arial"/>
          <w:szCs w:val="24"/>
        </w:rPr>
        <w:tab/>
        <w:t>take part in the conduct of public affairs, directly or through freely chosen representatives; and</w:t>
      </w:r>
    </w:p>
    <w:p w14:paraId="5AF7F9B2" w14:textId="77777777" w:rsidR="00917E42" w:rsidRPr="00516145" w:rsidRDefault="00917E42" w:rsidP="00917E42">
      <w:pPr>
        <w:pStyle w:val="Apara"/>
        <w:spacing w:before="0"/>
        <w:rPr>
          <w:rFonts w:ascii="Arial" w:hAnsi="Arial" w:cs="Arial"/>
          <w:szCs w:val="24"/>
        </w:rPr>
      </w:pPr>
      <w:r w:rsidRPr="00516145">
        <w:rPr>
          <w:rFonts w:ascii="Arial" w:hAnsi="Arial" w:cs="Arial"/>
          <w:szCs w:val="24"/>
        </w:rPr>
        <w:tab/>
        <w:t>(b)</w:t>
      </w:r>
      <w:r w:rsidRPr="00516145">
        <w:rPr>
          <w:rFonts w:ascii="Arial" w:hAnsi="Arial" w:cs="Arial"/>
          <w:szCs w:val="24"/>
        </w:rPr>
        <w:tab/>
        <w:t>vote and be elected at periodic elections, that guarantee the free expression of the will of the electors; and</w:t>
      </w:r>
    </w:p>
    <w:p w14:paraId="675A78C0" w14:textId="4A138641" w:rsidR="00917E42" w:rsidRPr="00516145" w:rsidRDefault="00917E42" w:rsidP="00917E42">
      <w:pPr>
        <w:pStyle w:val="Apara"/>
        <w:spacing w:before="0"/>
        <w:rPr>
          <w:rFonts w:ascii="Arial" w:hAnsi="Arial" w:cs="Arial"/>
          <w:szCs w:val="24"/>
        </w:rPr>
      </w:pPr>
      <w:r w:rsidRPr="00516145">
        <w:rPr>
          <w:rFonts w:ascii="Arial" w:hAnsi="Arial" w:cs="Arial"/>
          <w:szCs w:val="24"/>
        </w:rPr>
        <w:tab/>
        <w:t>(c)</w:t>
      </w:r>
      <w:r w:rsidRPr="00516145">
        <w:rPr>
          <w:rFonts w:ascii="Arial" w:hAnsi="Arial" w:cs="Arial"/>
          <w:szCs w:val="24"/>
        </w:rPr>
        <w:tab/>
        <w:t>have access, on general terms of equality, for appointment to the public service and public office.</w:t>
      </w:r>
    </w:p>
    <w:p w14:paraId="6A123989" w14:textId="77777777" w:rsidR="00917E42" w:rsidRPr="00516145" w:rsidRDefault="00917E42" w:rsidP="00917E42">
      <w:pPr>
        <w:pStyle w:val="Apara"/>
        <w:spacing w:before="0"/>
        <w:rPr>
          <w:rFonts w:ascii="Arial" w:hAnsi="Arial" w:cs="Arial"/>
          <w:szCs w:val="24"/>
        </w:rPr>
      </w:pPr>
    </w:p>
    <w:p w14:paraId="19644475" w14:textId="3902F466" w:rsidR="00516145" w:rsidRPr="00516145" w:rsidRDefault="00917E42" w:rsidP="00917E42">
      <w:pPr>
        <w:rPr>
          <w:rFonts w:ascii="Arial" w:hAnsi="Arial" w:cs="Arial"/>
          <w:sz w:val="24"/>
          <w:szCs w:val="24"/>
        </w:rPr>
      </w:pPr>
      <w:r w:rsidRPr="00B550F3">
        <w:rPr>
          <w:rFonts w:ascii="Arial" w:hAnsi="Arial" w:cs="Arial"/>
          <w:sz w:val="24"/>
          <w:szCs w:val="24"/>
        </w:rPr>
        <w:t>Clauses 1</w:t>
      </w:r>
      <w:r w:rsidR="00B550F3" w:rsidRPr="00B550F3">
        <w:rPr>
          <w:rFonts w:ascii="Arial" w:hAnsi="Arial" w:cs="Arial"/>
          <w:sz w:val="24"/>
          <w:szCs w:val="24"/>
        </w:rPr>
        <w:t>7</w:t>
      </w:r>
      <w:r w:rsidRPr="00B550F3">
        <w:rPr>
          <w:rFonts w:ascii="Arial" w:hAnsi="Arial" w:cs="Arial"/>
          <w:sz w:val="24"/>
          <w:szCs w:val="24"/>
        </w:rPr>
        <w:t xml:space="preserve"> and 1</w:t>
      </w:r>
      <w:r w:rsidR="00B550F3" w:rsidRPr="00B550F3">
        <w:rPr>
          <w:rFonts w:ascii="Arial" w:hAnsi="Arial" w:cs="Arial"/>
          <w:sz w:val="24"/>
          <w:szCs w:val="24"/>
        </w:rPr>
        <w:t>8</w:t>
      </w:r>
      <w:r w:rsidRPr="00B550F3">
        <w:rPr>
          <w:rFonts w:ascii="Arial" w:hAnsi="Arial" w:cs="Arial"/>
          <w:sz w:val="24"/>
          <w:szCs w:val="24"/>
        </w:rPr>
        <w:t>, amending</w:t>
      </w:r>
      <w:r w:rsidRPr="00516145">
        <w:rPr>
          <w:rFonts w:ascii="Arial" w:hAnsi="Arial" w:cs="Arial"/>
          <w:sz w:val="24"/>
          <w:szCs w:val="24"/>
        </w:rPr>
        <w:t xml:space="preserve"> section 3.26 of the </w:t>
      </w:r>
      <w:r w:rsidRPr="00516145">
        <w:rPr>
          <w:rFonts w:ascii="Arial" w:hAnsi="Arial" w:cs="Arial"/>
          <w:i/>
          <w:iCs/>
          <w:sz w:val="24"/>
          <w:szCs w:val="24"/>
        </w:rPr>
        <w:t xml:space="preserve">Unit Titles Management Act 2011 </w:t>
      </w:r>
      <w:r w:rsidRPr="00516145">
        <w:rPr>
          <w:rFonts w:ascii="Arial" w:hAnsi="Arial" w:cs="Arial"/>
          <w:sz w:val="24"/>
          <w:szCs w:val="24"/>
        </w:rPr>
        <w:t>(UTMA), could be perceived as being a limitation on this right. Providing that there is no limitation on the number of proxy votes the chairperson can hold and that excess proxy votes default to the chairperson, may be considered to interfere with the right of unit owners to freely express their will at owners corporation meetings</w:t>
      </w:r>
      <w:r w:rsidR="00422500" w:rsidRPr="00516145">
        <w:rPr>
          <w:rFonts w:ascii="Arial" w:hAnsi="Arial" w:cs="Arial"/>
          <w:sz w:val="24"/>
          <w:szCs w:val="24"/>
        </w:rPr>
        <w:t xml:space="preserve">; in being able to either directly express their voting preferences, or by way of a proxy that they have nominated. </w:t>
      </w:r>
    </w:p>
    <w:p w14:paraId="53740E8D" w14:textId="5B86B892" w:rsidR="00917E42" w:rsidRPr="00516145" w:rsidRDefault="00CC5A3E" w:rsidP="00917E42">
      <w:pPr>
        <w:rPr>
          <w:rFonts w:ascii="Arial" w:hAnsi="Arial" w:cs="Arial"/>
          <w:sz w:val="24"/>
          <w:szCs w:val="24"/>
        </w:rPr>
      </w:pPr>
      <w:r w:rsidRPr="00516145">
        <w:rPr>
          <w:rFonts w:ascii="Arial" w:hAnsi="Arial" w:cs="Arial"/>
          <w:sz w:val="24"/>
          <w:szCs w:val="24"/>
        </w:rPr>
        <w:t xml:space="preserve">A chairperson is however generally the chairperson of the </w:t>
      </w:r>
      <w:r w:rsidR="00DB53B1">
        <w:rPr>
          <w:rFonts w:ascii="Arial" w:hAnsi="Arial" w:cs="Arial"/>
          <w:sz w:val="24"/>
          <w:szCs w:val="24"/>
        </w:rPr>
        <w:t>e</w:t>
      </w:r>
      <w:r w:rsidRPr="00516145">
        <w:rPr>
          <w:rFonts w:ascii="Arial" w:hAnsi="Arial" w:cs="Arial"/>
          <w:sz w:val="24"/>
          <w:szCs w:val="24"/>
        </w:rPr>
        <w:t xml:space="preserve">xecutive </w:t>
      </w:r>
      <w:r w:rsidR="00DB53B1">
        <w:rPr>
          <w:rFonts w:ascii="Arial" w:hAnsi="Arial" w:cs="Arial"/>
          <w:sz w:val="24"/>
          <w:szCs w:val="24"/>
        </w:rPr>
        <w:t>c</w:t>
      </w:r>
      <w:r w:rsidRPr="00516145">
        <w:rPr>
          <w:rFonts w:ascii="Arial" w:hAnsi="Arial" w:cs="Arial"/>
          <w:sz w:val="24"/>
          <w:szCs w:val="24"/>
        </w:rPr>
        <w:t>ommittee, who not only has a casting vote on deadlocked matters</w:t>
      </w:r>
      <w:r w:rsidR="00516145" w:rsidRPr="00516145">
        <w:rPr>
          <w:rFonts w:ascii="Arial" w:hAnsi="Arial" w:cs="Arial"/>
          <w:sz w:val="24"/>
          <w:szCs w:val="24"/>
        </w:rPr>
        <w:t xml:space="preserve"> (section 3.30 UTMA)</w:t>
      </w:r>
      <w:r w:rsidRPr="00516145">
        <w:rPr>
          <w:rFonts w:ascii="Arial" w:hAnsi="Arial" w:cs="Arial"/>
          <w:sz w:val="24"/>
          <w:szCs w:val="24"/>
        </w:rPr>
        <w:t xml:space="preserve">, but </w:t>
      </w:r>
      <w:r w:rsidR="00516145" w:rsidRPr="00516145">
        <w:rPr>
          <w:rFonts w:ascii="Arial" w:hAnsi="Arial" w:cs="Arial"/>
          <w:sz w:val="24"/>
          <w:szCs w:val="24"/>
        </w:rPr>
        <w:t>as an executive member is</w:t>
      </w:r>
      <w:r w:rsidRPr="00516145">
        <w:rPr>
          <w:rFonts w:ascii="Arial" w:hAnsi="Arial" w:cs="Arial"/>
          <w:sz w:val="24"/>
          <w:szCs w:val="24"/>
        </w:rPr>
        <w:t xml:space="preserve"> also subject to a code of conduct </w:t>
      </w:r>
      <w:r w:rsidR="00516145" w:rsidRPr="00516145">
        <w:rPr>
          <w:rFonts w:ascii="Arial" w:hAnsi="Arial" w:cs="Arial"/>
          <w:sz w:val="24"/>
          <w:szCs w:val="24"/>
        </w:rPr>
        <w:t>(section 46 and schedule</w:t>
      </w:r>
      <w:r w:rsidR="00B550F3">
        <w:rPr>
          <w:rFonts w:ascii="Arial" w:hAnsi="Arial" w:cs="Arial"/>
          <w:sz w:val="24"/>
          <w:szCs w:val="24"/>
        </w:rPr>
        <w:t> </w:t>
      </w:r>
      <w:r w:rsidR="00516145" w:rsidRPr="00516145">
        <w:rPr>
          <w:rFonts w:ascii="Arial" w:hAnsi="Arial" w:cs="Arial"/>
          <w:sz w:val="24"/>
          <w:szCs w:val="24"/>
        </w:rPr>
        <w:t xml:space="preserve">1, part 1.1 UTMA) </w:t>
      </w:r>
      <w:r w:rsidRPr="00516145">
        <w:rPr>
          <w:rFonts w:ascii="Arial" w:hAnsi="Arial" w:cs="Arial"/>
          <w:sz w:val="24"/>
          <w:szCs w:val="24"/>
        </w:rPr>
        <w:t xml:space="preserve">and </w:t>
      </w:r>
      <w:r w:rsidR="00516145" w:rsidRPr="00516145">
        <w:rPr>
          <w:rFonts w:ascii="Arial" w:hAnsi="Arial" w:cs="Arial"/>
          <w:sz w:val="24"/>
          <w:szCs w:val="24"/>
        </w:rPr>
        <w:t>must</w:t>
      </w:r>
      <w:r w:rsidRPr="00516145">
        <w:rPr>
          <w:rFonts w:ascii="Arial" w:hAnsi="Arial" w:cs="Arial"/>
          <w:sz w:val="24"/>
          <w:szCs w:val="24"/>
        </w:rPr>
        <w:t xml:space="preserve"> act in the best interests of the owners corporation</w:t>
      </w:r>
      <w:r w:rsidR="00516145" w:rsidRPr="00516145">
        <w:rPr>
          <w:rFonts w:ascii="Arial" w:hAnsi="Arial" w:cs="Arial"/>
          <w:sz w:val="24"/>
          <w:szCs w:val="24"/>
        </w:rPr>
        <w:t xml:space="preserve"> (item 4, schedule 1, part 1.1 UTMA).</w:t>
      </w:r>
      <w:r w:rsidR="00DB53B1">
        <w:rPr>
          <w:rFonts w:ascii="Arial" w:hAnsi="Arial" w:cs="Arial"/>
          <w:sz w:val="24"/>
          <w:szCs w:val="24"/>
        </w:rPr>
        <w:t xml:space="preserve"> As such, it is unlikely that the chairperson would misuse his or her exemption from proxy voting restrictions to partake in voting behaviour which would lead to unfair outcomes for unit owners (such as “vote stacking”). </w:t>
      </w:r>
    </w:p>
    <w:p w14:paraId="3B48C219" w14:textId="26FC7D06" w:rsidR="00523FA2" w:rsidRPr="00516145" w:rsidRDefault="00523FA2" w:rsidP="00551D6A">
      <w:pPr>
        <w:pStyle w:val="ListParagraph"/>
        <w:numPr>
          <w:ilvl w:val="0"/>
          <w:numId w:val="3"/>
        </w:numPr>
        <w:rPr>
          <w:rFonts w:ascii="Arial" w:hAnsi="Arial" w:cs="Arial"/>
          <w:b/>
          <w:bCs/>
          <w:i/>
          <w:iCs/>
          <w:sz w:val="24"/>
          <w:szCs w:val="24"/>
        </w:rPr>
      </w:pPr>
      <w:r w:rsidRPr="00516145">
        <w:rPr>
          <w:rFonts w:ascii="Arial" w:hAnsi="Arial" w:cs="Arial"/>
          <w:b/>
          <w:bCs/>
          <w:i/>
          <w:iCs/>
          <w:sz w:val="24"/>
          <w:szCs w:val="24"/>
        </w:rPr>
        <w:t>Legitimate purpose (s28(b))</w:t>
      </w:r>
    </w:p>
    <w:p w14:paraId="1C18A45B" w14:textId="38EFD537" w:rsidR="00D1093F" w:rsidRPr="00D1093F" w:rsidRDefault="00D1093F" w:rsidP="00D1093F">
      <w:pPr>
        <w:rPr>
          <w:rFonts w:ascii="Arial" w:hAnsi="Arial" w:cs="Arial"/>
          <w:sz w:val="24"/>
          <w:szCs w:val="24"/>
        </w:rPr>
      </w:pPr>
      <w:r w:rsidRPr="00D1093F">
        <w:rPr>
          <w:rFonts w:ascii="Arial" w:hAnsi="Arial" w:cs="Arial"/>
          <w:sz w:val="24"/>
          <w:szCs w:val="24"/>
        </w:rPr>
        <w:t>The amendments in clauses 1</w:t>
      </w:r>
      <w:r w:rsidR="00B550F3">
        <w:rPr>
          <w:rFonts w:ascii="Arial" w:hAnsi="Arial" w:cs="Arial"/>
          <w:sz w:val="24"/>
          <w:szCs w:val="24"/>
        </w:rPr>
        <w:t>7</w:t>
      </w:r>
      <w:r w:rsidRPr="00D1093F">
        <w:rPr>
          <w:rFonts w:ascii="Arial" w:hAnsi="Arial" w:cs="Arial"/>
          <w:sz w:val="24"/>
          <w:szCs w:val="24"/>
        </w:rPr>
        <w:t xml:space="preserve"> and 1</w:t>
      </w:r>
      <w:r w:rsidR="00B550F3">
        <w:rPr>
          <w:rFonts w:ascii="Arial" w:hAnsi="Arial" w:cs="Arial"/>
          <w:sz w:val="24"/>
          <w:szCs w:val="24"/>
        </w:rPr>
        <w:t>8</w:t>
      </w:r>
      <w:r w:rsidRPr="00D1093F">
        <w:rPr>
          <w:rFonts w:ascii="Arial" w:hAnsi="Arial" w:cs="Arial"/>
          <w:sz w:val="24"/>
          <w:szCs w:val="24"/>
        </w:rPr>
        <w:t xml:space="preserve"> are intended to </w:t>
      </w:r>
      <w:r w:rsidR="00570BDA">
        <w:rPr>
          <w:rFonts w:ascii="Arial" w:hAnsi="Arial" w:cs="Arial"/>
          <w:sz w:val="24"/>
          <w:szCs w:val="24"/>
        </w:rPr>
        <w:t>make sure</w:t>
      </w:r>
      <w:r w:rsidRPr="00D1093F">
        <w:rPr>
          <w:rFonts w:ascii="Arial" w:hAnsi="Arial" w:cs="Arial"/>
          <w:sz w:val="24"/>
          <w:szCs w:val="24"/>
        </w:rPr>
        <w:t xml:space="preserve"> that voting at owners corporations meetings is fair and that all owners can cast a vote, while avoiding unfair behaviour such as ‘vote-stacking’. Specifically, it aims to avoid the situation where an owner is unfairly (and possibly unknowingly) unable to vote because the proxy they have nominated already holds the maximum number of proxy votes. </w:t>
      </w:r>
    </w:p>
    <w:p w14:paraId="7B4BA224" w14:textId="77777777" w:rsidR="00A11E2A" w:rsidRDefault="00A11E2A">
      <w:pPr>
        <w:rPr>
          <w:rFonts w:ascii="Arial" w:hAnsi="Arial" w:cs="Arial"/>
          <w:b/>
          <w:bCs/>
          <w:i/>
          <w:iCs/>
          <w:sz w:val="24"/>
          <w:szCs w:val="24"/>
        </w:rPr>
      </w:pPr>
      <w:r>
        <w:rPr>
          <w:rFonts w:ascii="Arial" w:hAnsi="Arial" w:cs="Arial"/>
          <w:b/>
          <w:bCs/>
          <w:i/>
          <w:iCs/>
          <w:sz w:val="24"/>
          <w:szCs w:val="24"/>
        </w:rPr>
        <w:br w:type="page"/>
      </w:r>
    </w:p>
    <w:p w14:paraId="3B06EA6A" w14:textId="337A70F1" w:rsidR="00422500" w:rsidRPr="00516145" w:rsidRDefault="00422500" w:rsidP="00551D6A">
      <w:pPr>
        <w:pStyle w:val="ListParagraph"/>
        <w:numPr>
          <w:ilvl w:val="0"/>
          <w:numId w:val="3"/>
        </w:numPr>
        <w:rPr>
          <w:rFonts w:ascii="Arial" w:hAnsi="Arial" w:cs="Arial"/>
          <w:b/>
          <w:bCs/>
          <w:i/>
          <w:iCs/>
          <w:sz w:val="24"/>
          <w:szCs w:val="24"/>
        </w:rPr>
      </w:pPr>
      <w:r w:rsidRPr="00516145">
        <w:rPr>
          <w:rFonts w:ascii="Arial" w:hAnsi="Arial" w:cs="Arial"/>
          <w:b/>
          <w:bCs/>
          <w:i/>
          <w:iCs/>
          <w:sz w:val="24"/>
          <w:szCs w:val="24"/>
        </w:rPr>
        <w:lastRenderedPageBreak/>
        <w:t>Rational connection between the limitation and the purpose (s28(d))</w:t>
      </w:r>
    </w:p>
    <w:p w14:paraId="14477FF4" w14:textId="399CF885" w:rsidR="00422500" w:rsidRPr="00516145" w:rsidRDefault="00DB24B1" w:rsidP="00422500">
      <w:pPr>
        <w:rPr>
          <w:rFonts w:ascii="Arial" w:hAnsi="Arial" w:cs="Arial"/>
          <w:sz w:val="24"/>
          <w:szCs w:val="24"/>
        </w:rPr>
      </w:pPr>
      <w:r w:rsidRPr="00516145">
        <w:rPr>
          <w:rFonts w:ascii="Arial" w:hAnsi="Arial" w:cs="Arial"/>
          <w:sz w:val="24"/>
          <w:szCs w:val="24"/>
        </w:rPr>
        <w:t>There is a clear connection between</w:t>
      </w:r>
      <w:r w:rsidR="00DB53B1">
        <w:rPr>
          <w:rFonts w:ascii="Arial" w:hAnsi="Arial" w:cs="Arial"/>
          <w:sz w:val="24"/>
          <w:szCs w:val="24"/>
        </w:rPr>
        <w:t>, on the one hand,</w:t>
      </w:r>
      <w:r w:rsidRPr="00516145">
        <w:rPr>
          <w:rFonts w:ascii="Arial" w:hAnsi="Arial" w:cs="Arial"/>
          <w:sz w:val="24"/>
          <w:szCs w:val="24"/>
        </w:rPr>
        <w:t xml:space="preserve"> p</w:t>
      </w:r>
      <w:r w:rsidR="00422500" w:rsidRPr="00516145">
        <w:rPr>
          <w:rFonts w:ascii="Arial" w:hAnsi="Arial" w:cs="Arial"/>
          <w:sz w:val="24"/>
          <w:szCs w:val="24"/>
        </w:rPr>
        <w:t>roviding that excess proxy votes default to the chairperson</w:t>
      </w:r>
      <w:r w:rsidRPr="00516145">
        <w:rPr>
          <w:rFonts w:ascii="Arial" w:hAnsi="Arial" w:cs="Arial"/>
          <w:sz w:val="24"/>
          <w:szCs w:val="24"/>
        </w:rPr>
        <w:t xml:space="preserve"> and</w:t>
      </w:r>
      <w:r w:rsidR="00DB53B1">
        <w:rPr>
          <w:rFonts w:ascii="Arial" w:hAnsi="Arial" w:cs="Arial"/>
          <w:sz w:val="24"/>
          <w:szCs w:val="24"/>
        </w:rPr>
        <w:t xml:space="preserve"> exempting the chairperson from restrictions on the number </w:t>
      </w:r>
      <w:r w:rsidR="00422500" w:rsidRPr="00516145">
        <w:rPr>
          <w:rFonts w:ascii="Arial" w:hAnsi="Arial" w:cs="Arial"/>
          <w:sz w:val="24"/>
          <w:szCs w:val="24"/>
        </w:rPr>
        <w:t>of</w:t>
      </w:r>
      <w:r w:rsidR="00DB53B1">
        <w:rPr>
          <w:rFonts w:ascii="Arial" w:hAnsi="Arial" w:cs="Arial"/>
          <w:sz w:val="24"/>
          <w:szCs w:val="24"/>
        </w:rPr>
        <w:t xml:space="preserve"> proxy</w:t>
      </w:r>
      <w:r w:rsidR="00422500" w:rsidRPr="00516145">
        <w:rPr>
          <w:rFonts w:ascii="Arial" w:hAnsi="Arial" w:cs="Arial"/>
          <w:sz w:val="24"/>
          <w:szCs w:val="24"/>
        </w:rPr>
        <w:t xml:space="preserve"> votes </w:t>
      </w:r>
      <w:r w:rsidR="00DB53B1">
        <w:rPr>
          <w:rFonts w:ascii="Arial" w:hAnsi="Arial" w:cs="Arial"/>
          <w:sz w:val="24"/>
          <w:szCs w:val="24"/>
        </w:rPr>
        <w:t>that can be held</w:t>
      </w:r>
      <w:r w:rsidRPr="00516145">
        <w:rPr>
          <w:rFonts w:ascii="Arial" w:hAnsi="Arial" w:cs="Arial"/>
          <w:sz w:val="24"/>
          <w:szCs w:val="24"/>
        </w:rPr>
        <w:t>, and</w:t>
      </w:r>
      <w:r w:rsidR="00DB53B1">
        <w:rPr>
          <w:rFonts w:ascii="Arial" w:hAnsi="Arial" w:cs="Arial"/>
          <w:sz w:val="24"/>
          <w:szCs w:val="24"/>
        </w:rPr>
        <w:t>, on the other hand, ensuring all units owners are able to vote, and</w:t>
      </w:r>
      <w:r w:rsidRPr="00516145">
        <w:rPr>
          <w:rFonts w:ascii="Arial" w:hAnsi="Arial" w:cs="Arial"/>
          <w:sz w:val="24"/>
          <w:szCs w:val="24"/>
        </w:rPr>
        <w:t xml:space="preserve"> facilitating the efficient and effective running of meetings</w:t>
      </w:r>
      <w:r w:rsidR="00DB53B1">
        <w:rPr>
          <w:rFonts w:ascii="Arial" w:hAnsi="Arial" w:cs="Arial"/>
          <w:sz w:val="24"/>
          <w:szCs w:val="24"/>
        </w:rPr>
        <w:t>.</w:t>
      </w:r>
      <w:r w:rsidRPr="00516145">
        <w:rPr>
          <w:rFonts w:ascii="Arial" w:hAnsi="Arial" w:cs="Arial"/>
          <w:sz w:val="24"/>
          <w:szCs w:val="24"/>
        </w:rPr>
        <w:t xml:space="preserve"> </w:t>
      </w:r>
    </w:p>
    <w:p w14:paraId="093D2BAC" w14:textId="429AD4C1" w:rsidR="00DB24B1" w:rsidRPr="00516145" w:rsidRDefault="00DB24B1" w:rsidP="00551D6A">
      <w:pPr>
        <w:pStyle w:val="ListParagraph"/>
        <w:numPr>
          <w:ilvl w:val="0"/>
          <w:numId w:val="3"/>
        </w:numPr>
        <w:rPr>
          <w:rFonts w:ascii="Arial" w:hAnsi="Arial" w:cs="Arial"/>
          <w:b/>
          <w:bCs/>
          <w:i/>
          <w:iCs/>
          <w:sz w:val="24"/>
          <w:szCs w:val="24"/>
        </w:rPr>
      </w:pPr>
      <w:r w:rsidRPr="00516145">
        <w:rPr>
          <w:rFonts w:ascii="Arial" w:hAnsi="Arial" w:cs="Arial"/>
          <w:b/>
          <w:bCs/>
          <w:i/>
          <w:iCs/>
          <w:sz w:val="24"/>
          <w:szCs w:val="24"/>
        </w:rPr>
        <w:t>Proportionality</w:t>
      </w:r>
    </w:p>
    <w:p w14:paraId="6C843041" w14:textId="56F173E0" w:rsidR="00B550F3" w:rsidRDefault="00D1093F" w:rsidP="00D1093F">
      <w:pPr>
        <w:rPr>
          <w:rFonts w:ascii="Arial" w:hAnsi="Arial" w:cs="Arial"/>
          <w:sz w:val="24"/>
          <w:szCs w:val="24"/>
        </w:rPr>
      </w:pPr>
      <w:r w:rsidRPr="00D1093F">
        <w:rPr>
          <w:rFonts w:ascii="Arial" w:hAnsi="Arial" w:cs="Arial"/>
          <w:sz w:val="24"/>
          <w:szCs w:val="24"/>
        </w:rPr>
        <w:t>The amendments in clauses 1</w:t>
      </w:r>
      <w:r w:rsidR="00B550F3">
        <w:rPr>
          <w:rFonts w:ascii="Arial" w:hAnsi="Arial" w:cs="Arial"/>
          <w:sz w:val="24"/>
          <w:szCs w:val="24"/>
        </w:rPr>
        <w:t>7</w:t>
      </w:r>
      <w:r w:rsidRPr="00D1093F">
        <w:rPr>
          <w:rFonts w:ascii="Arial" w:hAnsi="Arial" w:cs="Arial"/>
          <w:sz w:val="24"/>
          <w:szCs w:val="24"/>
        </w:rPr>
        <w:t xml:space="preserve"> and 1</w:t>
      </w:r>
      <w:r w:rsidR="00B550F3">
        <w:rPr>
          <w:rFonts w:ascii="Arial" w:hAnsi="Arial" w:cs="Arial"/>
          <w:sz w:val="24"/>
          <w:szCs w:val="24"/>
        </w:rPr>
        <w:t>8</w:t>
      </w:r>
      <w:r w:rsidRPr="00D1093F">
        <w:rPr>
          <w:rFonts w:ascii="Arial" w:hAnsi="Arial" w:cs="Arial"/>
          <w:sz w:val="24"/>
          <w:szCs w:val="24"/>
        </w:rPr>
        <w:t xml:space="preserve"> are considered to be a reasonable and proportionate response to the limitations on proxy voting in section 3.26(4) of the UTMA. To the extent section 17 may be engaged, any limitation on the rights under section 17 is minimal, as while a person may be unable to use a proxy they have nominated because their proxy already holds the maximum number of proxy votes, allowing their proxy to default to the chairperson </w:t>
      </w:r>
      <w:r w:rsidR="00570BDA">
        <w:rPr>
          <w:rFonts w:ascii="Arial" w:hAnsi="Arial" w:cs="Arial"/>
          <w:sz w:val="24"/>
          <w:szCs w:val="24"/>
        </w:rPr>
        <w:t>ensures</w:t>
      </w:r>
      <w:r w:rsidRPr="00D1093F">
        <w:rPr>
          <w:rFonts w:ascii="Arial" w:hAnsi="Arial" w:cs="Arial"/>
          <w:sz w:val="24"/>
          <w:szCs w:val="24"/>
        </w:rPr>
        <w:t xml:space="preserve"> that they will be able to express a vote. </w:t>
      </w:r>
    </w:p>
    <w:p w14:paraId="578FF901" w14:textId="657F1B88" w:rsidR="00D1093F" w:rsidRPr="00D1093F" w:rsidRDefault="00D1093F" w:rsidP="00D1093F">
      <w:pPr>
        <w:rPr>
          <w:rFonts w:ascii="Arial" w:hAnsi="Arial" w:cs="Arial"/>
          <w:sz w:val="24"/>
          <w:szCs w:val="24"/>
        </w:rPr>
      </w:pPr>
      <w:r w:rsidRPr="00D1093F">
        <w:rPr>
          <w:rFonts w:ascii="Arial" w:hAnsi="Arial" w:cs="Arial"/>
          <w:sz w:val="24"/>
          <w:szCs w:val="24"/>
        </w:rPr>
        <w:t xml:space="preserve">There is a safeguard to prevent the chairperson engaging in unfair voting behaviour as the chairperson is subject to requirements to act in the best interests of the owners corporation. This is considered to be the least rights restrictive way of having a proxy voting system that is fair and that does not facilitate potentially unfair voting behaviour such as </w:t>
      </w:r>
      <w:r w:rsidR="006A0F6D">
        <w:rPr>
          <w:rFonts w:ascii="Arial" w:hAnsi="Arial" w:cs="Arial"/>
          <w:sz w:val="24"/>
          <w:szCs w:val="24"/>
        </w:rPr>
        <w:t>“</w:t>
      </w:r>
      <w:r w:rsidRPr="00D1093F">
        <w:rPr>
          <w:rFonts w:ascii="Arial" w:hAnsi="Arial" w:cs="Arial"/>
          <w:sz w:val="24"/>
          <w:szCs w:val="24"/>
        </w:rPr>
        <w:t>vote-stacking</w:t>
      </w:r>
      <w:r w:rsidR="006A0F6D">
        <w:rPr>
          <w:rFonts w:ascii="Arial" w:hAnsi="Arial" w:cs="Arial"/>
          <w:sz w:val="24"/>
          <w:szCs w:val="24"/>
        </w:rPr>
        <w:t>”</w:t>
      </w:r>
      <w:r w:rsidRPr="00D1093F">
        <w:rPr>
          <w:rFonts w:ascii="Arial" w:hAnsi="Arial" w:cs="Arial"/>
          <w:sz w:val="24"/>
          <w:szCs w:val="24"/>
        </w:rPr>
        <w:t xml:space="preserve">, which section 3.26(4) is intended to prevent. </w:t>
      </w:r>
    </w:p>
    <w:p w14:paraId="15427A21" w14:textId="77777777" w:rsidR="00516145" w:rsidRPr="00516145" w:rsidRDefault="00516145" w:rsidP="00DB24B1">
      <w:pPr>
        <w:rPr>
          <w:rFonts w:ascii="Arial" w:hAnsi="Arial" w:cs="Arial"/>
          <w:sz w:val="24"/>
          <w:szCs w:val="24"/>
        </w:rPr>
      </w:pPr>
    </w:p>
    <w:p w14:paraId="09750015" w14:textId="263C15EA" w:rsidR="00DB24B1" w:rsidRPr="00516145" w:rsidRDefault="00DB24B1" w:rsidP="00DB24B1">
      <w:pPr>
        <w:rPr>
          <w:rFonts w:ascii="Arial" w:hAnsi="Arial" w:cs="Arial"/>
          <w:sz w:val="24"/>
          <w:szCs w:val="24"/>
        </w:rPr>
      </w:pPr>
    </w:p>
    <w:p w14:paraId="66DC8117" w14:textId="3451485E" w:rsidR="00516145" w:rsidRPr="00516145" w:rsidRDefault="00516145" w:rsidP="00DB24B1">
      <w:pPr>
        <w:rPr>
          <w:rFonts w:ascii="Arial" w:hAnsi="Arial" w:cs="Arial"/>
          <w:sz w:val="24"/>
          <w:szCs w:val="24"/>
        </w:rPr>
      </w:pPr>
    </w:p>
    <w:p w14:paraId="2D51FF0A" w14:textId="3DB1E1A6" w:rsidR="00516145" w:rsidRPr="00516145" w:rsidRDefault="00516145" w:rsidP="00DB24B1">
      <w:pPr>
        <w:rPr>
          <w:rFonts w:ascii="Arial" w:hAnsi="Arial" w:cs="Arial"/>
          <w:sz w:val="24"/>
          <w:szCs w:val="24"/>
        </w:rPr>
      </w:pPr>
    </w:p>
    <w:p w14:paraId="6C2A6DED" w14:textId="32C80805" w:rsidR="00516145" w:rsidRPr="00516145" w:rsidRDefault="00516145" w:rsidP="00DB24B1">
      <w:pPr>
        <w:rPr>
          <w:rFonts w:ascii="Arial" w:hAnsi="Arial" w:cs="Arial"/>
          <w:sz w:val="24"/>
          <w:szCs w:val="24"/>
        </w:rPr>
      </w:pPr>
    </w:p>
    <w:p w14:paraId="3EE88973" w14:textId="79EDCE40" w:rsidR="00516145" w:rsidRPr="00516145" w:rsidRDefault="00516145" w:rsidP="00DB24B1">
      <w:pPr>
        <w:rPr>
          <w:rFonts w:ascii="Arial" w:hAnsi="Arial" w:cs="Arial"/>
          <w:sz w:val="24"/>
          <w:szCs w:val="24"/>
        </w:rPr>
      </w:pPr>
    </w:p>
    <w:p w14:paraId="330E6669" w14:textId="4A7B990B" w:rsidR="00516145" w:rsidRPr="00516145" w:rsidRDefault="00516145" w:rsidP="00DB24B1">
      <w:pPr>
        <w:rPr>
          <w:rFonts w:ascii="Arial" w:hAnsi="Arial" w:cs="Arial"/>
          <w:sz w:val="24"/>
          <w:szCs w:val="24"/>
        </w:rPr>
      </w:pPr>
    </w:p>
    <w:p w14:paraId="02AB1F1B" w14:textId="79D4F5B1" w:rsidR="00516145" w:rsidRPr="00516145" w:rsidRDefault="00516145" w:rsidP="00DB24B1">
      <w:pPr>
        <w:rPr>
          <w:rFonts w:ascii="Arial" w:hAnsi="Arial" w:cs="Arial"/>
          <w:sz w:val="24"/>
          <w:szCs w:val="24"/>
        </w:rPr>
      </w:pPr>
    </w:p>
    <w:p w14:paraId="79E291EB" w14:textId="0404D6A4" w:rsidR="00516145" w:rsidRPr="00516145" w:rsidRDefault="00516145" w:rsidP="00DB24B1">
      <w:pPr>
        <w:rPr>
          <w:rFonts w:ascii="Arial" w:hAnsi="Arial" w:cs="Arial"/>
          <w:sz w:val="24"/>
          <w:szCs w:val="24"/>
        </w:rPr>
      </w:pPr>
    </w:p>
    <w:p w14:paraId="48AB0534" w14:textId="63F37B7F" w:rsidR="00516145" w:rsidRPr="00516145" w:rsidRDefault="00516145" w:rsidP="00DB24B1">
      <w:pPr>
        <w:rPr>
          <w:rFonts w:ascii="Arial" w:hAnsi="Arial" w:cs="Arial"/>
          <w:sz w:val="24"/>
          <w:szCs w:val="24"/>
        </w:rPr>
      </w:pPr>
    </w:p>
    <w:p w14:paraId="0ED5AEA7" w14:textId="3699E548" w:rsidR="00516145" w:rsidRPr="00516145" w:rsidRDefault="00516145" w:rsidP="00DB24B1">
      <w:pPr>
        <w:rPr>
          <w:rFonts w:ascii="Arial" w:hAnsi="Arial" w:cs="Arial"/>
          <w:sz w:val="24"/>
          <w:szCs w:val="24"/>
        </w:rPr>
      </w:pPr>
    </w:p>
    <w:p w14:paraId="48FDBFDE" w14:textId="49B670C7" w:rsidR="00516145" w:rsidRPr="00516145" w:rsidRDefault="00516145" w:rsidP="00DB24B1">
      <w:pPr>
        <w:rPr>
          <w:rFonts w:ascii="Arial" w:hAnsi="Arial" w:cs="Arial"/>
          <w:sz w:val="24"/>
          <w:szCs w:val="24"/>
        </w:rPr>
      </w:pPr>
    </w:p>
    <w:p w14:paraId="771166EB" w14:textId="71A64366" w:rsidR="00516145" w:rsidRPr="00516145" w:rsidRDefault="00516145" w:rsidP="00DB24B1">
      <w:pPr>
        <w:rPr>
          <w:rFonts w:ascii="Arial" w:hAnsi="Arial" w:cs="Arial"/>
          <w:sz w:val="24"/>
          <w:szCs w:val="24"/>
        </w:rPr>
      </w:pPr>
    </w:p>
    <w:p w14:paraId="12748DFA" w14:textId="1C777548" w:rsidR="00516145" w:rsidRPr="00516145" w:rsidRDefault="00516145" w:rsidP="00DB24B1">
      <w:pPr>
        <w:rPr>
          <w:rFonts w:ascii="Arial" w:hAnsi="Arial" w:cs="Arial"/>
          <w:sz w:val="24"/>
          <w:szCs w:val="24"/>
        </w:rPr>
      </w:pPr>
    </w:p>
    <w:p w14:paraId="2DDB0D3F" w14:textId="4797E54E" w:rsidR="00516145" w:rsidRPr="00516145" w:rsidRDefault="00516145" w:rsidP="00DB24B1">
      <w:pPr>
        <w:rPr>
          <w:rFonts w:ascii="Arial" w:hAnsi="Arial" w:cs="Arial"/>
          <w:sz w:val="24"/>
          <w:szCs w:val="24"/>
        </w:rPr>
      </w:pPr>
    </w:p>
    <w:p w14:paraId="2944BCC0" w14:textId="4D09DC4E" w:rsidR="00516145" w:rsidRPr="00516145" w:rsidRDefault="00516145" w:rsidP="00DB24B1">
      <w:pPr>
        <w:rPr>
          <w:rFonts w:ascii="Arial" w:hAnsi="Arial" w:cs="Arial"/>
          <w:sz w:val="24"/>
          <w:szCs w:val="24"/>
        </w:rPr>
      </w:pPr>
    </w:p>
    <w:p w14:paraId="303C083F" w14:textId="0A15234B" w:rsidR="00516145" w:rsidRPr="00516145" w:rsidRDefault="00516145" w:rsidP="00DB24B1">
      <w:pPr>
        <w:rPr>
          <w:rFonts w:ascii="Arial" w:hAnsi="Arial" w:cs="Arial"/>
          <w:sz w:val="24"/>
          <w:szCs w:val="24"/>
        </w:rPr>
      </w:pPr>
    </w:p>
    <w:p w14:paraId="31DE408A" w14:textId="22B2A12C" w:rsidR="00516145" w:rsidRPr="00516145" w:rsidRDefault="00516145" w:rsidP="00516145">
      <w:pPr>
        <w:pStyle w:val="Heading2"/>
        <w:ind w:left="-108"/>
        <w:jc w:val="center"/>
        <w:rPr>
          <w:rFonts w:ascii="Arial" w:hAnsi="Arial" w:cs="Arial"/>
          <w:b w:val="0"/>
          <w:bCs/>
          <w:i/>
          <w:iCs/>
          <w:sz w:val="28"/>
          <w:szCs w:val="28"/>
        </w:rPr>
      </w:pPr>
      <w:r w:rsidRPr="00516145">
        <w:rPr>
          <w:rFonts w:ascii="Arial" w:hAnsi="Arial" w:cs="Arial"/>
          <w:b w:val="0"/>
          <w:sz w:val="28"/>
          <w:szCs w:val="28"/>
          <w:lang w:eastAsia="en-AU"/>
        </w:rPr>
        <w:t xml:space="preserve">Planning and </w:t>
      </w:r>
      <w:r w:rsidR="00A84B39">
        <w:rPr>
          <w:rFonts w:ascii="Arial" w:hAnsi="Arial" w:cs="Arial"/>
          <w:b w:val="0"/>
          <w:sz w:val="28"/>
          <w:szCs w:val="28"/>
          <w:lang w:eastAsia="en-AU"/>
        </w:rPr>
        <w:t>Unit Titles</w:t>
      </w:r>
      <w:r w:rsidRPr="00516145">
        <w:rPr>
          <w:rFonts w:ascii="Arial" w:hAnsi="Arial" w:cs="Arial"/>
          <w:b w:val="0"/>
          <w:sz w:val="28"/>
          <w:szCs w:val="28"/>
          <w:lang w:eastAsia="en-AU"/>
        </w:rPr>
        <w:t xml:space="preserve"> Legislation Amendment Bill </w:t>
      </w:r>
      <w:r>
        <w:rPr>
          <w:rFonts w:ascii="Arial" w:hAnsi="Arial" w:cs="Arial"/>
          <w:b w:val="0"/>
          <w:sz w:val="28"/>
          <w:szCs w:val="28"/>
          <w:lang w:eastAsia="en-AU"/>
        </w:rPr>
        <w:t>202</w:t>
      </w:r>
      <w:r w:rsidR="00BA0178">
        <w:rPr>
          <w:rFonts w:ascii="Arial" w:hAnsi="Arial" w:cs="Arial"/>
          <w:b w:val="0"/>
          <w:sz w:val="28"/>
          <w:szCs w:val="28"/>
          <w:lang w:eastAsia="en-AU"/>
        </w:rPr>
        <w:t>0</w:t>
      </w:r>
    </w:p>
    <w:p w14:paraId="365EAC8D" w14:textId="5DAD4B56" w:rsidR="00516145" w:rsidRPr="00516145" w:rsidRDefault="00DB53B1" w:rsidP="00DB53B1">
      <w:pPr>
        <w:pStyle w:val="Heading4"/>
        <w:numPr>
          <w:ilvl w:val="0"/>
          <w:numId w:val="0"/>
        </w:numPr>
        <w:jc w:val="center"/>
        <w:rPr>
          <w:rFonts w:ascii="Arial" w:hAnsi="Arial" w:cs="Arial"/>
          <w:sz w:val="24"/>
          <w:szCs w:val="24"/>
        </w:rPr>
      </w:pPr>
      <w:r>
        <w:rPr>
          <w:rFonts w:ascii="Arial" w:hAnsi="Arial" w:cs="Arial"/>
          <w:sz w:val="24"/>
          <w:szCs w:val="24"/>
        </w:rPr>
        <w:t>H</w:t>
      </w:r>
      <w:r w:rsidR="00516145" w:rsidRPr="00516145">
        <w:rPr>
          <w:rFonts w:ascii="Arial" w:hAnsi="Arial" w:cs="Arial"/>
          <w:sz w:val="24"/>
          <w:szCs w:val="24"/>
        </w:rPr>
        <w:t>uman Rights Act 2004 - Compatibility Statement</w:t>
      </w:r>
    </w:p>
    <w:p w14:paraId="690E5C76" w14:textId="77777777" w:rsidR="00516145" w:rsidRPr="00516145" w:rsidRDefault="00516145" w:rsidP="00516145">
      <w:pPr>
        <w:rPr>
          <w:rFonts w:ascii="Arial" w:hAnsi="Arial" w:cs="Arial"/>
        </w:rPr>
      </w:pPr>
    </w:p>
    <w:p w14:paraId="66FE0065" w14:textId="77777777" w:rsidR="00516145" w:rsidRPr="00516145" w:rsidRDefault="00516145" w:rsidP="00516145">
      <w:pPr>
        <w:rPr>
          <w:rFonts w:ascii="Arial" w:hAnsi="Arial" w:cs="Arial"/>
        </w:rPr>
      </w:pPr>
    </w:p>
    <w:p w14:paraId="39620140" w14:textId="0DBED8C4" w:rsidR="00516145" w:rsidRPr="00516145" w:rsidRDefault="00516145" w:rsidP="00516145">
      <w:pPr>
        <w:rPr>
          <w:rFonts w:ascii="Arial" w:hAnsi="Arial" w:cs="Arial"/>
        </w:rPr>
      </w:pPr>
      <w:r w:rsidRPr="00516145">
        <w:rPr>
          <w:rFonts w:ascii="Arial" w:hAnsi="Arial" w:cs="Arial"/>
        </w:rPr>
        <w:t xml:space="preserve">In accordance with section 37 of the </w:t>
      </w:r>
      <w:r w:rsidRPr="00516145">
        <w:rPr>
          <w:rFonts w:ascii="Arial" w:hAnsi="Arial" w:cs="Arial"/>
          <w:i/>
          <w:iCs/>
        </w:rPr>
        <w:t>Human Rights Act 2004</w:t>
      </w:r>
      <w:r w:rsidRPr="00516145">
        <w:rPr>
          <w:rFonts w:ascii="Arial" w:hAnsi="Arial" w:cs="Arial"/>
        </w:rPr>
        <w:t xml:space="preserve"> I have examined the</w:t>
      </w:r>
      <w:r w:rsidRPr="00516145">
        <w:rPr>
          <w:rFonts w:ascii="Arial" w:hAnsi="Arial" w:cs="Arial"/>
          <w:b/>
        </w:rPr>
        <w:t xml:space="preserve"> Planning and </w:t>
      </w:r>
      <w:r w:rsidR="00A84B39">
        <w:rPr>
          <w:rFonts w:ascii="Arial" w:hAnsi="Arial" w:cs="Arial"/>
          <w:b/>
        </w:rPr>
        <w:t>Unit Titles</w:t>
      </w:r>
      <w:r w:rsidRPr="00516145">
        <w:rPr>
          <w:rFonts w:ascii="Arial" w:hAnsi="Arial" w:cs="Arial"/>
          <w:b/>
        </w:rPr>
        <w:t xml:space="preserve"> Legislation Amendment Bill </w:t>
      </w:r>
      <w:r>
        <w:rPr>
          <w:rFonts w:ascii="Arial" w:hAnsi="Arial" w:cs="Arial"/>
          <w:b/>
        </w:rPr>
        <w:t>202</w:t>
      </w:r>
      <w:r w:rsidR="00BA0178">
        <w:rPr>
          <w:rFonts w:ascii="Arial" w:hAnsi="Arial" w:cs="Arial"/>
          <w:b/>
        </w:rPr>
        <w:t>0</w:t>
      </w:r>
      <w:r w:rsidRPr="00516145">
        <w:rPr>
          <w:rFonts w:ascii="Arial" w:hAnsi="Arial" w:cs="Arial"/>
        </w:rPr>
        <w:t>.  In my opinion, having regard to the Bill and the outline of the policy considerations and justification of any limitations on rights outlined in this explanatory statement, the Bill as presented to the Legislative Assembly</w:t>
      </w:r>
      <w:r w:rsidRPr="00516145">
        <w:rPr>
          <w:rFonts w:ascii="Arial" w:hAnsi="Arial" w:cs="Arial"/>
          <w:b/>
        </w:rPr>
        <w:t xml:space="preserve"> is </w:t>
      </w:r>
      <w:r w:rsidRPr="00516145">
        <w:rPr>
          <w:rFonts w:ascii="Arial" w:hAnsi="Arial" w:cs="Arial"/>
        </w:rPr>
        <w:t xml:space="preserve">consistent with the </w:t>
      </w:r>
      <w:r w:rsidRPr="00516145">
        <w:rPr>
          <w:rFonts w:ascii="Arial" w:hAnsi="Arial" w:cs="Arial"/>
          <w:i/>
          <w:iCs/>
        </w:rPr>
        <w:t>Human Rights Act 2004.</w:t>
      </w:r>
    </w:p>
    <w:p w14:paraId="7FD6D6ED" w14:textId="77777777" w:rsidR="00516145" w:rsidRPr="00516145" w:rsidRDefault="00516145" w:rsidP="00516145">
      <w:pPr>
        <w:rPr>
          <w:rFonts w:ascii="Arial" w:hAnsi="Arial" w:cs="Arial"/>
        </w:rPr>
      </w:pPr>
    </w:p>
    <w:p w14:paraId="70004AC4" w14:textId="77777777" w:rsidR="00516145" w:rsidRPr="00516145" w:rsidRDefault="00516145" w:rsidP="00516145">
      <w:pPr>
        <w:rPr>
          <w:rFonts w:ascii="Arial" w:hAnsi="Arial" w:cs="Arial"/>
        </w:rPr>
      </w:pPr>
    </w:p>
    <w:p w14:paraId="56412708" w14:textId="77777777" w:rsidR="00516145" w:rsidRPr="006073C9" w:rsidRDefault="00516145" w:rsidP="00516145">
      <w:pPr>
        <w:rPr>
          <w:rFonts w:ascii="Arial" w:hAnsi="Arial" w:cs="Arial"/>
        </w:rPr>
      </w:pPr>
      <w:r w:rsidRPr="006073C9">
        <w:rPr>
          <w:rFonts w:ascii="Arial" w:hAnsi="Arial" w:cs="Arial"/>
        </w:rPr>
        <w:t>………………………………………………….</w:t>
      </w:r>
    </w:p>
    <w:p w14:paraId="1C83320E" w14:textId="30E85F38" w:rsidR="00516145" w:rsidRPr="00516145" w:rsidRDefault="006073C9" w:rsidP="00516145">
      <w:pPr>
        <w:rPr>
          <w:rFonts w:ascii="Arial" w:hAnsi="Arial" w:cs="Arial"/>
        </w:rPr>
      </w:pPr>
      <w:r w:rsidRPr="006073C9">
        <w:rPr>
          <w:rFonts w:ascii="Arial" w:hAnsi="Arial" w:cs="Arial"/>
        </w:rPr>
        <w:t>Shane Rattenbury</w:t>
      </w:r>
      <w:r w:rsidR="00516145" w:rsidRPr="006073C9">
        <w:rPr>
          <w:rFonts w:ascii="Arial" w:hAnsi="Arial" w:cs="Arial"/>
        </w:rPr>
        <w:t xml:space="preserve"> MLA</w:t>
      </w:r>
      <w:r w:rsidR="00516145" w:rsidRPr="006073C9">
        <w:rPr>
          <w:rFonts w:ascii="Arial" w:hAnsi="Arial" w:cs="Arial"/>
        </w:rPr>
        <w:br/>
        <w:t>Attorney-General</w:t>
      </w:r>
    </w:p>
    <w:p w14:paraId="7023F5E2" w14:textId="77777777" w:rsidR="00516145" w:rsidRPr="00516145" w:rsidRDefault="00516145" w:rsidP="00516145">
      <w:pPr>
        <w:spacing w:before="200"/>
        <w:rPr>
          <w:rFonts w:ascii="Arial" w:hAnsi="Arial" w:cs="Arial"/>
          <w:sz w:val="24"/>
          <w:szCs w:val="24"/>
        </w:rPr>
      </w:pPr>
    </w:p>
    <w:p w14:paraId="2E9CE526" w14:textId="77777777" w:rsidR="00516145" w:rsidRPr="00516145" w:rsidRDefault="00516145" w:rsidP="00516145">
      <w:pPr>
        <w:spacing w:before="200"/>
        <w:rPr>
          <w:rFonts w:ascii="Arial" w:hAnsi="Arial" w:cs="Arial"/>
          <w:sz w:val="24"/>
          <w:szCs w:val="24"/>
        </w:rPr>
      </w:pPr>
    </w:p>
    <w:p w14:paraId="540FBAFF" w14:textId="77777777" w:rsidR="00516145" w:rsidRPr="00516145" w:rsidRDefault="00516145" w:rsidP="00516145">
      <w:pPr>
        <w:spacing w:before="200"/>
        <w:rPr>
          <w:rFonts w:ascii="Arial" w:hAnsi="Arial" w:cs="Arial"/>
          <w:sz w:val="24"/>
          <w:szCs w:val="24"/>
        </w:rPr>
      </w:pPr>
    </w:p>
    <w:p w14:paraId="7A859A75" w14:textId="77777777" w:rsidR="00516145" w:rsidRPr="00516145" w:rsidRDefault="00516145" w:rsidP="00516145">
      <w:pPr>
        <w:spacing w:before="200"/>
        <w:rPr>
          <w:rFonts w:ascii="Arial" w:hAnsi="Arial" w:cs="Arial"/>
          <w:sz w:val="24"/>
          <w:szCs w:val="24"/>
        </w:rPr>
      </w:pPr>
    </w:p>
    <w:p w14:paraId="728361D4" w14:textId="77777777" w:rsidR="00516145" w:rsidRPr="00516145" w:rsidRDefault="00516145" w:rsidP="00516145">
      <w:pPr>
        <w:spacing w:before="200"/>
        <w:rPr>
          <w:rFonts w:ascii="Arial" w:hAnsi="Arial" w:cs="Arial"/>
          <w:sz w:val="24"/>
          <w:szCs w:val="24"/>
        </w:rPr>
      </w:pPr>
    </w:p>
    <w:p w14:paraId="354CEE70" w14:textId="77777777" w:rsidR="00516145" w:rsidRPr="00516145" w:rsidRDefault="00516145" w:rsidP="00516145">
      <w:pPr>
        <w:spacing w:before="200"/>
        <w:rPr>
          <w:rFonts w:ascii="Arial" w:hAnsi="Arial" w:cs="Arial"/>
          <w:sz w:val="24"/>
          <w:szCs w:val="24"/>
        </w:rPr>
      </w:pPr>
    </w:p>
    <w:p w14:paraId="781DFF76" w14:textId="12708C0B" w:rsidR="00516145" w:rsidRPr="00516145" w:rsidRDefault="00516145" w:rsidP="00DB24B1">
      <w:pPr>
        <w:rPr>
          <w:rFonts w:ascii="Arial" w:hAnsi="Arial" w:cs="Arial"/>
          <w:sz w:val="24"/>
          <w:szCs w:val="24"/>
        </w:rPr>
      </w:pPr>
    </w:p>
    <w:p w14:paraId="02B9309B" w14:textId="158A5D0A" w:rsidR="00516145" w:rsidRPr="00516145" w:rsidRDefault="00516145" w:rsidP="00DB24B1">
      <w:pPr>
        <w:rPr>
          <w:rFonts w:ascii="Arial" w:hAnsi="Arial" w:cs="Arial"/>
          <w:sz w:val="24"/>
          <w:szCs w:val="24"/>
        </w:rPr>
      </w:pPr>
    </w:p>
    <w:p w14:paraId="781FFAFC" w14:textId="7DEC88C8" w:rsidR="00516145" w:rsidRPr="00516145" w:rsidRDefault="00516145" w:rsidP="00DB24B1">
      <w:pPr>
        <w:rPr>
          <w:rFonts w:ascii="Arial" w:hAnsi="Arial" w:cs="Arial"/>
          <w:sz w:val="24"/>
          <w:szCs w:val="24"/>
        </w:rPr>
      </w:pPr>
    </w:p>
    <w:p w14:paraId="76486EF1" w14:textId="53D5115B" w:rsidR="00516145" w:rsidRPr="00516145" w:rsidRDefault="00516145" w:rsidP="00DB24B1">
      <w:pPr>
        <w:rPr>
          <w:rFonts w:ascii="Arial" w:hAnsi="Arial" w:cs="Arial"/>
          <w:sz w:val="24"/>
          <w:szCs w:val="24"/>
        </w:rPr>
      </w:pPr>
    </w:p>
    <w:p w14:paraId="3007A900" w14:textId="30EB2FC8" w:rsidR="00516145" w:rsidRPr="00516145" w:rsidRDefault="00516145" w:rsidP="00DB24B1">
      <w:pPr>
        <w:rPr>
          <w:rFonts w:ascii="Arial" w:hAnsi="Arial" w:cs="Arial"/>
          <w:sz w:val="24"/>
          <w:szCs w:val="24"/>
        </w:rPr>
      </w:pPr>
    </w:p>
    <w:p w14:paraId="4994C9C6" w14:textId="6C0D7AA8" w:rsidR="00516145" w:rsidRPr="00516145" w:rsidRDefault="00516145" w:rsidP="00DB24B1">
      <w:pPr>
        <w:rPr>
          <w:rFonts w:ascii="Arial" w:hAnsi="Arial" w:cs="Arial"/>
          <w:sz w:val="24"/>
          <w:szCs w:val="24"/>
        </w:rPr>
      </w:pPr>
    </w:p>
    <w:p w14:paraId="5C27750B" w14:textId="70C20421" w:rsidR="00516145" w:rsidRPr="00516145" w:rsidRDefault="00516145" w:rsidP="00DB24B1">
      <w:pPr>
        <w:rPr>
          <w:rFonts w:ascii="Arial" w:hAnsi="Arial" w:cs="Arial"/>
          <w:sz w:val="24"/>
          <w:szCs w:val="24"/>
        </w:rPr>
      </w:pPr>
    </w:p>
    <w:p w14:paraId="5E255DB9" w14:textId="5A89663C" w:rsidR="00516145" w:rsidRPr="00516145" w:rsidRDefault="00516145" w:rsidP="00DB24B1">
      <w:pPr>
        <w:rPr>
          <w:rFonts w:ascii="Arial" w:hAnsi="Arial" w:cs="Arial"/>
          <w:sz w:val="24"/>
          <w:szCs w:val="24"/>
        </w:rPr>
      </w:pPr>
    </w:p>
    <w:p w14:paraId="6423F871" w14:textId="52FEEF6D" w:rsidR="00516145" w:rsidRPr="00516145" w:rsidRDefault="00516145" w:rsidP="00DB24B1">
      <w:pPr>
        <w:rPr>
          <w:rFonts w:ascii="Arial" w:hAnsi="Arial" w:cs="Arial"/>
          <w:sz w:val="24"/>
          <w:szCs w:val="24"/>
        </w:rPr>
      </w:pPr>
    </w:p>
    <w:p w14:paraId="1934036A" w14:textId="4D0747AE" w:rsidR="00516145" w:rsidRDefault="00516145" w:rsidP="00DB24B1">
      <w:pPr>
        <w:rPr>
          <w:rFonts w:ascii="Arial" w:hAnsi="Arial" w:cs="Arial"/>
          <w:sz w:val="24"/>
          <w:szCs w:val="24"/>
        </w:rPr>
      </w:pPr>
    </w:p>
    <w:p w14:paraId="2B55C47D" w14:textId="77777777" w:rsidR="00D1093F" w:rsidRPr="00516145" w:rsidRDefault="00D1093F" w:rsidP="00DB24B1">
      <w:pPr>
        <w:rPr>
          <w:rFonts w:ascii="Arial" w:hAnsi="Arial" w:cs="Arial"/>
          <w:sz w:val="24"/>
          <w:szCs w:val="24"/>
        </w:rPr>
      </w:pPr>
    </w:p>
    <w:p w14:paraId="209A8764" w14:textId="6348DA92" w:rsidR="00516145" w:rsidRPr="00516145" w:rsidRDefault="00516145" w:rsidP="00DB24B1">
      <w:pPr>
        <w:rPr>
          <w:rFonts w:ascii="Arial" w:hAnsi="Arial" w:cs="Arial"/>
          <w:sz w:val="24"/>
          <w:szCs w:val="24"/>
        </w:rPr>
      </w:pPr>
    </w:p>
    <w:p w14:paraId="7CF60BAC" w14:textId="062AB043" w:rsidR="00516145" w:rsidRPr="00516145" w:rsidRDefault="00516145" w:rsidP="00DB24B1">
      <w:pPr>
        <w:rPr>
          <w:rFonts w:ascii="Arial" w:hAnsi="Arial" w:cs="Arial"/>
          <w:sz w:val="24"/>
          <w:szCs w:val="24"/>
        </w:rPr>
      </w:pPr>
    </w:p>
    <w:p w14:paraId="08653822" w14:textId="77777777" w:rsidR="00516145" w:rsidRPr="00516145" w:rsidRDefault="00516145" w:rsidP="00516145">
      <w:pPr>
        <w:spacing w:after="0"/>
        <w:jc w:val="center"/>
        <w:rPr>
          <w:rFonts w:ascii="Arial" w:hAnsi="Arial" w:cs="Arial"/>
          <w:b/>
          <w:bCs/>
          <w:sz w:val="28"/>
          <w:szCs w:val="28"/>
        </w:rPr>
      </w:pPr>
      <w:r w:rsidRPr="00516145">
        <w:rPr>
          <w:rFonts w:ascii="Arial" w:hAnsi="Arial" w:cs="Arial"/>
          <w:b/>
          <w:bCs/>
          <w:sz w:val="28"/>
          <w:szCs w:val="28"/>
        </w:rPr>
        <w:t>OUTLINE OF PROVISIONS OF THE BILL</w:t>
      </w:r>
    </w:p>
    <w:p w14:paraId="2E2730F1" w14:textId="77777777" w:rsidR="00516145" w:rsidRPr="00516145" w:rsidRDefault="00516145" w:rsidP="00516145">
      <w:pPr>
        <w:spacing w:after="0"/>
        <w:rPr>
          <w:rFonts w:ascii="Arial" w:hAnsi="Arial" w:cs="Arial"/>
          <w:b/>
          <w:bCs/>
          <w:sz w:val="28"/>
          <w:szCs w:val="28"/>
        </w:rPr>
      </w:pPr>
    </w:p>
    <w:p w14:paraId="308D570F" w14:textId="62B44E5A" w:rsidR="00516145" w:rsidRPr="00516145" w:rsidRDefault="00516145" w:rsidP="00516145">
      <w:pPr>
        <w:spacing w:after="0"/>
        <w:rPr>
          <w:rFonts w:ascii="Arial" w:hAnsi="Arial" w:cs="Arial"/>
          <w:b/>
          <w:bCs/>
          <w:sz w:val="28"/>
          <w:szCs w:val="28"/>
        </w:rPr>
      </w:pPr>
      <w:r w:rsidRPr="00516145">
        <w:rPr>
          <w:rFonts w:ascii="Arial" w:hAnsi="Arial" w:cs="Arial"/>
          <w:b/>
          <w:bCs/>
          <w:sz w:val="28"/>
          <w:szCs w:val="28"/>
        </w:rPr>
        <w:t>Part 1</w:t>
      </w:r>
      <w:r w:rsidRPr="00516145">
        <w:rPr>
          <w:rFonts w:ascii="Arial" w:hAnsi="Arial" w:cs="Arial"/>
          <w:b/>
          <w:bCs/>
          <w:sz w:val="28"/>
          <w:szCs w:val="28"/>
        </w:rPr>
        <w:tab/>
      </w:r>
      <w:r w:rsidRPr="00516145">
        <w:rPr>
          <w:rFonts w:ascii="Arial" w:hAnsi="Arial" w:cs="Arial"/>
          <w:b/>
          <w:bCs/>
          <w:sz w:val="28"/>
          <w:szCs w:val="28"/>
        </w:rPr>
        <w:tab/>
        <w:t>Preliminary</w:t>
      </w:r>
    </w:p>
    <w:p w14:paraId="3A2ECB68" w14:textId="77777777" w:rsidR="00516145" w:rsidRPr="00BF14C5" w:rsidRDefault="00516145" w:rsidP="00516145">
      <w:pPr>
        <w:spacing w:after="0"/>
        <w:rPr>
          <w:rFonts w:ascii="Arial" w:hAnsi="Arial" w:cs="Arial"/>
          <w:b/>
          <w:bCs/>
          <w:sz w:val="24"/>
          <w:szCs w:val="24"/>
        </w:rPr>
      </w:pPr>
    </w:p>
    <w:p w14:paraId="45DD77EC" w14:textId="77777777" w:rsidR="00516145" w:rsidRPr="00BF14C5" w:rsidRDefault="00516145" w:rsidP="00516145">
      <w:pPr>
        <w:spacing w:after="0"/>
        <w:rPr>
          <w:rFonts w:ascii="Arial" w:hAnsi="Arial" w:cs="Arial"/>
          <w:b/>
          <w:bCs/>
          <w:sz w:val="24"/>
          <w:szCs w:val="24"/>
        </w:rPr>
      </w:pPr>
      <w:r w:rsidRPr="00BF14C5">
        <w:rPr>
          <w:rFonts w:ascii="Arial" w:hAnsi="Arial" w:cs="Arial"/>
          <w:b/>
          <w:bCs/>
          <w:sz w:val="24"/>
          <w:szCs w:val="24"/>
        </w:rPr>
        <w:t>Clause 1</w:t>
      </w:r>
      <w:r w:rsidRPr="00BF14C5">
        <w:rPr>
          <w:rFonts w:ascii="Arial" w:hAnsi="Arial" w:cs="Arial"/>
          <w:b/>
          <w:bCs/>
          <w:sz w:val="24"/>
          <w:szCs w:val="24"/>
        </w:rPr>
        <w:tab/>
        <w:t>Name of Act</w:t>
      </w:r>
    </w:p>
    <w:p w14:paraId="5C4E69BB" w14:textId="0FBE8EA5" w:rsidR="00516145" w:rsidRPr="00BF14C5" w:rsidRDefault="00516145" w:rsidP="00516145">
      <w:pPr>
        <w:spacing w:after="0"/>
        <w:rPr>
          <w:rFonts w:ascii="Arial" w:hAnsi="Arial" w:cs="Arial"/>
          <w:sz w:val="24"/>
          <w:szCs w:val="24"/>
        </w:rPr>
      </w:pPr>
      <w:r w:rsidRPr="00BF14C5">
        <w:rPr>
          <w:rFonts w:ascii="Arial" w:hAnsi="Arial" w:cs="Arial"/>
          <w:sz w:val="24"/>
          <w:szCs w:val="24"/>
        </w:rPr>
        <w:t xml:space="preserve">This clause provides that the name of the Act is the </w:t>
      </w:r>
      <w:r w:rsidRPr="00BF14C5">
        <w:rPr>
          <w:rFonts w:ascii="Arial" w:hAnsi="Arial" w:cs="Arial"/>
          <w:i/>
          <w:iCs/>
          <w:sz w:val="24"/>
          <w:szCs w:val="24"/>
        </w:rPr>
        <w:t xml:space="preserve">Planning and </w:t>
      </w:r>
      <w:r w:rsidR="00F84C4B">
        <w:rPr>
          <w:rFonts w:ascii="Arial" w:hAnsi="Arial" w:cs="Arial"/>
          <w:i/>
          <w:iCs/>
          <w:sz w:val="24"/>
          <w:szCs w:val="24"/>
        </w:rPr>
        <w:t>Unit Titles</w:t>
      </w:r>
      <w:r w:rsidRPr="00BF14C5">
        <w:rPr>
          <w:rFonts w:ascii="Arial" w:hAnsi="Arial" w:cs="Arial"/>
          <w:i/>
          <w:iCs/>
          <w:sz w:val="24"/>
          <w:szCs w:val="24"/>
        </w:rPr>
        <w:t xml:space="preserve"> Legislation Amendment Act 202</w:t>
      </w:r>
      <w:r w:rsidR="00BA0178">
        <w:rPr>
          <w:rFonts w:ascii="Arial" w:hAnsi="Arial" w:cs="Arial"/>
          <w:i/>
          <w:iCs/>
          <w:sz w:val="24"/>
          <w:szCs w:val="24"/>
        </w:rPr>
        <w:t>0</w:t>
      </w:r>
      <w:r w:rsidRPr="00BF14C5">
        <w:rPr>
          <w:rFonts w:ascii="Arial" w:hAnsi="Arial" w:cs="Arial"/>
          <w:sz w:val="24"/>
          <w:szCs w:val="24"/>
        </w:rPr>
        <w:t>.</w:t>
      </w:r>
    </w:p>
    <w:p w14:paraId="473B1256" w14:textId="77777777" w:rsidR="00516145" w:rsidRPr="00BF14C5" w:rsidRDefault="00516145" w:rsidP="00516145">
      <w:pPr>
        <w:spacing w:after="0"/>
        <w:rPr>
          <w:rFonts w:ascii="Arial" w:hAnsi="Arial" w:cs="Arial"/>
          <w:sz w:val="24"/>
          <w:szCs w:val="24"/>
        </w:rPr>
      </w:pPr>
    </w:p>
    <w:p w14:paraId="403B3A32" w14:textId="77777777" w:rsidR="00516145" w:rsidRPr="00BF14C5" w:rsidRDefault="00516145" w:rsidP="00516145">
      <w:pPr>
        <w:spacing w:after="0"/>
        <w:rPr>
          <w:rFonts w:ascii="Arial" w:hAnsi="Arial" w:cs="Arial"/>
          <w:b/>
          <w:bCs/>
          <w:sz w:val="24"/>
          <w:szCs w:val="24"/>
        </w:rPr>
      </w:pPr>
      <w:r w:rsidRPr="00BF14C5">
        <w:rPr>
          <w:rFonts w:ascii="Arial" w:hAnsi="Arial" w:cs="Arial"/>
          <w:b/>
          <w:bCs/>
          <w:sz w:val="24"/>
          <w:szCs w:val="24"/>
        </w:rPr>
        <w:t>Clause 2</w:t>
      </w:r>
      <w:r w:rsidRPr="00BF14C5">
        <w:rPr>
          <w:rFonts w:ascii="Arial" w:hAnsi="Arial" w:cs="Arial"/>
          <w:b/>
          <w:bCs/>
          <w:sz w:val="24"/>
          <w:szCs w:val="24"/>
        </w:rPr>
        <w:tab/>
        <w:t>Commencement</w:t>
      </w:r>
    </w:p>
    <w:p w14:paraId="3B34588C" w14:textId="77777777" w:rsidR="00516145" w:rsidRPr="00BF14C5" w:rsidRDefault="00516145" w:rsidP="00516145">
      <w:pPr>
        <w:spacing w:after="0"/>
        <w:rPr>
          <w:rFonts w:ascii="Arial" w:hAnsi="Arial" w:cs="Arial"/>
          <w:sz w:val="24"/>
          <w:szCs w:val="24"/>
        </w:rPr>
      </w:pPr>
      <w:r w:rsidRPr="00BF14C5">
        <w:rPr>
          <w:rFonts w:ascii="Arial" w:hAnsi="Arial" w:cs="Arial"/>
          <w:sz w:val="24"/>
          <w:szCs w:val="24"/>
        </w:rPr>
        <w:t>This clause provides for the commencement of the Act. The Act commences on the day after its notification day.</w:t>
      </w:r>
    </w:p>
    <w:p w14:paraId="6235B82B" w14:textId="77777777" w:rsidR="00516145" w:rsidRPr="00BF14C5" w:rsidRDefault="00516145" w:rsidP="00516145">
      <w:pPr>
        <w:spacing w:after="0"/>
        <w:rPr>
          <w:rFonts w:ascii="Arial" w:hAnsi="Arial" w:cs="Arial"/>
          <w:sz w:val="24"/>
          <w:szCs w:val="24"/>
        </w:rPr>
      </w:pPr>
    </w:p>
    <w:p w14:paraId="41E72422" w14:textId="77777777" w:rsidR="00516145" w:rsidRPr="00BF14C5" w:rsidRDefault="00516145" w:rsidP="00516145">
      <w:pPr>
        <w:spacing w:after="0"/>
        <w:rPr>
          <w:rFonts w:ascii="Arial" w:hAnsi="Arial" w:cs="Arial"/>
          <w:b/>
          <w:bCs/>
          <w:sz w:val="24"/>
          <w:szCs w:val="24"/>
        </w:rPr>
      </w:pPr>
      <w:r w:rsidRPr="00BF14C5">
        <w:rPr>
          <w:rFonts w:ascii="Arial" w:hAnsi="Arial" w:cs="Arial"/>
          <w:b/>
          <w:bCs/>
          <w:sz w:val="24"/>
          <w:szCs w:val="24"/>
        </w:rPr>
        <w:t>Clause 3</w:t>
      </w:r>
      <w:r w:rsidRPr="00BF14C5">
        <w:rPr>
          <w:rFonts w:ascii="Arial" w:hAnsi="Arial" w:cs="Arial"/>
          <w:b/>
          <w:bCs/>
          <w:sz w:val="24"/>
          <w:szCs w:val="24"/>
        </w:rPr>
        <w:tab/>
        <w:t>Legislation amended</w:t>
      </w:r>
    </w:p>
    <w:p w14:paraId="5B621660" w14:textId="77777777" w:rsidR="00516145" w:rsidRPr="00BF14C5" w:rsidRDefault="00516145" w:rsidP="00516145">
      <w:pPr>
        <w:spacing w:after="0"/>
        <w:rPr>
          <w:rFonts w:ascii="Arial" w:hAnsi="Arial" w:cs="Arial"/>
          <w:sz w:val="24"/>
          <w:szCs w:val="24"/>
        </w:rPr>
      </w:pPr>
      <w:r w:rsidRPr="00BF14C5">
        <w:rPr>
          <w:rFonts w:ascii="Arial" w:hAnsi="Arial" w:cs="Arial"/>
          <w:sz w:val="24"/>
          <w:szCs w:val="24"/>
        </w:rPr>
        <w:t>This clause lists the legislation which is amended by the Act.</w:t>
      </w:r>
    </w:p>
    <w:p w14:paraId="3B6F8781" w14:textId="77777777" w:rsidR="00516145" w:rsidRDefault="00516145" w:rsidP="00516145">
      <w:pPr>
        <w:spacing w:after="0"/>
        <w:rPr>
          <w:rFonts w:ascii="Arial" w:hAnsi="Arial" w:cs="Arial"/>
          <w:b/>
          <w:bCs/>
          <w:sz w:val="28"/>
          <w:szCs w:val="28"/>
        </w:rPr>
      </w:pPr>
    </w:p>
    <w:p w14:paraId="6F846227" w14:textId="4B9D4CC9" w:rsidR="00516145" w:rsidRDefault="00516145" w:rsidP="00516145">
      <w:pPr>
        <w:spacing w:after="0"/>
        <w:rPr>
          <w:rFonts w:ascii="Arial" w:hAnsi="Arial" w:cs="Arial"/>
          <w:b/>
          <w:bCs/>
          <w:sz w:val="28"/>
          <w:szCs w:val="28"/>
        </w:rPr>
      </w:pPr>
      <w:r>
        <w:rPr>
          <w:rFonts w:ascii="Arial" w:hAnsi="Arial" w:cs="Arial"/>
          <w:b/>
          <w:bCs/>
          <w:sz w:val="28"/>
          <w:szCs w:val="28"/>
        </w:rPr>
        <w:t>Part 2</w:t>
      </w:r>
      <w:r>
        <w:rPr>
          <w:rFonts w:ascii="Arial" w:hAnsi="Arial" w:cs="Arial"/>
          <w:b/>
          <w:bCs/>
          <w:sz w:val="28"/>
          <w:szCs w:val="28"/>
        </w:rPr>
        <w:tab/>
      </w:r>
      <w:r>
        <w:rPr>
          <w:rFonts w:ascii="Arial" w:hAnsi="Arial" w:cs="Arial"/>
          <w:b/>
          <w:bCs/>
          <w:sz w:val="28"/>
          <w:szCs w:val="28"/>
        </w:rPr>
        <w:tab/>
        <w:t>Civil Law (Property) Act 2006</w:t>
      </w:r>
    </w:p>
    <w:p w14:paraId="6C979B13" w14:textId="0F2522DD" w:rsidR="00516145" w:rsidRDefault="00516145" w:rsidP="00516145">
      <w:pPr>
        <w:spacing w:after="0"/>
        <w:rPr>
          <w:rFonts w:ascii="Arial" w:hAnsi="Arial" w:cs="Arial"/>
          <w:b/>
          <w:bCs/>
          <w:sz w:val="28"/>
          <w:szCs w:val="28"/>
        </w:rPr>
      </w:pPr>
    </w:p>
    <w:p w14:paraId="318B7E71" w14:textId="7343F866" w:rsidR="0015099C" w:rsidRDefault="00516145" w:rsidP="00516145">
      <w:pPr>
        <w:spacing w:after="0"/>
        <w:rPr>
          <w:rFonts w:ascii="Arial" w:hAnsi="Arial" w:cs="Arial"/>
          <w:b/>
          <w:bCs/>
          <w:sz w:val="24"/>
          <w:szCs w:val="24"/>
        </w:rPr>
      </w:pPr>
      <w:r w:rsidRPr="00BF14C5">
        <w:rPr>
          <w:rFonts w:ascii="Arial" w:hAnsi="Arial" w:cs="Arial"/>
          <w:b/>
          <w:bCs/>
          <w:sz w:val="24"/>
          <w:szCs w:val="24"/>
        </w:rPr>
        <w:t>Clause 4</w:t>
      </w:r>
      <w:r w:rsidRPr="00BF14C5">
        <w:rPr>
          <w:rFonts w:ascii="Arial" w:hAnsi="Arial" w:cs="Arial"/>
          <w:b/>
          <w:bCs/>
          <w:sz w:val="24"/>
          <w:szCs w:val="24"/>
        </w:rPr>
        <w:tab/>
      </w:r>
      <w:r w:rsidR="0015099C">
        <w:rPr>
          <w:rFonts w:ascii="Arial" w:hAnsi="Arial" w:cs="Arial"/>
          <w:b/>
          <w:bCs/>
          <w:sz w:val="24"/>
          <w:szCs w:val="24"/>
        </w:rPr>
        <w:t>Definitions- pt 2.9</w:t>
      </w:r>
    </w:p>
    <w:p w14:paraId="42205653" w14:textId="61FA992B" w:rsidR="0015099C" w:rsidRDefault="0015099C" w:rsidP="0015099C">
      <w:pPr>
        <w:tabs>
          <w:tab w:val="left" w:pos="1483"/>
        </w:tabs>
        <w:spacing w:after="0"/>
        <w:rPr>
          <w:rFonts w:ascii="Arial" w:hAnsi="Arial" w:cs="Arial"/>
          <w:b/>
          <w:bCs/>
          <w:sz w:val="24"/>
          <w:szCs w:val="24"/>
        </w:rPr>
      </w:pPr>
      <w:r>
        <w:rPr>
          <w:rFonts w:ascii="Arial" w:hAnsi="Arial" w:cs="Arial"/>
          <w:b/>
          <w:bCs/>
          <w:sz w:val="24"/>
          <w:szCs w:val="24"/>
        </w:rPr>
        <w:t xml:space="preserve">                      </w:t>
      </w:r>
      <w:r w:rsidRPr="008D3572">
        <w:rPr>
          <w:rFonts w:ascii="Arial" w:hAnsi="Arial" w:cs="Arial"/>
          <w:b/>
          <w:bCs/>
          <w:sz w:val="24"/>
          <w:szCs w:val="24"/>
        </w:rPr>
        <w:t xml:space="preserve">Section </w:t>
      </w:r>
      <w:r>
        <w:rPr>
          <w:rFonts w:ascii="Arial" w:hAnsi="Arial" w:cs="Arial"/>
          <w:b/>
          <w:bCs/>
          <w:sz w:val="24"/>
          <w:szCs w:val="24"/>
        </w:rPr>
        <w:t xml:space="preserve">259, new definition of </w:t>
      </w:r>
      <w:r>
        <w:rPr>
          <w:rFonts w:ascii="Arial" w:hAnsi="Arial" w:cs="Arial"/>
          <w:b/>
          <w:bCs/>
          <w:i/>
          <w:iCs/>
          <w:sz w:val="24"/>
          <w:szCs w:val="24"/>
        </w:rPr>
        <w:t>unit subsidiary</w:t>
      </w:r>
      <w:r w:rsidRPr="008D3572">
        <w:rPr>
          <w:rFonts w:ascii="Arial" w:hAnsi="Arial" w:cs="Arial"/>
          <w:b/>
          <w:bCs/>
          <w:sz w:val="24"/>
          <w:szCs w:val="24"/>
        </w:rPr>
        <w:t xml:space="preserve"> </w:t>
      </w:r>
    </w:p>
    <w:p w14:paraId="65D2F7B0" w14:textId="28E45FFE" w:rsidR="0015099C" w:rsidRDefault="0015099C" w:rsidP="0015099C">
      <w:pPr>
        <w:tabs>
          <w:tab w:val="left" w:pos="1483"/>
        </w:tabs>
        <w:spacing w:after="0"/>
        <w:rPr>
          <w:rFonts w:ascii="Arial" w:hAnsi="Arial" w:cs="Arial"/>
          <w:sz w:val="24"/>
          <w:szCs w:val="24"/>
        </w:rPr>
      </w:pPr>
      <w:r>
        <w:rPr>
          <w:rFonts w:ascii="Arial" w:hAnsi="Arial" w:cs="Arial"/>
          <w:sz w:val="24"/>
          <w:szCs w:val="24"/>
        </w:rPr>
        <w:t xml:space="preserve">This amendment includes the definition of </w:t>
      </w:r>
      <w:r>
        <w:rPr>
          <w:rFonts w:ascii="Arial" w:hAnsi="Arial" w:cs="Arial"/>
          <w:i/>
          <w:iCs/>
          <w:sz w:val="24"/>
          <w:szCs w:val="24"/>
        </w:rPr>
        <w:t xml:space="preserve">unit subsidiary </w:t>
      </w:r>
      <w:r>
        <w:rPr>
          <w:rFonts w:ascii="Arial" w:hAnsi="Arial" w:cs="Arial"/>
          <w:sz w:val="24"/>
          <w:szCs w:val="24"/>
        </w:rPr>
        <w:t>as provided for by the</w:t>
      </w:r>
      <w:r>
        <w:rPr>
          <w:rFonts w:ascii="Arial" w:hAnsi="Arial" w:cs="Arial"/>
          <w:i/>
          <w:iCs/>
          <w:sz w:val="24"/>
          <w:szCs w:val="24"/>
        </w:rPr>
        <w:t xml:space="preserve"> Unit Titles Act 2001 </w:t>
      </w:r>
      <w:r>
        <w:rPr>
          <w:rFonts w:ascii="Arial" w:hAnsi="Arial" w:cs="Arial"/>
          <w:sz w:val="24"/>
          <w:szCs w:val="24"/>
        </w:rPr>
        <w:t xml:space="preserve">in part 2.9. The term </w:t>
      </w:r>
      <w:r>
        <w:rPr>
          <w:rFonts w:ascii="Arial" w:hAnsi="Arial" w:cs="Arial"/>
          <w:i/>
          <w:iCs/>
          <w:sz w:val="24"/>
          <w:szCs w:val="24"/>
        </w:rPr>
        <w:t>unit subsidiary</w:t>
      </w:r>
      <w:r>
        <w:rPr>
          <w:rFonts w:ascii="Arial" w:hAnsi="Arial" w:cs="Arial"/>
          <w:sz w:val="24"/>
          <w:szCs w:val="24"/>
        </w:rPr>
        <w:t xml:space="preserve"> is used in a number of sections in part 2.9 and a definition </w:t>
      </w:r>
      <w:r w:rsidR="00C91748">
        <w:rPr>
          <w:rFonts w:ascii="Arial" w:hAnsi="Arial" w:cs="Arial"/>
          <w:sz w:val="24"/>
          <w:szCs w:val="24"/>
        </w:rPr>
        <w:t>in the part</w:t>
      </w:r>
      <w:r>
        <w:rPr>
          <w:rFonts w:ascii="Arial" w:hAnsi="Arial" w:cs="Arial"/>
          <w:sz w:val="24"/>
          <w:szCs w:val="24"/>
        </w:rPr>
        <w:t xml:space="preserve"> will assist interpretation of </w:t>
      </w:r>
      <w:r w:rsidR="00C91748">
        <w:rPr>
          <w:rFonts w:ascii="Arial" w:hAnsi="Arial" w:cs="Arial"/>
          <w:sz w:val="24"/>
          <w:szCs w:val="24"/>
        </w:rPr>
        <w:t>the part’s sections.</w:t>
      </w:r>
    </w:p>
    <w:p w14:paraId="121D10BA" w14:textId="37A62E64" w:rsidR="0015099C" w:rsidRDefault="0015099C" w:rsidP="0015099C">
      <w:pPr>
        <w:tabs>
          <w:tab w:val="left" w:pos="1483"/>
        </w:tabs>
        <w:spacing w:after="0"/>
        <w:rPr>
          <w:rFonts w:ascii="Arial" w:hAnsi="Arial" w:cs="Arial"/>
          <w:sz w:val="24"/>
          <w:szCs w:val="24"/>
        </w:rPr>
      </w:pPr>
    </w:p>
    <w:p w14:paraId="46A99EB8" w14:textId="280C6D4A" w:rsidR="0015099C" w:rsidRPr="0015099C" w:rsidRDefault="0015099C" w:rsidP="0015099C">
      <w:pPr>
        <w:spacing w:after="0"/>
        <w:rPr>
          <w:rFonts w:ascii="Arial" w:hAnsi="Arial" w:cs="Arial"/>
          <w:b/>
          <w:bCs/>
          <w:sz w:val="24"/>
          <w:szCs w:val="24"/>
        </w:rPr>
      </w:pPr>
      <w:r w:rsidRPr="00BF14C5">
        <w:rPr>
          <w:rFonts w:ascii="Arial" w:hAnsi="Arial" w:cs="Arial"/>
          <w:b/>
          <w:bCs/>
          <w:sz w:val="24"/>
          <w:szCs w:val="24"/>
        </w:rPr>
        <w:t xml:space="preserve">Clause </w:t>
      </w:r>
      <w:r>
        <w:rPr>
          <w:rFonts w:ascii="Arial" w:hAnsi="Arial" w:cs="Arial"/>
          <w:b/>
          <w:bCs/>
          <w:sz w:val="24"/>
          <w:szCs w:val="24"/>
        </w:rPr>
        <w:t>5</w:t>
      </w:r>
      <w:r w:rsidRPr="00BF14C5">
        <w:rPr>
          <w:rFonts w:ascii="Arial" w:hAnsi="Arial" w:cs="Arial"/>
          <w:b/>
          <w:bCs/>
          <w:sz w:val="24"/>
          <w:szCs w:val="24"/>
        </w:rPr>
        <w:tab/>
      </w:r>
      <w:r>
        <w:rPr>
          <w:rFonts w:ascii="Arial" w:hAnsi="Arial" w:cs="Arial"/>
          <w:b/>
          <w:bCs/>
          <w:sz w:val="24"/>
          <w:szCs w:val="24"/>
        </w:rPr>
        <w:t xml:space="preserve">Meaning of </w:t>
      </w:r>
      <w:r>
        <w:rPr>
          <w:rFonts w:ascii="Arial" w:hAnsi="Arial" w:cs="Arial"/>
          <w:b/>
          <w:bCs/>
          <w:i/>
          <w:iCs/>
          <w:sz w:val="24"/>
          <w:szCs w:val="24"/>
        </w:rPr>
        <w:t xml:space="preserve">type 1 matter </w:t>
      </w:r>
      <w:r>
        <w:rPr>
          <w:rFonts w:ascii="Arial" w:hAnsi="Arial" w:cs="Arial"/>
          <w:b/>
          <w:bCs/>
          <w:sz w:val="24"/>
          <w:szCs w:val="24"/>
        </w:rPr>
        <w:t xml:space="preserve">and </w:t>
      </w:r>
      <w:r>
        <w:rPr>
          <w:rFonts w:ascii="Arial" w:hAnsi="Arial" w:cs="Arial"/>
          <w:b/>
          <w:bCs/>
          <w:i/>
          <w:iCs/>
          <w:sz w:val="24"/>
          <w:szCs w:val="24"/>
        </w:rPr>
        <w:t>type 2 matter</w:t>
      </w:r>
    </w:p>
    <w:p w14:paraId="743AD647" w14:textId="5D485880" w:rsidR="0015099C" w:rsidRDefault="0015099C" w:rsidP="0015099C">
      <w:pPr>
        <w:tabs>
          <w:tab w:val="left" w:pos="1483"/>
        </w:tabs>
        <w:spacing w:after="0"/>
        <w:rPr>
          <w:rFonts w:ascii="Arial" w:hAnsi="Arial" w:cs="Arial"/>
          <w:b/>
          <w:bCs/>
          <w:sz w:val="24"/>
          <w:szCs w:val="24"/>
        </w:rPr>
      </w:pPr>
      <w:r>
        <w:rPr>
          <w:rFonts w:ascii="Arial" w:hAnsi="Arial" w:cs="Arial"/>
          <w:b/>
          <w:bCs/>
          <w:sz w:val="24"/>
          <w:szCs w:val="24"/>
        </w:rPr>
        <w:t xml:space="preserve">                      New section 259A(1)(b)(va)</w:t>
      </w:r>
    </w:p>
    <w:p w14:paraId="68FD1119" w14:textId="2B4F2C6C" w:rsidR="000C5782" w:rsidRPr="00BF14C5" w:rsidRDefault="0015099C" w:rsidP="000C5782">
      <w:pPr>
        <w:spacing w:after="0"/>
        <w:rPr>
          <w:rFonts w:ascii="Arial" w:hAnsi="Arial" w:cs="Arial"/>
          <w:sz w:val="24"/>
          <w:szCs w:val="24"/>
        </w:rPr>
      </w:pPr>
      <w:r w:rsidRPr="000C5782">
        <w:rPr>
          <w:rFonts w:ascii="Arial" w:hAnsi="Arial" w:cs="Arial"/>
          <w:sz w:val="24"/>
          <w:szCs w:val="24"/>
        </w:rPr>
        <w:t xml:space="preserve">This clause </w:t>
      </w:r>
      <w:r w:rsidR="00AB658F" w:rsidRPr="000C5782">
        <w:rPr>
          <w:rFonts w:ascii="Arial" w:hAnsi="Arial" w:cs="Arial"/>
          <w:sz w:val="24"/>
          <w:szCs w:val="24"/>
        </w:rPr>
        <w:t xml:space="preserve">inserts a new subsection in section 259A(1)(b) to provide that a change in the size of a unit subsidiary for the unit if the change is a decrease of 10% or more in a disclosure statement is a type 2 matter (other than a decrease to a unit subsidiary that is a type 1 matter). </w:t>
      </w:r>
    </w:p>
    <w:p w14:paraId="0E2035AE" w14:textId="74E9FBEB" w:rsidR="00EC730C" w:rsidRPr="000C5782" w:rsidRDefault="00EC730C" w:rsidP="00516145">
      <w:pPr>
        <w:spacing w:after="0"/>
        <w:rPr>
          <w:rFonts w:ascii="Arial" w:hAnsi="Arial" w:cs="Arial"/>
          <w:sz w:val="24"/>
          <w:szCs w:val="24"/>
        </w:rPr>
      </w:pPr>
    </w:p>
    <w:p w14:paraId="2EDF0B16" w14:textId="2D4D5B8C" w:rsidR="008374AB" w:rsidRPr="00BF14C5" w:rsidRDefault="008374AB" w:rsidP="00516145">
      <w:pPr>
        <w:spacing w:after="0"/>
        <w:rPr>
          <w:rFonts w:ascii="Arial" w:hAnsi="Arial" w:cs="Arial"/>
          <w:sz w:val="24"/>
          <w:szCs w:val="24"/>
        </w:rPr>
      </w:pPr>
      <w:r w:rsidRPr="000C5782">
        <w:rPr>
          <w:rFonts w:ascii="Arial" w:hAnsi="Arial" w:cs="Arial"/>
          <w:sz w:val="24"/>
          <w:szCs w:val="24"/>
        </w:rPr>
        <w:t>Section 259A</w:t>
      </w:r>
      <w:r w:rsidR="00AB658F" w:rsidRPr="000C5782">
        <w:rPr>
          <w:rFonts w:ascii="Arial" w:hAnsi="Arial" w:cs="Arial"/>
          <w:sz w:val="24"/>
          <w:szCs w:val="24"/>
        </w:rPr>
        <w:t>(1)(iii)</w:t>
      </w:r>
      <w:r w:rsidRPr="000C5782">
        <w:rPr>
          <w:rFonts w:ascii="Arial" w:hAnsi="Arial" w:cs="Arial"/>
          <w:sz w:val="24"/>
          <w:szCs w:val="24"/>
        </w:rPr>
        <w:t xml:space="preserve"> provides that a 10% or more decrease in area of a </w:t>
      </w:r>
      <w:r w:rsidR="000C5782">
        <w:rPr>
          <w:rFonts w:ascii="Arial" w:hAnsi="Arial" w:cs="Arial"/>
          <w:sz w:val="24"/>
          <w:szCs w:val="24"/>
        </w:rPr>
        <w:t xml:space="preserve">unit subsidiary that is a </w:t>
      </w:r>
      <w:r w:rsidRPr="000C5782">
        <w:rPr>
          <w:rFonts w:ascii="Arial" w:hAnsi="Arial" w:cs="Arial"/>
          <w:sz w:val="24"/>
          <w:szCs w:val="24"/>
        </w:rPr>
        <w:t>courtyard or balcony is a type 1 matter.</w:t>
      </w:r>
      <w:r w:rsidR="00851085" w:rsidRPr="000C5782">
        <w:rPr>
          <w:rFonts w:ascii="Arial" w:hAnsi="Arial" w:cs="Arial"/>
          <w:sz w:val="24"/>
          <w:szCs w:val="24"/>
        </w:rPr>
        <w:t xml:space="preserve"> </w:t>
      </w:r>
      <w:r w:rsidR="00AB658F" w:rsidRPr="000C5782">
        <w:rPr>
          <w:rFonts w:ascii="Arial" w:hAnsi="Arial" w:cs="Arial"/>
          <w:sz w:val="24"/>
          <w:szCs w:val="24"/>
        </w:rPr>
        <w:t>The amendment in clause 5</w:t>
      </w:r>
      <w:r w:rsidR="00851085" w:rsidRPr="000C5782">
        <w:rPr>
          <w:rFonts w:ascii="Arial" w:hAnsi="Arial" w:cs="Arial"/>
          <w:sz w:val="24"/>
          <w:szCs w:val="24"/>
        </w:rPr>
        <w:t xml:space="preserve"> reflects</w:t>
      </w:r>
      <w:r w:rsidR="00EC730C" w:rsidRPr="000C5782">
        <w:rPr>
          <w:rFonts w:ascii="Arial" w:hAnsi="Arial" w:cs="Arial"/>
          <w:sz w:val="24"/>
          <w:szCs w:val="24"/>
        </w:rPr>
        <w:t xml:space="preserve"> the </w:t>
      </w:r>
      <w:r w:rsidRPr="000C5782">
        <w:rPr>
          <w:rFonts w:ascii="Arial" w:hAnsi="Arial" w:cs="Arial"/>
          <w:sz w:val="24"/>
          <w:szCs w:val="24"/>
        </w:rPr>
        <w:t>provision in section 259A</w:t>
      </w:r>
      <w:r w:rsidR="00AB658F" w:rsidRPr="000C5782">
        <w:rPr>
          <w:rFonts w:ascii="Arial" w:hAnsi="Arial" w:cs="Arial"/>
          <w:sz w:val="24"/>
          <w:szCs w:val="24"/>
        </w:rPr>
        <w:t>(1)(iii)</w:t>
      </w:r>
      <w:r w:rsidRPr="000C5782">
        <w:rPr>
          <w:rFonts w:ascii="Arial" w:hAnsi="Arial" w:cs="Arial"/>
          <w:sz w:val="24"/>
          <w:szCs w:val="24"/>
        </w:rPr>
        <w:t xml:space="preserve"> and provide</w:t>
      </w:r>
      <w:r w:rsidR="00851085" w:rsidRPr="000C5782">
        <w:rPr>
          <w:rFonts w:ascii="Arial" w:hAnsi="Arial" w:cs="Arial"/>
          <w:sz w:val="24"/>
          <w:szCs w:val="24"/>
        </w:rPr>
        <w:t>s</w:t>
      </w:r>
      <w:r w:rsidRPr="000C5782">
        <w:rPr>
          <w:rFonts w:ascii="Arial" w:hAnsi="Arial" w:cs="Arial"/>
          <w:sz w:val="24"/>
          <w:szCs w:val="24"/>
        </w:rPr>
        <w:t xml:space="preserve"> that a </w:t>
      </w:r>
      <w:r w:rsidR="00EC730C" w:rsidRPr="000C5782">
        <w:rPr>
          <w:rFonts w:ascii="Arial" w:hAnsi="Arial" w:cs="Arial"/>
          <w:sz w:val="24"/>
          <w:szCs w:val="24"/>
        </w:rPr>
        <w:t xml:space="preserve">10% </w:t>
      </w:r>
      <w:r w:rsidRPr="000C5782">
        <w:rPr>
          <w:rFonts w:ascii="Arial" w:hAnsi="Arial" w:cs="Arial"/>
          <w:sz w:val="24"/>
          <w:szCs w:val="24"/>
        </w:rPr>
        <w:t>or more decrease in area</w:t>
      </w:r>
      <w:r w:rsidR="00EC730C" w:rsidRPr="000C5782">
        <w:rPr>
          <w:rFonts w:ascii="Arial" w:hAnsi="Arial" w:cs="Arial"/>
          <w:sz w:val="24"/>
          <w:szCs w:val="24"/>
        </w:rPr>
        <w:t xml:space="preserve"> </w:t>
      </w:r>
      <w:r w:rsidRPr="000C5782">
        <w:rPr>
          <w:rFonts w:ascii="Arial" w:hAnsi="Arial" w:cs="Arial"/>
          <w:sz w:val="24"/>
          <w:szCs w:val="24"/>
        </w:rPr>
        <w:t>for all other unit subsidiaries (such as carparks and storage cages) is a type 2 matter</w:t>
      </w:r>
      <w:r w:rsidRPr="00BF14C5">
        <w:rPr>
          <w:rFonts w:ascii="Arial" w:hAnsi="Arial" w:cs="Arial"/>
          <w:sz w:val="24"/>
          <w:szCs w:val="24"/>
        </w:rPr>
        <w:t xml:space="preserve">. </w:t>
      </w:r>
    </w:p>
    <w:p w14:paraId="3605BBB9" w14:textId="14FF72B0" w:rsidR="008374AB" w:rsidRPr="00BF14C5" w:rsidRDefault="008374AB" w:rsidP="00516145">
      <w:pPr>
        <w:spacing w:after="0"/>
        <w:rPr>
          <w:rFonts w:ascii="Arial" w:hAnsi="Arial" w:cs="Arial"/>
          <w:sz w:val="24"/>
          <w:szCs w:val="24"/>
        </w:rPr>
      </w:pPr>
    </w:p>
    <w:p w14:paraId="26DF928B" w14:textId="09A09DB8" w:rsidR="008374AB" w:rsidRDefault="008374AB" w:rsidP="00516145">
      <w:pPr>
        <w:spacing w:after="0"/>
        <w:rPr>
          <w:rFonts w:ascii="Arial" w:hAnsi="Arial" w:cs="Arial"/>
          <w:sz w:val="24"/>
          <w:szCs w:val="24"/>
        </w:rPr>
      </w:pPr>
      <w:r w:rsidRPr="00BF14C5">
        <w:rPr>
          <w:rFonts w:ascii="Arial" w:hAnsi="Arial" w:cs="Arial"/>
          <w:sz w:val="24"/>
          <w:szCs w:val="24"/>
        </w:rPr>
        <w:t xml:space="preserve">Type 1 and type 2 matters carry </w:t>
      </w:r>
      <w:r w:rsidR="00C22D02" w:rsidRPr="00BF14C5">
        <w:rPr>
          <w:rFonts w:ascii="Arial" w:hAnsi="Arial" w:cs="Arial"/>
          <w:sz w:val="24"/>
          <w:szCs w:val="24"/>
        </w:rPr>
        <w:t xml:space="preserve">different rights for a buyer to rescind a contract for sale. Areas such as carparks and storage lockers are considered of a different nature to balconies and courtyards, and as such changes to their area are considered more appropriate as type 2 matters. </w:t>
      </w:r>
    </w:p>
    <w:p w14:paraId="71CF5CA7" w14:textId="77777777" w:rsidR="000C5782" w:rsidRPr="00BF14C5" w:rsidRDefault="000C5782" w:rsidP="00516145">
      <w:pPr>
        <w:spacing w:after="0"/>
        <w:rPr>
          <w:rFonts w:ascii="Arial" w:hAnsi="Arial" w:cs="Arial"/>
          <w:sz w:val="24"/>
          <w:szCs w:val="24"/>
        </w:rPr>
      </w:pPr>
    </w:p>
    <w:p w14:paraId="006E0C16" w14:textId="42A91876" w:rsidR="008374AB" w:rsidRDefault="000C5782" w:rsidP="00516145">
      <w:pPr>
        <w:spacing w:after="0"/>
        <w:rPr>
          <w:rFonts w:ascii="Arial" w:hAnsi="Arial" w:cs="Arial"/>
          <w:sz w:val="24"/>
          <w:szCs w:val="24"/>
        </w:rPr>
      </w:pPr>
      <w:r w:rsidRPr="000C5782">
        <w:rPr>
          <w:rFonts w:ascii="Arial" w:hAnsi="Arial" w:cs="Arial"/>
          <w:sz w:val="24"/>
          <w:szCs w:val="24"/>
        </w:rPr>
        <w:t xml:space="preserve">For a decrease of 10% or more </w:t>
      </w:r>
      <w:r w:rsidR="006219DD">
        <w:rPr>
          <w:rFonts w:ascii="Arial" w:hAnsi="Arial" w:cs="Arial"/>
          <w:sz w:val="24"/>
          <w:szCs w:val="24"/>
        </w:rPr>
        <w:t>in area of</w:t>
      </w:r>
      <w:r w:rsidRPr="000C5782">
        <w:rPr>
          <w:rFonts w:ascii="Arial" w:hAnsi="Arial" w:cs="Arial"/>
          <w:sz w:val="24"/>
          <w:szCs w:val="24"/>
        </w:rPr>
        <w:t xml:space="preserve"> a unit subsidiary other than a courtyard or balcony area to be a type 2 matter, it must also affect, or be likely to </w:t>
      </w:r>
      <w:r w:rsidR="006219DD">
        <w:rPr>
          <w:rFonts w:ascii="Arial" w:hAnsi="Arial" w:cs="Arial"/>
          <w:sz w:val="24"/>
          <w:szCs w:val="24"/>
        </w:rPr>
        <w:t>affect,</w:t>
      </w:r>
      <w:r w:rsidRPr="000C5782">
        <w:rPr>
          <w:rFonts w:ascii="Arial" w:hAnsi="Arial" w:cs="Arial"/>
          <w:sz w:val="24"/>
          <w:szCs w:val="24"/>
        </w:rPr>
        <w:t xml:space="preserve"> the use or enjoyment of the unit.</w:t>
      </w:r>
    </w:p>
    <w:p w14:paraId="6C1C4161" w14:textId="77777777" w:rsidR="002616AB" w:rsidRDefault="002616AB" w:rsidP="00516145">
      <w:pPr>
        <w:spacing w:after="0"/>
        <w:rPr>
          <w:rFonts w:ascii="Arial" w:hAnsi="Arial" w:cs="Arial"/>
          <w:sz w:val="24"/>
          <w:szCs w:val="24"/>
        </w:rPr>
      </w:pPr>
    </w:p>
    <w:p w14:paraId="455858BF" w14:textId="13051044" w:rsidR="000C5782" w:rsidRDefault="000C5782" w:rsidP="000C5782">
      <w:pPr>
        <w:spacing w:after="0"/>
        <w:rPr>
          <w:rFonts w:ascii="Arial" w:hAnsi="Arial" w:cs="Arial"/>
          <w:b/>
          <w:bCs/>
          <w:sz w:val="24"/>
          <w:szCs w:val="24"/>
        </w:rPr>
      </w:pPr>
      <w:r w:rsidRPr="00BF14C5">
        <w:rPr>
          <w:rFonts w:ascii="Arial" w:hAnsi="Arial" w:cs="Arial"/>
          <w:b/>
          <w:bCs/>
          <w:sz w:val="24"/>
          <w:szCs w:val="24"/>
        </w:rPr>
        <w:t>Clause</w:t>
      </w:r>
      <w:r w:rsidR="002616AB">
        <w:rPr>
          <w:rFonts w:ascii="Arial" w:hAnsi="Arial" w:cs="Arial"/>
          <w:b/>
          <w:bCs/>
          <w:sz w:val="24"/>
          <w:szCs w:val="24"/>
        </w:rPr>
        <w:t>s</w:t>
      </w:r>
      <w:r w:rsidRPr="00BF14C5">
        <w:rPr>
          <w:rFonts w:ascii="Arial" w:hAnsi="Arial" w:cs="Arial"/>
          <w:b/>
          <w:bCs/>
          <w:sz w:val="24"/>
          <w:szCs w:val="24"/>
        </w:rPr>
        <w:t xml:space="preserve"> </w:t>
      </w:r>
      <w:r>
        <w:rPr>
          <w:rFonts w:ascii="Arial" w:hAnsi="Arial" w:cs="Arial"/>
          <w:b/>
          <w:bCs/>
          <w:sz w:val="24"/>
          <w:szCs w:val="24"/>
        </w:rPr>
        <w:t>6</w:t>
      </w:r>
      <w:r w:rsidR="00D80A5C">
        <w:rPr>
          <w:rFonts w:ascii="Arial" w:hAnsi="Arial" w:cs="Arial"/>
          <w:b/>
          <w:bCs/>
          <w:sz w:val="24"/>
          <w:szCs w:val="24"/>
        </w:rPr>
        <w:t xml:space="preserve"> and 7</w:t>
      </w:r>
      <w:r w:rsidRPr="00BF14C5">
        <w:rPr>
          <w:rFonts w:ascii="Arial" w:hAnsi="Arial" w:cs="Arial"/>
          <w:b/>
          <w:bCs/>
          <w:sz w:val="24"/>
          <w:szCs w:val="24"/>
        </w:rPr>
        <w:tab/>
      </w:r>
      <w:r>
        <w:rPr>
          <w:rFonts w:ascii="Arial" w:hAnsi="Arial" w:cs="Arial"/>
          <w:b/>
          <w:bCs/>
          <w:sz w:val="24"/>
          <w:szCs w:val="24"/>
        </w:rPr>
        <w:t>New section 259A(2A)</w:t>
      </w:r>
    </w:p>
    <w:p w14:paraId="6C0C4BAD" w14:textId="1C85FDA9" w:rsidR="00D80A5C" w:rsidRPr="00D80A5C" w:rsidRDefault="00D80A5C" w:rsidP="00D80A5C">
      <w:pPr>
        <w:tabs>
          <w:tab w:val="left" w:pos="2144"/>
        </w:tabs>
        <w:spacing w:after="0"/>
        <w:rPr>
          <w:rFonts w:ascii="Arial" w:hAnsi="Arial" w:cs="Arial"/>
          <w:b/>
          <w:bCs/>
          <w:sz w:val="24"/>
          <w:szCs w:val="24"/>
        </w:rPr>
      </w:pPr>
      <w:r>
        <w:rPr>
          <w:rFonts w:ascii="Arial" w:hAnsi="Arial" w:cs="Arial"/>
          <w:b/>
          <w:bCs/>
          <w:sz w:val="24"/>
          <w:szCs w:val="24"/>
        </w:rPr>
        <w:tab/>
        <w:t xml:space="preserve">Section 259A(3), new definition of </w:t>
      </w:r>
      <w:r>
        <w:rPr>
          <w:rFonts w:ascii="Arial" w:hAnsi="Arial" w:cs="Arial"/>
          <w:b/>
          <w:bCs/>
          <w:i/>
          <w:iCs/>
          <w:sz w:val="24"/>
          <w:szCs w:val="24"/>
        </w:rPr>
        <w:t xml:space="preserve">potential variation </w:t>
      </w:r>
    </w:p>
    <w:p w14:paraId="13938641" w14:textId="4C2B01A3" w:rsidR="000112E7" w:rsidRDefault="00D80A5C" w:rsidP="00516145">
      <w:pPr>
        <w:spacing w:after="0"/>
        <w:rPr>
          <w:rFonts w:ascii="Arial" w:hAnsi="Arial" w:cs="Arial"/>
          <w:sz w:val="24"/>
          <w:szCs w:val="24"/>
        </w:rPr>
      </w:pPr>
      <w:r>
        <w:rPr>
          <w:rFonts w:ascii="Arial" w:hAnsi="Arial" w:cs="Arial"/>
          <w:sz w:val="24"/>
          <w:szCs w:val="24"/>
        </w:rPr>
        <w:t>Clause 6 introduces a new provision in section 259A to provide that in calculating a change to a matter in a disclosure statement (whether it be a type 1 or type 2 matter)</w:t>
      </w:r>
      <w:r w:rsidR="000112E7">
        <w:rPr>
          <w:rFonts w:ascii="Arial" w:hAnsi="Arial" w:cs="Arial"/>
          <w:sz w:val="24"/>
          <w:szCs w:val="24"/>
        </w:rPr>
        <w:t xml:space="preserve"> as set out in section 259A(1)</w:t>
      </w:r>
      <w:r>
        <w:rPr>
          <w:rFonts w:ascii="Arial" w:hAnsi="Arial" w:cs="Arial"/>
          <w:sz w:val="24"/>
          <w:szCs w:val="24"/>
        </w:rPr>
        <w:t>, any potential variation must be disregarded. Clause 7 introduces the definition of potential variation; the information in the disclosure statement about the allowable change in the layout or size of the unit, unit subsidiary or unit entitlement estimate.</w:t>
      </w:r>
    </w:p>
    <w:p w14:paraId="0BF8AD6D" w14:textId="77777777" w:rsidR="000112E7" w:rsidRDefault="000112E7" w:rsidP="00516145">
      <w:pPr>
        <w:spacing w:after="0"/>
        <w:rPr>
          <w:rFonts w:ascii="Arial" w:hAnsi="Arial" w:cs="Arial"/>
          <w:sz w:val="24"/>
          <w:szCs w:val="24"/>
        </w:rPr>
      </w:pPr>
    </w:p>
    <w:p w14:paraId="5DC435BD" w14:textId="77777777" w:rsidR="000112E7" w:rsidRDefault="00D80A5C" w:rsidP="008374AB">
      <w:pPr>
        <w:spacing w:after="0"/>
        <w:rPr>
          <w:rFonts w:ascii="Arial" w:hAnsi="Arial" w:cs="Arial"/>
          <w:sz w:val="24"/>
          <w:szCs w:val="24"/>
        </w:rPr>
      </w:pPr>
      <w:r>
        <w:rPr>
          <w:rFonts w:ascii="Arial" w:hAnsi="Arial" w:cs="Arial"/>
          <w:sz w:val="24"/>
          <w:szCs w:val="24"/>
        </w:rPr>
        <w:t xml:space="preserve">A disclosure statement may for example indicate that </w:t>
      </w:r>
      <w:r w:rsidR="000112E7">
        <w:rPr>
          <w:rFonts w:ascii="Arial" w:hAnsi="Arial" w:cs="Arial"/>
          <w:sz w:val="24"/>
          <w:szCs w:val="24"/>
        </w:rPr>
        <w:t xml:space="preserve">the size of the unit may vary by a certain amount. Clauses 6 and 7 clarify that in calculating a change to a matter in a disclosure statement, such an amount must be disregarded. </w:t>
      </w:r>
    </w:p>
    <w:p w14:paraId="1E916DB9" w14:textId="77777777" w:rsidR="000112E7" w:rsidRDefault="000112E7" w:rsidP="008374AB">
      <w:pPr>
        <w:spacing w:after="0"/>
        <w:rPr>
          <w:rFonts w:ascii="Arial" w:hAnsi="Arial" w:cs="Arial"/>
          <w:sz w:val="24"/>
          <w:szCs w:val="24"/>
        </w:rPr>
      </w:pPr>
    </w:p>
    <w:p w14:paraId="504981E8" w14:textId="7381663F" w:rsidR="008374AB" w:rsidRDefault="000112E7" w:rsidP="008374AB">
      <w:pPr>
        <w:spacing w:after="0"/>
        <w:rPr>
          <w:rFonts w:ascii="Arial" w:hAnsi="Arial" w:cs="Arial"/>
          <w:sz w:val="24"/>
          <w:szCs w:val="24"/>
        </w:rPr>
      </w:pPr>
      <w:r>
        <w:rPr>
          <w:rFonts w:ascii="Arial" w:hAnsi="Arial" w:cs="Arial"/>
          <w:sz w:val="24"/>
          <w:szCs w:val="24"/>
        </w:rPr>
        <w:t>The permissible variance is th</w:t>
      </w:r>
      <w:r w:rsidR="001432C8">
        <w:rPr>
          <w:rFonts w:ascii="Arial" w:hAnsi="Arial" w:cs="Arial"/>
          <w:sz w:val="24"/>
          <w:szCs w:val="24"/>
        </w:rPr>
        <w:t>e maximum</w:t>
      </w:r>
      <w:r>
        <w:rPr>
          <w:rFonts w:ascii="Arial" w:hAnsi="Arial" w:cs="Arial"/>
          <w:sz w:val="24"/>
          <w:szCs w:val="24"/>
        </w:rPr>
        <w:t xml:space="preserve"> set out in section s259A(1) (5% for decrease in overall floor area or unit entitlement estimate and 10% for decrease in area of unit subsidiary),</w:t>
      </w:r>
      <w:r w:rsidR="001432C8">
        <w:rPr>
          <w:rFonts w:ascii="Arial" w:hAnsi="Arial" w:cs="Arial"/>
          <w:sz w:val="24"/>
          <w:szCs w:val="24"/>
        </w:rPr>
        <w:t xml:space="preserve"> before the change becomes a type 1 or type 2 matter,</w:t>
      </w:r>
      <w:r>
        <w:rPr>
          <w:rFonts w:ascii="Arial" w:hAnsi="Arial" w:cs="Arial"/>
          <w:sz w:val="24"/>
          <w:szCs w:val="24"/>
        </w:rPr>
        <w:t xml:space="preserve"> </w:t>
      </w:r>
      <w:r w:rsidR="001432C8">
        <w:rPr>
          <w:rFonts w:ascii="Arial" w:hAnsi="Arial" w:cs="Arial"/>
          <w:sz w:val="24"/>
          <w:szCs w:val="24"/>
        </w:rPr>
        <w:t xml:space="preserve">and this will include any allowable change noted in a disclosure statement, and any change that has occurred during progress of the development. </w:t>
      </w:r>
    </w:p>
    <w:p w14:paraId="2B4DA44F" w14:textId="77777777" w:rsidR="000112E7" w:rsidRDefault="000112E7" w:rsidP="008374AB">
      <w:pPr>
        <w:spacing w:after="0"/>
        <w:rPr>
          <w:rFonts w:ascii="Arial" w:hAnsi="Arial" w:cs="Arial"/>
          <w:b/>
          <w:bCs/>
          <w:sz w:val="28"/>
          <w:szCs w:val="28"/>
        </w:rPr>
      </w:pPr>
    </w:p>
    <w:p w14:paraId="39851254" w14:textId="64209008" w:rsidR="000112E7" w:rsidRDefault="000112E7" w:rsidP="000112E7">
      <w:pPr>
        <w:spacing w:after="0"/>
        <w:rPr>
          <w:rFonts w:ascii="Arial" w:hAnsi="Arial" w:cs="Arial"/>
          <w:b/>
          <w:bCs/>
          <w:sz w:val="24"/>
          <w:szCs w:val="24"/>
        </w:rPr>
      </w:pPr>
      <w:r w:rsidRPr="00BF14C5">
        <w:rPr>
          <w:rFonts w:ascii="Arial" w:hAnsi="Arial" w:cs="Arial"/>
          <w:b/>
          <w:bCs/>
          <w:sz w:val="24"/>
          <w:szCs w:val="24"/>
        </w:rPr>
        <w:t>Clause</w:t>
      </w:r>
      <w:r>
        <w:rPr>
          <w:rFonts w:ascii="Arial" w:hAnsi="Arial" w:cs="Arial"/>
          <w:b/>
          <w:bCs/>
          <w:sz w:val="24"/>
          <w:szCs w:val="24"/>
        </w:rPr>
        <w:t>s</w:t>
      </w:r>
      <w:r w:rsidRPr="00BF14C5">
        <w:rPr>
          <w:rFonts w:ascii="Arial" w:hAnsi="Arial" w:cs="Arial"/>
          <w:b/>
          <w:bCs/>
          <w:sz w:val="24"/>
          <w:szCs w:val="24"/>
        </w:rPr>
        <w:t xml:space="preserve"> </w:t>
      </w:r>
      <w:r>
        <w:rPr>
          <w:rFonts w:ascii="Arial" w:hAnsi="Arial" w:cs="Arial"/>
          <w:b/>
          <w:bCs/>
          <w:sz w:val="24"/>
          <w:szCs w:val="24"/>
        </w:rPr>
        <w:t>8 and 9</w:t>
      </w:r>
      <w:r w:rsidRPr="00BF14C5">
        <w:rPr>
          <w:rFonts w:ascii="Arial" w:hAnsi="Arial" w:cs="Arial"/>
          <w:b/>
          <w:bCs/>
          <w:sz w:val="24"/>
          <w:szCs w:val="24"/>
        </w:rPr>
        <w:tab/>
      </w:r>
      <w:r>
        <w:rPr>
          <w:rFonts w:ascii="Arial" w:hAnsi="Arial" w:cs="Arial"/>
          <w:b/>
          <w:bCs/>
          <w:sz w:val="24"/>
          <w:szCs w:val="24"/>
        </w:rPr>
        <w:t xml:space="preserve">Contract for sale of unit before registration of units plan </w:t>
      </w:r>
    </w:p>
    <w:p w14:paraId="411CF82F" w14:textId="42634B20" w:rsidR="000112E7" w:rsidRDefault="000112E7" w:rsidP="000112E7">
      <w:pPr>
        <w:tabs>
          <w:tab w:val="left" w:pos="2144"/>
        </w:tabs>
        <w:spacing w:after="0"/>
        <w:rPr>
          <w:rFonts w:ascii="Arial" w:hAnsi="Arial" w:cs="Arial"/>
          <w:b/>
          <w:bCs/>
          <w:i/>
          <w:iCs/>
          <w:sz w:val="24"/>
          <w:szCs w:val="24"/>
        </w:rPr>
      </w:pPr>
      <w:r>
        <w:rPr>
          <w:rFonts w:ascii="Arial" w:hAnsi="Arial" w:cs="Arial"/>
          <w:b/>
          <w:bCs/>
          <w:sz w:val="24"/>
          <w:szCs w:val="24"/>
        </w:rPr>
        <w:tab/>
        <w:t xml:space="preserve">Section 259A(3), new definition of </w:t>
      </w:r>
      <w:r>
        <w:rPr>
          <w:rFonts w:ascii="Arial" w:hAnsi="Arial" w:cs="Arial"/>
          <w:b/>
          <w:bCs/>
          <w:i/>
          <w:iCs/>
          <w:sz w:val="24"/>
          <w:szCs w:val="24"/>
        </w:rPr>
        <w:t xml:space="preserve">potential variation </w:t>
      </w:r>
    </w:p>
    <w:p w14:paraId="7645F159" w14:textId="65B3458F" w:rsidR="000112E7" w:rsidRPr="000112E7" w:rsidRDefault="000112E7" w:rsidP="000112E7">
      <w:pPr>
        <w:tabs>
          <w:tab w:val="left" w:pos="2144"/>
        </w:tabs>
        <w:spacing w:after="0"/>
        <w:rPr>
          <w:rFonts w:ascii="Arial" w:hAnsi="Arial" w:cs="Arial"/>
          <w:b/>
          <w:bCs/>
          <w:i/>
          <w:iCs/>
          <w:sz w:val="24"/>
          <w:szCs w:val="24"/>
        </w:rPr>
      </w:pPr>
      <w:r>
        <w:rPr>
          <w:rFonts w:ascii="Arial" w:hAnsi="Arial" w:cs="Arial"/>
          <w:b/>
          <w:bCs/>
          <w:sz w:val="24"/>
          <w:szCs w:val="24"/>
        </w:rPr>
        <w:tab/>
        <w:t xml:space="preserve">Dictionary, new definition of </w:t>
      </w:r>
      <w:r>
        <w:rPr>
          <w:rFonts w:ascii="Arial" w:hAnsi="Arial" w:cs="Arial"/>
          <w:b/>
          <w:bCs/>
          <w:i/>
          <w:iCs/>
          <w:sz w:val="24"/>
          <w:szCs w:val="24"/>
        </w:rPr>
        <w:t>unit subsidiary</w:t>
      </w:r>
    </w:p>
    <w:p w14:paraId="431AC480" w14:textId="4600574F" w:rsidR="000112E7" w:rsidRPr="000112E7" w:rsidRDefault="000112E7" w:rsidP="008374AB">
      <w:pPr>
        <w:spacing w:after="0"/>
        <w:rPr>
          <w:rFonts w:ascii="Arial" w:hAnsi="Arial" w:cs="Arial"/>
          <w:i/>
          <w:iCs/>
          <w:sz w:val="24"/>
          <w:szCs w:val="24"/>
        </w:rPr>
      </w:pPr>
      <w:r w:rsidRPr="000112E7">
        <w:rPr>
          <w:rFonts w:ascii="Arial" w:hAnsi="Arial" w:cs="Arial"/>
          <w:sz w:val="24"/>
          <w:szCs w:val="24"/>
        </w:rPr>
        <w:t xml:space="preserve">Clause 8 removes the definition of </w:t>
      </w:r>
      <w:r w:rsidRPr="000112E7">
        <w:rPr>
          <w:rFonts w:ascii="Arial" w:hAnsi="Arial" w:cs="Arial"/>
          <w:i/>
          <w:iCs/>
          <w:sz w:val="24"/>
          <w:szCs w:val="24"/>
        </w:rPr>
        <w:t xml:space="preserve">unit subsidiary </w:t>
      </w:r>
      <w:r w:rsidRPr="000112E7">
        <w:rPr>
          <w:rFonts w:ascii="Arial" w:hAnsi="Arial" w:cs="Arial"/>
          <w:sz w:val="24"/>
          <w:szCs w:val="24"/>
        </w:rPr>
        <w:t>from section 260(4), as a definition</w:t>
      </w:r>
      <w:r>
        <w:rPr>
          <w:rFonts w:ascii="Arial" w:hAnsi="Arial" w:cs="Arial"/>
          <w:sz w:val="24"/>
          <w:szCs w:val="24"/>
        </w:rPr>
        <w:t xml:space="preserve"> of the term</w:t>
      </w:r>
      <w:r w:rsidRPr="000112E7">
        <w:rPr>
          <w:rFonts w:ascii="Arial" w:hAnsi="Arial" w:cs="Arial"/>
          <w:sz w:val="24"/>
          <w:szCs w:val="24"/>
        </w:rPr>
        <w:t xml:space="preserve"> is now provided for in the parts definition in part 2.9</w:t>
      </w:r>
      <w:r w:rsidR="001812C0" w:rsidRPr="001812C0">
        <w:rPr>
          <w:rFonts w:ascii="Arial" w:hAnsi="Arial" w:cs="Arial"/>
          <w:sz w:val="24"/>
          <w:szCs w:val="24"/>
        </w:rPr>
        <w:t xml:space="preserve"> </w:t>
      </w:r>
      <w:r w:rsidR="001812C0">
        <w:rPr>
          <w:rFonts w:ascii="Arial" w:hAnsi="Arial" w:cs="Arial"/>
          <w:sz w:val="24"/>
          <w:szCs w:val="24"/>
        </w:rPr>
        <w:t>(</w:t>
      </w:r>
      <w:r w:rsidR="001812C0" w:rsidRPr="000112E7">
        <w:rPr>
          <w:rFonts w:ascii="Arial" w:hAnsi="Arial" w:cs="Arial"/>
          <w:sz w:val="24"/>
          <w:szCs w:val="24"/>
        </w:rPr>
        <w:t>with clause 4</w:t>
      </w:r>
      <w:r w:rsidR="001812C0">
        <w:rPr>
          <w:rFonts w:ascii="Arial" w:hAnsi="Arial" w:cs="Arial"/>
          <w:sz w:val="24"/>
          <w:szCs w:val="24"/>
        </w:rPr>
        <w:t xml:space="preserve"> of the Bill)</w:t>
      </w:r>
      <w:r w:rsidRPr="000112E7">
        <w:rPr>
          <w:rFonts w:ascii="Arial" w:hAnsi="Arial" w:cs="Arial"/>
          <w:sz w:val="24"/>
          <w:szCs w:val="24"/>
        </w:rPr>
        <w:t xml:space="preserve">. </w:t>
      </w:r>
      <w:r w:rsidRPr="000112E7">
        <w:rPr>
          <w:rFonts w:ascii="Arial" w:hAnsi="Arial" w:cs="Arial"/>
          <w:i/>
          <w:iCs/>
          <w:sz w:val="24"/>
          <w:szCs w:val="24"/>
        </w:rPr>
        <w:t xml:space="preserve"> </w:t>
      </w:r>
    </w:p>
    <w:p w14:paraId="0D8E6764" w14:textId="2B211B41" w:rsidR="000112E7" w:rsidRPr="000112E7" w:rsidRDefault="000112E7" w:rsidP="008374AB">
      <w:pPr>
        <w:spacing w:after="0"/>
        <w:rPr>
          <w:rFonts w:ascii="Arial" w:hAnsi="Arial" w:cs="Arial"/>
          <w:i/>
          <w:iCs/>
          <w:sz w:val="24"/>
          <w:szCs w:val="24"/>
        </w:rPr>
      </w:pPr>
    </w:p>
    <w:p w14:paraId="301F61BC" w14:textId="778EF53E" w:rsidR="000112E7" w:rsidRPr="000112E7" w:rsidRDefault="000112E7" w:rsidP="008374AB">
      <w:pPr>
        <w:spacing w:after="0"/>
        <w:rPr>
          <w:rFonts w:ascii="Arial" w:hAnsi="Arial" w:cs="Arial"/>
          <w:sz w:val="24"/>
          <w:szCs w:val="24"/>
        </w:rPr>
      </w:pPr>
      <w:r w:rsidRPr="000112E7">
        <w:rPr>
          <w:rFonts w:ascii="Arial" w:hAnsi="Arial" w:cs="Arial"/>
          <w:sz w:val="24"/>
          <w:szCs w:val="24"/>
        </w:rPr>
        <w:t xml:space="preserve">Clause 9 inserts a definition of </w:t>
      </w:r>
      <w:r w:rsidRPr="000112E7">
        <w:rPr>
          <w:rFonts w:ascii="Arial" w:hAnsi="Arial" w:cs="Arial"/>
          <w:i/>
          <w:iCs/>
          <w:sz w:val="24"/>
          <w:szCs w:val="24"/>
        </w:rPr>
        <w:t xml:space="preserve">unit subsidiary </w:t>
      </w:r>
      <w:r w:rsidRPr="000112E7">
        <w:rPr>
          <w:rFonts w:ascii="Arial" w:hAnsi="Arial" w:cs="Arial"/>
          <w:sz w:val="24"/>
          <w:szCs w:val="24"/>
        </w:rPr>
        <w:t xml:space="preserve">into the Dictionary section of the Act, </w:t>
      </w:r>
      <w:r>
        <w:rPr>
          <w:rFonts w:ascii="Arial" w:hAnsi="Arial" w:cs="Arial"/>
          <w:sz w:val="24"/>
          <w:szCs w:val="24"/>
        </w:rPr>
        <w:t xml:space="preserve">to cross-reference the definition of the term introduced in part 2.9 by clause 4. </w:t>
      </w:r>
    </w:p>
    <w:p w14:paraId="2BD3D684" w14:textId="29266646" w:rsidR="000112E7" w:rsidRDefault="000112E7" w:rsidP="008374AB">
      <w:pPr>
        <w:spacing w:after="0"/>
        <w:rPr>
          <w:rFonts w:ascii="Arial" w:hAnsi="Arial" w:cs="Arial"/>
          <w:b/>
          <w:bCs/>
          <w:sz w:val="28"/>
          <w:szCs w:val="28"/>
        </w:rPr>
      </w:pPr>
    </w:p>
    <w:p w14:paraId="2F098B02" w14:textId="1E8264E8" w:rsidR="008374AB" w:rsidRDefault="008374AB" w:rsidP="008374AB">
      <w:pPr>
        <w:spacing w:after="0"/>
        <w:rPr>
          <w:rFonts w:ascii="Arial" w:hAnsi="Arial" w:cs="Arial"/>
          <w:b/>
          <w:bCs/>
          <w:sz w:val="28"/>
          <w:szCs w:val="28"/>
        </w:rPr>
      </w:pPr>
      <w:r>
        <w:rPr>
          <w:rFonts w:ascii="Arial" w:hAnsi="Arial" w:cs="Arial"/>
          <w:b/>
          <w:bCs/>
          <w:sz w:val="28"/>
          <w:szCs w:val="28"/>
        </w:rPr>
        <w:t>Part 3</w:t>
      </w:r>
      <w:r>
        <w:rPr>
          <w:rFonts w:ascii="Arial" w:hAnsi="Arial" w:cs="Arial"/>
          <w:b/>
          <w:bCs/>
          <w:sz w:val="28"/>
          <w:szCs w:val="28"/>
        </w:rPr>
        <w:tab/>
      </w:r>
      <w:r>
        <w:rPr>
          <w:rFonts w:ascii="Arial" w:hAnsi="Arial" w:cs="Arial"/>
          <w:b/>
          <w:bCs/>
          <w:sz w:val="28"/>
          <w:szCs w:val="28"/>
        </w:rPr>
        <w:tab/>
        <w:t>Civil Law (Property) Regulation 2020</w:t>
      </w:r>
    </w:p>
    <w:p w14:paraId="0B65E8C2" w14:textId="77777777" w:rsidR="00BA0178" w:rsidRDefault="00BA0178" w:rsidP="008374AB">
      <w:pPr>
        <w:spacing w:after="0"/>
        <w:rPr>
          <w:rFonts w:ascii="Arial" w:hAnsi="Arial" w:cs="Arial"/>
          <w:b/>
          <w:bCs/>
          <w:sz w:val="28"/>
          <w:szCs w:val="28"/>
        </w:rPr>
      </w:pPr>
    </w:p>
    <w:p w14:paraId="0B927C63" w14:textId="36476159" w:rsidR="008374AB" w:rsidRDefault="008374AB" w:rsidP="008374AB">
      <w:pPr>
        <w:spacing w:after="0"/>
        <w:rPr>
          <w:rFonts w:ascii="Arial" w:hAnsi="Arial" w:cs="Arial"/>
          <w:b/>
          <w:bCs/>
          <w:sz w:val="24"/>
          <w:szCs w:val="24"/>
        </w:rPr>
      </w:pPr>
      <w:r w:rsidRPr="008D3572">
        <w:rPr>
          <w:rFonts w:ascii="Arial" w:hAnsi="Arial" w:cs="Arial"/>
          <w:b/>
          <w:bCs/>
          <w:sz w:val="24"/>
          <w:szCs w:val="24"/>
        </w:rPr>
        <w:t xml:space="preserve">Clause </w:t>
      </w:r>
      <w:r w:rsidR="00FB6F88">
        <w:rPr>
          <w:rFonts w:ascii="Arial" w:hAnsi="Arial" w:cs="Arial"/>
          <w:b/>
          <w:bCs/>
          <w:sz w:val="24"/>
          <w:szCs w:val="24"/>
        </w:rPr>
        <w:t>10</w:t>
      </w:r>
      <w:r w:rsidRPr="008D3572">
        <w:rPr>
          <w:rFonts w:ascii="Arial" w:hAnsi="Arial" w:cs="Arial"/>
          <w:b/>
          <w:bCs/>
          <w:sz w:val="24"/>
          <w:szCs w:val="24"/>
        </w:rPr>
        <w:tab/>
      </w:r>
      <w:r w:rsidR="00FB6F88">
        <w:rPr>
          <w:rFonts w:ascii="Arial" w:hAnsi="Arial" w:cs="Arial"/>
          <w:b/>
          <w:bCs/>
          <w:sz w:val="24"/>
          <w:szCs w:val="24"/>
        </w:rPr>
        <w:t>Type 1 matter in disclosure statement- Act,</w:t>
      </w:r>
    </w:p>
    <w:p w14:paraId="217590F9" w14:textId="4E5B2E32" w:rsidR="00FB6F88" w:rsidRDefault="00FB6F88" w:rsidP="00FB6F88">
      <w:pPr>
        <w:spacing w:after="0"/>
        <w:rPr>
          <w:rFonts w:ascii="Arial" w:hAnsi="Arial" w:cs="Arial"/>
          <w:b/>
          <w:bCs/>
          <w:sz w:val="24"/>
          <w:szCs w:val="24"/>
        </w:rPr>
      </w:pPr>
      <w:r>
        <w:rPr>
          <w:rFonts w:ascii="Arial" w:hAnsi="Arial" w:cs="Arial"/>
          <w:b/>
          <w:bCs/>
          <w:sz w:val="24"/>
          <w:szCs w:val="24"/>
        </w:rPr>
        <w:t xml:space="preserve">                      s 259A(1)(a)(iv)</w:t>
      </w:r>
    </w:p>
    <w:p w14:paraId="059958E0" w14:textId="1B08058A" w:rsidR="00FB6F88" w:rsidRPr="008D3572" w:rsidRDefault="00FB6F88" w:rsidP="00FB6F88">
      <w:pPr>
        <w:spacing w:after="0"/>
        <w:rPr>
          <w:rFonts w:ascii="Arial" w:hAnsi="Arial" w:cs="Arial"/>
          <w:b/>
          <w:bCs/>
          <w:sz w:val="24"/>
          <w:szCs w:val="24"/>
        </w:rPr>
      </w:pPr>
      <w:r>
        <w:rPr>
          <w:rFonts w:ascii="Arial" w:hAnsi="Arial" w:cs="Arial"/>
          <w:b/>
          <w:bCs/>
          <w:sz w:val="24"/>
          <w:szCs w:val="24"/>
        </w:rPr>
        <w:t xml:space="preserve">                      Section 1A</w:t>
      </w:r>
    </w:p>
    <w:p w14:paraId="6ECD26CC" w14:textId="13F17759" w:rsidR="009109C9" w:rsidRDefault="009109C9" w:rsidP="009109C9">
      <w:pPr>
        <w:spacing w:after="0"/>
        <w:rPr>
          <w:rFonts w:ascii="Arial" w:hAnsi="Arial" w:cs="Arial"/>
          <w:sz w:val="24"/>
          <w:szCs w:val="24"/>
        </w:rPr>
      </w:pPr>
      <w:r w:rsidRPr="009109C9">
        <w:rPr>
          <w:rFonts w:ascii="Arial" w:hAnsi="Arial" w:cs="Arial"/>
          <w:sz w:val="24"/>
          <w:szCs w:val="24"/>
        </w:rPr>
        <w:t xml:space="preserve">This clause removes </w:t>
      </w:r>
      <w:r w:rsidR="001812C0">
        <w:rPr>
          <w:rFonts w:ascii="Arial" w:hAnsi="Arial" w:cs="Arial"/>
          <w:sz w:val="24"/>
          <w:szCs w:val="24"/>
        </w:rPr>
        <w:t>s</w:t>
      </w:r>
      <w:r w:rsidRPr="009109C9">
        <w:rPr>
          <w:rFonts w:ascii="Arial" w:hAnsi="Arial" w:cs="Arial"/>
          <w:sz w:val="24"/>
          <w:szCs w:val="24"/>
        </w:rPr>
        <w:t xml:space="preserve">ection 1A. Section 1A originally prescribed that changes in layout and size for a type 1 matter were to be calculated disregarding a potential variation that may be stated in a contract for sale. </w:t>
      </w:r>
    </w:p>
    <w:p w14:paraId="3CDCC6CA" w14:textId="77777777" w:rsidR="009109C9" w:rsidRDefault="009109C9" w:rsidP="009109C9">
      <w:pPr>
        <w:spacing w:after="0"/>
        <w:rPr>
          <w:rFonts w:ascii="Arial" w:hAnsi="Arial" w:cs="Arial"/>
          <w:sz w:val="24"/>
          <w:szCs w:val="24"/>
        </w:rPr>
      </w:pPr>
    </w:p>
    <w:p w14:paraId="17ED5717" w14:textId="5FA6B412" w:rsidR="009109C9" w:rsidRPr="009109C9" w:rsidRDefault="009109C9" w:rsidP="009109C9">
      <w:pPr>
        <w:spacing w:after="0"/>
        <w:rPr>
          <w:rFonts w:ascii="Arial" w:hAnsi="Arial" w:cs="Arial"/>
          <w:sz w:val="24"/>
          <w:szCs w:val="24"/>
        </w:rPr>
      </w:pPr>
      <w:r w:rsidRPr="009109C9">
        <w:rPr>
          <w:rFonts w:ascii="Arial" w:hAnsi="Arial" w:cs="Arial"/>
          <w:sz w:val="24"/>
          <w:szCs w:val="24"/>
        </w:rPr>
        <w:t xml:space="preserve">Clauses 6 and 7 of the </w:t>
      </w:r>
      <w:r>
        <w:rPr>
          <w:rFonts w:ascii="Arial" w:hAnsi="Arial" w:cs="Arial"/>
          <w:sz w:val="24"/>
          <w:szCs w:val="24"/>
        </w:rPr>
        <w:t>B</w:t>
      </w:r>
      <w:r w:rsidRPr="009109C9">
        <w:rPr>
          <w:rFonts w:ascii="Arial" w:hAnsi="Arial" w:cs="Arial"/>
          <w:sz w:val="24"/>
          <w:szCs w:val="24"/>
        </w:rPr>
        <w:t xml:space="preserve">ill provide that potential variation </w:t>
      </w:r>
      <w:r w:rsidR="00013C9F">
        <w:rPr>
          <w:rFonts w:ascii="Arial" w:hAnsi="Arial" w:cs="Arial"/>
          <w:sz w:val="24"/>
          <w:szCs w:val="24"/>
        </w:rPr>
        <w:t>must</w:t>
      </w:r>
      <w:r w:rsidRPr="009109C9">
        <w:rPr>
          <w:rFonts w:ascii="Arial" w:hAnsi="Arial" w:cs="Arial"/>
          <w:sz w:val="24"/>
          <w:szCs w:val="24"/>
        </w:rPr>
        <w:t xml:space="preserve"> be disregarded when calculating a change in both type 1 and type 2 matters. Those amendments along with section 259A (1) (a) of the </w:t>
      </w:r>
      <w:r w:rsidRPr="009109C9">
        <w:rPr>
          <w:rFonts w:ascii="Arial" w:hAnsi="Arial" w:cs="Arial"/>
          <w:i/>
          <w:iCs/>
          <w:sz w:val="24"/>
          <w:szCs w:val="24"/>
        </w:rPr>
        <w:t>Civil Law (Property) Act 2006</w:t>
      </w:r>
      <w:r w:rsidRPr="009109C9">
        <w:rPr>
          <w:rFonts w:ascii="Arial" w:hAnsi="Arial" w:cs="Arial"/>
          <w:sz w:val="24"/>
          <w:szCs w:val="24"/>
        </w:rPr>
        <w:t xml:space="preserve"> result in section 1A being redundant and </w:t>
      </w:r>
      <w:r w:rsidR="001812C0">
        <w:rPr>
          <w:rFonts w:ascii="Arial" w:hAnsi="Arial" w:cs="Arial"/>
          <w:sz w:val="24"/>
          <w:szCs w:val="24"/>
        </w:rPr>
        <w:t>as such it has</w:t>
      </w:r>
      <w:r w:rsidRPr="009109C9">
        <w:rPr>
          <w:rFonts w:ascii="Arial" w:hAnsi="Arial" w:cs="Arial"/>
          <w:sz w:val="24"/>
          <w:szCs w:val="24"/>
        </w:rPr>
        <w:t xml:space="preserve"> been removed to prevent duplication.</w:t>
      </w:r>
    </w:p>
    <w:p w14:paraId="556CB73C" w14:textId="09A8ED54" w:rsidR="00C22D02" w:rsidRDefault="00C22D02" w:rsidP="008374AB">
      <w:pPr>
        <w:spacing w:after="0"/>
        <w:rPr>
          <w:rFonts w:ascii="Arial" w:hAnsi="Arial" w:cs="Arial"/>
          <w:sz w:val="24"/>
          <w:szCs w:val="24"/>
        </w:rPr>
      </w:pPr>
    </w:p>
    <w:p w14:paraId="30A556B4" w14:textId="77777777" w:rsidR="001812C0" w:rsidRPr="008D3572" w:rsidRDefault="001812C0" w:rsidP="008374AB">
      <w:pPr>
        <w:spacing w:after="0"/>
        <w:rPr>
          <w:rFonts w:ascii="Arial" w:hAnsi="Arial" w:cs="Arial"/>
          <w:sz w:val="24"/>
          <w:szCs w:val="24"/>
        </w:rPr>
      </w:pPr>
    </w:p>
    <w:p w14:paraId="211E338D" w14:textId="77777777" w:rsidR="008374AB" w:rsidRDefault="008374AB" w:rsidP="008374AB">
      <w:pPr>
        <w:spacing w:after="0"/>
        <w:rPr>
          <w:rFonts w:ascii="Arial" w:hAnsi="Arial" w:cs="Arial"/>
        </w:rPr>
      </w:pPr>
    </w:p>
    <w:p w14:paraId="6CB7CF36" w14:textId="77777777" w:rsidR="006073C9" w:rsidRDefault="006073C9" w:rsidP="005E2D38">
      <w:pPr>
        <w:spacing w:after="0"/>
        <w:rPr>
          <w:rFonts w:ascii="Arial" w:hAnsi="Arial" w:cs="Arial"/>
          <w:b/>
          <w:bCs/>
          <w:sz w:val="28"/>
          <w:szCs w:val="28"/>
        </w:rPr>
      </w:pPr>
    </w:p>
    <w:p w14:paraId="7F55BC62" w14:textId="5D99B4BE" w:rsidR="005E2D38" w:rsidRDefault="005E2D38" w:rsidP="005E2D38">
      <w:pPr>
        <w:spacing w:after="0"/>
        <w:rPr>
          <w:rFonts w:ascii="Arial" w:hAnsi="Arial" w:cs="Arial"/>
          <w:b/>
          <w:bCs/>
          <w:sz w:val="28"/>
          <w:szCs w:val="28"/>
        </w:rPr>
      </w:pPr>
      <w:r>
        <w:rPr>
          <w:rFonts w:ascii="Arial" w:hAnsi="Arial" w:cs="Arial"/>
          <w:b/>
          <w:bCs/>
          <w:sz w:val="28"/>
          <w:szCs w:val="28"/>
        </w:rPr>
        <w:t>Part 4</w:t>
      </w:r>
      <w:r>
        <w:rPr>
          <w:rFonts w:ascii="Arial" w:hAnsi="Arial" w:cs="Arial"/>
          <w:b/>
          <w:bCs/>
          <w:sz w:val="28"/>
          <w:szCs w:val="28"/>
        </w:rPr>
        <w:tab/>
      </w:r>
      <w:r>
        <w:rPr>
          <w:rFonts w:ascii="Arial" w:hAnsi="Arial" w:cs="Arial"/>
          <w:b/>
          <w:bCs/>
          <w:sz w:val="28"/>
          <w:szCs w:val="28"/>
        </w:rPr>
        <w:tab/>
        <w:t>Civil Law (Sale of Residential Property) Act 2003</w:t>
      </w:r>
    </w:p>
    <w:p w14:paraId="745FD5E1" w14:textId="77777777" w:rsidR="00BA0178" w:rsidRDefault="00BA0178" w:rsidP="005E2D38">
      <w:pPr>
        <w:spacing w:after="0"/>
        <w:rPr>
          <w:rFonts w:ascii="Arial" w:hAnsi="Arial" w:cs="Arial"/>
          <w:b/>
          <w:bCs/>
          <w:sz w:val="28"/>
          <w:szCs w:val="28"/>
        </w:rPr>
      </w:pPr>
    </w:p>
    <w:p w14:paraId="6829D94A" w14:textId="7FE54D9A" w:rsidR="007522E9" w:rsidRPr="008D3572" w:rsidRDefault="007522E9" w:rsidP="007522E9">
      <w:pPr>
        <w:spacing w:after="0"/>
        <w:rPr>
          <w:rFonts w:ascii="Arial" w:hAnsi="Arial" w:cs="Arial"/>
          <w:b/>
          <w:bCs/>
          <w:sz w:val="24"/>
          <w:szCs w:val="24"/>
        </w:rPr>
      </w:pPr>
      <w:r w:rsidRPr="008D3572">
        <w:rPr>
          <w:rFonts w:ascii="Arial" w:hAnsi="Arial" w:cs="Arial"/>
          <w:b/>
          <w:bCs/>
          <w:sz w:val="24"/>
          <w:szCs w:val="24"/>
        </w:rPr>
        <w:t xml:space="preserve">Clause </w:t>
      </w:r>
      <w:r w:rsidR="00316C30">
        <w:rPr>
          <w:rFonts w:ascii="Arial" w:hAnsi="Arial" w:cs="Arial"/>
          <w:b/>
          <w:bCs/>
          <w:sz w:val="24"/>
          <w:szCs w:val="24"/>
        </w:rPr>
        <w:t>11</w:t>
      </w:r>
      <w:r w:rsidRPr="008D3572">
        <w:rPr>
          <w:rFonts w:ascii="Arial" w:hAnsi="Arial" w:cs="Arial"/>
          <w:b/>
          <w:bCs/>
          <w:sz w:val="24"/>
          <w:szCs w:val="24"/>
        </w:rPr>
        <w:tab/>
        <w:t xml:space="preserve">Meaning of </w:t>
      </w:r>
      <w:r w:rsidRPr="008D3572">
        <w:rPr>
          <w:rFonts w:ascii="Arial" w:hAnsi="Arial" w:cs="Arial"/>
          <w:b/>
          <w:bCs/>
          <w:i/>
          <w:iCs/>
          <w:sz w:val="24"/>
          <w:szCs w:val="24"/>
        </w:rPr>
        <w:t>required</w:t>
      </w:r>
      <w:r w:rsidRPr="008D3572">
        <w:rPr>
          <w:rFonts w:ascii="Arial" w:hAnsi="Arial" w:cs="Arial"/>
          <w:b/>
          <w:bCs/>
          <w:sz w:val="24"/>
          <w:szCs w:val="24"/>
        </w:rPr>
        <w:t xml:space="preserve"> documents</w:t>
      </w:r>
    </w:p>
    <w:p w14:paraId="3A0E9445" w14:textId="05DAD494" w:rsidR="005E2D38" w:rsidRPr="008D3572" w:rsidRDefault="007522E9" w:rsidP="007522E9">
      <w:pPr>
        <w:tabs>
          <w:tab w:val="left" w:pos="1402"/>
        </w:tabs>
        <w:spacing w:after="0"/>
        <w:rPr>
          <w:rFonts w:ascii="Arial" w:hAnsi="Arial" w:cs="Arial"/>
          <w:b/>
          <w:bCs/>
          <w:sz w:val="24"/>
          <w:szCs w:val="24"/>
        </w:rPr>
      </w:pPr>
      <w:r w:rsidRPr="008D3572">
        <w:rPr>
          <w:rFonts w:ascii="Arial" w:hAnsi="Arial" w:cs="Arial"/>
          <w:b/>
          <w:bCs/>
          <w:sz w:val="24"/>
          <w:szCs w:val="24"/>
        </w:rPr>
        <w:tab/>
      </w:r>
      <w:r w:rsidR="00BA0178">
        <w:rPr>
          <w:rFonts w:ascii="Arial" w:hAnsi="Arial" w:cs="Arial"/>
          <w:b/>
          <w:bCs/>
          <w:sz w:val="24"/>
          <w:szCs w:val="24"/>
        </w:rPr>
        <w:t xml:space="preserve"> </w:t>
      </w:r>
      <w:r w:rsidRPr="008D3572">
        <w:rPr>
          <w:rFonts w:ascii="Arial" w:hAnsi="Arial" w:cs="Arial"/>
          <w:b/>
          <w:bCs/>
          <w:sz w:val="24"/>
          <w:szCs w:val="24"/>
        </w:rPr>
        <w:t>Section 9 (1) (g) (i) (B)</w:t>
      </w:r>
      <w:r w:rsidR="00316C30">
        <w:rPr>
          <w:rFonts w:ascii="Arial" w:hAnsi="Arial" w:cs="Arial"/>
          <w:b/>
          <w:bCs/>
          <w:sz w:val="24"/>
          <w:szCs w:val="24"/>
        </w:rPr>
        <w:t>, new note</w:t>
      </w:r>
    </w:p>
    <w:p w14:paraId="14DA2391" w14:textId="77777777" w:rsidR="006A0F6D" w:rsidRDefault="007522E9" w:rsidP="007522E9">
      <w:pPr>
        <w:tabs>
          <w:tab w:val="left" w:pos="1402"/>
        </w:tabs>
        <w:spacing w:after="0"/>
        <w:rPr>
          <w:rFonts w:ascii="Arial" w:hAnsi="Arial" w:cs="Arial"/>
          <w:sz w:val="24"/>
          <w:szCs w:val="24"/>
        </w:rPr>
      </w:pPr>
      <w:r w:rsidRPr="008D3572">
        <w:rPr>
          <w:rFonts w:ascii="Arial" w:hAnsi="Arial" w:cs="Arial"/>
          <w:sz w:val="24"/>
          <w:szCs w:val="24"/>
        </w:rPr>
        <w:t>This clause inserts a note into section 9, which sets out the required documents for a sale of residential property. The note makes clear that an eligible person may request a unit title update certificate</w:t>
      </w:r>
      <w:r w:rsidR="00316C30">
        <w:rPr>
          <w:rFonts w:ascii="Arial" w:hAnsi="Arial" w:cs="Arial"/>
          <w:sz w:val="24"/>
          <w:szCs w:val="24"/>
        </w:rPr>
        <w:t xml:space="preserve"> from the owners corporation</w:t>
      </w:r>
      <w:r w:rsidRPr="008D3572">
        <w:rPr>
          <w:rFonts w:ascii="Arial" w:hAnsi="Arial" w:cs="Arial"/>
          <w:sz w:val="24"/>
          <w:szCs w:val="24"/>
        </w:rPr>
        <w:t xml:space="preserve">. </w:t>
      </w:r>
      <w:r w:rsidR="004F1790" w:rsidRPr="008D3572">
        <w:rPr>
          <w:rFonts w:ascii="Arial" w:hAnsi="Arial" w:cs="Arial"/>
          <w:sz w:val="24"/>
          <w:szCs w:val="24"/>
        </w:rPr>
        <w:t xml:space="preserve">A unit title certificate provides important information about the unit and the common property. </w:t>
      </w:r>
    </w:p>
    <w:p w14:paraId="1AB1BE98" w14:textId="77777777" w:rsidR="006A0F6D" w:rsidRDefault="006A0F6D" w:rsidP="007522E9">
      <w:pPr>
        <w:tabs>
          <w:tab w:val="left" w:pos="1402"/>
        </w:tabs>
        <w:spacing w:after="0"/>
        <w:rPr>
          <w:rFonts w:ascii="Arial" w:hAnsi="Arial" w:cs="Arial"/>
          <w:sz w:val="24"/>
          <w:szCs w:val="24"/>
        </w:rPr>
      </w:pPr>
    </w:p>
    <w:p w14:paraId="771FD2EF" w14:textId="0F9322FB" w:rsidR="00657442" w:rsidRPr="00013C9F" w:rsidRDefault="00657442" w:rsidP="007522E9">
      <w:pPr>
        <w:tabs>
          <w:tab w:val="left" w:pos="1402"/>
        </w:tabs>
        <w:spacing w:after="0"/>
        <w:rPr>
          <w:rFonts w:ascii="Arial" w:hAnsi="Arial" w:cs="Arial"/>
          <w:sz w:val="24"/>
          <w:szCs w:val="24"/>
        </w:rPr>
      </w:pPr>
      <w:r w:rsidRPr="008D3572">
        <w:rPr>
          <w:rFonts w:ascii="Arial" w:hAnsi="Arial" w:cs="Arial"/>
          <w:sz w:val="24"/>
          <w:szCs w:val="24"/>
        </w:rPr>
        <w:t xml:space="preserve">An eligible person is defined in the </w:t>
      </w:r>
      <w:r w:rsidRPr="008D3572">
        <w:rPr>
          <w:rFonts w:ascii="Arial" w:hAnsi="Arial" w:cs="Arial"/>
          <w:i/>
          <w:iCs/>
          <w:sz w:val="24"/>
          <w:szCs w:val="24"/>
        </w:rPr>
        <w:t xml:space="preserve">Unit Titles Management Act 2011 </w:t>
      </w:r>
      <w:r w:rsidRPr="008D3572">
        <w:rPr>
          <w:rFonts w:ascii="Arial" w:hAnsi="Arial" w:cs="Arial"/>
          <w:sz w:val="24"/>
          <w:szCs w:val="24"/>
        </w:rPr>
        <w:t xml:space="preserve">(UTMA) and includes the owner or another person with an interest in the unit or an easement over the common property, a representative of a company if a company is the unit owner, anyone authorised in writing by the owner or a company representative, or, where necessary and appropriate, the planning and land authority. </w:t>
      </w:r>
      <w:r w:rsidR="00013C9F">
        <w:rPr>
          <w:rFonts w:ascii="Arial" w:hAnsi="Arial" w:cs="Arial"/>
          <w:sz w:val="24"/>
          <w:szCs w:val="24"/>
        </w:rPr>
        <w:t xml:space="preserve">Clause 16 of the bill provides that an </w:t>
      </w:r>
      <w:r w:rsidR="00013C9F">
        <w:rPr>
          <w:rFonts w:ascii="Arial" w:hAnsi="Arial" w:cs="Arial"/>
          <w:i/>
          <w:iCs/>
          <w:sz w:val="24"/>
          <w:szCs w:val="24"/>
        </w:rPr>
        <w:t xml:space="preserve">eligible person, </w:t>
      </w:r>
      <w:r w:rsidR="00013C9F">
        <w:rPr>
          <w:rFonts w:ascii="Arial" w:hAnsi="Arial" w:cs="Arial"/>
          <w:sz w:val="24"/>
          <w:szCs w:val="24"/>
        </w:rPr>
        <w:t>under</w:t>
      </w:r>
      <w:r w:rsidR="00013C9F" w:rsidRPr="00013C9F">
        <w:rPr>
          <w:rFonts w:ascii="Arial" w:hAnsi="Arial" w:cs="Arial"/>
          <w:sz w:val="24"/>
          <w:szCs w:val="24"/>
        </w:rPr>
        <w:t xml:space="preserve"> section 119 of the UTMA</w:t>
      </w:r>
      <w:r w:rsidR="00013C9F" w:rsidRPr="00013C9F">
        <w:rPr>
          <w:rFonts w:ascii="Arial" w:hAnsi="Arial" w:cs="Arial"/>
          <w:i/>
          <w:iCs/>
          <w:sz w:val="24"/>
          <w:szCs w:val="24"/>
        </w:rPr>
        <w:t xml:space="preserve"> </w:t>
      </w:r>
      <w:r w:rsidR="00013C9F" w:rsidRPr="00013C9F">
        <w:rPr>
          <w:rFonts w:ascii="Arial" w:hAnsi="Arial" w:cs="Arial"/>
          <w:sz w:val="24"/>
          <w:szCs w:val="24"/>
        </w:rPr>
        <w:t>includes a person who enters into a contract of sale for a unit for which information is required</w:t>
      </w:r>
      <w:r w:rsidR="00013C9F">
        <w:rPr>
          <w:rFonts w:ascii="Arial" w:hAnsi="Arial" w:cs="Arial"/>
          <w:sz w:val="24"/>
          <w:szCs w:val="24"/>
        </w:rPr>
        <w:t xml:space="preserve">. </w:t>
      </w:r>
    </w:p>
    <w:p w14:paraId="7A9A6C2D" w14:textId="113503D8" w:rsidR="007556EC" w:rsidRPr="008D3572" w:rsidRDefault="007556EC" w:rsidP="007522E9">
      <w:pPr>
        <w:tabs>
          <w:tab w:val="left" w:pos="1402"/>
        </w:tabs>
        <w:spacing w:after="0"/>
        <w:rPr>
          <w:rFonts w:ascii="Arial" w:hAnsi="Arial" w:cs="Arial"/>
          <w:sz w:val="24"/>
          <w:szCs w:val="24"/>
        </w:rPr>
      </w:pPr>
    </w:p>
    <w:p w14:paraId="49FC22E2" w14:textId="0414F7E0" w:rsidR="008E7E47" w:rsidRPr="008D3572" w:rsidRDefault="007556EC" w:rsidP="007522E9">
      <w:pPr>
        <w:tabs>
          <w:tab w:val="left" w:pos="1402"/>
        </w:tabs>
        <w:spacing w:after="0"/>
        <w:rPr>
          <w:rFonts w:ascii="Arial" w:hAnsi="Arial" w:cs="Arial"/>
          <w:sz w:val="24"/>
          <w:szCs w:val="24"/>
        </w:rPr>
      </w:pPr>
      <w:r w:rsidRPr="008D3572">
        <w:rPr>
          <w:rFonts w:ascii="Arial" w:hAnsi="Arial" w:cs="Arial"/>
          <w:sz w:val="24"/>
          <w:szCs w:val="24"/>
        </w:rPr>
        <w:t>Section 119 (1) of the UTMA provides that an eligible person may request both a unit title certificate, and a unit title update certificate</w:t>
      </w:r>
      <w:r w:rsidR="004F1790" w:rsidRPr="004F1790">
        <w:rPr>
          <w:rFonts w:ascii="Arial" w:hAnsi="Arial" w:cs="Arial"/>
          <w:sz w:val="24"/>
          <w:szCs w:val="24"/>
        </w:rPr>
        <w:t xml:space="preserve"> </w:t>
      </w:r>
      <w:r w:rsidR="004F1790" w:rsidRPr="008D3572">
        <w:rPr>
          <w:rFonts w:ascii="Arial" w:hAnsi="Arial" w:cs="Arial"/>
          <w:sz w:val="24"/>
          <w:szCs w:val="24"/>
        </w:rPr>
        <w:t>from the owners corporation</w:t>
      </w:r>
      <w:r w:rsidRPr="008D3572">
        <w:rPr>
          <w:rFonts w:ascii="Arial" w:hAnsi="Arial" w:cs="Arial"/>
          <w:sz w:val="24"/>
          <w:szCs w:val="24"/>
        </w:rPr>
        <w:t>. However, buyers may not be aware of their ability to request a unit title update certificate</w:t>
      </w:r>
      <w:r w:rsidR="008E7E47" w:rsidRPr="008D3572">
        <w:rPr>
          <w:rFonts w:ascii="Arial" w:hAnsi="Arial" w:cs="Arial"/>
          <w:sz w:val="24"/>
          <w:szCs w:val="24"/>
        </w:rPr>
        <w:t xml:space="preserve">, </w:t>
      </w:r>
      <w:r w:rsidRPr="008D3572">
        <w:rPr>
          <w:rFonts w:ascii="Arial" w:hAnsi="Arial" w:cs="Arial"/>
          <w:sz w:val="24"/>
          <w:szCs w:val="24"/>
        </w:rPr>
        <w:t xml:space="preserve">even where they have already requested </w:t>
      </w:r>
      <w:r w:rsidR="008E7E47" w:rsidRPr="008D3572">
        <w:rPr>
          <w:rFonts w:ascii="Arial" w:hAnsi="Arial" w:cs="Arial"/>
          <w:sz w:val="24"/>
          <w:szCs w:val="24"/>
        </w:rPr>
        <w:t xml:space="preserve">a unit title certificate. The unit title update certificate </w:t>
      </w:r>
      <w:r w:rsidR="00F84C4B">
        <w:rPr>
          <w:rFonts w:ascii="Arial" w:hAnsi="Arial" w:cs="Arial"/>
          <w:sz w:val="24"/>
          <w:szCs w:val="24"/>
        </w:rPr>
        <w:t>will provide valuable updated information in relation to the unit and common property,</w:t>
      </w:r>
      <w:r w:rsidR="008E7E47" w:rsidRPr="008D3572">
        <w:rPr>
          <w:rFonts w:ascii="Arial" w:hAnsi="Arial" w:cs="Arial"/>
          <w:sz w:val="24"/>
          <w:szCs w:val="24"/>
        </w:rPr>
        <w:t xml:space="preserve"> </w:t>
      </w:r>
      <w:r w:rsidR="004F1790">
        <w:rPr>
          <w:rFonts w:ascii="Arial" w:hAnsi="Arial" w:cs="Arial"/>
          <w:sz w:val="24"/>
          <w:szCs w:val="24"/>
        </w:rPr>
        <w:t>and may be particularly important</w:t>
      </w:r>
      <w:r w:rsidR="008E7E47" w:rsidRPr="008D3572">
        <w:rPr>
          <w:rFonts w:ascii="Arial" w:hAnsi="Arial" w:cs="Arial"/>
          <w:sz w:val="24"/>
          <w:szCs w:val="24"/>
        </w:rPr>
        <w:t xml:space="preserve"> where there is delay between executing the contract for sale (and receiving the initial unit title certificate) and settlement of sale</w:t>
      </w:r>
      <w:r w:rsidR="00F84C4B">
        <w:rPr>
          <w:rFonts w:ascii="Arial" w:hAnsi="Arial" w:cs="Arial"/>
          <w:sz w:val="24"/>
          <w:szCs w:val="24"/>
        </w:rPr>
        <w:t>.</w:t>
      </w:r>
      <w:r w:rsidR="008E7E47" w:rsidRPr="008D3572">
        <w:rPr>
          <w:rFonts w:ascii="Arial" w:hAnsi="Arial" w:cs="Arial"/>
          <w:sz w:val="24"/>
          <w:szCs w:val="24"/>
        </w:rPr>
        <w:t xml:space="preserve"> </w:t>
      </w:r>
    </w:p>
    <w:p w14:paraId="5256C916" w14:textId="77777777" w:rsidR="008E7E47" w:rsidRPr="008D3572" w:rsidRDefault="008E7E47" w:rsidP="007522E9">
      <w:pPr>
        <w:tabs>
          <w:tab w:val="left" w:pos="1402"/>
        </w:tabs>
        <w:spacing w:after="0"/>
        <w:rPr>
          <w:rFonts w:ascii="Arial" w:hAnsi="Arial" w:cs="Arial"/>
          <w:sz w:val="24"/>
          <w:szCs w:val="24"/>
        </w:rPr>
      </w:pPr>
    </w:p>
    <w:p w14:paraId="5D538349" w14:textId="3CAD7CE7" w:rsidR="007522E9" w:rsidRPr="008D3572" w:rsidRDefault="008E7E47" w:rsidP="007522E9">
      <w:pPr>
        <w:tabs>
          <w:tab w:val="left" w:pos="1402"/>
        </w:tabs>
        <w:spacing w:after="0"/>
        <w:rPr>
          <w:rFonts w:ascii="Arial" w:hAnsi="Arial" w:cs="Arial"/>
          <w:sz w:val="24"/>
          <w:szCs w:val="24"/>
        </w:rPr>
      </w:pPr>
      <w:r w:rsidRPr="008D3572">
        <w:rPr>
          <w:rFonts w:ascii="Arial" w:hAnsi="Arial" w:cs="Arial"/>
          <w:sz w:val="24"/>
          <w:szCs w:val="24"/>
        </w:rPr>
        <w:t xml:space="preserve">The intent of the note introduced by clause 6 is to make clear to buyers, </w:t>
      </w:r>
      <w:r w:rsidR="00F84C4B">
        <w:rPr>
          <w:rFonts w:ascii="Arial" w:hAnsi="Arial" w:cs="Arial"/>
          <w:sz w:val="24"/>
          <w:szCs w:val="24"/>
        </w:rPr>
        <w:t>in the context of documents required for sale</w:t>
      </w:r>
      <w:r w:rsidRPr="008D3572">
        <w:rPr>
          <w:rFonts w:ascii="Arial" w:hAnsi="Arial" w:cs="Arial"/>
          <w:sz w:val="24"/>
          <w:szCs w:val="24"/>
        </w:rPr>
        <w:t xml:space="preserve">, that they can request a unit title update certificate, at any time (particularly at a time closer to the date of settlement). </w:t>
      </w:r>
    </w:p>
    <w:p w14:paraId="7A505649" w14:textId="77777777" w:rsidR="007522E9" w:rsidRPr="008D3572" w:rsidRDefault="007522E9" w:rsidP="007522E9">
      <w:pPr>
        <w:tabs>
          <w:tab w:val="left" w:pos="1402"/>
        </w:tabs>
        <w:spacing w:after="0"/>
        <w:rPr>
          <w:rFonts w:ascii="Arial" w:hAnsi="Arial" w:cs="Arial"/>
          <w:b/>
          <w:bCs/>
          <w:sz w:val="24"/>
          <w:szCs w:val="24"/>
        </w:rPr>
      </w:pPr>
    </w:p>
    <w:p w14:paraId="42F053B0" w14:textId="4BEE02CC" w:rsidR="007522E9" w:rsidRPr="008D3572" w:rsidRDefault="007522E9" w:rsidP="00316C30">
      <w:pPr>
        <w:spacing w:after="0"/>
        <w:rPr>
          <w:rFonts w:ascii="Arial" w:hAnsi="Arial" w:cs="Arial"/>
          <w:b/>
          <w:bCs/>
          <w:sz w:val="24"/>
          <w:szCs w:val="24"/>
        </w:rPr>
      </w:pPr>
      <w:r w:rsidRPr="008D3572">
        <w:rPr>
          <w:rFonts w:ascii="Arial" w:hAnsi="Arial" w:cs="Arial"/>
          <w:b/>
          <w:bCs/>
          <w:sz w:val="24"/>
          <w:szCs w:val="24"/>
        </w:rPr>
        <w:t xml:space="preserve">Clause </w:t>
      </w:r>
      <w:r w:rsidR="00316C30">
        <w:rPr>
          <w:rFonts w:ascii="Arial" w:hAnsi="Arial" w:cs="Arial"/>
          <w:b/>
          <w:bCs/>
          <w:sz w:val="24"/>
          <w:szCs w:val="24"/>
        </w:rPr>
        <w:t>12</w:t>
      </w:r>
      <w:r w:rsidRPr="008D3572">
        <w:rPr>
          <w:rFonts w:ascii="Arial" w:hAnsi="Arial" w:cs="Arial"/>
          <w:b/>
          <w:bCs/>
          <w:sz w:val="24"/>
          <w:szCs w:val="24"/>
        </w:rPr>
        <w:tab/>
      </w:r>
      <w:r w:rsidR="00316C30">
        <w:rPr>
          <w:rFonts w:ascii="Arial" w:hAnsi="Arial" w:cs="Arial"/>
          <w:b/>
          <w:bCs/>
          <w:sz w:val="24"/>
          <w:szCs w:val="24"/>
        </w:rPr>
        <w:t>Section 9 (1) (h) (v)</w:t>
      </w:r>
    </w:p>
    <w:p w14:paraId="2EC91C41" w14:textId="4BCA69D3" w:rsidR="007522E9" w:rsidRPr="008D3572" w:rsidRDefault="007522E9" w:rsidP="007522E9">
      <w:pPr>
        <w:tabs>
          <w:tab w:val="left" w:pos="1402"/>
        </w:tabs>
        <w:spacing w:after="0"/>
        <w:rPr>
          <w:rFonts w:ascii="Arial" w:hAnsi="Arial" w:cs="Arial"/>
          <w:sz w:val="24"/>
          <w:szCs w:val="24"/>
        </w:rPr>
      </w:pPr>
      <w:r w:rsidRPr="008D3572">
        <w:rPr>
          <w:rFonts w:ascii="Arial" w:hAnsi="Arial" w:cs="Arial"/>
          <w:sz w:val="24"/>
          <w:szCs w:val="24"/>
        </w:rPr>
        <w:t xml:space="preserve">This clause removes the requirement to provide, as part of a sale of residential property, the minutes of owners corporation and executive committee meetings held in the </w:t>
      </w:r>
      <w:r w:rsidR="006A0F6D">
        <w:rPr>
          <w:rFonts w:ascii="Arial" w:hAnsi="Arial" w:cs="Arial"/>
          <w:sz w:val="24"/>
          <w:szCs w:val="24"/>
        </w:rPr>
        <w:t>two</w:t>
      </w:r>
      <w:r w:rsidRPr="008D3572">
        <w:rPr>
          <w:rFonts w:ascii="Arial" w:hAnsi="Arial" w:cs="Arial"/>
          <w:sz w:val="24"/>
          <w:szCs w:val="24"/>
        </w:rPr>
        <w:t xml:space="preserve"> years before the day the property was first advertised or offered for sale or listed with an agent.  </w:t>
      </w:r>
    </w:p>
    <w:p w14:paraId="241D0CDE" w14:textId="143150D6" w:rsidR="007522E9" w:rsidRPr="008D3572" w:rsidRDefault="007522E9" w:rsidP="007522E9">
      <w:pPr>
        <w:tabs>
          <w:tab w:val="left" w:pos="1402"/>
        </w:tabs>
        <w:spacing w:after="0"/>
        <w:rPr>
          <w:rFonts w:ascii="Arial" w:hAnsi="Arial" w:cs="Arial"/>
          <w:sz w:val="24"/>
          <w:szCs w:val="24"/>
        </w:rPr>
      </w:pPr>
    </w:p>
    <w:p w14:paraId="42F6D1B2" w14:textId="0FF44397" w:rsidR="007522E9" w:rsidRPr="008D3572" w:rsidRDefault="007522E9" w:rsidP="007522E9">
      <w:pPr>
        <w:tabs>
          <w:tab w:val="left" w:pos="1402"/>
        </w:tabs>
        <w:spacing w:after="0"/>
        <w:rPr>
          <w:rFonts w:ascii="Arial" w:hAnsi="Arial" w:cs="Arial"/>
          <w:sz w:val="24"/>
          <w:szCs w:val="24"/>
        </w:rPr>
      </w:pPr>
      <w:r w:rsidRPr="008D3572">
        <w:rPr>
          <w:rFonts w:ascii="Arial" w:hAnsi="Arial" w:cs="Arial"/>
          <w:sz w:val="24"/>
          <w:szCs w:val="24"/>
        </w:rPr>
        <w:t xml:space="preserve">This </w:t>
      </w:r>
      <w:r w:rsidR="00D43B14">
        <w:rPr>
          <w:rFonts w:ascii="Arial" w:hAnsi="Arial" w:cs="Arial"/>
          <w:sz w:val="24"/>
          <w:szCs w:val="24"/>
        </w:rPr>
        <w:t>information</w:t>
      </w:r>
      <w:r w:rsidRPr="008D3572">
        <w:rPr>
          <w:rFonts w:ascii="Arial" w:hAnsi="Arial" w:cs="Arial"/>
          <w:sz w:val="24"/>
          <w:szCs w:val="24"/>
        </w:rPr>
        <w:t xml:space="preserve"> will instead be </w:t>
      </w:r>
      <w:r w:rsidR="00D43B14">
        <w:rPr>
          <w:rFonts w:ascii="Arial" w:hAnsi="Arial" w:cs="Arial"/>
          <w:sz w:val="24"/>
          <w:szCs w:val="24"/>
        </w:rPr>
        <w:t xml:space="preserve">required to be included in a unit title certificate, prepared under section 119 of the UTMA. </w:t>
      </w:r>
      <w:r w:rsidR="007556EC" w:rsidRPr="008D3572">
        <w:rPr>
          <w:rFonts w:ascii="Arial" w:hAnsi="Arial" w:cs="Arial"/>
          <w:sz w:val="24"/>
          <w:szCs w:val="24"/>
        </w:rPr>
        <w:t>A unit title certificate gives important information about a unit, and the relevant units plan</w:t>
      </w:r>
      <w:r w:rsidR="00D43B14">
        <w:rPr>
          <w:rFonts w:ascii="Arial" w:hAnsi="Arial" w:cs="Arial"/>
          <w:sz w:val="24"/>
          <w:szCs w:val="24"/>
        </w:rPr>
        <w:t>.</w:t>
      </w:r>
    </w:p>
    <w:p w14:paraId="1CCAB19F" w14:textId="5F3BC5FE" w:rsidR="007522E9" w:rsidRPr="008D3572" w:rsidRDefault="007522E9" w:rsidP="007522E9">
      <w:pPr>
        <w:tabs>
          <w:tab w:val="left" w:pos="1402"/>
        </w:tabs>
        <w:spacing w:after="0"/>
        <w:rPr>
          <w:rFonts w:ascii="Arial" w:hAnsi="Arial" w:cs="Arial"/>
          <w:sz w:val="24"/>
          <w:szCs w:val="24"/>
        </w:rPr>
      </w:pPr>
    </w:p>
    <w:p w14:paraId="2F2ADA0B" w14:textId="77777777" w:rsidR="00A11E2A" w:rsidRDefault="00A11E2A">
      <w:pPr>
        <w:rPr>
          <w:rFonts w:ascii="Arial" w:hAnsi="Arial" w:cs="Arial"/>
          <w:sz w:val="24"/>
          <w:szCs w:val="24"/>
        </w:rPr>
      </w:pPr>
      <w:r>
        <w:rPr>
          <w:rFonts w:ascii="Arial" w:hAnsi="Arial" w:cs="Arial"/>
          <w:sz w:val="24"/>
          <w:szCs w:val="24"/>
        </w:rPr>
        <w:br w:type="page"/>
      </w:r>
    </w:p>
    <w:p w14:paraId="08E0CAC1" w14:textId="1F98420E" w:rsidR="001D28D8" w:rsidRPr="008D3572" w:rsidRDefault="007522E9" w:rsidP="007522E9">
      <w:pPr>
        <w:tabs>
          <w:tab w:val="left" w:pos="1402"/>
        </w:tabs>
        <w:spacing w:after="0"/>
        <w:rPr>
          <w:rFonts w:ascii="Arial" w:hAnsi="Arial" w:cs="Arial"/>
          <w:sz w:val="24"/>
          <w:szCs w:val="24"/>
        </w:rPr>
      </w:pPr>
      <w:r w:rsidRPr="008D3572">
        <w:rPr>
          <w:rFonts w:ascii="Arial" w:hAnsi="Arial" w:cs="Arial"/>
          <w:sz w:val="24"/>
          <w:szCs w:val="24"/>
        </w:rPr>
        <w:lastRenderedPageBreak/>
        <w:t xml:space="preserve">The requirement for </w:t>
      </w:r>
      <w:r w:rsidR="00D43B14">
        <w:rPr>
          <w:rFonts w:ascii="Arial" w:hAnsi="Arial" w:cs="Arial"/>
          <w:sz w:val="24"/>
          <w:szCs w:val="24"/>
        </w:rPr>
        <w:t>a</w:t>
      </w:r>
      <w:r w:rsidRPr="008D3572">
        <w:rPr>
          <w:rFonts w:ascii="Arial" w:hAnsi="Arial" w:cs="Arial"/>
          <w:sz w:val="24"/>
          <w:szCs w:val="24"/>
        </w:rPr>
        <w:t xml:space="preserve"> seller to provide owners corporation and executive committee minutes as part of the contract of sale </w:t>
      </w:r>
      <w:r w:rsidR="001D28D8" w:rsidRPr="008D3572">
        <w:rPr>
          <w:rFonts w:ascii="Arial" w:hAnsi="Arial" w:cs="Arial"/>
          <w:sz w:val="24"/>
          <w:szCs w:val="24"/>
        </w:rPr>
        <w:t>has</w:t>
      </w:r>
      <w:r w:rsidRPr="008D3572">
        <w:rPr>
          <w:rFonts w:ascii="Arial" w:hAnsi="Arial" w:cs="Arial"/>
          <w:sz w:val="24"/>
          <w:szCs w:val="24"/>
        </w:rPr>
        <w:t xml:space="preserve"> cost implications for the seller; the seller must provide these minutes, </w:t>
      </w:r>
      <w:r w:rsidR="001D28D8" w:rsidRPr="008D3572">
        <w:rPr>
          <w:rFonts w:ascii="Arial" w:hAnsi="Arial" w:cs="Arial"/>
          <w:sz w:val="24"/>
          <w:szCs w:val="24"/>
        </w:rPr>
        <w:t xml:space="preserve">however managing agents for owners corporations may charge at their discretion to prepare the minutes. This can be contrasted with a </w:t>
      </w:r>
      <w:r w:rsidR="004F1790">
        <w:rPr>
          <w:rFonts w:ascii="Arial" w:hAnsi="Arial" w:cs="Arial"/>
          <w:sz w:val="24"/>
          <w:szCs w:val="24"/>
        </w:rPr>
        <w:t xml:space="preserve">unit title </w:t>
      </w:r>
      <w:r w:rsidR="001D28D8" w:rsidRPr="008D3572">
        <w:rPr>
          <w:rFonts w:ascii="Arial" w:hAnsi="Arial" w:cs="Arial"/>
          <w:sz w:val="24"/>
          <w:szCs w:val="24"/>
        </w:rPr>
        <w:t xml:space="preserve">certificate under section 119 of the UTMA, which carries a maximum recoverable fee.  </w:t>
      </w:r>
    </w:p>
    <w:p w14:paraId="61C5ACA3" w14:textId="77777777" w:rsidR="008374AB" w:rsidRPr="008D3572" w:rsidRDefault="008374AB" w:rsidP="008374AB">
      <w:pPr>
        <w:spacing w:after="0"/>
        <w:rPr>
          <w:rFonts w:ascii="Arial" w:hAnsi="Arial" w:cs="Arial"/>
          <w:b/>
          <w:bCs/>
          <w:sz w:val="24"/>
          <w:szCs w:val="24"/>
        </w:rPr>
      </w:pPr>
    </w:p>
    <w:p w14:paraId="4E8967F0" w14:textId="04EE237B" w:rsidR="00516145" w:rsidRDefault="001D28D8" w:rsidP="00DB24B1">
      <w:pPr>
        <w:rPr>
          <w:rFonts w:ascii="Arial" w:hAnsi="Arial" w:cs="Arial"/>
          <w:sz w:val="24"/>
          <w:szCs w:val="24"/>
        </w:rPr>
      </w:pPr>
      <w:r w:rsidRPr="008D3572">
        <w:rPr>
          <w:rFonts w:ascii="Arial" w:hAnsi="Arial" w:cs="Arial"/>
          <w:sz w:val="24"/>
          <w:szCs w:val="24"/>
        </w:rPr>
        <w:t xml:space="preserve">Furthermore, section 9 (1)(h)(v) does not make clear who is responsible for preparing the owners corporation/executive committee minutes, whereas section 119 of the UTMA makes clear that the owners corporation is required to </w:t>
      </w:r>
      <w:r w:rsidR="004F1790">
        <w:rPr>
          <w:rFonts w:ascii="Arial" w:hAnsi="Arial" w:cs="Arial"/>
          <w:sz w:val="24"/>
          <w:szCs w:val="24"/>
        </w:rPr>
        <w:t>prepare the unit title certificate</w:t>
      </w:r>
      <w:r w:rsidR="00D43B14">
        <w:rPr>
          <w:rFonts w:ascii="Arial" w:hAnsi="Arial" w:cs="Arial"/>
          <w:sz w:val="24"/>
          <w:szCs w:val="24"/>
        </w:rPr>
        <w:t>.</w:t>
      </w:r>
    </w:p>
    <w:p w14:paraId="1A3D2C5D" w14:textId="77777777" w:rsidR="00316C30" w:rsidRDefault="00316C30" w:rsidP="00316C30">
      <w:pPr>
        <w:spacing w:after="0"/>
        <w:rPr>
          <w:rFonts w:ascii="Arial" w:hAnsi="Arial" w:cs="Arial"/>
          <w:b/>
          <w:bCs/>
          <w:sz w:val="24"/>
          <w:szCs w:val="24"/>
        </w:rPr>
      </w:pPr>
      <w:r w:rsidRPr="008D3572">
        <w:rPr>
          <w:rFonts w:ascii="Arial" w:hAnsi="Arial" w:cs="Arial"/>
          <w:b/>
          <w:bCs/>
          <w:sz w:val="24"/>
          <w:szCs w:val="24"/>
        </w:rPr>
        <w:t xml:space="preserve">Clause </w:t>
      </w:r>
      <w:r>
        <w:rPr>
          <w:rFonts w:ascii="Arial" w:hAnsi="Arial" w:cs="Arial"/>
          <w:b/>
          <w:bCs/>
          <w:sz w:val="24"/>
          <w:szCs w:val="24"/>
        </w:rPr>
        <w:t>13</w:t>
      </w:r>
      <w:r w:rsidRPr="008D3572">
        <w:rPr>
          <w:rFonts w:ascii="Arial" w:hAnsi="Arial" w:cs="Arial"/>
          <w:b/>
          <w:bCs/>
          <w:sz w:val="24"/>
          <w:szCs w:val="24"/>
        </w:rPr>
        <w:tab/>
      </w:r>
      <w:r>
        <w:rPr>
          <w:rFonts w:ascii="Arial" w:hAnsi="Arial" w:cs="Arial"/>
          <w:b/>
          <w:bCs/>
          <w:sz w:val="24"/>
          <w:szCs w:val="24"/>
        </w:rPr>
        <w:t xml:space="preserve">Certain documents etc to be available- sale of unit in </w:t>
      </w:r>
    </w:p>
    <w:p w14:paraId="7AAEEB0E" w14:textId="6B7A9065" w:rsidR="00316C30" w:rsidRPr="008D3572" w:rsidRDefault="00316C30" w:rsidP="00316C30">
      <w:pPr>
        <w:spacing w:after="0"/>
        <w:rPr>
          <w:rFonts w:ascii="Arial" w:hAnsi="Arial" w:cs="Arial"/>
          <w:b/>
          <w:bCs/>
          <w:sz w:val="24"/>
          <w:szCs w:val="24"/>
        </w:rPr>
      </w:pPr>
      <w:r>
        <w:rPr>
          <w:rFonts w:ascii="Arial" w:hAnsi="Arial" w:cs="Arial"/>
          <w:b/>
          <w:bCs/>
          <w:sz w:val="24"/>
          <w:szCs w:val="24"/>
        </w:rPr>
        <w:t xml:space="preserve">                      retirement village</w:t>
      </w:r>
    </w:p>
    <w:p w14:paraId="3ED3D138" w14:textId="71774781" w:rsidR="00316C30" w:rsidRPr="00316C30" w:rsidRDefault="00316C30" w:rsidP="00316C30">
      <w:pPr>
        <w:tabs>
          <w:tab w:val="left" w:pos="1440"/>
        </w:tabs>
        <w:rPr>
          <w:rFonts w:ascii="Arial" w:hAnsi="Arial" w:cs="Arial"/>
          <w:b/>
          <w:bCs/>
          <w:sz w:val="24"/>
          <w:szCs w:val="24"/>
        </w:rPr>
      </w:pPr>
      <w:r>
        <w:rPr>
          <w:rFonts w:ascii="Arial" w:hAnsi="Arial" w:cs="Arial"/>
          <w:sz w:val="24"/>
          <w:szCs w:val="24"/>
        </w:rPr>
        <w:tab/>
      </w:r>
      <w:r w:rsidRPr="00316C30">
        <w:rPr>
          <w:rFonts w:ascii="Arial" w:hAnsi="Arial" w:cs="Arial"/>
          <w:b/>
          <w:bCs/>
          <w:sz w:val="24"/>
          <w:szCs w:val="24"/>
        </w:rPr>
        <w:t xml:space="preserve">Section 10A(7), definition of </w:t>
      </w:r>
      <w:r w:rsidRPr="00316C30">
        <w:rPr>
          <w:rFonts w:ascii="Arial" w:hAnsi="Arial" w:cs="Arial"/>
          <w:b/>
          <w:bCs/>
          <w:i/>
          <w:iCs/>
          <w:sz w:val="24"/>
          <w:szCs w:val="24"/>
        </w:rPr>
        <w:t xml:space="preserve">later required documents </w:t>
      </w:r>
    </w:p>
    <w:p w14:paraId="210ABAE9" w14:textId="5C09F609" w:rsidR="00A84B39" w:rsidRPr="00A84B39" w:rsidRDefault="00A84B39" w:rsidP="00DB24B1">
      <w:pPr>
        <w:rPr>
          <w:rFonts w:ascii="Arial" w:hAnsi="Arial" w:cs="Arial"/>
          <w:sz w:val="24"/>
          <w:szCs w:val="24"/>
        </w:rPr>
      </w:pPr>
      <w:r>
        <w:rPr>
          <w:rFonts w:ascii="Arial" w:hAnsi="Arial" w:cs="Arial"/>
          <w:sz w:val="24"/>
          <w:szCs w:val="24"/>
        </w:rPr>
        <w:t>The amendment in this clause, removing the reference to section 9</w:t>
      </w:r>
      <w:r w:rsidR="00BC60F8">
        <w:rPr>
          <w:rFonts w:ascii="Arial" w:hAnsi="Arial" w:cs="Arial"/>
          <w:sz w:val="24"/>
          <w:szCs w:val="24"/>
        </w:rPr>
        <w:t xml:space="preserve"> </w:t>
      </w:r>
      <w:r>
        <w:rPr>
          <w:rFonts w:ascii="Arial" w:hAnsi="Arial" w:cs="Arial"/>
          <w:sz w:val="24"/>
          <w:szCs w:val="24"/>
        </w:rPr>
        <w:t>(1) (h) (v) from section 10A(7) is necessary due to clause 12, which removes this subsection.</w:t>
      </w:r>
    </w:p>
    <w:p w14:paraId="06504C9D" w14:textId="4F8A217C" w:rsidR="007556EC" w:rsidRDefault="007556EC" w:rsidP="007556EC">
      <w:pPr>
        <w:spacing w:after="0"/>
        <w:rPr>
          <w:rFonts w:ascii="Arial" w:hAnsi="Arial" w:cs="Arial"/>
          <w:b/>
          <w:bCs/>
          <w:sz w:val="28"/>
          <w:szCs w:val="28"/>
        </w:rPr>
      </w:pPr>
      <w:r>
        <w:rPr>
          <w:rFonts w:ascii="Arial" w:hAnsi="Arial" w:cs="Arial"/>
          <w:b/>
          <w:bCs/>
          <w:sz w:val="28"/>
          <w:szCs w:val="28"/>
        </w:rPr>
        <w:t>Part 5</w:t>
      </w:r>
      <w:r>
        <w:rPr>
          <w:rFonts w:ascii="Arial" w:hAnsi="Arial" w:cs="Arial"/>
          <w:b/>
          <w:bCs/>
          <w:sz w:val="28"/>
          <w:szCs w:val="28"/>
        </w:rPr>
        <w:tab/>
      </w:r>
      <w:r>
        <w:rPr>
          <w:rFonts w:ascii="Arial" w:hAnsi="Arial" w:cs="Arial"/>
          <w:b/>
          <w:bCs/>
          <w:sz w:val="28"/>
          <w:szCs w:val="28"/>
        </w:rPr>
        <w:tab/>
        <w:t>Planning and Development Act 2007</w:t>
      </w:r>
    </w:p>
    <w:p w14:paraId="69C7F2A5" w14:textId="6A0A9348" w:rsidR="007556EC" w:rsidRPr="008D3572" w:rsidRDefault="007556EC" w:rsidP="007556EC">
      <w:pPr>
        <w:spacing w:after="0"/>
        <w:rPr>
          <w:rFonts w:ascii="Arial" w:hAnsi="Arial" w:cs="Arial"/>
          <w:b/>
          <w:bCs/>
          <w:sz w:val="24"/>
          <w:szCs w:val="24"/>
        </w:rPr>
      </w:pPr>
      <w:r w:rsidRPr="008D3572">
        <w:rPr>
          <w:rFonts w:ascii="Arial" w:hAnsi="Arial" w:cs="Arial"/>
          <w:b/>
          <w:bCs/>
          <w:sz w:val="24"/>
          <w:szCs w:val="24"/>
        </w:rPr>
        <w:t xml:space="preserve">Clause </w:t>
      </w:r>
      <w:r w:rsidR="00A84B39">
        <w:rPr>
          <w:rFonts w:ascii="Arial" w:hAnsi="Arial" w:cs="Arial"/>
          <w:b/>
          <w:bCs/>
          <w:sz w:val="24"/>
          <w:szCs w:val="24"/>
        </w:rPr>
        <w:t>14</w:t>
      </w:r>
      <w:r w:rsidRPr="008D3572">
        <w:rPr>
          <w:rFonts w:ascii="Arial" w:hAnsi="Arial" w:cs="Arial"/>
          <w:b/>
          <w:bCs/>
          <w:sz w:val="24"/>
          <w:szCs w:val="24"/>
        </w:rPr>
        <w:tab/>
        <w:t>Meaning of community concessional lease provisions</w:t>
      </w:r>
    </w:p>
    <w:p w14:paraId="36B48B9B" w14:textId="4979E9C1" w:rsidR="007556EC" w:rsidRPr="008D3572" w:rsidRDefault="007556EC" w:rsidP="007556EC">
      <w:pPr>
        <w:tabs>
          <w:tab w:val="left" w:pos="1402"/>
        </w:tabs>
        <w:spacing w:after="0"/>
        <w:rPr>
          <w:rFonts w:ascii="Arial" w:hAnsi="Arial" w:cs="Arial"/>
          <w:b/>
          <w:bCs/>
          <w:sz w:val="24"/>
          <w:szCs w:val="24"/>
        </w:rPr>
      </w:pPr>
      <w:r w:rsidRPr="008D3572">
        <w:rPr>
          <w:rFonts w:ascii="Arial" w:hAnsi="Arial" w:cs="Arial"/>
          <w:b/>
          <w:bCs/>
          <w:sz w:val="24"/>
          <w:szCs w:val="24"/>
        </w:rPr>
        <w:tab/>
        <w:t xml:space="preserve"> Section 253G (d)</w:t>
      </w:r>
    </w:p>
    <w:p w14:paraId="65097D75" w14:textId="77777777" w:rsidR="007556EC" w:rsidRDefault="007556EC" w:rsidP="007556EC">
      <w:pPr>
        <w:tabs>
          <w:tab w:val="left" w:pos="1402"/>
        </w:tabs>
        <w:spacing w:after="0"/>
        <w:rPr>
          <w:rFonts w:ascii="Arial" w:hAnsi="Arial" w:cs="Arial"/>
          <w:b/>
          <w:bCs/>
        </w:rPr>
      </w:pPr>
    </w:p>
    <w:p w14:paraId="412C2C1A" w14:textId="2F4A9494" w:rsidR="007556EC" w:rsidRPr="008D3572" w:rsidRDefault="002C0463" w:rsidP="00DB24B1">
      <w:pPr>
        <w:rPr>
          <w:rFonts w:ascii="Arial" w:hAnsi="Arial" w:cs="Arial"/>
          <w:sz w:val="24"/>
          <w:szCs w:val="24"/>
        </w:rPr>
      </w:pPr>
      <w:r w:rsidRPr="008D3572">
        <w:rPr>
          <w:rFonts w:ascii="Arial" w:hAnsi="Arial" w:cs="Arial"/>
          <w:sz w:val="24"/>
          <w:szCs w:val="24"/>
        </w:rPr>
        <w:t>This clause substitutes “certificate of compliance” with “certificate of occupancy” in section 253G(d). Section 253G(d) currently provides that if a community concessional lease includes a building and development provision, a community concessional provision means a provision stating that provisions (e) to (h) of section 253G commence on the issue of a certificate of compliance stating that the building and development provision</w:t>
      </w:r>
      <w:r w:rsidR="00FE5AB3" w:rsidRPr="008D3572">
        <w:rPr>
          <w:rFonts w:ascii="Arial" w:hAnsi="Arial" w:cs="Arial"/>
          <w:sz w:val="24"/>
          <w:szCs w:val="24"/>
        </w:rPr>
        <w:t xml:space="preserve"> has been complied with.</w:t>
      </w:r>
      <w:r w:rsidR="00C8066D" w:rsidRPr="008D3572">
        <w:rPr>
          <w:rFonts w:ascii="Arial" w:hAnsi="Arial" w:cs="Arial"/>
          <w:sz w:val="24"/>
          <w:szCs w:val="24"/>
        </w:rPr>
        <w:t xml:space="preserve"> </w:t>
      </w:r>
      <w:r w:rsidR="00B24FD4">
        <w:rPr>
          <w:rFonts w:ascii="Arial" w:hAnsi="Arial" w:cs="Arial"/>
          <w:sz w:val="24"/>
          <w:szCs w:val="24"/>
        </w:rPr>
        <w:t>Provisions (e) to (h)</w:t>
      </w:r>
      <w:r w:rsidR="006A0F6D">
        <w:rPr>
          <w:rFonts w:ascii="Arial" w:hAnsi="Arial" w:cs="Arial"/>
          <w:sz w:val="24"/>
          <w:szCs w:val="24"/>
        </w:rPr>
        <w:t xml:space="preserve"> </w:t>
      </w:r>
      <w:r w:rsidR="00B24FD4">
        <w:rPr>
          <w:rFonts w:ascii="Arial" w:hAnsi="Arial" w:cs="Arial"/>
          <w:sz w:val="24"/>
          <w:szCs w:val="24"/>
        </w:rPr>
        <w:t xml:space="preserve">relate to the required uses of the lease </w:t>
      </w:r>
    </w:p>
    <w:p w14:paraId="674BFE1C" w14:textId="4042DF31" w:rsidR="00FE5AB3" w:rsidRPr="008D3572" w:rsidRDefault="00FE5AB3" w:rsidP="00DB24B1">
      <w:pPr>
        <w:rPr>
          <w:rFonts w:ascii="Arial" w:hAnsi="Arial" w:cs="Arial"/>
          <w:sz w:val="24"/>
          <w:szCs w:val="24"/>
        </w:rPr>
      </w:pPr>
      <w:r w:rsidRPr="008D3572">
        <w:rPr>
          <w:rFonts w:ascii="Arial" w:hAnsi="Arial" w:cs="Arial"/>
          <w:sz w:val="24"/>
          <w:szCs w:val="24"/>
        </w:rPr>
        <w:t>A building and development provision requires certain works to be completed. A certificate of compliance is issued</w:t>
      </w:r>
      <w:r w:rsidR="004F1790">
        <w:rPr>
          <w:rFonts w:ascii="Arial" w:hAnsi="Arial" w:cs="Arial"/>
          <w:sz w:val="24"/>
          <w:szCs w:val="24"/>
        </w:rPr>
        <w:t xml:space="preserve"> under the </w:t>
      </w:r>
      <w:r w:rsidRPr="008D3572">
        <w:rPr>
          <w:rFonts w:ascii="Arial" w:hAnsi="Arial" w:cs="Arial"/>
          <w:i/>
          <w:iCs/>
          <w:sz w:val="24"/>
          <w:szCs w:val="24"/>
        </w:rPr>
        <w:t xml:space="preserve">Planning and Development Act 2007 </w:t>
      </w:r>
      <w:r w:rsidRPr="008D3572">
        <w:rPr>
          <w:rFonts w:ascii="Arial" w:hAnsi="Arial" w:cs="Arial"/>
          <w:sz w:val="24"/>
          <w:szCs w:val="24"/>
        </w:rPr>
        <w:t xml:space="preserve">if a building and development provision of a lease has been fully complied with. In practice, there can be a delay to issuing a certificate of compliance. A certificate of occupancy, however, granted under the </w:t>
      </w:r>
      <w:r w:rsidRPr="008D3572">
        <w:rPr>
          <w:rFonts w:ascii="Arial" w:hAnsi="Arial" w:cs="Arial"/>
          <w:i/>
          <w:iCs/>
          <w:sz w:val="24"/>
          <w:szCs w:val="24"/>
        </w:rPr>
        <w:t xml:space="preserve">Building Act 2004 </w:t>
      </w:r>
      <w:r w:rsidRPr="008D3572">
        <w:rPr>
          <w:rFonts w:ascii="Arial" w:hAnsi="Arial" w:cs="Arial"/>
          <w:sz w:val="24"/>
          <w:szCs w:val="24"/>
        </w:rPr>
        <w:t xml:space="preserve">upon </w:t>
      </w:r>
      <w:r w:rsidR="00C8066D" w:rsidRPr="008D3572">
        <w:rPr>
          <w:rFonts w:ascii="Arial" w:hAnsi="Arial" w:cs="Arial"/>
          <w:sz w:val="24"/>
          <w:szCs w:val="24"/>
        </w:rPr>
        <w:t>required works</w:t>
      </w:r>
      <w:r w:rsidRPr="008D3572">
        <w:rPr>
          <w:rFonts w:ascii="Arial" w:hAnsi="Arial" w:cs="Arial"/>
          <w:sz w:val="24"/>
          <w:szCs w:val="24"/>
        </w:rPr>
        <w:t xml:space="preserve"> being completed</w:t>
      </w:r>
      <w:r w:rsidR="00C8066D" w:rsidRPr="008D3572">
        <w:rPr>
          <w:rFonts w:ascii="Arial" w:hAnsi="Arial" w:cs="Arial"/>
          <w:sz w:val="24"/>
          <w:szCs w:val="24"/>
        </w:rPr>
        <w:t xml:space="preserve">, </w:t>
      </w:r>
      <w:r w:rsidR="004F1790">
        <w:rPr>
          <w:rFonts w:ascii="Arial" w:hAnsi="Arial" w:cs="Arial"/>
          <w:sz w:val="24"/>
          <w:szCs w:val="24"/>
        </w:rPr>
        <w:t>is</w:t>
      </w:r>
      <w:r w:rsidR="00C8066D" w:rsidRPr="008D3572">
        <w:rPr>
          <w:rFonts w:ascii="Arial" w:hAnsi="Arial" w:cs="Arial"/>
          <w:sz w:val="24"/>
          <w:szCs w:val="24"/>
        </w:rPr>
        <w:t xml:space="preserve"> </w:t>
      </w:r>
      <w:r w:rsidR="004F1790">
        <w:rPr>
          <w:rFonts w:ascii="Arial" w:hAnsi="Arial" w:cs="Arial"/>
          <w:sz w:val="24"/>
          <w:szCs w:val="24"/>
        </w:rPr>
        <w:t>required as evidence</w:t>
      </w:r>
      <w:r w:rsidR="00C8066D" w:rsidRPr="008D3572">
        <w:rPr>
          <w:rFonts w:ascii="Arial" w:hAnsi="Arial" w:cs="Arial"/>
          <w:sz w:val="24"/>
          <w:szCs w:val="24"/>
        </w:rPr>
        <w:t xml:space="preserve"> that the building is fit for occupation. </w:t>
      </w:r>
    </w:p>
    <w:p w14:paraId="7039F6E7" w14:textId="305532F1" w:rsidR="00FE5AB3" w:rsidRPr="008D3572" w:rsidRDefault="004F1790" w:rsidP="00DB24B1">
      <w:pPr>
        <w:rPr>
          <w:rFonts w:ascii="Arial" w:hAnsi="Arial" w:cs="Arial"/>
          <w:sz w:val="24"/>
          <w:szCs w:val="24"/>
        </w:rPr>
      </w:pPr>
      <w:r>
        <w:rPr>
          <w:rFonts w:ascii="Arial" w:hAnsi="Arial" w:cs="Arial"/>
          <w:sz w:val="24"/>
          <w:szCs w:val="24"/>
        </w:rPr>
        <w:t xml:space="preserve">Accordingly, </w:t>
      </w:r>
      <w:r w:rsidR="00FE5AB3" w:rsidRPr="008D3572">
        <w:rPr>
          <w:rFonts w:ascii="Arial" w:hAnsi="Arial" w:cs="Arial"/>
          <w:sz w:val="24"/>
          <w:szCs w:val="24"/>
        </w:rPr>
        <w:t xml:space="preserve">a certificate of occupancy is considered, in practice, a more appropriate indicator </w:t>
      </w:r>
      <w:r>
        <w:rPr>
          <w:rFonts w:ascii="Arial" w:hAnsi="Arial" w:cs="Arial"/>
          <w:sz w:val="24"/>
          <w:szCs w:val="24"/>
        </w:rPr>
        <w:t>that the works required under a building and development provision have been completed, an</w:t>
      </w:r>
      <w:r w:rsidR="00FE5AB3" w:rsidRPr="008D3572">
        <w:rPr>
          <w:rFonts w:ascii="Arial" w:hAnsi="Arial" w:cs="Arial"/>
          <w:sz w:val="24"/>
          <w:szCs w:val="24"/>
        </w:rPr>
        <w:t xml:space="preserve">d as such, more appropriate for provisions (e) to (h) of section 253G to commence alongside.  </w:t>
      </w:r>
    </w:p>
    <w:p w14:paraId="7BC20DA1" w14:textId="64F1A782" w:rsidR="00C8066D" w:rsidRPr="008D3572" w:rsidRDefault="00C8066D" w:rsidP="00C8066D">
      <w:pPr>
        <w:spacing w:after="0"/>
        <w:rPr>
          <w:rFonts w:ascii="Arial" w:hAnsi="Arial" w:cs="Arial"/>
          <w:b/>
          <w:bCs/>
          <w:sz w:val="24"/>
          <w:szCs w:val="24"/>
        </w:rPr>
      </w:pPr>
      <w:r w:rsidRPr="008D3572">
        <w:rPr>
          <w:rFonts w:ascii="Arial" w:hAnsi="Arial" w:cs="Arial"/>
          <w:b/>
          <w:bCs/>
          <w:sz w:val="24"/>
          <w:szCs w:val="24"/>
        </w:rPr>
        <w:t xml:space="preserve">Clause </w:t>
      </w:r>
      <w:r w:rsidR="00A84B39">
        <w:rPr>
          <w:rFonts w:ascii="Arial" w:hAnsi="Arial" w:cs="Arial"/>
          <w:b/>
          <w:bCs/>
          <w:sz w:val="24"/>
          <w:szCs w:val="24"/>
        </w:rPr>
        <w:t>15</w:t>
      </w:r>
      <w:r w:rsidRPr="008D3572">
        <w:rPr>
          <w:rFonts w:ascii="Arial" w:hAnsi="Arial" w:cs="Arial"/>
          <w:b/>
          <w:bCs/>
          <w:sz w:val="24"/>
          <w:szCs w:val="24"/>
        </w:rPr>
        <w:tab/>
        <w:t>Restrictions on dealings with concessional leases</w:t>
      </w:r>
    </w:p>
    <w:p w14:paraId="48DDB5A7" w14:textId="053414EC" w:rsidR="00C8066D" w:rsidRPr="008D3572" w:rsidRDefault="00C8066D" w:rsidP="00071D8C">
      <w:pPr>
        <w:tabs>
          <w:tab w:val="left" w:pos="1402"/>
        </w:tabs>
        <w:spacing w:after="0"/>
        <w:rPr>
          <w:rFonts w:ascii="Arial" w:hAnsi="Arial" w:cs="Arial"/>
          <w:b/>
          <w:bCs/>
          <w:sz w:val="24"/>
          <w:szCs w:val="24"/>
        </w:rPr>
      </w:pPr>
      <w:r w:rsidRPr="008D3572">
        <w:rPr>
          <w:rFonts w:ascii="Arial" w:hAnsi="Arial" w:cs="Arial"/>
          <w:b/>
          <w:bCs/>
          <w:sz w:val="24"/>
          <w:szCs w:val="24"/>
        </w:rPr>
        <w:tab/>
        <w:t xml:space="preserve"> Section 265 (3)</w:t>
      </w:r>
    </w:p>
    <w:p w14:paraId="063D28E3" w14:textId="00AC3F21" w:rsidR="00071D8C" w:rsidRPr="008D3572" w:rsidRDefault="00C8066D" w:rsidP="00DB24B1">
      <w:pPr>
        <w:rPr>
          <w:rFonts w:ascii="Arial" w:hAnsi="Arial" w:cs="Arial"/>
          <w:sz w:val="24"/>
          <w:szCs w:val="24"/>
        </w:rPr>
      </w:pPr>
      <w:r w:rsidRPr="008D3572">
        <w:rPr>
          <w:rFonts w:ascii="Arial" w:hAnsi="Arial" w:cs="Arial"/>
          <w:sz w:val="24"/>
          <w:szCs w:val="24"/>
        </w:rPr>
        <w:t>Clause 9 amends section 265(3)</w:t>
      </w:r>
      <w:r w:rsidR="00071D8C" w:rsidRPr="008D3572">
        <w:rPr>
          <w:rFonts w:ascii="Arial" w:hAnsi="Arial" w:cs="Arial"/>
          <w:sz w:val="24"/>
          <w:szCs w:val="24"/>
        </w:rPr>
        <w:t xml:space="preserve"> </w:t>
      </w:r>
      <w:r w:rsidRPr="008D3572">
        <w:rPr>
          <w:rFonts w:ascii="Arial" w:hAnsi="Arial" w:cs="Arial"/>
          <w:sz w:val="24"/>
          <w:szCs w:val="24"/>
        </w:rPr>
        <w:t>to require that a dealing in relation to a concessional lease with a building and development provision must be consented to by the planning and land authority</w:t>
      </w:r>
      <w:r w:rsidR="001F2000">
        <w:rPr>
          <w:rFonts w:ascii="Arial" w:hAnsi="Arial" w:cs="Arial"/>
          <w:sz w:val="24"/>
          <w:szCs w:val="24"/>
        </w:rPr>
        <w:t xml:space="preserve"> (the Authority)</w:t>
      </w:r>
      <w:r w:rsidRPr="008D3572">
        <w:rPr>
          <w:rFonts w:ascii="Arial" w:hAnsi="Arial" w:cs="Arial"/>
          <w:sz w:val="24"/>
          <w:szCs w:val="24"/>
        </w:rPr>
        <w:t xml:space="preserve">. </w:t>
      </w:r>
    </w:p>
    <w:p w14:paraId="69EA4D2B" w14:textId="755B5F9D" w:rsidR="00071D8C" w:rsidRPr="008D3572" w:rsidRDefault="00071D8C" w:rsidP="00DB24B1">
      <w:pPr>
        <w:rPr>
          <w:rFonts w:ascii="Arial" w:hAnsi="Arial" w:cs="Arial"/>
          <w:sz w:val="24"/>
          <w:szCs w:val="24"/>
        </w:rPr>
      </w:pPr>
      <w:r w:rsidRPr="008D3572">
        <w:rPr>
          <w:rFonts w:ascii="Arial" w:hAnsi="Arial" w:cs="Arial"/>
          <w:sz w:val="24"/>
          <w:szCs w:val="24"/>
        </w:rPr>
        <w:lastRenderedPageBreak/>
        <w:t xml:space="preserve">Currently, </w:t>
      </w:r>
      <w:bookmarkStart w:id="0" w:name="_Hlk53566547"/>
      <w:r w:rsidR="001F2000">
        <w:rPr>
          <w:rFonts w:ascii="Arial" w:hAnsi="Arial" w:cs="Arial"/>
          <w:sz w:val="24"/>
          <w:szCs w:val="24"/>
        </w:rPr>
        <w:t xml:space="preserve">such a dealing </w:t>
      </w:r>
      <w:r w:rsidRPr="008D3572">
        <w:rPr>
          <w:rFonts w:ascii="Arial" w:hAnsi="Arial" w:cs="Arial"/>
          <w:sz w:val="24"/>
          <w:szCs w:val="24"/>
        </w:rPr>
        <w:t xml:space="preserve">does not require the consent of </w:t>
      </w:r>
      <w:r w:rsidR="001F2000">
        <w:rPr>
          <w:rFonts w:ascii="Arial" w:hAnsi="Arial" w:cs="Arial"/>
          <w:sz w:val="24"/>
          <w:szCs w:val="24"/>
        </w:rPr>
        <w:t xml:space="preserve">the Authority. </w:t>
      </w:r>
      <w:r w:rsidRPr="008D3572">
        <w:rPr>
          <w:rFonts w:ascii="Arial" w:hAnsi="Arial" w:cs="Arial"/>
          <w:sz w:val="24"/>
          <w:szCs w:val="24"/>
        </w:rPr>
        <w:t xml:space="preserve">This may have unintended consequences, for example a lease </w:t>
      </w:r>
      <w:r w:rsidR="001F2000">
        <w:rPr>
          <w:rFonts w:ascii="Arial" w:hAnsi="Arial" w:cs="Arial"/>
          <w:sz w:val="24"/>
          <w:szCs w:val="24"/>
        </w:rPr>
        <w:t>may be</w:t>
      </w:r>
      <w:r w:rsidRPr="008D3572">
        <w:rPr>
          <w:rFonts w:ascii="Arial" w:hAnsi="Arial" w:cs="Arial"/>
          <w:sz w:val="24"/>
          <w:szCs w:val="24"/>
        </w:rPr>
        <w:t xml:space="preserve"> transferred to an entity that does not meet the requirements for a concessional lease. </w:t>
      </w:r>
      <w:bookmarkEnd w:id="0"/>
    </w:p>
    <w:p w14:paraId="1BD896EC" w14:textId="04EA4BFA" w:rsidR="00071D8C" w:rsidRPr="008D3572" w:rsidRDefault="00071D8C" w:rsidP="00DB24B1">
      <w:pPr>
        <w:rPr>
          <w:rFonts w:ascii="Arial" w:hAnsi="Arial" w:cs="Arial"/>
          <w:sz w:val="24"/>
          <w:szCs w:val="24"/>
        </w:rPr>
      </w:pPr>
      <w:r w:rsidRPr="008D3572">
        <w:rPr>
          <w:rFonts w:ascii="Arial" w:hAnsi="Arial" w:cs="Arial"/>
          <w:sz w:val="24"/>
          <w:szCs w:val="24"/>
        </w:rPr>
        <w:t xml:space="preserve">Under section 298(2) of the </w:t>
      </w:r>
      <w:r w:rsidRPr="008D3572">
        <w:rPr>
          <w:rFonts w:ascii="Arial" w:hAnsi="Arial" w:cs="Arial"/>
          <w:i/>
          <w:iCs/>
          <w:sz w:val="24"/>
          <w:szCs w:val="24"/>
        </w:rPr>
        <w:t>Planning and Development Act 2007</w:t>
      </w:r>
      <w:r w:rsidRPr="008D3572">
        <w:rPr>
          <w:rFonts w:ascii="Arial" w:hAnsi="Arial" w:cs="Arial"/>
          <w:sz w:val="24"/>
          <w:szCs w:val="24"/>
        </w:rPr>
        <w:t xml:space="preserve">, </w:t>
      </w:r>
      <w:r w:rsidR="001F2000">
        <w:rPr>
          <w:rFonts w:ascii="Arial" w:hAnsi="Arial" w:cs="Arial"/>
          <w:sz w:val="24"/>
          <w:szCs w:val="24"/>
        </w:rPr>
        <w:t xml:space="preserve">the Authority </w:t>
      </w:r>
      <w:r w:rsidRPr="008D3572">
        <w:rPr>
          <w:rFonts w:ascii="Arial" w:hAnsi="Arial" w:cs="Arial"/>
          <w:sz w:val="24"/>
          <w:szCs w:val="24"/>
        </w:rPr>
        <w:t xml:space="preserve">may consent to the transfer of a lease containing a building and development provision if </w:t>
      </w:r>
      <w:r w:rsidR="001F2000">
        <w:rPr>
          <w:rFonts w:ascii="Arial" w:hAnsi="Arial" w:cs="Arial"/>
          <w:sz w:val="24"/>
          <w:szCs w:val="24"/>
        </w:rPr>
        <w:t>it</w:t>
      </w:r>
      <w:r w:rsidRPr="008D3572">
        <w:rPr>
          <w:rFonts w:ascii="Arial" w:hAnsi="Arial" w:cs="Arial"/>
          <w:sz w:val="24"/>
          <w:szCs w:val="24"/>
        </w:rPr>
        <w:t xml:space="preserve"> is satisfied that the entity</w:t>
      </w:r>
      <w:r w:rsidR="001F2000">
        <w:rPr>
          <w:rFonts w:ascii="Arial" w:hAnsi="Arial" w:cs="Arial"/>
          <w:sz w:val="24"/>
          <w:szCs w:val="24"/>
        </w:rPr>
        <w:t xml:space="preserve"> to which it is being transferred</w:t>
      </w:r>
      <w:r w:rsidRPr="008D3572">
        <w:rPr>
          <w:rFonts w:ascii="Arial" w:hAnsi="Arial" w:cs="Arial"/>
          <w:sz w:val="24"/>
          <w:szCs w:val="24"/>
        </w:rPr>
        <w:t xml:space="preserve"> has the financial means and intention to comply with the provision. However there is no requirement in section 298 for the Authority to consider if the entity also meets the requirements to be a concessional </w:t>
      </w:r>
      <w:r w:rsidR="00B24FD4">
        <w:rPr>
          <w:rFonts w:ascii="Arial" w:hAnsi="Arial" w:cs="Arial"/>
          <w:sz w:val="24"/>
          <w:szCs w:val="24"/>
        </w:rPr>
        <w:t>lessee</w:t>
      </w:r>
      <w:r w:rsidRPr="008D3572">
        <w:rPr>
          <w:rFonts w:ascii="Arial" w:hAnsi="Arial" w:cs="Arial"/>
          <w:sz w:val="24"/>
          <w:szCs w:val="24"/>
        </w:rPr>
        <w:t xml:space="preserve">, as provided for elsewhere in the </w:t>
      </w:r>
      <w:r w:rsidR="006A0F6D">
        <w:rPr>
          <w:rFonts w:ascii="Arial" w:hAnsi="Arial" w:cs="Arial"/>
          <w:i/>
          <w:iCs/>
          <w:sz w:val="24"/>
          <w:szCs w:val="24"/>
        </w:rPr>
        <w:t>Planning and Development Act 2007</w:t>
      </w:r>
      <w:r w:rsidRPr="008D3572">
        <w:rPr>
          <w:rFonts w:ascii="Arial" w:hAnsi="Arial" w:cs="Arial"/>
          <w:sz w:val="24"/>
          <w:szCs w:val="24"/>
        </w:rPr>
        <w:t xml:space="preserve">. This amendment intends to </w:t>
      </w:r>
      <w:r w:rsidR="00570BDA">
        <w:rPr>
          <w:rFonts w:ascii="Arial" w:hAnsi="Arial" w:cs="Arial"/>
          <w:sz w:val="24"/>
          <w:szCs w:val="24"/>
        </w:rPr>
        <w:t>make sure</w:t>
      </w:r>
      <w:r w:rsidRPr="008D3572">
        <w:rPr>
          <w:rFonts w:ascii="Arial" w:hAnsi="Arial" w:cs="Arial"/>
          <w:sz w:val="24"/>
          <w:szCs w:val="24"/>
        </w:rPr>
        <w:t xml:space="preserve"> tha</w:t>
      </w:r>
      <w:r w:rsidR="001F2000">
        <w:rPr>
          <w:rFonts w:ascii="Arial" w:hAnsi="Arial" w:cs="Arial"/>
          <w:sz w:val="24"/>
          <w:szCs w:val="24"/>
        </w:rPr>
        <w:t>t only</w:t>
      </w:r>
      <w:r w:rsidRPr="008D3572">
        <w:rPr>
          <w:rFonts w:ascii="Arial" w:hAnsi="Arial" w:cs="Arial"/>
          <w:sz w:val="24"/>
          <w:szCs w:val="24"/>
        </w:rPr>
        <w:t xml:space="preserve"> lessees that meet eligibility requirements can hold concessional leases. </w:t>
      </w:r>
    </w:p>
    <w:p w14:paraId="32FD8718" w14:textId="1D798EA0" w:rsidR="00071D8C" w:rsidRPr="00A84B39" w:rsidRDefault="00071D8C" w:rsidP="00071D8C">
      <w:pPr>
        <w:spacing w:after="0"/>
        <w:rPr>
          <w:rFonts w:ascii="Arial" w:hAnsi="Arial" w:cs="Arial"/>
          <w:b/>
          <w:bCs/>
          <w:sz w:val="28"/>
          <w:szCs w:val="28"/>
        </w:rPr>
      </w:pPr>
      <w:r w:rsidRPr="00A84B39">
        <w:rPr>
          <w:rFonts w:ascii="Arial" w:hAnsi="Arial" w:cs="Arial"/>
          <w:b/>
          <w:bCs/>
          <w:sz w:val="28"/>
          <w:szCs w:val="28"/>
        </w:rPr>
        <w:t>Part 6</w:t>
      </w:r>
      <w:r w:rsidRPr="00A84B39">
        <w:rPr>
          <w:rFonts w:ascii="Arial" w:hAnsi="Arial" w:cs="Arial"/>
          <w:b/>
          <w:bCs/>
          <w:sz w:val="28"/>
          <w:szCs w:val="28"/>
        </w:rPr>
        <w:tab/>
      </w:r>
      <w:r w:rsidRPr="00A84B39">
        <w:rPr>
          <w:rFonts w:ascii="Arial" w:hAnsi="Arial" w:cs="Arial"/>
          <w:b/>
          <w:bCs/>
          <w:sz w:val="28"/>
          <w:szCs w:val="28"/>
        </w:rPr>
        <w:tab/>
        <w:t xml:space="preserve">Unit Titles </w:t>
      </w:r>
      <w:r w:rsidR="00B24FD4" w:rsidRPr="00A84B39">
        <w:rPr>
          <w:rFonts w:ascii="Arial" w:hAnsi="Arial" w:cs="Arial"/>
          <w:b/>
          <w:bCs/>
          <w:sz w:val="28"/>
          <w:szCs w:val="28"/>
        </w:rPr>
        <w:t>(</w:t>
      </w:r>
      <w:r w:rsidRPr="00A84B39">
        <w:rPr>
          <w:rFonts w:ascii="Arial" w:hAnsi="Arial" w:cs="Arial"/>
          <w:b/>
          <w:bCs/>
          <w:sz w:val="28"/>
          <w:szCs w:val="28"/>
        </w:rPr>
        <w:t>Management</w:t>
      </w:r>
      <w:r w:rsidR="00B24FD4" w:rsidRPr="00A84B39">
        <w:rPr>
          <w:rFonts w:ascii="Arial" w:hAnsi="Arial" w:cs="Arial"/>
          <w:b/>
          <w:bCs/>
          <w:sz w:val="28"/>
          <w:szCs w:val="28"/>
        </w:rPr>
        <w:t>)</w:t>
      </w:r>
      <w:r w:rsidRPr="00A84B39">
        <w:rPr>
          <w:rFonts w:ascii="Arial" w:hAnsi="Arial" w:cs="Arial"/>
          <w:b/>
          <w:bCs/>
          <w:sz w:val="28"/>
          <w:szCs w:val="28"/>
        </w:rPr>
        <w:t xml:space="preserve"> Act 2011</w:t>
      </w:r>
    </w:p>
    <w:p w14:paraId="22BF71C6" w14:textId="77777777" w:rsidR="00071D8C" w:rsidRPr="008D3572" w:rsidRDefault="00071D8C" w:rsidP="00071D8C">
      <w:pPr>
        <w:spacing w:after="0"/>
        <w:rPr>
          <w:rFonts w:ascii="Arial" w:hAnsi="Arial" w:cs="Arial"/>
          <w:b/>
          <w:bCs/>
          <w:sz w:val="24"/>
          <w:szCs w:val="24"/>
        </w:rPr>
      </w:pPr>
    </w:p>
    <w:p w14:paraId="346ACFE8" w14:textId="7EA31EB3" w:rsidR="00071D8C" w:rsidRPr="008D3572" w:rsidRDefault="00071D8C" w:rsidP="00071D8C">
      <w:pPr>
        <w:spacing w:after="0"/>
        <w:rPr>
          <w:rFonts w:ascii="Arial" w:hAnsi="Arial" w:cs="Arial"/>
          <w:b/>
          <w:bCs/>
          <w:sz w:val="24"/>
          <w:szCs w:val="24"/>
        </w:rPr>
      </w:pPr>
      <w:r w:rsidRPr="008D3572">
        <w:rPr>
          <w:rFonts w:ascii="Arial" w:hAnsi="Arial" w:cs="Arial"/>
          <w:b/>
          <w:bCs/>
          <w:sz w:val="24"/>
          <w:szCs w:val="24"/>
        </w:rPr>
        <w:t>Clause 1</w:t>
      </w:r>
      <w:r w:rsidR="00A84B39">
        <w:rPr>
          <w:rFonts w:ascii="Arial" w:hAnsi="Arial" w:cs="Arial"/>
          <w:b/>
          <w:bCs/>
          <w:sz w:val="24"/>
          <w:szCs w:val="24"/>
        </w:rPr>
        <w:t>6</w:t>
      </w:r>
      <w:r w:rsidRPr="008D3572">
        <w:rPr>
          <w:rFonts w:ascii="Arial" w:hAnsi="Arial" w:cs="Arial"/>
          <w:b/>
          <w:bCs/>
          <w:sz w:val="24"/>
          <w:szCs w:val="24"/>
        </w:rPr>
        <w:tab/>
      </w:r>
      <w:r w:rsidR="00657442" w:rsidRPr="008D3572">
        <w:rPr>
          <w:rFonts w:ascii="Arial" w:hAnsi="Arial" w:cs="Arial"/>
          <w:b/>
          <w:bCs/>
          <w:sz w:val="24"/>
          <w:szCs w:val="24"/>
        </w:rPr>
        <w:t>Unit title certificate and access to owners corporation records</w:t>
      </w:r>
    </w:p>
    <w:p w14:paraId="2C1132A6" w14:textId="52DDB555" w:rsidR="00071D8C" w:rsidRPr="008D3572" w:rsidRDefault="00071D8C" w:rsidP="00657442">
      <w:pPr>
        <w:tabs>
          <w:tab w:val="left" w:pos="1402"/>
        </w:tabs>
        <w:spacing w:after="0"/>
        <w:rPr>
          <w:rFonts w:ascii="Arial" w:hAnsi="Arial" w:cs="Arial"/>
          <w:b/>
          <w:bCs/>
          <w:sz w:val="24"/>
          <w:szCs w:val="24"/>
        </w:rPr>
      </w:pPr>
      <w:r w:rsidRPr="008D3572">
        <w:rPr>
          <w:rFonts w:ascii="Arial" w:hAnsi="Arial" w:cs="Arial"/>
          <w:b/>
          <w:bCs/>
          <w:sz w:val="24"/>
          <w:szCs w:val="24"/>
        </w:rPr>
        <w:tab/>
        <w:t xml:space="preserve"> </w:t>
      </w:r>
      <w:r w:rsidR="00657442" w:rsidRPr="008D3572">
        <w:rPr>
          <w:rFonts w:ascii="Arial" w:hAnsi="Arial" w:cs="Arial"/>
          <w:b/>
          <w:bCs/>
          <w:sz w:val="24"/>
          <w:szCs w:val="24"/>
        </w:rPr>
        <w:t>New subsection 119 (7)</w:t>
      </w:r>
    </w:p>
    <w:p w14:paraId="5DD82F25" w14:textId="276BC728" w:rsidR="00657442" w:rsidRPr="008D3572" w:rsidRDefault="00657442" w:rsidP="00657442">
      <w:pPr>
        <w:tabs>
          <w:tab w:val="left" w:pos="1402"/>
        </w:tabs>
        <w:spacing w:after="0"/>
        <w:rPr>
          <w:rFonts w:ascii="Arial" w:hAnsi="Arial" w:cs="Arial"/>
          <w:sz w:val="24"/>
          <w:szCs w:val="24"/>
        </w:rPr>
      </w:pPr>
      <w:r w:rsidRPr="008D3572">
        <w:rPr>
          <w:rFonts w:ascii="Arial" w:hAnsi="Arial" w:cs="Arial"/>
          <w:sz w:val="24"/>
          <w:szCs w:val="24"/>
        </w:rPr>
        <w:t>This clause clarifies that</w:t>
      </w:r>
      <w:r w:rsidR="00A84B39">
        <w:rPr>
          <w:rFonts w:ascii="Arial" w:hAnsi="Arial" w:cs="Arial"/>
          <w:sz w:val="24"/>
          <w:szCs w:val="24"/>
        </w:rPr>
        <w:t>, for the purposes of section 119,</w:t>
      </w:r>
      <w:r w:rsidRPr="008D3572">
        <w:rPr>
          <w:rFonts w:ascii="Arial" w:hAnsi="Arial" w:cs="Arial"/>
          <w:sz w:val="24"/>
          <w:szCs w:val="24"/>
        </w:rPr>
        <w:t xml:space="preserve"> the definition of </w:t>
      </w:r>
      <w:r w:rsidRPr="008D3572">
        <w:rPr>
          <w:rFonts w:ascii="Arial" w:hAnsi="Arial" w:cs="Arial"/>
          <w:i/>
          <w:iCs/>
          <w:sz w:val="24"/>
          <w:szCs w:val="24"/>
        </w:rPr>
        <w:t>eligible person</w:t>
      </w:r>
      <w:r w:rsidRPr="008D3572">
        <w:rPr>
          <w:rFonts w:ascii="Arial" w:hAnsi="Arial" w:cs="Arial"/>
          <w:sz w:val="24"/>
          <w:szCs w:val="24"/>
        </w:rPr>
        <w:t xml:space="preserve"> provided for in the Dictionary section of the Act includes a person who enters into a contract for sale for the unit in relation to which access to information is required. </w:t>
      </w:r>
    </w:p>
    <w:p w14:paraId="38385C7B" w14:textId="6540A54F" w:rsidR="00657442" w:rsidRPr="008D3572" w:rsidRDefault="00657442" w:rsidP="00657442">
      <w:pPr>
        <w:tabs>
          <w:tab w:val="left" w:pos="1402"/>
        </w:tabs>
        <w:spacing w:after="0"/>
        <w:rPr>
          <w:rFonts w:ascii="Arial" w:hAnsi="Arial" w:cs="Arial"/>
          <w:sz w:val="24"/>
          <w:szCs w:val="24"/>
        </w:rPr>
      </w:pPr>
    </w:p>
    <w:p w14:paraId="7C12C49A" w14:textId="50A3BD39" w:rsidR="00657442" w:rsidRDefault="00657442" w:rsidP="00657442">
      <w:pPr>
        <w:tabs>
          <w:tab w:val="left" w:pos="1402"/>
        </w:tabs>
        <w:spacing w:after="0"/>
        <w:rPr>
          <w:rFonts w:ascii="Arial" w:hAnsi="Arial" w:cs="Arial"/>
          <w:sz w:val="24"/>
          <w:szCs w:val="24"/>
        </w:rPr>
      </w:pPr>
      <w:r w:rsidRPr="008D3572">
        <w:rPr>
          <w:rFonts w:ascii="Arial" w:hAnsi="Arial" w:cs="Arial"/>
          <w:i/>
          <w:iCs/>
          <w:sz w:val="24"/>
          <w:szCs w:val="24"/>
        </w:rPr>
        <w:t>Eligible person</w:t>
      </w:r>
      <w:r w:rsidRPr="008D3572">
        <w:rPr>
          <w:rFonts w:ascii="Arial" w:hAnsi="Arial" w:cs="Arial"/>
          <w:sz w:val="24"/>
          <w:szCs w:val="24"/>
        </w:rPr>
        <w:t xml:space="preserve"> is currently defined as the owner or another person with an interest in the unit or an easement over the common property, a representative of a company if a company is the unit owner, anyone authorised in writing by the owner or a company representative, or, where necessary and appropriate, the planning and land authority. </w:t>
      </w:r>
    </w:p>
    <w:p w14:paraId="349F0CF3" w14:textId="21914EA4" w:rsidR="00A84B39" w:rsidRDefault="00A84B39" w:rsidP="00657442">
      <w:pPr>
        <w:tabs>
          <w:tab w:val="left" w:pos="1402"/>
        </w:tabs>
        <w:spacing w:after="0"/>
        <w:rPr>
          <w:rFonts w:ascii="Arial" w:hAnsi="Arial" w:cs="Arial"/>
          <w:sz w:val="24"/>
          <w:szCs w:val="24"/>
        </w:rPr>
      </w:pPr>
    </w:p>
    <w:p w14:paraId="487CAD5F" w14:textId="4B3EF153" w:rsidR="00657442" w:rsidRPr="008D3572" w:rsidRDefault="00A84B39" w:rsidP="00657442">
      <w:pPr>
        <w:tabs>
          <w:tab w:val="left" w:pos="1402"/>
        </w:tabs>
        <w:spacing w:after="0"/>
        <w:rPr>
          <w:rFonts w:ascii="Arial" w:hAnsi="Arial" w:cs="Arial"/>
          <w:sz w:val="24"/>
          <w:szCs w:val="24"/>
        </w:rPr>
      </w:pPr>
      <w:r>
        <w:rPr>
          <w:rFonts w:ascii="Arial" w:hAnsi="Arial" w:cs="Arial"/>
          <w:sz w:val="24"/>
          <w:szCs w:val="24"/>
        </w:rPr>
        <w:t xml:space="preserve">This amendment removes any doubt that a buyer, who may or may not yet have an “interest” in the unit, may request a unit title certificate under section 119. </w:t>
      </w:r>
    </w:p>
    <w:p w14:paraId="5658EC0E" w14:textId="1D96B9D4" w:rsidR="00657442" w:rsidRDefault="00657442" w:rsidP="00657442">
      <w:pPr>
        <w:tabs>
          <w:tab w:val="left" w:pos="1402"/>
        </w:tabs>
        <w:spacing w:after="0"/>
        <w:rPr>
          <w:rFonts w:ascii="Arial" w:hAnsi="Arial" w:cs="Arial"/>
          <w:sz w:val="24"/>
          <w:szCs w:val="24"/>
        </w:rPr>
      </w:pPr>
    </w:p>
    <w:p w14:paraId="1D318A61" w14:textId="40BA753D" w:rsidR="00657442" w:rsidRPr="008D3572" w:rsidRDefault="00657442" w:rsidP="00657442">
      <w:pPr>
        <w:spacing w:after="0"/>
        <w:rPr>
          <w:rFonts w:ascii="Arial" w:hAnsi="Arial" w:cs="Arial"/>
          <w:b/>
          <w:bCs/>
          <w:sz w:val="24"/>
          <w:szCs w:val="24"/>
        </w:rPr>
      </w:pPr>
      <w:r w:rsidRPr="008D3572">
        <w:rPr>
          <w:rFonts w:ascii="Arial" w:hAnsi="Arial" w:cs="Arial"/>
          <w:b/>
          <w:bCs/>
          <w:sz w:val="24"/>
          <w:szCs w:val="24"/>
        </w:rPr>
        <w:t>Clause</w:t>
      </w:r>
      <w:r w:rsidR="00BC60F8">
        <w:rPr>
          <w:rFonts w:ascii="Arial" w:hAnsi="Arial" w:cs="Arial"/>
          <w:b/>
          <w:bCs/>
          <w:sz w:val="24"/>
          <w:szCs w:val="24"/>
        </w:rPr>
        <w:t>s</w:t>
      </w:r>
      <w:r w:rsidRPr="008D3572">
        <w:rPr>
          <w:rFonts w:ascii="Arial" w:hAnsi="Arial" w:cs="Arial"/>
          <w:b/>
          <w:bCs/>
          <w:sz w:val="24"/>
          <w:szCs w:val="24"/>
        </w:rPr>
        <w:t xml:space="preserve"> 1</w:t>
      </w:r>
      <w:r w:rsidR="00A84B39">
        <w:rPr>
          <w:rFonts w:ascii="Arial" w:hAnsi="Arial" w:cs="Arial"/>
          <w:b/>
          <w:bCs/>
          <w:sz w:val="24"/>
          <w:szCs w:val="24"/>
        </w:rPr>
        <w:t>7</w:t>
      </w:r>
      <w:r w:rsidR="00BC60F8">
        <w:rPr>
          <w:rFonts w:ascii="Arial" w:hAnsi="Arial" w:cs="Arial"/>
          <w:b/>
          <w:bCs/>
          <w:sz w:val="24"/>
          <w:szCs w:val="24"/>
        </w:rPr>
        <w:t xml:space="preserve"> and 18 </w:t>
      </w:r>
      <w:r w:rsidR="00BA0178">
        <w:rPr>
          <w:rFonts w:ascii="Arial" w:hAnsi="Arial" w:cs="Arial"/>
          <w:b/>
          <w:bCs/>
          <w:sz w:val="24"/>
          <w:szCs w:val="24"/>
        </w:rPr>
        <w:t xml:space="preserve">  </w:t>
      </w:r>
      <w:r w:rsidRPr="008D3572">
        <w:rPr>
          <w:rFonts w:ascii="Arial" w:hAnsi="Arial" w:cs="Arial"/>
          <w:b/>
          <w:bCs/>
          <w:sz w:val="24"/>
          <w:szCs w:val="24"/>
        </w:rPr>
        <w:tab/>
        <w:t>Proxy votes</w:t>
      </w:r>
    </w:p>
    <w:p w14:paraId="1096690F" w14:textId="31957D17" w:rsidR="00657442" w:rsidRDefault="00657442" w:rsidP="00657442">
      <w:pPr>
        <w:tabs>
          <w:tab w:val="left" w:pos="1402"/>
        </w:tabs>
        <w:spacing w:after="0"/>
        <w:rPr>
          <w:rFonts w:ascii="Arial" w:hAnsi="Arial" w:cs="Arial"/>
          <w:b/>
          <w:bCs/>
          <w:sz w:val="24"/>
          <w:szCs w:val="24"/>
        </w:rPr>
      </w:pPr>
      <w:r w:rsidRPr="008D3572">
        <w:rPr>
          <w:rFonts w:ascii="Arial" w:hAnsi="Arial" w:cs="Arial"/>
          <w:b/>
          <w:bCs/>
          <w:sz w:val="24"/>
          <w:szCs w:val="24"/>
        </w:rPr>
        <w:tab/>
      </w:r>
      <w:r w:rsidR="00BC60F8">
        <w:rPr>
          <w:rFonts w:ascii="Arial" w:hAnsi="Arial" w:cs="Arial"/>
          <w:b/>
          <w:bCs/>
          <w:sz w:val="24"/>
          <w:szCs w:val="24"/>
        </w:rPr>
        <w:t xml:space="preserve">        </w:t>
      </w:r>
      <w:r w:rsidR="00BA0178">
        <w:rPr>
          <w:rFonts w:ascii="Arial" w:hAnsi="Arial" w:cs="Arial"/>
          <w:b/>
          <w:bCs/>
          <w:sz w:val="24"/>
          <w:szCs w:val="24"/>
        </w:rPr>
        <w:t xml:space="preserve">           </w:t>
      </w:r>
      <w:r w:rsidR="00BC60F8">
        <w:rPr>
          <w:rFonts w:ascii="Arial" w:hAnsi="Arial" w:cs="Arial"/>
          <w:b/>
          <w:bCs/>
          <w:sz w:val="24"/>
          <w:szCs w:val="24"/>
        </w:rPr>
        <w:t xml:space="preserve">   </w:t>
      </w:r>
      <w:r w:rsidRPr="008D3572">
        <w:rPr>
          <w:rFonts w:ascii="Arial" w:hAnsi="Arial" w:cs="Arial"/>
          <w:b/>
          <w:bCs/>
          <w:sz w:val="24"/>
          <w:szCs w:val="24"/>
        </w:rPr>
        <w:t>Schedule 3, section 3.26(4)</w:t>
      </w:r>
    </w:p>
    <w:p w14:paraId="61B06E00" w14:textId="10623C19" w:rsidR="00BC60F8" w:rsidRPr="008D3572" w:rsidRDefault="00BC60F8" w:rsidP="00BC60F8">
      <w:pPr>
        <w:tabs>
          <w:tab w:val="left" w:pos="2080"/>
          <w:tab w:val="left" w:pos="2261"/>
        </w:tabs>
        <w:spacing w:after="0"/>
        <w:rPr>
          <w:rFonts w:ascii="Arial" w:hAnsi="Arial" w:cs="Arial"/>
          <w:b/>
          <w:bCs/>
          <w:sz w:val="24"/>
          <w:szCs w:val="24"/>
        </w:rPr>
      </w:pPr>
      <w:r>
        <w:rPr>
          <w:rFonts w:ascii="Arial" w:hAnsi="Arial" w:cs="Arial"/>
          <w:b/>
          <w:bCs/>
          <w:sz w:val="24"/>
          <w:szCs w:val="24"/>
        </w:rPr>
        <w:tab/>
      </w:r>
      <w:r w:rsidR="00BA0178">
        <w:rPr>
          <w:rFonts w:ascii="Arial" w:hAnsi="Arial" w:cs="Arial"/>
          <w:b/>
          <w:bCs/>
          <w:sz w:val="24"/>
          <w:szCs w:val="24"/>
        </w:rPr>
        <w:t xml:space="preserve">           </w:t>
      </w:r>
      <w:r>
        <w:rPr>
          <w:rFonts w:ascii="Arial" w:hAnsi="Arial" w:cs="Arial"/>
          <w:b/>
          <w:bCs/>
          <w:sz w:val="24"/>
          <w:szCs w:val="24"/>
        </w:rPr>
        <w:t xml:space="preserve"> Schedule 3, new section 3.26(5)</w:t>
      </w:r>
      <w:r>
        <w:rPr>
          <w:rFonts w:ascii="Arial" w:hAnsi="Arial" w:cs="Arial"/>
          <w:b/>
          <w:bCs/>
          <w:sz w:val="24"/>
          <w:szCs w:val="24"/>
        </w:rPr>
        <w:tab/>
      </w:r>
    </w:p>
    <w:p w14:paraId="7DA17200" w14:textId="2297502A" w:rsidR="00BC60F8" w:rsidRDefault="00BC60F8" w:rsidP="00657442">
      <w:pPr>
        <w:tabs>
          <w:tab w:val="left" w:pos="1402"/>
        </w:tabs>
        <w:spacing w:after="0"/>
        <w:rPr>
          <w:rFonts w:ascii="Arial" w:hAnsi="Arial" w:cs="Arial"/>
          <w:sz w:val="24"/>
          <w:szCs w:val="24"/>
        </w:rPr>
      </w:pPr>
      <w:r>
        <w:rPr>
          <w:rFonts w:ascii="Arial" w:hAnsi="Arial" w:cs="Arial"/>
          <w:sz w:val="24"/>
          <w:szCs w:val="24"/>
        </w:rPr>
        <w:t>These clauses</w:t>
      </w:r>
      <w:r w:rsidR="001D7892" w:rsidRPr="008D3572">
        <w:rPr>
          <w:rFonts w:ascii="Arial" w:hAnsi="Arial" w:cs="Arial"/>
          <w:sz w:val="24"/>
          <w:szCs w:val="24"/>
        </w:rPr>
        <w:t xml:space="preserve"> amend section 3.26 to exempt the chairperson </w:t>
      </w:r>
      <w:r w:rsidR="00FC60F9">
        <w:rPr>
          <w:rFonts w:ascii="Arial" w:hAnsi="Arial" w:cs="Arial"/>
          <w:sz w:val="24"/>
          <w:szCs w:val="24"/>
        </w:rPr>
        <w:t xml:space="preserve">at a general meeting </w:t>
      </w:r>
      <w:r w:rsidR="001D7892" w:rsidRPr="00BA0178">
        <w:rPr>
          <w:rFonts w:ascii="Arial" w:hAnsi="Arial" w:cs="Arial"/>
          <w:sz w:val="24"/>
          <w:szCs w:val="24"/>
        </w:rPr>
        <w:t>from the restrictions on number of proxy votes that apply to voting</w:t>
      </w:r>
      <w:r w:rsidRPr="00BA0178">
        <w:rPr>
          <w:rFonts w:ascii="Arial" w:hAnsi="Arial" w:cs="Arial"/>
          <w:sz w:val="24"/>
          <w:szCs w:val="24"/>
        </w:rPr>
        <w:t xml:space="preserve"> and provide that the chairperson </w:t>
      </w:r>
      <w:r w:rsidR="00BA0178" w:rsidRPr="00BA0178">
        <w:rPr>
          <w:rFonts w:ascii="Arial" w:hAnsi="Arial" w:cs="Arial"/>
          <w:sz w:val="24"/>
          <w:szCs w:val="24"/>
        </w:rPr>
        <w:t>must</w:t>
      </w:r>
      <w:r w:rsidRPr="00BA0178">
        <w:rPr>
          <w:rFonts w:ascii="Arial" w:hAnsi="Arial" w:cs="Arial"/>
          <w:sz w:val="24"/>
          <w:szCs w:val="24"/>
        </w:rPr>
        <w:t xml:space="preserve"> exercise excess proxy votes.</w:t>
      </w:r>
      <w:r>
        <w:rPr>
          <w:rFonts w:ascii="Arial" w:hAnsi="Arial" w:cs="Arial"/>
          <w:sz w:val="24"/>
          <w:szCs w:val="24"/>
        </w:rPr>
        <w:t xml:space="preserve"> </w:t>
      </w:r>
    </w:p>
    <w:p w14:paraId="4188E9BE" w14:textId="77777777" w:rsidR="00BC60F8" w:rsidRDefault="00BC60F8" w:rsidP="00657442">
      <w:pPr>
        <w:tabs>
          <w:tab w:val="left" w:pos="1402"/>
        </w:tabs>
        <w:spacing w:after="0"/>
        <w:rPr>
          <w:rFonts w:ascii="Arial" w:hAnsi="Arial" w:cs="Arial"/>
          <w:sz w:val="24"/>
          <w:szCs w:val="24"/>
        </w:rPr>
      </w:pPr>
    </w:p>
    <w:p w14:paraId="1E5DC301" w14:textId="3C7BEC19" w:rsidR="00DB1EA7" w:rsidRPr="008D3572" w:rsidRDefault="001D7892" w:rsidP="00657442">
      <w:pPr>
        <w:tabs>
          <w:tab w:val="left" w:pos="1402"/>
        </w:tabs>
        <w:spacing w:after="0"/>
        <w:rPr>
          <w:rFonts w:ascii="Arial" w:hAnsi="Arial" w:cs="Arial"/>
          <w:sz w:val="24"/>
          <w:szCs w:val="24"/>
        </w:rPr>
      </w:pPr>
      <w:r w:rsidRPr="008D3572">
        <w:rPr>
          <w:rFonts w:ascii="Arial" w:hAnsi="Arial" w:cs="Arial"/>
          <w:sz w:val="24"/>
          <w:szCs w:val="24"/>
        </w:rPr>
        <w:t>Currently,</w:t>
      </w:r>
      <w:r w:rsidR="00CF7243" w:rsidRPr="008D3572">
        <w:rPr>
          <w:rFonts w:ascii="Arial" w:hAnsi="Arial" w:cs="Arial"/>
          <w:sz w:val="24"/>
          <w:szCs w:val="24"/>
        </w:rPr>
        <w:t xml:space="preserve"> a person must not, in the case of a units plan with more than 20 units, exercise a number of proxy votes that is more than 5% of the total number of units, and in any other case, more than 1.</w:t>
      </w:r>
      <w:r w:rsidR="00DB53B1">
        <w:rPr>
          <w:rFonts w:ascii="Arial" w:hAnsi="Arial" w:cs="Arial"/>
          <w:sz w:val="24"/>
          <w:szCs w:val="24"/>
        </w:rPr>
        <w:t xml:space="preserve"> These restrictions were introduced with the intention of avoiding voting behaviour, such as “vote stacking”, which may lead to unfair meeting outcomes. </w:t>
      </w:r>
      <w:r w:rsidR="00DB1EA7" w:rsidRPr="008D3572">
        <w:rPr>
          <w:rFonts w:ascii="Arial" w:hAnsi="Arial" w:cs="Arial"/>
          <w:sz w:val="24"/>
          <w:szCs w:val="24"/>
        </w:rPr>
        <w:t xml:space="preserve">Currently, if a unit owner nominates a proxy and that proxy is not eligible to hold that proxy vote due to having already reached the proxy vote limit, that owner may be unfairly (and possibly unknowingly) unable to vote. </w:t>
      </w:r>
    </w:p>
    <w:p w14:paraId="64441E0B" w14:textId="77777777" w:rsidR="00DB1EA7" w:rsidRPr="008D3572" w:rsidRDefault="00DB1EA7" w:rsidP="00657442">
      <w:pPr>
        <w:tabs>
          <w:tab w:val="left" w:pos="1402"/>
        </w:tabs>
        <w:spacing w:after="0"/>
        <w:rPr>
          <w:rFonts w:ascii="Arial" w:hAnsi="Arial" w:cs="Arial"/>
          <w:sz w:val="24"/>
          <w:szCs w:val="24"/>
        </w:rPr>
      </w:pPr>
    </w:p>
    <w:p w14:paraId="5C97E689" w14:textId="7B2121FD" w:rsidR="00CF7243" w:rsidRPr="00BA0178" w:rsidRDefault="00DB1EA7" w:rsidP="00657442">
      <w:pPr>
        <w:tabs>
          <w:tab w:val="left" w:pos="1402"/>
        </w:tabs>
        <w:spacing w:after="0"/>
        <w:rPr>
          <w:rFonts w:ascii="Arial" w:hAnsi="Arial" w:cs="Arial"/>
          <w:sz w:val="24"/>
          <w:szCs w:val="24"/>
        </w:rPr>
      </w:pPr>
      <w:r w:rsidRPr="00BA0178">
        <w:rPr>
          <w:rFonts w:ascii="Arial" w:hAnsi="Arial" w:cs="Arial"/>
          <w:sz w:val="24"/>
          <w:szCs w:val="24"/>
        </w:rPr>
        <w:lastRenderedPageBreak/>
        <w:t>Exempting the chairperson from proxy voting restrictions will allow the chairperson to exercise an indefinite number of proxy votes. The amendment</w:t>
      </w:r>
      <w:r w:rsidR="00086430" w:rsidRPr="00BA0178">
        <w:rPr>
          <w:rFonts w:ascii="Arial" w:hAnsi="Arial" w:cs="Arial"/>
          <w:sz w:val="24"/>
          <w:szCs w:val="24"/>
        </w:rPr>
        <w:t xml:space="preserve">, </w:t>
      </w:r>
      <w:r w:rsidR="00BC60F8" w:rsidRPr="00BA0178">
        <w:rPr>
          <w:rFonts w:ascii="Arial" w:hAnsi="Arial" w:cs="Arial"/>
          <w:sz w:val="24"/>
          <w:szCs w:val="24"/>
        </w:rPr>
        <w:t xml:space="preserve">and providing that the chairperson </w:t>
      </w:r>
      <w:r w:rsidR="00BA0178" w:rsidRPr="00BA0178">
        <w:rPr>
          <w:rFonts w:ascii="Arial" w:hAnsi="Arial" w:cs="Arial"/>
          <w:sz w:val="24"/>
          <w:szCs w:val="24"/>
        </w:rPr>
        <w:t>must</w:t>
      </w:r>
      <w:r w:rsidR="00BC60F8" w:rsidRPr="00BA0178">
        <w:rPr>
          <w:rFonts w:ascii="Arial" w:hAnsi="Arial" w:cs="Arial"/>
          <w:sz w:val="24"/>
          <w:szCs w:val="24"/>
        </w:rPr>
        <w:t xml:space="preserve"> exercise excess proxy votes, is</w:t>
      </w:r>
      <w:r w:rsidRPr="00BA0178">
        <w:rPr>
          <w:rFonts w:ascii="Arial" w:hAnsi="Arial" w:cs="Arial"/>
          <w:sz w:val="24"/>
          <w:szCs w:val="24"/>
        </w:rPr>
        <w:t xml:space="preserve"> intended to </w:t>
      </w:r>
      <w:r w:rsidR="00570BDA">
        <w:rPr>
          <w:rFonts w:ascii="Arial" w:hAnsi="Arial" w:cs="Arial"/>
          <w:sz w:val="24"/>
          <w:szCs w:val="24"/>
        </w:rPr>
        <w:t>make sure</w:t>
      </w:r>
      <w:r w:rsidRPr="00BA0178">
        <w:rPr>
          <w:rFonts w:ascii="Arial" w:hAnsi="Arial" w:cs="Arial"/>
          <w:sz w:val="24"/>
          <w:szCs w:val="24"/>
        </w:rPr>
        <w:t xml:space="preserve"> that all unit owners can </w:t>
      </w:r>
      <w:r w:rsidR="008D3572" w:rsidRPr="00BA0178">
        <w:rPr>
          <w:rFonts w:ascii="Arial" w:hAnsi="Arial" w:cs="Arial"/>
          <w:sz w:val="24"/>
          <w:szCs w:val="24"/>
        </w:rPr>
        <w:t>exercise their voting rights</w:t>
      </w:r>
      <w:r w:rsidRPr="00BA0178">
        <w:rPr>
          <w:rFonts w:ascii="Arial" w:hAnsi="Arial" w:cs="Arial"/>
          <w:sz w:val="24"/>
          <w:szCs w:val="24"/>
        </w:rPr>
        <w:t xml:space="preserve">, </w:t>
      </w:r>
      <w:r w:rsidR="00570BDA">
        <w:rPr>
          <w:rFonts w:ascii="Arial" w:hAnsi="Arial" w:cs="Arial"/>
          <w:sz w:val="24"/>
          <w:szCs w:val="24"/>
        </w:rPr>
        <w:t>for</w:t>
      </w:r>
      <w:r w:rsidRPr="00BA0178">
        <w:rPr>
          <w:rFonts w:ascii="Arial" w:hAnsi="Arial" w:cs="Arial"/>
          <w:sz w:val="24"/>
          <w:szCs w:val="24"/>
        </w:rPr>
        <w:t xml:space="preserve"> the efficient and effective running of meetings and, by extension, the efficient and effective management of the units plan. </w:t>
      </w:r>
    </w:p>
    <w:p w14:paraId="6BC6B24C" w14:textId="77777777" w:rsidR="00DB1EA7" w:rsidRPr="00BA0178" w:rsidRDefault="00DB1EA7" w:rsidP="00657442">
      <w:pPr>
        <w:tabs>
          <w:tab w:val="left" w:pos="1402"/>
        </w:tabs>
        <w:spacing w:after="0"/>
        <w:rPr>
          <w:rFonts w:ascii="Arial" w:hAnsi="Arial" w:cs="Arial"/>
          <w:sz w:val="24"/>
          <w:szCs w:val="24"/>
        </w:rPr>
      </w:pPr>
    </w:p>
    <w:p w14:paraId="62ECF687" w14:textId="6E66E630" w:rsidR="008D3572" w:rsidRPr="00657442" w:rsidRDefault="008D3572" w:rsidP="00BC60F8">
      <w:pPr>
        <w:rPr>
          <w:rFonts w:ascii="Arial" w:hAnsi="Arial" w:cs="Arial"/>
          <w:sz w:val="24"/>
          <w:szCs w:val="24"/>
        </w:rPr>
      </w:pPr>
      <w:r w:rsidRPr="00BA0178">
        <w:rPr>
          <w:rFonts w:ascii="Arial" w:hAnsi="Arial" w:cs="Arial"/>
          <w:sz w:val="24"/>
          <w:szCs w:val="24"/>
        </w:rPr>
        <w:t>A chairperson is generally the</w:t>
      </w:r>
      <w:r w:rsidRPr="008D3572">
        <w:rPr>
          <w:rFonts w:ascii="Arial" w:hAnsi="Arial" w:cs="Arial"/>
          <w:sz w:val="24"/>
          <w:szCs w:val="24"/>
        </w:rPr>
        <w:t xml:space="preserve"> chairperson of the executive committee, who not only has a casting vote on deadlocked matters (section 3.30 </w:t>
      </w:r>
      <w:r w:rsidRPr="008D3572">
        <w:rPr>
          <w:rFonts w:ascii="Arial" w:hAnsi="Arial" w:cs="Arial"/>
          <w:i/>
          <w:iCs/>
          <w:sz w:val="24"/>
          <w:szCs w:val="24"/>
        </w:rPr>
        <w:t xml:space="preserve">Unit Titles Management Act 2011 </w:t>
      </w:r>
      <w:r w:rsidRPr="008D3572">
        <w:rPr>
          <w:rFonts w:ascii="Arial" w:hAnsi="Arial" w:cs="Arial"/>
          <w:sz w:val="24"/>
          <w:szCs w:val="24"/>
        </w:rPr>
        <w:t xml:space="preserve">(UTMA)), but as an executive member is also subject to a code of conduct (section 46 and schedule 1, part 1.1 UTMA) and must act in the best interests of the owners corporation (item 4, schedule 1, part 1.1 UTMA). </w:t>
      </w:r>
      <w:bookmarkStart w:id="1" w:name="_Hlk53567307"/>
      <w:r w:rsidR="00375557">
        <w:rPr>
          <w:rFonts w:ascii="Arial" w:hAnsi="Arial" w:cs="Arial"/>
          <w:sz w:val="24"/>
          <w:szCs w:val="24"/>
        </w:rPr>
        <w:t>As such, the chairperson is unlikely to part</w:t>
      </w:r>
      <w:r w:rsidR="006A0F6D">
        <w:rPr>
          <w:rFonts w:ascii="Arial" w:hAnsi="Arial" w:cs="Arial"/>
          <w:sz w:val="24"/>
          <w:szCs w:val="24"/>
        </w:rPr>
        <w:t>icipate</w:t>
      </w:r>
      <w:r w:rsidR="00375557">
        <w:rPr>
          <w:rFonts w:ascii="Arial" w:hAnsi="Arial" w:cs="Arial"/>
          <w:sz w:val="24"/>
          <w:szCs w:val="24"/>
        </w:rPr>
        <w:t xml:space="preserve"> in the sort of unfair behaviour that the proxy voting restrictions were introduced to address. </w:t>
      </w:r>
      <w:bookmarkEnd w:id="1"/>
    </w:p>
    <w:sectPr w:rsidR="008D3572" w:rsidRPr="00657442" w:rsidSect="008436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067D" w14:textId="77777777" w:rsidR="00136925" w:rsidRDefault="00136925" w:rsidP="00566BAA">
      <w:pPr>
        <w:spacing w:after="0" w:line="240" w:lineRule="auto"/>
      </w:pPr>
      <w:r>
        <w:separator/>
      </w:r>
    </w:p>
  </w:endnote>
  <w:endnote w:type="continuationSeparator" w:id="0">
    <w:p w14:paraId="5DEE50A9" w14:textId="77777777" w:rsidR="00136925" w:rsidRDefault="00136925" w:rsidP="0056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1EBC" w14:textId="77777777" w:rsidR="000F7D41" w:rsidRDefault="000F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7728" w14:textId="35C2EA93" w:rsidR="006B630A" w:rsidRPr="000F7D41" w:rsidRDefault="000F7D41" w:rsidP="000F7D41">
    <w:pPr>
      <w:pStyle w:val="Footer"/>
      <w:jc w:val="center"/>
      <w:rPr>
        <w:rFonts w:ascii="Arial" w:hAnsi="Arial" w:cs="Arial"/>
        <w:sz w:val="14"/>
        <w:szCs w:val="24"/>
      </w:rPr>
    </w:pPr>
    <w:r w:rsidRPr="000F7D41">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3F4B" w14:textId="77777777" w:rsidR="000F7D41" w:rsidRDefault="000F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298B" w14:textId="77777777" w:rsidR="00136925" w:rsidRDefault="00136925" w:rsidP="00566BAA">
      <w:pPr>
        <w:spacing w:after="0" w:line="240" w:lineRule="auto"/>
      </w:pPr>
      <w:r>
        <w:separator/>
      </w:r>
    </w:p>
  </w:footnote>
  <w:footnote w:type="continuationSeparator" w:id="0">
    <w:p w14:paraId="23481CD6" w14:textId="77777777" w:rsidR="00136925" w:rsidRDefault="00136925" w:rsidP="0056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78FC" w14:textId="77777777" w:rsidR="000F7D41" w:rsidRDefault="000F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08EC" w14:textId="2B70704B" w:rsidR="006B630A" w:rsidRPr="005F794B" w:rsidRDefault="006B630A" w:rsidP="006B630A">
    <w:pPr>
      <w:pStyle w:val="Header"/>
      <w:jc w:val="center"/>
      <w:rPr>
        <w:rFonts w:asciiTheme="minorHAnsi" w:hAnsiTheme="minorHAnsi" w:cstheme="minorHAnsi"/>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3C8F" w14:textId="77777777" w:rsidR="000F7D41" w:rsidRDefault="000F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416FF"/>
    <w:multiLevelType w:val="hybridMultilevel"/>
    <w:tmpl w:val="F81AB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766216"/>
    <w:multiLevelType w:val="hybridMultilevel"/>
    <w:tmpl w:val="303AA81C"/>
    <w:lvl w:ilvl="0" w:tplc="FC226EE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D773B3"/>
    <w:multiLevelType w:val="hybridMultilevel"/>
    <w:tmpl w:val="B2D2C076"/>
    <w:lvl w:ilvl="0" w:tplc="0F66175E">
      <w:start w:val="1"/>
      <w:numFmt w:val="decimal"/>
      <w:pStyle w:val="Heading4"/>
      <w:lvlText w:val="Clause %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B6"/>
    <w:rsid w:val="000004AF"/>
    <w:rsid w:val="0000089B"/>
    <w:rsid w:val="000042DC"/>
    <w:rsid w:val="000047F0"/>
    <w:rsid w:val="00005F72"/>
    <w:rsid w:val="00006F74"/>
    <w:rsid w:val="000112E7"/>
    <w:rsid w:val="00013C9F"/>
    <w:rsid w:val="000156B6"/>
    <w:rsid w:val="00016A9C"/>
    <w:rsid w:val="00025053"/>
    <w:rsid w:val="000252D8"/>
    <w:rsid w:val="00025D7E"/>
    <w:rsid w:val="000262AC"/>
    <w:rsid w:val="000274FE"/>
    <w:rsid w:val="00027712"/>
    <w:rsid w:val="0003068C"/>
    <w:rsid w:val="0003078D"/>
    <w:rsid w:val="00031520"/>
    <w:rsid w:val="00033EFB"/>
    <w:rsid w:val="00034785"/>
    <w:rsid w:val="00041179"/>
    <w:rsid w:val="00043264"/>
    <w:rsid w:val="00043460"/>
    <w:rsid w:val="00043791"/>
    <w:rsid w:val="0004379F"/>
    <w:rsid w:val="000462D0"/>
    <w:rsid w:val="000465C4"/>
    <w:rsid w:val="00047BE8"/>
    <w:rsid w:val="00051758"/>
    <w:rsid w:val="00051760"/>
    <w:rsid w:val="00053745"/>
    <w:rsid w:val="000547B9"/>
    <w:rsid w:val="000556F1"/>
    <w:rsid w:val="00055C7F"/>
    <w:rsid w:val="00055E25"/>
    <w:rsid w:val="00057BF4"/>
    <w:rsid w:val="00060923"/>
    <w:rsid w:val="000645AA"/>
    <w:rsid w:val="00064800"/>
    <w:rsid w:val="00070117"/>
    <w:rsid w:val="00070618"/>
    <w:rsid w:val="00070BF1"/>
    <w:rsid w:val="00071D8C"/>
    <w:rsid w:val="00073920"/>
    <w:rsid w:val="00073BB8"/>
    <w:rsid w:val="0007403E"/>
    <w:rsid w:val="000752E5"/>
    <w:rsid w:val="00075663"/>
    <w:rsid w:val="00077890"/>
    <w:rsid w:val="000826FD"/>
    <w:rsid w:val="00083054"/>
    <w:rsid w:val="00083958"/>
    <w:rsid w:val="000841A9"/>
    <w:rsid w:val="00085BEB"/>
    <w:rsid w:val="00086430"/>
    <w:rsid w:val="00091DD7"/>
    <w:rsid w:val="00093750"/>
    <w:rsid w:val="00093849"/>
    <w:rsid w:val="00093D83"/>
    <w:rsid w:val="00094C66"/>
    <w:rsid w:val="00094D60"/>
    <w:rsid w:val="00096DE7"/>
    <w:rsid w:val="000978DF"/>
    <w:rsid w:val="00097953"/>
    <w:rsid w:val="000A0E9A"/>
    <w:rsid w:val="000A12E5"/>
    <w:rsid w:val="000A20EA"/>
    <w:rsid w:val="000A3406"/>
    <w:rsid w:val="000A3604"/>
    <w:rsid w:val="000A360E"/>
    <w:rsid w:val="000A53DB"/>
    <w:rsid w:val="000A58C8"/>
    <w:rsid w:val="000A5E6B"/>
    <w:rsid w:val="000A6253"/>
    <w:rsid w:val="000B0597"/>
    <w:rsid w:val="000B20AB"/>
    <w:rsid w:val="000B33BC"/>
    <w:rsid w:val="000B3E68"/>
    <w:rsid w:val="000B7248"/>
    <w:rsid w:val="000B77E3"/>
    <w:rsid w:val="000C17C0"/>
    <w:rsid w:val="000C215B"/>
    <w:rsid w:val="000C5782"/>
    <w:rsid w:val="000C6CE9"/>
    <w:rsid w:val="000C7DC5"/>
    <w:rsid w:val="000D1912"/>
    <w:rsid w:val="000D2656"/>
    <w:rsid w:val="000D5227"/>
    <w:rsid w:val="000D5310"/>
    <w:rsid w:val="000D5A6E"/>
    <w:rsid w:val="000D5DB0"/>
    <w:rsid w:val="000D6995"/>
    <w:rsid w:val="000E03D7"/>
    <w:rsid w:val="000E24EC"/>
    <w:rsid w:val="000E3BAC"/>
    <w:rsid w:val="000E3DF9"/>
    <w:rsid w:val="000E5A5E"/>
    <w:rsid w:val="000F02E6"/>
    <w:rsid w:val="000F13BA"/>
    <w:rsid w:val="000F2160"/>
    <w:rsid w:val="000F23F2"/>
    <w:rsid w:val="000F29B5"/>
    <w:rsid w:val="000F2AC2"/>
    <w:rsid w:val="000F31B8"/>
    <w:rsid w:val="000F33AC"/>
    <w:rsid w:val="000F40A4"/>
    <w:rsid w:val="000F6865"/>
    <w:rsid w:val="000F7320"/>
    <w:rsid w:val="000F7922"/>
    <w:rsid w:val="000F7D41"/>
    <w:rsid w:val="00103354"/>
    <w:rsid w:val="00103A3C"/>
    <w:rsid w:val="00103DFD"/>
    <w:rsid w:val="001050CD"/>
    <w:rsid w:val="001143CE"/>
    <w:rsid w:val="00114E2D"/>
    <w:rsid w:val="001177B6"/>
    <w:rsid w:val="0012156A"/>
    <w:rsid w:val="001227EF"/>
    <w:rsid w:val="001246C5"/>
    <w:rsid w:val="0012476B"/>
    <w:rsid w:val="00127294"/>
    <w:rsid w:val="00130AAC"/>
    <w:rsid w:val="00133025"/>
    <w:rsid w:val="00134C57"/>
    <w:rsid w:val="00135851"/>
    <w:rsid w:val="00136602"/>
    <w:rsid w:val="001368B7"/>
    <w:rsid w:val="00136925"/>
    <w:rsid w:val="0014190C"/>
    <w:rsid w:val="001432C8"/>
    <w:rsid w:val="001440A3"/>
    <w:rsid w:val="001444E2"/>
    <w:rsid w:val="00144D8D"/>
    <w:rsid w:val="00144FFB"/>
    <w:rsid w:val="00145D95"/>
    <w:rsid w:val="00146AAD"/>
    <w:rsid w:val="0015099C"/>
    <w:rsid w:val="00153714"/>
    <w:rsid w:val="00153F61"/>
    <w:rsid w:val="00155B22"/>
    <w:rsid w:val="00156905"/>
    <w:rsid w:val="00157936"/>
    <w:rsid w:val="00160C54"/>
    <w:rsid w:val="00162621"/>
    <w:rsid w:val="00162F34"/>
    <w:rsid w:val="00164C21"/>
    <w:rsid w:val="00165430"/>
    <w:rsid w:val="0016658E"/>
    <w:rsid w:val="001665B9"/>
    <w:rsid w:val="001708D0"/>
    <w:rsid w:val="001710B0"/>
    <w:rsid w:val="001718DF"/>
    <w:rsid w:val="00173830"/>
    <w:rsid w:val="001744AA"/>
    <w:rsid w:val="001758F5"/>
    <w:rsid w:val="00176566"/>
    <w:rsid w:val="00176BF3"/>
    <w:rsid w:val="0018101B"/>
    <w:rsid w:val="001812C0"/>
    <w:rsid w:val="00182323"/>
    <w:rsid w:val="00182AA8"/>
    <w:rsid w:val="00183440"/>
    <w:rsid w:val="001836E3"/>
    <w:rsid w:val="00184856"/>
    <w:rsid w:val="00184EFC"/>
    <w:rsid w:val="001861DA"/>
    <w:rsid w:val="00186680"/>
    <w:rsid w:val="00186893"/>
    <w:rsid w:val="001868E1"/>
    <w:rsid w:val="00190755"/>
    <w:rsid w:val="00191471"/>
    <w:rsid w:val="00192072"/>
    <w:rsid w:val="001924FD"/>
    <w:rsid w:val="00192FA4"/>
    <w:rsid w:val="00195061"/>
    <w:rsid w:val="00195178"/>
    <w:rsid w:val="001952C9"/>
    <w:rsid w:val="00195DDA"/>
    <w:rsid w:val="001961A6"/>
    <w:rsid w:val="001A1F8A"/>
    <w:rsid w:val="001A2F9A"/>
    <w:rsid w:val="001A421A"/>
    <w:rsid w:val="001A5C4D"/>
    <w:rsid w:val="001A7658"/>
    <w:rsid w:val="001B4707"/>
    <w:rsid w:val="001B7352"/>
    <w:rsid w:val="001B78E9"/>
    <w:rsid w:val="001B7C98"/>
    <w:rsid w:val="001C07C8"/>
    <w:rsid w:val="001C136C"/>
    <w:rsid w:val="001C3A81"/>
    <w:rsid w:val="001C4448"/>
    <w:rsid w:val="001C70D3"/>
    <w:rsid w:val="001D003A"/>
    <w:rsid w:val="001D0869"/>
    <w:rsid w:val="001D16BF"/>
    <w:rsid w:val="001D18EC"/>
    <w:rsid w:val="001D28D8"/>
    <w:rsid w:val="001D5B29"/>
    <w:rsid w:val="001D7892"/>
    <w:rsid w:val="001E0329"/>
    <w:rsid w:val="001E33D5"/>
    <w:rsid w:val="001E67E1"/>
    <w:rsid w:val="001F1D72"/>
    <w:rsid w:val="001F2000"/>
    <w:rsid w:val="001F31C8"/>
    <w:rsid w:val="001F35CE"/>
    <w:rsid w:val="001F4325"/>
    <w:rsid w:val="001F57C8"/>
    <w:rsid w:val="001F7900"/>
    <w:rsid w:val="001F7C52"/>
    <w:rsid w:val="002015DD"/>
    <w:rsid w:val="0020598D"/>
    <w:rsid w:val="00210243"/>
    <w:rsid w:val="00212638"/>
    <w:rsid w:val="002137C5"/>
    <w:rsid w:val="00213828"/>
    <w:rsid w:val="00216E26"/>
    <w:rsid w:val="00216F01"/>
    <w:rsid w:val="0021752C"/>
    <w:rsid w:val="00220EC5"/>
    <w:rsid w:val="002219A1"/>
    <w:rsid w:val="0022217C"/>
    <w:rsid w:val="00222BE9"/>
    <w:rsid w:val="00223E2F"/>
    <w:rsid w:val="00225F3C"/>
    <w:rsid w:val="00230453"/>
    <w:rsid w:val="00230846"/>
    <w:rsid w:val="002312DC"/>
    <w:rsid w:val="00231D11"/>
    <w:rsid w:val="0023462B"/>
    <w:rsid w:val="00234A8D"/>
    <w:rsid w:val="00236003"/>
    <w:rsid w:val="00237402"/>
    <w:rsid w:val="002400B6"/>
    <w:rsid w:val="002420CD"/>
    <w:rsid w:val="00242F89"/>
    <w:rsid w:val="002432C8"/>
    <w:rsid w:val="00243D6A"/>
    <w:rsid w:val="0024479A"/>
    <w:rsid w:val="002477FD"/>
    <w:rsid w:val="00247CA4"/>
    <w:rsid w:val="00251C17"/>
    <w:rsid w:val="00252E05"/>
    <w:rsid w:val="00253203"/>
    <w:rsid w:val="00253F91"/>
    <w:rsid w:val="002616AB"/>
    <w:rsid w:val="002619E4"/>
    <w:rsid w:val="002640FF"/>
    <w:rsid w:val="002651B0"/>
    <w:rsid w:val="002672C5"/>
    <w:rsid w:val="00267738"/>
    <w:rsid w:val="00267BF8"/>
    <w:rsid w:val="002706E1"/>
    <w:rsid w:val="00273326"/>
    <w:rsid w:val="002770B2"/>
    <w:rsid w:val="0028007D"/>
    <w:rsid w:val="00283D4E"/>
    <w:rsid w:val="00284D92"/>
    <w:rsid w:val="00290090"/>
    <w:rsid w:val="0029081C"/>
    <w:rsid w:val="0029416F"/>
    <w:rsid w:val="00294E85"/>
    <w:rsid w:val="002A0052"/>
    <w:rsid w:val="002A01C6"/>
    <w:rsid w:val="002A091E"/>
    <w:rsid w:val="002A33F8"/>
    <w:rsid w:val="002A41FD"/>
    <w:rsid w:val="002A5A28"/>
    <w:rsid w:val="002B4AD9"/>
    <w:rsid w:val="002B5A1F"/>
    <w:rsid w:val="002B5C47"/>
    <w:rsid w:val="002B7CA4"/>
    <w:rsid w:val="002C0463"/>
    <w:rsid w:val="002C0755"/>
    <w:rsid w:val="002C12B5"/>
    <w:rsid w:val="002C2089"/>
    <w:rsid w:val="002C2176"/>
    <w:rsid w:val="002C244A"/>
    <w:rsid w:val="002C3CE7"/>
    <w:rsid w:val="002C5CF5"/>
    <w:rsid w:val="002C6425"/>
    <w:rsid w:val="002D1099"/>
    <w:rsid w:val="002D23B9"/>
    <w:rsid w:val="002D2F71"/>
    <w:rsid w:val="002D31C0"/>
    <w:rsid w:val="002D4372"/>
    <w:rsid w:val="002D60F5"/>
    <w:rsid w:val="002D6474"/>
    <w:rsid w:val="002D6E7A"/>
    <w:rsid w:val="002D7CDA"/>
    <w:rsid w:val="002E12BB"/>
    <w:rsid w:val="002E15BC"/>
    <w:rsid w:val="002E30CA"/>
    <w:rsid w:val="002E5872"/>
    <w:rsid w:val="002E7421"/>
    <w:rsid w:val="002F300A"/>
    <w:rsid w:val="002F50BA"/>
    <w:rsid w:val="002F68DC"/>
    <w:rsid w:val="002F6BB1"/>
    <w:rsid w:val="002F7DB4"/>
    <w:rsid w:val="00301CE9"/>
    <w:rsid w:val="0030278F"/>
    <w:rsid w:val="003038E6"/>
    <w:rsid w:val="00304454"/>
    <w:rsid w:val="003064F3"/>
    <w:rsid w:val="00306C0A"/>
    <w:rsid w:val="00307ED1"/>
    <w:rsid w:val="003112E7"/>
    <w:rsid w:val="00311E25"/>
    <w:rsid w:val="003138E6"/>
    <w:rsid w:val="0031582D"/>
    <w:rsid w:val="00316C30"/>
    <w:rsid w:val="003170EB"/>
    <w:rsid w:val="0032045D"/>
    <w:rsid w:val="00320715"/>
    <w:rsid w:val="00330B96"/>
    <w:rsid w:val="003314CF"/>
    <w:rsid w:val="00331EB1"/>
    <w:rsid w:val="00333F3C"/>
    <w:rsid w:val="003349C7"/>
    <w:rsid w:val="00335151"/>
    <w:rsid w:val="00335B3C"/>
    <w:rsid w:val="003400F0"/>
    <w:rsid w:val="00341D04"/>
    <w:rsid w:val="00342789"/>
    <w:rsid w:val="003443BC"/>
    <w:rsid w:val="00344A99"/>
    <w:rsid w:val="003455B9"/>
    <w:rsid w:val="00351598"/>
    <w:rsid w:val="00352C70"/>
    <w:rsid w:val="00353F9A"/>
    <w:rsid w:val="0035513B"/>
    <w:rsid w:val="00355194"/>
    <w:rsid w:val="00355A94"/>
    <w:rsid w:val="00360C6B"/>
    <w:rsid w:val="00362531"/>
    <w:rsid w:val="00363E9C"/>
    <w:rsid w:val="00363FAE"/>
    <w:rsid w:val="0036639A"/>
    <w:rsid w:val="00367C93"/>
    <w:rsid w:val="00370E35"/>
    <w:rsid w:val="00371AEE"/>
    <w:rsid w:val="00371F6C"/>
    <w:rsid w:val="00372246"/>
    <w:rsid w:val="00372774"/>
    <w:rsid w:val="00372D3B"/>
    <w:rsid w:val="00374B4A"/>
    <w:rsid w:val="003750C5"/>
    <w:rsid w:val="00375484"/>
    <w:rsid w:val="00375557"/>
    <w:rsid w:val="00375B96"/>
    <w:rsid w:val="0037626B"/>
    <w:rsid w:val="00380ACD"/>
    <w:rsid w:val="003817B1"/>
    <w:rsid w:val="00381D6B"/>
    <w:rsid w:val="003829A0"/>
    <w:rsid w:val="00382D4D"/>
    <w:rsid w:val="003869B4"/>
    <w:rsid w:val="00386DF8"/>
    <w:rsid w:val="00387EA9"/>
    <w:rsid w:val="00395BA0"/>
    <w:rsid w:val="00397DCE"/>
    <w:rsid w:val="003A158D"/>
    <w:rsid w:val="003A4252"/>
    <w:rsid w:val="003A4322"/>
    <w:rsid w:val="003A4D90"/>
    <w:rsid w:val="003A521C"/>
    <w:rsid w:val="003B078E"/>
    <w:rsid w:val="003B3F5A"/>
    <w:rsid w:val="003B4428"/>
    <w:rsid w:val="003B488D"/>
    <w:rsid w:val="003B65D3"/>
    <w:rsid w:val="003B6FFC"/>
    <w:rsid w:val="003C4452"/>
    <w:rsid w:val="003C63AE"/>
    <w:rsid w:val="003C63B2"/>
    <w:rsid w:val="003C6609"/>
    <w:rsid w:val="003D301A"/>
    <w:rsid w:val="003D3337"/>
    <w:rsid w:val="003D4C08"/>
    <w:rsid w:val="003D597E"/>
    <w:rsid w:val="003D65F8"/>
    <w:rsid w:val="003D7BEA"/>
    <w:rsid w:val="003E0764"/>
    <w:rsid w:val="003E089A"/>
    <w:rsid w:val="003E1D60"/>
    <w:rsid w:val="003E37C9"/>
    <w:rsid w:val="003E448C"/>
    <w:rsid w:val="003E60AE"/>
    <w:rsid w:val="003E69DB"/>
    <w:rsid w:val="003F105A"/>
    <w:rsid w:val="003F10DA"/>
    <w:rsid w:val="003F17FA"/>
    <w:rsid w:val="003F2C85"/>
    <w:rsid w:val="003F637B"/>
    <w:rsid w:val="003F7C55"/>
    <w:rsid w:val="00400165"/>
    <w:rsid w:val="004025C9"/>
    <w:rsid w:val="004025DB"/>
    <w:rsid w:val="00403298"/>
    <w:rsid w:val="00405CF1"/>
    <w:rsid w:val="0040732C"/>
    <w:rsid w:val="00407603"/>
    <w:rsid w:val="004124B7"/>
    <w:rsid w:val="00412625"/>
    <w:rsid w:val="00413DD9"/>
    <w:rsid w:val="004161AC"/>
    <w:rsid w:val="00422500"/>
    <w:rsid w:val="004267A2"/>
    <w:rsid w:val="00426967"/>
    <w:rsid w:val="004272C8"/>
    <w:rsid w:val="00431817"/>
    <w:rsid w:val="00433436"/>
    <w:rsid w:val="00435CAA"/>
    <w:rsid w:val="00435E1A"/>
    <w:rsid w:val="0043752B"/>
    <w:rsid w:val="00441677"/>
    <w:rsid w:val="00441AA5"/>
    <w:rsid w:val="00442984"/>
    <w:rsid w:val="004430A4"/>
    <w:rsid w:val="00444DAE"/>
    <w:rsid w:val="00447C01"/>
    <w:rsid w:val="00450496"/>
    <w:rsid w:val="004527DD"/>
    <w:rsid w:val="00456737"/>
    <w:rsid w:val="004573D2"/>
    <w:rsid w:val="00462345"/>
    <w:rsid w:val="00463ECA"/>
    <w:rsid w:val="0046460D"/>
    <w:rsid w:val="00465F53"/>
    <w:rsid w:val="004662F1"/>
    <w:rsid w:val="00466CCD"/>
    <w:rsid w:val="00473181"/>
    <w:rsid w:val="00473631"/>
    <w:rsid w:val="00474D93"/>
    <w:rsid w:val="00476D38"/>
    <w:rsid w:val="00477026"/>
    <w:rsid w:val="00477986"/>
    <w:rsid w:val="00477E48"/>
    <w:rsid w:val="00481C81"/>
    <w:rsid w:val="00482108"/>
    <w:rsid w:val="00484555"/>
    <w:rsid w:val="004864F5"/>
    <w:rsid w:val="00487FE3"/>
    <w:rsid w:val="004A2553"/>
    <w:rsid w:val="004A2823"/>
    <w:rsid w:val="004A287D"/>
    <w:rsid w:val="004A59A3"/>
    <w:rsid w:val="004A6913"/>
    <w:rsid w:val="004B0325"/>
    <w:rsid w:val="004B27D9"/>
    <w:rsid w:val="004B352F"/>
    <w:rsid w:val="004B5294"/>
    <w:rsid w:val="004B5B60"/>
    <w:rsid w:val="004C4214"/>
    <w:rsid w:val="004C4965"/>
    <w:rsid w:val="004D04D2"/>
    <w:rsid w:val="004D15AC"/>
    <w:rsid w:val="004D3915"/>
    <w:rsid w:val="004D6BB7"/>
    <w:rsid w:val="004D7306"/>
    <w:rsid w:val="004E2CCF"/>
    <w:rsid w:val="004E48D6"/>
    <w:rsid w:val="004E5795"/>
    <w:rsid w:val="004E5D7F"/>
    <w:rsid w:val="004E6BD3"/>
    <w:rsid w:val="004F1790"/>
    <w:rsid w:val="004F2EDC"/>
    <w:rsid w:val="004F3F58"/>
    <w:rsid w:val="004F5C1A"/>
    <w:rsid w:val="00500D12"/>
    <w:rsid w:val="00500EE0"/>
    <w:rsid w:val="00501F03"/>
    <w:rsid w:val="00504522"/>
    <w:rsid w:val="00505355"/>
    <w:rsid w:val="00510A27"/>
    <w:rsid w:val="00511B1A"/>
    <w:rsid w:val="00515D9D"/>
    <w:rsid w:val="00516145"/>
    <w:rsid w:val="005167E7"/>
    <w:rsid w:val="005207D8"/>
    <w:rsid w:val="005208D5"/>
    <w:rsid w:val="00520EDD"/>
    <w:rsid w:val="00521916"/>
    <w:rsid w:val="00523FA2"/>
    <w:rsid w:val="005248CA"/>
    <w:rsid w:val="005261D7"/>
    <w:rsid w:val="0052668D"/>
    <w:rsid w:val="005319AC"/>
    <w:rsid w:val="005323B9"/>
    <w:rsid w:val="00533E95"/>
    <w:rsid w:val="00534D2D"/>
    <w:rsid w:val="00534F8E"/>
    <w:rsid w:val="00542B87"/>
    <w:rsid w:val="0054341E"/>
    <w:rsid w:val="00544A82"/>
    <w:rsid w:val="00551656"/>
    <w:rsid w:val="00551D6A"/>
    <w:rsid w:val="005520B0"/>
    <w:rsid w:val="005540CD"/>
    <w:rsid w:val="00560255"/>
    <w:rsid w:val="00563179"/>
    <w:rsid w:val="00563185"/>
    <w:rsid w:val="00565B3F"/>
    <w:rsid w:val="00566BAA"/>
    <w:rsid w:val="00570A03"/>
    <w:rsid w:val="00570BDA"/>
    <w:rsid w:val="00571AFE"/>
    <w:rsid w:val="00574ABD"/>
    <w:rsid w:val="005802CC"/>
    <w:rsid w:val="00581AC5"/>
    <w:rsid w:val="00584C70"/>
    <w:rsid w:val="00585DBE"/>
    <w:rsid w:val="005913BD"/>
    <w:rsid w:val="0059692E"/>
    <w:rsid w:val="005A0B57"/>
    <w:rsid w:val="005A295E"/>
    <w:rsid w:val="005A2B80"/>
    <w:rsid w:val="005A2C95"/>
    <w:rsid w:val="005A4BFA"/>
    <w:rsid w:val="005A52FE"/>
    <w:rsid w:val="005A71E8"/>
    <w:rsid w:val="005B0F60"/>
    <w:rsid w:val="005B2085"/>
    <w:rsid w:val="005B2DBB"/>
    <w:rsid w:val="005B30BE"/>
    <w:rsid w:val="005B57B6"/>
    <w:rsid w:val="005B724A"/>
    <w:rsid w:val="005B7723"/>
    <w:rsid w:val="005B780D"/>
    <w:rsid w:val="005B7FA2"/>
    <w:rsid w:val="005C08D3"/>
    <w:rsid w:val="005C1D49"/>
    <w:rsid w:val="005C4C8B"/>
    <w:rsid w:val="005C52C9"/>
    <w:rsid w:val="005C794F"/>
    <w:rsid w:val="005C7DDF"/>
    <w:rsid w:val="005D2053"/>
    <w:rsid w:val="005D3149"/>
    <w:rsid w:val="005D3178"/>
    <w:rsid w:val="005D3486"/>
    <w:rsid w:val="005D4F78"/>
    <w:rsid w:val="005D5600"/>
    <w:rsid w:val="005D6A33"/>
    <w:rsid w:val="005D7678"/>
    <w:rsid w:val="005D7A0D"/>
    <w:rsid w:val="005E2D38"/>
    <w:rsid w:val="005E7179"/>
    <w:rsid w:val="005F09B7"/>
    <w:rsid w:val="005F0C65"/>
    <w:rsid w:val="005F1572"/>
    <w:rsid w:val="005F2858"/>
    <w:rsid w:val="005F3D34"/>
    <w:rsid w:val="005F4135"/>
    <w:rsid w:val="005F6B4C"/>
    <w:rsid w:val="005F794B"/>
    <w:rsid w:val="0060090E"/>
    <w:rsid w:val="00602875"/>
    <w:rsid w:val="00602999"/>
    <w:rsid w:val="00603902"/>
    <w:rsid w:val="0060409A"/>
    <w:rsid w:val="00604840"/>
    <w:rsid w:val="00604C22"/>
    <w:rsid w:val="00606D51"/>
    <w:rsid w:val="006073C9"/>
    <w:rsid w:val="006115E8"/>
    <w:rsid w:val="00612586"/>
    <w:rsid w:val="006134CC"/>
    <w:rsid w:val="00615DDA"/>
    <w:rsid w:val="00616056"/>
    <w:rsid w:val="006174C4"/>
    <w:rsid w:val="006205E1"/>
    <w:rsid w:val="00621015"/>
    <w:rsid w:val="006219DD"/>
    <w:rsid w:val="00622B5F"/>
    <w:rsid w:val="0062379D"/>
    <w:rsid w:val="00623E5A"/>
    <w:rsid w:val="00624EEF"/>
    <w:rsid w:val="0062681E"/>
    <w:rsid w:val="00626E2F"/>
    <w:rsid w:val="00627043"/>
    <w:rsid w:val="00630623"/>
    <w:rsid w:val="0063143B"/>
    <w:rsid w:val="00631DCE"/>
    <w:rsid w:val="006345BC"/>
    <w:rsid w:val="00636682"/>
    <w:rsid w:val="0063710F"/>
    <w:rsid w:val="00640968"/>
    <w:rsid w:val="00641666"/>
    <w:rsid w:val="00642273"/>
    <w:rsid w:val="00642D06"/>
    <w:rsid w:val="006445C8"/>
    <w:rsid w:val="00644A69"/>
    <w:rsid w:val="006451D6"/>
    <w:rsid w:val="00646C92"/>
    <w:rsid w:val="006470FC"/>
    <w:rsid w:val="00647A39"/>
    <w:rsid w:val="00650AFA"/>
    <w:rsid w:val="00650C45"/>
    <w:rsid w:val="00652341"/>
    <w:rsid w:val="00654416"/>
    <w:rsid w:val="00654934"/>
    <w:rsid w:val="0065542A"/>
    <w:rsid w:val="00657442"/>
    <w:rsid w:val="00657E3A"/>
    <w:rsid w:val="00661336"/>
    <w:rsid w:val="00662828"/>
    <w:rsid w:val="0066375F"/>
    <w:rsid w:val="00665511"/>
    <w:rsid w:val="00665FFF"/>
    <w:rsid w:val="006722BE"/>
    <w:rsid w:val="0067311D"/>
    <w:rsid w:val="00674BF1"/>
    <w:rsid w:val="00677161"/>
    <w:rsid w:val="00682DEA"/>
    <w:rsid w:val="00684800"/>
    <w:rsid w:val="00686270"/>
    <w:rsid w:val="00686806"/>
    <w:rsid w:val="00690B5A"/>
    <w:rsid w:val="00693048"/>
    <w:rsid w:val="00695992"/>
    <w:rsid w:val="00695E9E"/>
    <w:rsid w:val="006A01C5"/>
    <w:rsid w:val="006A04E8"/>
    <w:rsid w:val="006A0F6D"/>
    <w:rsid w:val="006A13D8"/>
    <w:rsid w:val="006A232A"/>
    <w:rsid w:val="006A2C1F"/>
    <w:rsid w:val="006A379C"/>
    <w:rsid w:val="006A4A93"/>
    <w:rsid w:val="006A4C02"/>
    <w:rsid w:val="006A6A44"/>
    <w:rsid w:val="006A6C85"/>
    <w:rsid w:val="006A79CA"/>
    <w:rsid w:val="006B0978"/>
    <w:rsid w:val="006B4938"/>
    <w:rsid w:val="006B630A"/>
    <w:rsid w:val="006B6B1F"/>
    <w:rsid w:val="006C439C"/>
    <w:rsid w:val="006C695D"/>
    <w:rsid w:val="006C6E8C"/>
    <w:rsid w:val="006C7F6F"/>
    <w:rsid w:val="006D0C5A"/>
    <w:rsid w:val="006D13F8"/>
    <w:rsid w:val="006D2756"/>
    <w:rsid w:val="006D5784"/>
    <w:rsid w:val="006E20B1"/>
    <w:rsid w:val="006E277E"/>
    <w:rsid w:val="006E6B54"/>
    <w:rsid w:val="006F0CC9"/>
    <w:rsid w:val="006F10B0"/>
    <w:rsid w:val="006F111F"/>
    <w:rsid w:val="006F39A4"/>
    <w:rsid w:val="006F408D"/>
    <w:rsid w:val="006F43CD"/>
    <w:rsid w:val="006F5FDA"/>
    <w:rsid w:val="006F715D"/>
    <w:rsid w:val="007009DE"/>
    <w:rsid w:val="007034E9"/>
    <w:rsid w:val="00704340"/>
    <w:rsid w:val="00704B46"/>
    <w:rsid w:val="007060A7"/>
    <w:rsid w:val="00706BE6"/>
    <w:rsid w:val="00706CC7"/>
    <w:rsid w:val="007108FF"/>
    <w:rsid w:val="007133B9"/>
    <w:rsid w:val="00715097"/>
    <w:rsid w:val="00716821"/>
    <w:rsid w:val="00720445"/>
    <w:rsid w:val="007237DA"/>
    <w:rsid w:val="007239DE"/>
    <w:rsid w:val="00724F81"/>
    <w:rsid w:val="00730356"/>
    <w:rsid w:val="00730913"/>
    <w:rsid w:val="00730EE2"/>
    <w:rsid w:val="00731800"/>
    <w:rsid w:val="00731FF4"/>
    <w:rsid w:val="0073217A"/>
    <w:rsid w:val="00733FE7"/>
    <w:rsid w:val="00734739"/>
    <w:rsid w:val="0073491F"/>
    <w:rsid w:val="00734B50"/>
    <w:rsid w:val="00735644"/>
    <w:rsid w:val="0073788C"/>
    <w:rsid w:val="007379A2"/>
    <w:rsid w:val="007408C5"/>
    <w:rsid w:val="00740DB5"/>
    <w:rsid w:val="007410BD"/>
    <w:rsid w:val="00742745"/>
    <w:rsid w:val="007462BA"/>
    <w:rsid w:val="0074665A"/>
    <w:rsid w:val="0075021F"/>
    <w:rsid w:val="00750969"/>
    <w:rsid w:val="00750ECE"/>
    <w:rsid w:val="007522E9"/>
    <w:rsid w:val="00753022"/>
    <w:rsid w:val="00754F77"/>
    <w:rsid w:val="007556EC"/>
    <w:rsid w:val="00755DA4"/>
    <w:rsid w:val="00761132"/>
    <w:rsid w:val="0076180B"/>
    <w:rsid w:val="00761A84"/>
    <w:rsid w:val="00761B89"/>
    <w:rsid w:val="00761C78"/>
    <w:rsid w:val="00763853"/>
    <w:rsid w:val="007647C7"/>
    <w:rsid w:val="007663A1"/>
    <w:rsid w:val="007675F3"/>
    <w:rsid w:val="00767E9B"/>
    <w:rsid w:val="00770753"/>
    <w:rsid w:val="0077243B"/>
    <w:rsid w:val="00773987"/>
    <w:rsid w:val="00774466"/>
    <w:rsid w:val="00774865"/>
    <w:rsid w:val="00777748"/>
    <w:rsid w:val="00777D23"/>
    <w:rsid w:val="007817FB"/>
    <w:rsid w:val="00787EB6"/>
    <w:rsid w:val="00791832"/>
    <w:rsid w:val="00793453"/>
    <w:rsid w:val="00793C5A"/>
    <w:rsid w:val="00796906"/>
    <w:rsid w:val="007A07B2"/>
    <w:rsid w:val="007A16F3"/>
    <w:rsid w:val="007B1634"/>
    <w:rsid w:val="007B2E2D"/>
    <w:rsid w:val="007B3962"/>
    <w:rsid w:val="007B4A33"/>
    <w:rsid w:val="007B53AA"/>
    <w:rsid w:val="007B5D0A"/>
    <w:rsid w:val="007B609E"/>
    <w:rsid w:val="007B620C"/>
    <w:rsid w:val="007B7B8F"/>
    <w:rsid w:val="007D15E6"/>
    <w:rsid w:val="007D177E"/>
    <w:rsid w:val="007D48C7"/>
    <w:rsid w:val="007D5603"/>
    <w:rsid w:val="007D5857"/>
    <w:rsid w:val="007D771E"/>
    <w:rsid w:val="007E16D6"/>
    <w:rsid w:val="007E1E85"/>
    <w:rsid w:val="007E61F1"/>
    <w:rsid w:val="007E69D4"/>
    <w:rsid w:val="007E7FEB"/>
    <w:rsid w:val="007F0E0A"/>
    <w:rsid w:val="007F2165"/>
    <w:rsid w:val="007F4CC1"/>
    <w:rsid w:val="007F68F1"/>
    <w:rsid w:val="007F70BA"/>
    <w:rsid w:val="008005E5"/>
    <w:rsid w:val="00802C9C"/>
    <w:rsid w:val="0080493A"/>
    <w:rsid w:val="00804A38"/>
    <w:rsid w:val="008052C5"/>
    <w:rsid w:val="008057CC"/>
    <w:rsid w:val="0080636B"/>
    <w:rsid w:val="00810D6E"/>
    <w:rsid w:val="00811178"/>
    <w:rsid w:val="008119CD"/>
    <w:rsid w:val="00811B24"/>
    <w:rsid w:val="00812516"/>
    <w:rsid w:val="00813413"/>
    <w:rsid w:val="0081460E"/>
    <w:rsid w:val="0081515A"/>
    <w:rsid w:val="008151B1"/>
    <w:rsid w:val="008174C6"/>
    <w:rsid w:val="008176D2"/>
    <w:rsid w:val="0081777E"/>
    <w:rsid w:val="00822836"/>
    <w:rsid w:val="00822DD8"/>
    <w:rsid w:val="00824651"/>
    <w:rsid w:val="00824EF8"/>
    <w:rsid w:val="0082723A"/>
    <w:rsid w:val="00827435"/>
    <w:rsid w:val="008307B2"/>
    <w:rsid w:val="00832709"/>
    <w:rsid w:val="00832FD1"/>
    <w:rsid w:val="0083359E"/>
    <w:rsid w:val="00834976"/>
    <w:rsid w:val="008355E9"/>
    <w:rsid w:val="00835EC2"/>
    <w:rsid w:val="00836B35"/>
    <w:rsid w:val="00836FED"/>
    <w:rsid w:val="008374AB"/>
    <w:rsid w:val="00837623"/>
    <w:rsid w:val="00840565"/>
    <w:rsid w:val="0084112D"/>
    <w:rsid w:val="008436EC"/>
    <w:rsid w:val="00844494"/>
    <w:rsid w:val="00847E7C"/>
    <w:rsid w:val="008504FB"/>
    <w:rsid w:val="00851085"/>
    <w:rsid w:val="00851235"/>
    <w:rsid w:val="008513B7"/>
    <w:rsid w:val="00851DD1"/>
    <w:rsid w:val="00852684"/>
    <w:rsid w:val="0085272F"/>
    <w:rsid w:val="00854A90"/>
    <w:rsid w:val="00854C86"/>
    <w:rsid w:val="00857B2B"/>
    <w:rsid w:val="00857B7C"/>
    <w:rsid w:val="00861716"/>
    <w:rsid w:val="008624C0"/>
    <w:rsid w:val="00863278"/>
    <w:rsid w:val="008640F9"/>
    <w:rsid w:val="008648E9"/>
    <w:rsid w:val="00866667"/>
    <w:rsid w:val="0087209A"/>
    <w:rsid w:val="0087443C"/>
    <w:rsid w:val="00874DF2"/>
    <w:rsid w:val="00875F1C"/>
    <w:rsid w:val="00877D70"/>
    <w:rsid w:val="00885045"/>
    <w:rsid w:val="00886A19"/>
    <w:rsid w:val="00886C6A"/>
    <w:rsid w:val="00892227"/>
    <w:rsid w:val="00893CF2"/>
    <w:rsid w:val="00896C17"/>
    <w:rsid w:val="008A1F40"/>
    <w:rsid w:val="008A2511"/>
    <w:rsid w:val="008A29C6"/>
    <w:rsid w:val="008A2DA0"/>
    <w:rsid w:val="008A4BE2"/>
    <w:rsid w:val="008A54FA"/>
    <w:rsid w:val="008B1B81"/>
    <w:rsid w:val="008B314A"/>
    <w:rsid w:val="008B5122"/>
    <w:rsid w:val="008B5DFD"/>
    <w:rsid w:val="008B5EA8"/>
    <w:rsid w:val="008B61D7"/>
    <w:rsid w:val="008B75DF"/>
    <w:rsid w:val="008C1BA0"/>
    <w:rsid w:val="008C20AE"/>
    <w:rsid w:val="008C214C"/>
    <w:rsid w:val="008C2250"/>
    <w:rsid w:val="008C2C51"/>
    <w:rsid w:val="008C6CA4"/>
    <w:rsid w:val="008C7AEA"/>
    <w:rsid w:val="008C7B34"/>
    <w:rsid w:val="008D2284"/>
    <w:rsid w:val="008D27F2"/>
    <w:rsid w:val="008D2EB6"/>
    <w:rsid w:val="008D313C"/>
    <w:rsid w:val="008D3572"/>
    <w:rsid w:val="008D4204"/>
    <w:rsid w:val="008D79B4"/>
    <w:rsid w:val="008E1948"/>
    <w:rsid w:val="008E228E"/>
    <w:rsid w:val="008E4150"/>
    <w:rsid w:val="008E4C66"/>
    <w:rsid w:val="008E5151"/>
    <w:rsid w:val="008E53EB"/>
    <w:rsid w:val="008E59A1"/>
    <w:rsid w:val="008E5EC5"/>
    <w:rsid w:val="008E671F"/>
    <w:rsid w:val="008E7BD2"/>
    <w:rsid w:val="008E7E47"/>
    <w:rsid w:val="008F54C3"/>
    <w:rsid w:val="009000E1"/>
    <w:rsid w:val="00900F0A"/>
    <w:rsid w:val="00901F14"/>
    <w:rsid w:val="00902745"/>
    <w:rsid w:val="00903429"/>
    <w:rsid w:val="009052BC"/>
    <w:rsid w:val="009060ED"/>
    <w:rsid w:val="00907DBF"/>
    <w:rsid w:val="009109C9"/>
    <w:rsid w:val="00910D52"/>
    <w:rsid w:val="00911E12"/>
    <w:rsid w:val="00911E8F"/>
    <w:rsid w:val="00911F9F"/>
    <w:rsid w:val="00913941"/>
    <w:rsid w:val="00915335"/>
    <w:rsid w:val="0091578F"/>
    <w:rsid w:val="00915CF5"/>
    <w:rsid w:val="00917E42"/>
    <w:rsid w:val="00922967"/>
    <w:rsid w:val="0092523A"/>
    <w:rsid w:val="00925557"/>
    <w:rsid w:val="00926A88"/>
    <w:rsid w:val="00927FC7"/>
    <w:rsid w:val="009308D4"/>
    <w:rsid w:val="00930DCC"/>
    <w:rsid w:val="009328EB"/>
    <w:rsid w:val="00933400"/>
    <w:rsid w:val="00933EC9"/>
    <w:rsid w:val="009354DB"/>
    <w:rsid w:val="00940A4C"/>
    <w:rsid w:val="00941609"/>
    <w:rsid w:val="00943920"/>
    <w:rsid w:val="00943A20"/>
    <w:rsid w:val="0094585E"/>
    <w:rsid w:val="009459BE"/>
    <w:rsid w:val="00946019"/>
    <w:rsid w:val="00947560"/>
    <w:rsid w:val="00947E16"/>
    <w:rsid w:val="009527E8"/>
    <w:rsid w:val="00952E04"/>
    <w:rsid w:val="00954419"/>
    <w:rsid w:val="00955BDF"/>
    <w:rsid w:val="00955CED"/>
    <w:rsid w:val="009566D4"/>
    <w:rsid w:val="009613C9"/>
    <w:rsid w:val="00962F9E"/>
    <w:rsid w:val="00962FB2"/>
    <w:rsid w:val="00964328"/>
    <w:rsid w:val="00964AD3"/>
    <w:rsid w:val="00965CB4"/>
    <w:rsid w:val="00966A12"/>
    <w:rsid w:val="00972AB1"/>
    <w:rsid w:val="00973726"/>
    <w:rsid w:val="00973D26"/>
    <w:rsid w:val="00974208"/>
    <w:rsid w:val="00975738"/>
    <w:rsid w:val="009757D1"/>
    <w:rsid w:val="00980157"/>
    <w:rsid w:val="00980765"/>
    <w:rsid w:val="00980B65"/>
    <w:rsid w:val="00982A0E"/>
    <w:rsid w:val="00983B7A"/>
    <w:rsid w:val="00985FC1"/>
    <w:rsid w:val="00990038"/>
    <w:rsid w:val="009904B1"/>
    <w:rsid w:val="00990B51"/>
    <w:rsid w:val="0099101B"/>
    <w:rsid w:val="00991155"/>
    <w:rsid w:val="00991CD3"/>
    <w:rsid w:val="00992ADC"/>
    <w:rsid w:val="009957A6"/>
    <w:rsid w:val="00997AFC"/>
    <w:rsid w:val="00997B2F"/>
    <w:rsid w:val="009A079C"/>
    <w:rsid w:val="009A0F5E"/>
    <w:rsid w:val="009A17D1"/>
    <w:rsid w:val="009A22D8"/>
    <w:rsid w:val="009A278E"/>
    <w:rsid w:val="009A381F"/>
    <w:rsid w:val="009B143C"/>
    <w:rsid w:val="009B3795"/>
    <w:rsid w:val="009B4A95"/>
    <w:rsid w:val="009B5978"/>
    <w:rsid w:val="009B6E00"/>
    <w:rsid w:val="009B7DA0"/>
    <w:rsid w:val="009C3D54"/>
    <w:rsid w:val="009C655F"/>
    <w:rsid w:val="009D1212"/>
    <w:rsid w:val="009D4747"/>
    <w:rsid w:val="009D5C3C"/>
    <w:rsid w:val="009D5E59"/>
    <w:rsid w:val="009D6171"/>
    <w:rsid w:val="009D7B0D"/>
    <w:rsid w:val="009E013D"/>
    <w:rsid w:val="009E0E09"/>
    <w:rsid w:val="009E491B"/>
    <w:rsid w:val="009E5904"/>
    <w:rsid w:val="009E7B06"/>
    <w:rsid w:val="009E7B76"/>
    <w:rsid w:val="009E7BF0"/>
    <w:rsid w:val="009F0232"/>
    <w:rsid w:val="009F1BD2"/>
    <w:rsid w:val="009F40D5"/>
    <w:rsid w:val="009F6153"/>
    <w:rsid w:val="009F6406"/>
    <w:rsid w:val="009F64EA"/>
    <w:rsid w:val="009F7BFF"/>
    <w:rsid w:val="00A03B13"/>
    <w:rsid w:val="00A11E2A"/>
    <w:rsid w:val="00A12533"/>
    <w:rsid w:val="00A12769"/>
    <w:rsid w:val="00A12D54"/>
    <w:rsid w:val="00A12F45"/>
    <w:rsid w:val="00A1328D"/>
    <w:rsid w:val="00A1335F"/>
    <w:rsid w:val="00A15851"/>
    <w:rsid w:val="00A167C4"/>
    <w:rsid w:val="00A170E8"/>
    <w:rsid w:val="00A178F0"/>
    <w:rsid w:val="00A17E69"/>
    <w:rsid w:val="00A21099"/>
    <w:rsid w:val="00A244AA"/>
    <w:rsid w:val="00A25651"/>
    <w:rsid w:val="00A25855"/>
    <w:rsid w:val="00A26A0D"/>
    <w:rsid w:val="00A27837"/>
    <w:rsid w:val="00A32F4A"/>
    <w:rsid w:val="00A34974"/>
    <w:rsid w:val="00A35357"/>
    <w:rsid w:val="00A36A26"/>
    <w:rsid w:val="00A37658"/>
    <w:rsid w:val="00A37C4E"/>
    <w:rsid w:val="00A4059D"/>
    <w:rsid w:val="00A40F0C"/>
    <w:rsid w:val="00A44856"/>
    <w:rsid w:val="00A462EB"/>
    <w:rsid w:val="00A46771"/>
    <w:rsid w:val="00A50CA7"/>
    <w:rsid w:val="00A51F72"/>
    <w:rsid w:val="00A5467A"/>
    <w:rsid w:val="00A55C7F"/>
    <w:rsid w:val="00A55D7F"/>
    <w:rsid w:val="00A5789F"/>
    <w:rsid w:val="00A61901"/>
    <w:rsid w:val="00A631FB"/>
    <w:rsid w:val="00A71DFD"/>
    <w:rsid w:val="00A72092"/>
    <w:rsid w:val="00A73637"/>
    <w:rsid w:val="00A73B2E"/>
    <w:rsid w:val="00A74AD0"/>
    <w:rsid w:val="00A74D26"/>
    <w:rsid w:val="00A75DC3"/>
    <w:rsid w:val="00A77FDB"/>
    <w:rsid w:val="00A8135B"/>
    <w:rsid w:val="00A8340B"/>
    <w:rsid w:val="00A83CCD"/>
    <w:rsid w:val="00A84B39"/>
    <w:rsid w:val="00A8765B"/>
    <w:rsid w:val="00A914E9"/>
    <w:rsid w:val="00A9352C"/>
    <w:rsid w:val="00AA1777"/>
    <w:rsid w:val="00AA4069"/>
    <w:rsid w:val="00AA5117"/>
    <w:rsid w:val="00AA595F"/>
    <w:rsid w:val="00AA5CDB"/>
    <w:rsid w:val="00AA7034"/>
    <w:rsid w:val="00AB02DB"/>
    <w:rsid w:val="00AB032F"/>
    <w:rsid w:val="00AB0DDC"/>
    <w:rsid w:val="00AB229E"/>
    <w:rsid w:val="00AB658F"/>
    <w:rsid w:val="00AB66FE"/>
    <w:rsid w:val="00AC0AA3"/>
    <w:rsid w:val="00AC5276"/>
    <w:rsid w:val="00AC5C07"/>
    <w:rsid w:val="00AC6094"/>
    <w:rsid w:val="00AC6320"/>
    <w:rsid w:val="00AC71C5"/>
    <w:rsid w:val="00AD00A5"/>
    <w:rsid w:val="00AD1AF6"/>
    <w:rsid w:val="00AD34DD"/>
    <w:rsid w:val="00AD3747"/>
    <w:rsid w:val="00AD7DF5"/>
    <w:rsid w:val="00AE3804"/>
    <w:rsid w:val="00AE3ADA"/>
    <w:rsid w:val="00AE4CCA"/>
    <w:rsid w:val="00AE5FB4"/>
    <w:rsid w:val="00AF0580"/>
    <w:rsid w:val="00AF0DF9"/>
    <w:rsid w:val="00AF3BB6"/>
    <w:rsid w:val="00AF438C"/>
    <w:rsid w:val="00AF4D66"/>
    <w:rsid w:val="00AF5051"/>
    <w:rsid w:val="00AF6034"/>
    <w:rsid w:val="00AF72B0"/>
    <w:rsid w:val="00AF747C"/>
    <w:rsid w:val="00B03BEE"/>
    <w:rsid w:val="00B03F8E"/>
    <w:rsid w:val="00B04774"/>
    <w:rsid w:val="00B0649F"/>
    <w:rsid w:val="00B06FCF"/>
    <w:rsid w:val="00B07BEA"/>
    <w:rsid w:val="00B10D1E"/>
    <w:rsid w:val="00B1197E"/>
    <w:rsid w:val="00B11EC5"/>
    <w:rsid w:val="00B1319B"/>
    <w:rsid w:val="00B14706"/>
    <w:rsid w:val="00B15A09"/>
    <w:rsid w:val="00B1775B"/>
    <w:rsid w:val="00B20804"/>
    <w:rsid w:val="00B21B00"/>
    <w:rsid w:val="00B23064"/>
    <w:rsid w:val="00B24113"/>
    <w:rsid w:val="00B24A57"/>
    <w:rsid w:val="00B24FD4"/>
    <w:rsid w:val="00B31D7A"/>
    <w:rsid w:val="00B358E3"/>
    <w:rsid w:val="00B42B87"/>
    <w:rsid w:val="00B42C03"/>
    <w:rsid w:val="00B46729"/>
    <w:rsid w:val="00B50AE9"/>
    <w:rsid w:val="00B51C74"/>
    <w:rsid w:val="00B525BB"/>
    <w:rsid w:val="00B5290D"/>
    <w:rsid w:val="00B5449E"/>
    <w:rsid w:val="00B54AE3"/>
    <w:rsid w:val="00B550F3"/>
    <w:rsid w:val="00B561C0"/>
    <w:rsid w:val="00B5777A"/>
    <w:rsid w:val="00B634AE"/>
    <w:rsid w:val="00B66710"/>
    <w:rsid w:val="00B70A70"/>
    <w:rsid w:val="00B727B9"/>
    <w:rsid w:val="00B73007"/>
    <w:rsid w:val="00B73559"/>
    <w:rsid w:val="00B75DDA"/>
    <w:rsid w:val="00B764A1"/>
    <w:rsid w:val="00B80CCF"/>
    <w:rsid w:val="00B82255"/>
    <w:rsid w:val="00B82600"/>
    <w:rsid w:val="00B834D2"/>
    <w:rsid w:val="00B842C1"/>
    <w:rsid w:val="00B85E3E"/>
    <w:rsid w:val="00B86872"/>
    <w:rsid w:val="00B86DBD"/>
    <w:rsid w:val="00B87C42"/>
    <w:rsid w:val="00B9171A"/>
    <w:rsid w:val="00B91B89"/>
    <w:rsid w:val="00B94561"/>
    <w:rsid w:val="00B9567F"/>
    <w:rsid w:val="00B97E2D"/>
    <w:rsid w:val="00BA0178"/>
    <w:rsid w:val="00BA086A"/>
    <w:rsid w:val="00BA0A2E"/>
    <w:rsid w:val="00BA2706"/>
    <w:rsid w:val="00BA2B9D"/>
    <w:rsid w:val="00BA65FD"/>
    <w:rsid w:val="00BB006E"/>
    <w:rsid w:val="00BB21F2"/>
    <w:rsid w:val="00BB27DA"/>
    <w:rsid w:val="00BB39E6"/>
    <w:rsid w:val="00BB39ED"/>
    <w:rsid w:val="00BB4105"/>
    <w:rsid w:val="00BB4BC3"/>
    <w:rsid w:val="00BB5167"/>
    <w:rsid w:val="00BC0C56"/>
    <w:rsid w:val="00BC4773"/>
    <w:rsid w:val="00BC60F8"/>
    <w:rsid w:val="00BC6F42"/>
    <w:rsid w:val="00BD0458"/>
    <w:rsid w:val="00BD3DF0"/>
    <w:rsid w:val="00BD4CE8"/>
    <w:rsid w:val="00BD59DA"/>
    <w:rsid w:val="00BD750F"/>
    <w:rsid w:val="00BE1059"/>
    <w:rsid w:val="00BE1626"/>
    <w:rsid w:val="00BE1F2E"/>
    <w:rsid w:val="00BE4B6E"/>
    <w:rsid w:val="00BE4E00"/>
    <w:rsid w:val="00BE6162"/>
    <w:rsid w:val="00BF0693"/>
    <w:rsid w:val="00BF14C5"/>
    <w:rsid w:val="00BF1A8F"/>
    <w:rsid w:val="00BF2F0E"/>
    <w:rsid w:val="00BF3421"/>
    <w:rsid w:val="00BF545C"/>
    <w:rsid w:val="00BF6863"/>
    <w:rsid w:val="00BF789E"/>
    <w:rsid w:val="00BF78C3"/>
    <w:rsid w:val="00BF7B21"/>
    <w:rsid w:val="00C005C3"/>
    <w:rsid w:val="00C0139E"/>
    <w:rsid w:val="00C014CE"/>
    <w:rsid w:val="00C023D0"/>
    <w:rsid w:val="00C02487"/>
    <w:rsid w:val="00C03073"/>
    <w:rsid w:val="00C04D37"/>
    <w:rsid w:val="00C0665D"/>
    <w:rsid w:val="00C0682B"/>
    <w:rsid w:val="00C11D54"/>
    <w:rsid w:val="00C17F5D"/>
    <w:rsid w:val="00C205D2"/>
    <w:rsid w:val="00C22D02"/>
    <w:rsid w:val="00C231DF"/>
    <w:rsid w:val="00C2416D"/>
    <w:rsid w:val="00C241FF"/>
    <w:rsid w:val="00C2462A"/>
    <w:rsid w:val="00C25F04"/>
    <w:rsid w:val="00C26E7D"/>
    <w:rsid w:val="00C26E9F"/>
    <w:rsid w:val="00C26EFE"/>
    <w:rsid w:val="00C2757A"/>
    <w:rsid w:val="00C320C3"/>
    <w:rsid w:val="00C32166"/>
    <w:rsid w:val="00C32DF0"/>
    <w:rsid w:val="00C33B6A"/>
    <w:rsid w:val="00C3492C"/>
    <w:rsid w:val="00C353D2"/>
    <w:rsid w:val="00C37726"/>
    <w:rsid w:val="00C4130E"/>
    <w:rsid w:val="00C41483"/>
    <w:rsid w:val="00C44A08"/>
    <w:rsid w:val="00C4710B"/>
    <w:rsid w:val="00C5199A"/>
    <w:rsid w:val="00C51CA2"/>
    <w:rsid w:val="00C56481"/>
    <w:rsid w:val="00C5667F"/>
    <w:rsid w:val="00C572DB"/>
    <w:rsid w:val="00C60407"/>
    <w:rsid w:val="00C62D21"/>
    <w:rsid w:val="00C63744"/>
    <w:rsid w:val="00C6419B"/>
    <w:rsid w:val="00C66401"/>
    <w:rsid w:val="00C6664C"/>
    <w:rsid w:val="00C702AF"/>
    <w:rsid w:val="00C7334E"/>
    <w:rsid w:val="00C73F8D"/>
    <w:rsid w:val="00C755D3"/>
    <w:rsid w:val="00C76DE3"/>
    <w:rsid w:val="00C7709E"/>
    <w:rsid w:val="00C77947"/>
    <w:rsid w:val="00C8057D"/>
    <w:rsid w:val="00C8066D"/>
    <w:rsid w:val="00C80B98"/>
    <w:rsid w:val="00C82767"/>
    <w:rsid w:val="00C82CF0"/>
    <w:rsid w:val="00C86573"/>
    <w:rsid w:val="00C86E16"/>
    <w:rsid w:val="00C87284"/>
    <w:rsid w:val="00C87A49"/>
    <w:rsid w:val="00C9056E"/>
    <w:rsid w:val="00C91748"/>
    <w:rsid w:val="00C91A31"/>
    <w:rsid w:val="00C920C2"/>
    <w:rsid w:val="00C9279E"/>
    <w:rsid w:val="00C9457C"/>
    <w:rsid w:val="00C95177"/>
    <w:rsid w:val="00CA19C5"/>
    <w:rsid w:val="00CA273C"/>
    <w:rsid w:val="00CA2EAA"/>
    <w:rsid w:val="00CA3167"/>
    <w:rsid w:val="00CA400F"/>
    <w:rsid w:val="00CA447B"/>
    <w:rsid w:val="00CA468E"/>
    <w:rsid w:val="00CA58BE"/>
    <w:rsid w:val="00CA6134"/>
    <w:rsid w:val="00CA7C51"/>
    <w:rsid w:val="00CB3504"/>
    <w:rsid w:val="00CB35AE"/>
    <w:rsid w:val="00CB3E6E"/>
    <w:rsid w:val="00CB4FF3"/>
    <w:rsid w:val="00CB523E"/>
    <w:rsid w:val="00CB532B"/>
    <w:rsid w:val="00CB769A"/>
    <w:rsid w:val="00CB79E5"/>
    <w:rsid w:val="00CC04F2"/>
    <w:rsid w:val="00CC1E15"/>
    <w:rsid w:val="00CC2CB2"/>
    <w:rsid w:val="00CC3EA1"/>
    <w:rsid w:val="00CC4CAE"/>
    <w:rsid w:val="00CC5A3E"/>
    <w:rsid w:val="00CD1734"/>
    <w:rsid w:val="00CD24A4"/>
    <w:rsid w:val="00CD2529"/>
    <w:rsid w:val="00CD29D5"/>
    <w:rsid w:val="00CD2A57"/>
    <w:rsid w:val="00CD49B6"/>
    <w:rsid w:val="00CD6814"/>
    <w:rsid w:val="00CD6B53"/>
    <w:rsid w:val="00CD781D"/>
    <w:rsid w:val="00CE0333"/>
    <w:rsid w:val="00CE0A25"/>
    <w:rsid w:val="00CE1FAA"/>
    <w:rsid w:val="00CE22B1"/>
    <w:rsid w:val="00CE42FB"/>
    <w:rsid w:val="00CE628E"/>
    <w:rsid w:val="00CE689A"/>
    <w:rsid w:val="00CF00CB"/>
    <w:rsid w:val="00CF4FCE"/>
    <w:rsid w:val="00CF50D5"/>
    <w:rsid w:val="00CF7243"/>
    <w:rsid w:val="00D0165E"/>
    <w:rsid w:val="00D04087"/>
    <w:rsid w:val="00D067F6"/>
    <w:rsid w:val="00D078EB"/>
    <w:rsid w:val="00D1093F"/>
    <w:rsid w:val="00D10CF3"/>
    <w:rsid w:val="00D10E98"/>
    <w:rsid w:val="00D12C3C"/>
    <w:rsid w:val="00D132C2"/>
    <w:rsid w:val="00D13F95"/>
    <w:rsid w:val="00D1484F"/>
    <w:rsid w:val="00D165E5"/>
    <w:rsid w:val="00D17929"/>
    <w:rsid w:val="00D2136C"/>
    <w:rsid w:val="00D257EE"/>
    <w:rsid w:val="00D272C0"/>
    <w:rsid w:val="00D308D9"/>
    <w:rsid w:val="00D30F88"/>
    <w:rsid w:val="00D3100D"/>
    <w:rsid w:val="00D33D39"/>
    <w:rsid w:val="00D34BB5"/>
    <w:rsid w:val="00D34F3A"/>
    <w:rsid w:val="00D35974"/>
    <w:rsid w:val="00D374F2"/>
    <w:rsid w:val="00D3799F"/>
    <w:rsid w:val="00D416B5"/>
    <w:rsid w:val="00D43B14"/>
    <w:rsid w:val="00D43F80"/>
    <w:rsid w:val="00D4581C"/>
    <w:rsid w:val="00D45F1C"/>
    <w:rsid w:val="00D467E5"/>
    <w:rsid w:val="00D508C7"/>
    <w:rsid w:val="00D52089"/>
    <w:rsid w:val="00D542B6"/>
    <w:rsid w:val="00D5517E"/>
    <w:rsid w:val="00D56AFE"/>
    <w:rsid w:val="00D57165"/>
    <w:rsid w:val="00D6084B"/>
    <w:rsid w:val="00D60935"/>
    <w:rsid w:val="00D65005"/>
    <w:rsid w:val="00D658D0"/>
    <w:rsid w:val="00D76349"/>
    <w:rsid w:val="00D77CD1"/>
    <w:rsid w:val="00D806C9"/>
    <w:rsid w:val="00D80A5C"/>
    <w:rsid w:val="00D81662"/>
    <w:rsid w:val="00D82773"/>
    <w:rsid w:val="00D84B10"/>
    <w:rsid w:val="00D85D98"/>
    <w:rsid w:val="00D85EF1"/>
    <w:rsid w:val="00D87232"/>
    <w:rsid w:val="00D92E61"/>
    <w:rsid w:val="00D933E6"/>
    <w:rsid w:val="00D96990"/>
    <w:rsid w:val="00D969F2"/>
    <w:rsid w:val="00DA0630"/>
    <w:rsid w:val="00DA0E26"/>
    <w:rsid w:val="00DA1FEE"/>
    <w:rsid w:val="00DA3856"/>
    <w:rsid w:val="00DA3D2F"/>
    <w:rsid w:val="00DA4A32"/>
    <w:rsid w:val="00DA4A4F"/>
    <w:rsid w:val="00DA504F"/>
    <w:rsid w:val="00DA5F97"/>
    <w:rsid w:val="00DA6622"/>
    <w:rsid w:val="00DA6E7B"/>
    <w:rsid w:val="00DA7244"/>
    <w:rsid w:val="00DB1EA7"/>
    <w:rsid w:val="00DB24B1"/>
    <w:rsid w:val="00DB4827"/>
    <w:rsid w:val="00DB53B1"/>
    <w:rsid w:val="00DB62E2"/>
    <w:rsid w:val="00DB6AC7"/>
    <w:rsid w:val="00DC0C43"/>
    <w:rsid w:val="00DC7355"/>
    <w:rsid w:val="00DD3110"/>
    <w:rsid w:val="00DD79DB"/>
    <w:rsid w:val="00DE0EEA"/>
    <w:rsid w:val="00DE30CE"/>
    <w:rsid w:val="00DE3DD7"/>
    <w:rsid w:val="00DE45E8"/>
    <w:rsid w:val="00DF0F2F"/>
    <w:rsid w:val="00DF1A37"/>
    <w:rsid w:val="00DF230E"/>
    <w:rsid w:val="00DF41FC"/>
    <w:rsid w:val="00DF701D"/>
    <w:rsid w:val="00DF77BA"/>
    <w:rsid w:val="00E003C2"/>
    <w:rsid w:val="00E007F6"/>
    <w:rsid w:val="00E00E96"/>
    <w:rsid w:val="00E017EC"/>
    <w:rsid w:val="00E047BE"/>
    <w:rsid w:val="00E04C54"/>
    <w:rsid w:val="00E04F17"/>
    <w:rsid w:val="00E0684C"/>
    <w:rsid w:val="00E06F7E"/>
    <w:rsid w:val="00E10C52"/>
    <w:rsid w:val="00E135E1"/>
    <w:rsid w:val="00E14719"/>
    <w:rsid w:val="00E14720"/>
    <w:rsid w:val="00E14F21"/>
    <w:rsid w:val="00E158A5"/>
    <w:rsid w:val="00E15BB6"/>
    <w:rsid w:val="00E20270"/>
    <w:rsid w:val="00E20994"/>
    <w:rsid w:val="00E224F4"/>
    <w:rsid w:val="00E23358"/>
    <w:rsid w:val="00E2412A"/>
    <w:rsid w:val="00E2673E"/>
    <w:rsid w:val="00E27D84"/>
    <w:rsid w:val="00E326E6"/>
    <w:rsid w:val="00E35189"/>
    <w:rsid w:val="00E36A56"/>
    <w:rsid w:val="00E37AA3"/>
    <w:rsid w:val="00E41387"/>
    <w:rsid w:val="00E43209"/>
    <w:rsid w:val="00E44B29"/>
    <w:rsid w:val="00E45661"/>
    <w:rsid w:val="00E46DEF"/>
    <w:rsid w:val="00E46F0A"/>
    <w:rsid w:val="00E52FD5"/>
    <w:rsid w:val="00E5310E"/>
    <w:rsid w:val="00E53918"/>
    <w:rsid w:val="00E53C0B"/>
    <w:rsid w:val="00E544A5"/>
    <w:rsid w:val="00E55171"/>
    <w:rsid w:val="00E56226"/>
    <w:rsid w:val="00E5681D"/>
    <w:rsid w:val="00E60FA3"/>
    <w:rsid w:val="00E61ECA"/>
    <w:rsid w:val="00E632ED"/>
    <w:rsid w:val="00E6366A"/>
    <w:rsid w:val="00E6461B"/>
    <w:rsid w:val="00E65EC9"/>
    <w:rsid w:val="00E6647E"/>
    <w:rsid w:val="00E668FD"/>
    <w:rsid w:val="00E704D4"/>
    <w:rsid w:val="00E711A2"/>
    <w:rsid w:val="00E71C38"/>
    <w:rsid w:val="00E72295"/>
    <w:rsid w:val="00E73587"/>
    <w:rsid w:val="00E74DBD"/>
    <w:rsid w:val="00E81303"/>
    <w:rsid w:val="00E84C26"/>
    <w:rsid w:val="00E85955"/>
    <w:rsid w:val="00E8665A"/>
    <w:rsid w:val="00E866CB"/>
    <w:rsid w:val="00E92106"/>
    <w:rsid w:val="00E9453C"/>
    <w:rsid w:val="00E9509C"/>
    <w:rsid w:val="00E97432"/>
    <w:rsid w:val="00EA0236"/>
    <w:rsid w:val="00EA1DAB"/>
    <w:rsid w:val="00EA265E"/>
    <w:rsid w:val="00EA3764"/>
    <w:rsid w:val="00EA77C1"/>
    <w:rsid w:val="00EB1300"/>
    <w:rsid w:val="00EB3A5A"/>
    <w:rsid w:val="00EB4A7C"/>
    <w:rsid w:val="00EB5502"/>
    <w:rsid w:val="00EC04FA"/>
    <w:rsid w:val="00EC2229"/>
    <w:rsid w:val="00EC460A"/>
    <w:rsid w:val="00EC730C"/>
    <w:rsid w:val="00EC769A"/>
    <w:rsid w:val="00EC7904"/>
    <w:rsid w:val="00ED2069"/>
    <w:rsid w:val="00ED34E2"/>
    <w:rsid w:val="00ED4A37"/>
    <w:rsid w:val="00ED6B4C"/>
    <w:rsid w:val="00EE4C37"/>
    <w:rsid w:val="00EE58A3"/>
    <w:rsid w:val="00EE6CC1"/>
    <w:rsid w:val="00EF0A20"/>
    <w:rsid w:val="00EF1FC5"/>
    <w:rsid w:val="00EF3737"/>
    <w:rsid w:val="00EF5858"/>
    <w:rsid w:val="00F00496"/>
    <w:rsid w:val="00F01371"/>
    <w:rsid w:val="00F01DEF"/>
    <w:rsid w:val="00F02BA8"/>
    <w:rsid w:val="00F036CF"/>
    <w:rsid w:val="00F037CC"/>
    <w:rsid w:val="00F06EEB"/>
    <w:rsid w:val="00F10A74"/>
    <w:rsid w:val="00F14368"/>
    <w:rsid w:val="00F1478F"/>
    <w:rsid w:val="00F14C0A"/>
    <w:rsid w:val="00F15691"/>
    <w:rsid w:val="00F17046"/>
    <w:rsid w:val="00F17416"/>
    <w:rsid w:val="00F21132"/>
    <w:rsid w:val="00F21D3A"/>
    <w:rsid w:val="00F23D9B"/>
    <w:rsid w:val="00F247D7"/>
    <w:rsid w:val="00F24F32"/>
    <w:rsid w:val="00F25984"/>
    <w:rsid w:val="00F30CF7"/>
    <w:rsid w:val="00F31AC8"/>
    <w:rsid w:val="00F32C8F"/>
    <w:rsid w:val="00F3357B"/>
    <w:rsid w:val="00F34419"/>
    <w:rsid w:val="00F34548"/>
    <w:rsid w:val="00F37772"/>
    <w:rsid w:val="00F42529"/>
    <w:rsid w:val="00F43279"/>
    <w:rsid w:val="00F433C6"/>
    <w:rsid w:val="00F44179"/>
    <w:rsid w:val="00F44A77"/>
    <w:rsid w:val="00F4501E"/>
    <w:rsid w:val="00F45E2F"/>
    <w:rsid w:val="00F46BD8"/>
    <w:rsid w:val="00F5035A"/>
    <w:rsid w:val="00F507D2"/>
    <w:rsid w:val="00F51E80"/>
    <w:rsid w:val="00F56DB0"/>
    <w:rsid w:val="00F57FD0"/>
    <w:rsid w:val="00F6176F"/>
    <w:rsid w:val="00F6231E"/>
    <w:rsid w:val="00F62564"/>
    <w:rsid w:val="00F661F2"/>
    <w:rsid w:val="00F67346"/>
    <w:rsid w:val="00F70516"/>
    <w:rsid w:val="00F72045"/>
    <w:rsid w:val="00F72AB2"/>
    <w:rsid w:val="00F72BDC"/>
    <w:rsid w:val="00F77300"/>
    <w:rsid w:val="00F80D67"/>
    <w:rsid w:val="00F82176"/>
    <w:rsid w:val="00F829A3"/>
    <w:rsid w:val="00F84C4B"/>
    <w:rsid w:val="00F84CC3"/>
    <w:rsid w:val="00F856D5"/>
    <w:rsid w:val="00F86513"/>
    <w:rsid w:val="00F9093E"/>
    <w:rsid w:val="00F933FB"/>
    <w:rsid w:val="00F96A70"/>
    <w:rsid w:val="00FA0C4E"/>
    <w:rsid w:val="00FA0D4C"/>
    <w:rsid w:val="00FA208B"/>
    <w:rsid w:val="00FA2158"/>
    <w:rsid w:val="00FA4197"/>
    <w:rsid w:val="00FA47D2"/>
    <w:rsid w:val="00FA47E9"/>
    <w:rsid w:val="00FA584F"/>
    <w:rsid w:val="00FA585D"/>
    <w:rsid w:val="00FA601F"/>
    <w:rsid w:val="00FA6199"/>
    <w:rsid w:val="00FA6514"/>
    <w:rsid w:val="00FB11B3"/>
    <w:rsid w:val="00FB1294"/>
    <w:rsid w:val="00FB1AA1"/>
    <w:rsid w:val="00FB1CE7"/>
    <w:rsid w:val="00FB2452"/>
    <w:rsid w:val="00FB2791"/>
    <w:rsid w:val="00FB27C8"/>
    <w:rsid w:val="00FB5C31"/>
    <w:rsid w:val="00FB6811"/>
    <w:rsid w:val="00FB6C47"/>
    <w:rsid w:val="00FB6F88"/>
    <w:rsid w:val="00FB7D2A"/>
    <w:rsid w:val="00FC0535"/>
    <w:rsid w:val="00FC13AE"/>
    <w:rsid w:val="00FC40D1"/>
    <w:rsid w:val="00FC5B32"/>
    <w:rsid w:val="00FC60F9"/>
    <w:rsid w:val="00FC6687"/>
    <w:rsid w:val="00FD24AF"/>
    <w:rsid w:val="00FD50E7"/>
    <w:rsid w:val="00FD53CC"/>
    <w:rsid w:val="00FE1F78"/>
    <w:rsid w:val="00FE30C0"/>
    <w:rsid w:val="00FE487F"/>
    <w:rsid w:val="00FE5AB3"/>
    <w:rsid w:val="00FE7C80"/>
    <w:rsid w:val="00FF0FAA"/>
    <w:rsid w:val="00FF158F"/>
    <w:rsid w:val="00FF1D16"/>
    <w:rsid w:val="00FF2877"/>
    <w:rsid w:val="00FF3F76"/>
    <w:rsid w:val="00FF4069"/>
    <w:rsid w:val="00FF5533"/>
    <w:rsid w:val="00FF557A"/>
    <w:rsid w:val="00FF5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02F1B2"/>
  <w14:defaultImageDpi w14:val="0"/>
  <w15:docId w15:val="{A4DF3872-A82E-4591-A152-D22811CF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EC"/>
    <w:rPr>
      <w:rFonts w:cs="Times New Roman"/>
    </w:rPr>
  </w:style>
  <w:style w:type="paragraph" w:styleId="Heading1">
    <w:name w:val="heading 1"/>
    <w:basedOn w:val="Normal"/>
    <w:next w:val="Normal"/>
    <w:link w:val="Heading1Char"/>
    <w:uiPriority w:val="9"/>
    <w:qFormat/>
    <w:rsid w:val="006B6B1F"/>
    <w:pPr>
      <w:keepNext/>
      <w:keepLines/>
      <w:spacing w:before="240" w:after="240"/>
      <w:outlineLvl w:val="0"/>
    </w:pPr>
    <w:rPr>
      <w:rFonts w:asciiTheme="majorHAnsi" w:eastAsiaTheme="majorEastAsia" w:hAnsiTheme="majorHAnsi"/>
      <w:b/>
      <w:sz w:val="24"/>
      <w:szCs w:val="32"/>
    </w:rPr>
  </w:style>
  <w:style w:type="paragraph" w:styleId="Heading2">
    <w:name w:val="heading 2"/>
    <w:basedOn w:val="Normal"/>
    <w:next w:val="Normal"/>
    <w:link w:val="Heading2Char"/>
    <w:autoRedefine/>
    <w:uiPriority w:val="9"/>
    <w:unhideWhenUsed/>
    <w:qFormat/>
    <w:rsid w:val="006B6B1F"/>
    <w:pPr>
      <w:keepNext/>
      <w:keepLines/>
      <w:spacing w:after="120" w:line="240" w:lineRule="auto"/>
      <w:outlineLvl w:val="1"/>
    </w:pPr>
    <w:rPr>
      <w:rFonts w:eastAsiaTheme="majorEastAsia"/>
      <w:b/>
      <w:color w:val="000000" w:themeColor="text1"/>
      <w:szCs w:val="26"/>
    </w:rPr>
  </w:style>
  <w:style w:type="paragraph" w:styleId="Heading3">
    <w:name w:val="heading 3"/>
    <w:basedOn w:val="Normal"/>
    <w:next w:val="Normal"/>
    <w:link w:val="Heading3Char"/>
    <w:autoRedefine/>
    <w:uiPriority w:val="9"/>
    <w:unhideWhenUsed/>
    <w:qFormat/>
    <w:rsid w:val="006B6B1F"/>
    <w:pPr>
      <w:keepNext/>
      <w:spacing w:after="120" w:line="240" w:lineRule="auto"/>
      <w:outlineLvl w:val="2"/>
    </w:pPr>
    <w:rPr>
      <w:rFonts w:eastAsiaTheme="majorEastAsia"/>
      <w:bCs/>
      <w:iCs/>
      <w:color w:val="000000" w:themeColor="text1"/>
      <w:szCs w:val="24"/>
      <w:u w:val="single"/>
      <w:lang w:val="en-US"/>
    </w:rPr>
  </w:style>
  <w:style w:type="paragraph" w:styleId="Heading4">
    <w:name w:val="heading 4"/>
    <w:basedOn w:val="Normal"/>
    <w:next w:val="Normal"/>
    <w:link w:val="Heading4Char"/>
    <w:autoRedefine/>
    <w:uiPriority w:val="9"/>
    <w:unhideWhenUsed/>
    <w:qFormat/>
    <w:rsid w:val="006B6B1F"/>
    <w:pPr>
      <w:keepNext/>
      <w:keepLines/>
      <w:numPr>
        <w:numId w:val="1"/>
      </w:numPr>
      <w:shd w:val="clear" w:color="auto" w:fill="FFFFFF" w:themeFill="background1"/>
      <w:spacing w:before="40" w:after="0"/>
      <w:ind w:left="720"/>
      <w:outlineLvl w:val="3"/>
    </w:pPr>
    <w:rPr>
      <w:rFonts w:eastAsiaTheme="majorEastAsia"/>
      <w:b/>
      <w:bCs/>
    </w:rPr>
  </w:style>
  <w:style w:type="paragraph" w:styleId="Heading5">
    <w:name w:val="heading 5"/>
    <w:basedOn w:val="Normal"/>
    <w:link w:val="Heading5Char"/>
    <w:uiPriority w:val="1"/>
    <w:qFormat/>
    <w:rsid w:val="006B6B1F"/>
    <w:pPr>
      <w:widowControl w:val="0"/>
      <w:overflowPunct w:val="0"/>
      <w:autoSpaceDE w:val="0"/>
      <w:autoSpaceDN w:val="0"/>
      <w:adjustRightInd w:val="0"/>
      <w:spacing w:after="0" w:line="240" w:lineRule="auto"/>
      <w:ind w:left="1133"/>
      <w:textAlignment w:val="baseline"/>
      <w:outlineLvl w:val="4"/>
    </w:pPr>
    <w:rPr>
      <w:rFonts w:ascii="Times New Roman" w:hAnsi="Times New Roman"/>
      <w:b/>
      <w:bCs/>
      <w:sz w:val="24"/>
      <w:szCs w:val="20"/>
      <w:lang w:val="en-US"/>
    </w:rPr>
  </w:style>
  <w:style w:type="paragraph" w:styleId="Heading6">
    <w:name w:val="heading 6"/>
    <w:basedOn w:val="Normal"/>
    <w:next w:val="Normal"/>
    <w:link w:val="Heading6Char"/>
    <w:uiPriority w:val="9"/>
    <w:unhideWhenUsed/>
    <w:qFormat/>
    <w:rsid w:val="006B6B1F"/>
    <w:pPr>
      <w:keepNext/>
      <w:keepLines/>
      <w:spacing w:before="40" w:after="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B1F"/>
    <w:rPr>
      <w:rFonts w:asciiTheme="majorHAnsi" w:eastAsiaTheme="majorEastAsia" w:hAnsiTheme="majorHAnsi" w:cs="Times New Roman"/>
      <w:b/>
      <w:sz w:val="32"/>
      <w:szCs w:val="32"/>
    </w:rPr>
  </w:style>
  <w:style w:type="character" w:customStyle="1" w:styleId="Heading2Char">
    <w:name w:val="Heading 2 Char"/>
    <w:basedOn w:val="DefaultParagraphFont"/>
    <w:link w:val="Heading2"/>
    <w:uiPriority w:val="9"/>
    <w:locked/>
    <w:rsid w:val="006B6B1F"/>
    <w:rPr>
      <w:rFonts w:eastAsiaTheme="majorEastAsia" w:cs="Times New Roman"/>
      <w:b/>
      <w:color w:val="000000" w:themeColor="text1"/>
      <w:sz w:val="26"/>
      <w:szCs w:val="26"/>
    </w:rPr>
  </w:style>
  <w:style w:type="character" w:customStyle="1" w:styleId="Heading3Char">
    <w:name w:val="Heading 3 Char"/>
    <w:basedOn w:val="DefaultParagraphFont"/>
    <w:link w:val="Heading3"/>
    <w:uiPriority w:val="9"/>
    <w:locked/>
    <w:rsid w:val="006B6B1F"/>
    <w:rPr>
      <w:rFonts w:eastAsiaTheme="majorEastAsia" w:cs="Times New Roman"/>
      <w:bCs/>
      <w:iCs/>
      <w:color w:val="000000" w:themeColor="text1"/>
      <w:sz w:val="24"/>
      <w:szCs w:val="24"/>
      <w:u w:val="single"/>
      <w:lang w:val="en-US" w:eastAsia="x-none"/>
    </w:rPr>
  </w:style>
  <w:style w:type="character" w:customStyle="1" w:styleId="Heading4Char">
    <w:name w:val="Heading 4 Char"/>
    <w:basedOn w:val="DefaultParagraphFont"/>
    <w:link w:val="Heading4"/>
    <w:uiPriority w:val="9"/>
    <w:locked/>
    <w:rsid w:val="006B6B1F"/>
    <w:rPr>
      <w:rFonts w:eastAsiaTheme="majorEastAsia" w:cs="Times New Roman"/>
      <w:b/>
      <w:bCs/>
      <w:shd w:val="clear" w:color="auto" w:fill="FFFFFF" w:themeFill="background1"/>
    </w:rPr>
  </w:style>
  <w:style w:type="character" w:customStyle="1" w:styleId="Heading5Char">
    <w:name w:val="Heading 5 Char"/>
    <w:basedOn w:val="DefaultParagraphFont"/>
    <w:link w:val="Heading5"/>
    <w:uiPriority w:val="1"/>
    <w:locked/>
    <w:rsid w:val="006B6B1F"/>
    <w:rPr>
      <w:rFonts w:ascii="Times New Roman" w:hAnsi="Times New Roman" w:cs="Times New Roman"/>
      <w:b/>
      <w:bCs/>
      <w:sz w:val="20"/>
      <w:szCs w:val="20"/>
      <w:lang w:val="en-US" w:eastAsia="x-none"/>
    </w:rPr>
  </w:style>
  <w:style w:type="character" w:customStyle="1" w:styleId="Heading6Char">
    <w:name w:val="Heading 6 Char"/>
    <w:basedOn w:val="DefaultParagraphFont"/>
    <w:link w:val="Heading6"/>
    <w:uiPriority w:val="9"/>
    <w:locked/>
    <w:rsid w:val="006B6B1F"/>
    <w:rPr>
      <w:rFonts w:asciiTheme="majorHAnsi" w:eastAsiaTheme="majorEastAsia" w:hAnsiTheme="majorHAnsi" w:cs="Times New Roman"/>
      <w:color w:val="1F4D78" w:themeColor="accent1" w:themeShade="7F"/>
    </w:rPr>
  </w:style>
  <w:style w:type="paragraph" w:customStyle="1" w:styleId="ESHead1">
    <w:name w:val="ES_Head_1"/>
    <w:basedOn w:val="Normal"/>
    <w:rsid w:val="006B6B1F"/>
    <w:pPr>
      <w:spacing w:after="0" w:line="480" w:lineRule="auto"/>
      <w:ind w:left="62"/>
      <w:jc w:val="center"/>
    </w:pPr>
    <w:rPr>
      <w:rFonts w:ascii="Times New Roman" w:hAnsi="Times New Roman"/>
      <w:b/>
      <w:sz w:val="24"/>
      <w:szCs w:val="20"/>
    </w:rPr>
  </w:style>
  <w:style w:type="character" w:customStyle="1" w:styleId="ESHead1Char">
    <w:name w:val="ES_Head_1 Char"/>
    <w:rsid w:val="006B6B1F"/>
    <w:rPr>
      <w:b/>
      <w:sz w:val="24"/>
      <w:lang w:val="en-AU" w:eastAsia="en-US"/>
    </w:rPr>
  </w:style>
  <w:style w:type="paragraph" w:styleId="BodyTextIndent2">
    <w:name w:val="Body Text Indent 2"/>
    <w:basedOn w:val="Normal"/>
    <w:link w:val="BodyTextIndent2Char"/>
    <w:uiPriority w:val="99"/>
    <w:rsid w:val="006B6B1F"/>
    <w:pPr>
      <w:spacing w:after="0" w:line="240" w:lineRule="auto"/>
      <w:ind w:left="3600" w:firstLine="720"/>
      <w:jc w:val="right"/>
    </w:pPr>
    <w:rPr>
      <w:rFonts w:ascii="Arial" w:hAnsi="Arial"/>
      <w:b/>
      <w:sz w:val="24"/>
      <w:szCs w:val="20"/>
    </w:rPr>
  </w:style>
  <w:style w:type="character" w:customStyle="1" w:styleId="BodyTextIndent2Char">
    <w:name w:val="Body Text Indent 2 Char"/>
    <w:basedOn w:val="DefaultParagraphFont"/>
    <w:link w:val="BodyTextIndent2"/>
    <w:uiPriority w:val="99"/>
    <w:locked/>
    <w:rsid w:val="006B6B1F"/>
    <w:rPr>
      <w:rFonts w:ascii="Arial" w:hAnsi="Arial" w:cs="Times New Roman"/>
      <w:b/>
      <w:sz w:val="20"/>
      <w:szCs w:val="20"/>
    </w:rPr>
  </w:style>
  <w:style w:type="paragraph" w:styleId="ListParagraph">
    <w:name w:val="List Paragraph"/>
    <w:aliases w:val="Bullet,List Paragraph1,Recommendation,List Paragraph11,Bullet point,L"/>
    <w:basedOn w:val="Normal"/>
    <w:link w:val="ListParagraphChar"/>
    <w:uiPriority w:val="34"/>
    <w:qFormat/>
    <w:rsid w:val="006B6B1F"/>
    <w:pPr>
      <w:spacing w:after="200" w:line="276" w:lineRule="auto"/>
      <w:ind w:left="720"/>
      <w:contextualSpacing/>
    </w:pPr>
    <w:rPr>
      <w:rFonts w:ascii="Calibri" w:hAnsi="Calibri"/>
      <w:sz w:val="20"/>
      <w:szCs w:val="20"/>
    </w:rPr>
  </w:style>
  <w:style w:type="character" w:customStyle="1" w:styleId="ListParagraphChar">
    <w:name w:val="List Paragraph Char"/>
    <w:aliases w:val="Bullet Char,List Paragraph1 Char,Recommendation Char,List Paragraph11 Char,Bullet point Char,L Char"/>
    <w:link w:val="ListParagraph"/>
    <w:uiPriority w:val="34"/>
    <w:locked/>
    <w:rsid w:val="006B6B1F"/>
    <w:rPr>
      <w:rFonts w:ascii="Calibri" w:hAnsi="Calibri"/>
      <w:sz w:val="20"/>
    </w:rPr>
  </w:style>
  <w:style w:type="paragraph" w:styleId="Header">
    <w:name w:val="header"/>
    <w:basedOn w:val="Normal"/>
    <w:link w:val="HeaderChar"/>
    <w:uiPriority w:val="99"/>
    <w:rsid w:val="006B6B1F"/>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B6B1F"/>
    <w:rPr>
      <w:rFonts w:ascii="Times New Roman" w:hAnsi="Times New Roman" w:cs="Times New Roman"/>
      <w:sz w:val="20"/>
      <w:szCs w:val="20"/>
      <w:lang w:val="en-GB" w:eastAsia="x-none"/>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6B6B1F"/>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6B6B1F"/>
    <w:rPr>
      <w:rFonts w:ascii="Calibri" w:hAnsi="Calibri" w:cs="Times New Roman"/>
      <w:sz w:val="20"/>
      <w:szCs w:val="20"/>
    </w:rPr>
  </w:style>
  <w:style w:type="character" w:styleId="FootnoteReference">
    <w:name w:val="footnote reference"/>
    <w:aliases w:val="Footnote number,Footnotes refss"/>
    <w:basedOn w:val="DefaultParagraphFont"/>
    <w:uiPriority w:val="99"/>
    <w:unhideWhenUsed/>
    <w:rsid w:val="006B6B1F"/>
    <w:rPr>
      <w:rFonts w:cs="Times New Roman"/>
      <w:vertAlign w:val="superscript"/>
    </w:rPr>
  </w:style>
  <w:style w:type="paragraph" w:styleId="Footer">
    <w:name w:val="footer"/>
    <w:basedOn w:val="Normal"/>
    <w:link w:val="FooterChar"/>
    <w:uiPriority w:val="99"/>
    <w:unhideWhenUsed/>
    <w:rsid w:val="006B6B1F"/>
    <w:pPr>
      <w:tabs>
        <w:tab w:val="center" w:pos="4513"/>
        <w:tab w:val="right" w:pos="9026"/>
      </w:tabs>
      <w:spacing w:after="0" w:line="240" w:lineRule="auto"/>
    </w:pPr>
    <w:rPr>
      <w:rFonts w:ascii="Calibri" w:hAnsi="Calibri"/>
      <w:sz w:val="20"/>
      <w:szCs w:val="20"/>
    </w:rPr>
  </w:style>
  <w:style w:type="character" w:customStyle="1" w:styleId="FooterChar">
    <w:name w:val="Footer Char"/>
    <w:basedOn w:val="DefaultParagraphFont"/>
    <w:link w:val="Footer"/>
    <w:uiPriority w:val="99"/>
    <w:locked/>
    <w:rsid w:val="006B6B1F"/>
    <w:rPr>
      <w:rFonts w:ascii="Calibri" w:hAnsi="Calibri" w:cs="Times New Roman"/>
      <w:sz w:val="20"/>
      <w:szCs w:val="20"/>
    </w:rPr>
  </w:style>
  <w:style w:type="paragraph" w:styleId="BalloonText">
    <w:name w:val="Balloon Text"/>
    <w:basedOn w:val="Normal"/>
    <w:link w:val="BalloonTextChar"/>
    <w:uiPriority w:val="99"/>
    <w:semiHidden/>
    <w:unhideWhenUsed/>
    <w:rsid w:val="006B6B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B6B1F"/>
    <w:rPr>
      <w:rFonts w:ascii="Tahoma" w:hAnsi="Tahoma" w:cs="Times New Roman"/>
      <w:sz w:val="16"/>
      <w:szCs w:val="16"/>
    </w:rPr>
  </w:style>
  <w:style w:type="paragraph" w:customStyle="1" w:styleId="Default">
    <w:name w:val="Default"/>
    <w:rsid w:val="006B6B1F"/>
    <w:pPr>
      <w:autoSpaceDE w:val="0"/>
      <w:autoSpaceDN w:val="0"/>
      <w:adjustRightInd w:val="0"/>
      <w:spacing w:after="0" w:line="240" w:lineRule="auto"/>
    </w:pPr>
    <w:rPr>
      <w:rFonts w:ascii="Calibri" w:hAnsi="Calibri" w:cs="Calibri"/>
      <w:color w:val="000000"/>
      <w:sz w:val="24"/>
      <w:szCs w:val="24"/>
      <w:lang w:eastAsia="en-AU"/>
    </w:rPr>
  </w:style>
  <w:style w:type="paragraph" w:styleId="CommentText">
    <w:name w:val="annotation text"/>
    <w:basedOn w:val="Normal"/>
    <w:link w:val="CommentTextChar"/>
    <w:uiPriority w:val="99"/>
    <w:semiHidden/>
    <w:unhideWhenUsed/>
    <w:rsid w:val="006B6B1F"/>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6B6B1F"/>
    <w:rPr>
      <w:rFonts w:ascii="Calibri" w:hAnsi="Calibri" w:cs="Times New Roman"/>
      <w:sz w:val="20"/>
      <w:szCs w:val="20"/>
    </w:rPr>
  </w:style>
  <w:style w:type="character" w:customStyle="1" w:styleId="CommentSubjectChar">
    <w:name w:val="Comment Subject Char"/>
    <w:link w:val="CommentSubject"/>
    <w:uiPriority w:val="99"/>
    <w:semiHidden/>
    <w:locked/>
    <w:rsid w:val="006B6B1F"/>
    <w:rPr>
      <w:rFonts w:ascii="Calibri" w:hAnsi="Calibri"/>
      <w:b/>
      <w:sz w:val="20"/>
    </w:rPr>
  </w:style>
  <w:style w:type="paragraph" w:styleId="CommentSubject">
    <w:name w:val="annotation subject"/>
    <w:basedOn w:val="CommentText"/>
    <w:next w:val="CommentText"/>
    <w:link w:val="CommentSubjectChar"/>
    <w:uiPriority w:val="99"/>
    <w:semiHidden/>
    <w:unhideWhenUsed/>
    <w:rsid w:val="006B6B1F"/>
    <w:rPr>
      <w:b/>
      <w:bCs/>
    </w:rPr>
  </w:style>
  <w:style w:type="character" w:customStyle="1" w:styleId="CommentSubjectChar1">
    <w:name w:val="Comment Subject Char1"/>
    <w:basedOn w:val="CommentTextChar"/>
    <w:uiPriority w:val="99"/>
    <w:semiHidden/>
    <w:rPr>
      <w:rFonts w:ascii="Calibri" w:hAnsi="Calibri" w:cs="Times New Roman"/>
      <w:b/>
      <w:bCs/>
      <w:sz w:val="20"/>
      <w:szCs w:val="20"/>
    </w:rPr>
  </w:style>
  <w:style w:type="character" w:customStyle="1" w:styleId="CommentSubjectChar177">
    <w:name w:val="Comment Subject Char177"/>
    <w:basedOn w:val="CommentTextChar"/>
    <w:uiPriority w:val="99"/>
    <w:semiHidden/>
    <w:rPr>
      <w:rFonts w:ascii="Calibri" w:hAnsi="Calibri" w:cs="Times New Roman"/>
      <w:b/>
      <w:bCs/>
      <w:sz w:val="20"/>
      <w:szCs w:val="20"/>
    </w:rPr>
  </w:style>
  <w:style w:type="character" w:customStyle="1" w:styleId="CommentSubjectChar176">
    <w:name w:val="Comment Subject Char176"/>
    <w:basedOn w:val="CommentTextChar"/>
    <w:uiPriority w:val="99"/>
    <w:semiHidden/>
    <w:rPr>
      <w:rFonts w:ascii="Calibri" w:hAnsi="Calibri" w:cs="Times New Roman"/>
      <w:b/>
      <w:bCs/>
      <w:sz w:val="20"/>
      <w:szCs w:val="20"/>
    </w:rPr>
  </w:style>
  <w:style w:type="character" w:customStyle="1" w:styleId="CommentSubjectChar175">
    <w:name w:val="Comment Subject Char175"/>
    <w:basedOn w:val="CommentTextChar"/>
    <w:uiPriority w:val="99"/>
    <w:semiHidden/>
    <w:rPr>
      <w:rFonts w:ascii="Calibri" w:hAnsi="Calibri" w:cs="Times New Roman"/>
      <w:b/>
      <w:bCs/>
      <w:sz w:val="20"/>
      <w:szCs w:val="20"/>
    </w:rPr>
  </w:style>
  <w:style w:type="character" w:customStyle="1" w:styleId="CommentSubjectChar174">
    <w:name w:val="Comment Subject Char174"/>
    <w:basedOn w:val="CommentTextChar"/>
    <w:uiPriority w:val="99"/>
    <w:semiHidden/>
    <w:rPr>
      <w:rFonts w:ascii="Calibri" w:hAnsi="Calibri" w:cs="Times New Roman"/>
      <w:b/>
      <w:bCs/>
      <w:sz w:val="20"/>
      <w:szCs w:val="20"/>
    </w:rPr>
  </w:style>
  <w:style w:type="character" w:customStyle="1" w:styleId="CommentSubjectChar173">
    <w:name w:val="Comment Subject Char173"/>
    <w:basedOn w:val="CommentTextChar"/>
    <w:uiPriority w:val="99"/>
    <w:semiHidden/>
    <w:rPr>
      <w:rFonts w:ascii="Calibri" w:hAnsi="Calibri" w:cs="Times New Roman"/>
      <w:b/>
      <w:bCs/>
      <w:sz w:val="20"/>
      <w:szCs w:val="20"/>
    </w:rPr>
  </w:style>
  <w:style w:type="character" w:customStyle="1" w:styleId="CommentSubjectChar172">
    <w:name w:val="Comment Subject Char172"/>
    <w:basedOn w:val="CommentTextChar"/>
    <w:uiPriority w:val="99"/>
    <w:semiHidden/>
    <w:rPr>
      <w:rFonts w:ascii="Calibri" w:hAnsi="Calibri" w:cs="Times New Roman"/>
      <w:b/>
      <w:bCs/>
      <w:sz w:val="20"/>
      <w:szCs w:val="20"/>
    </w:rPr>
  </w:style>
  <w:style w:type="character" w:customStyle="1" w:styleId="CommentSubjectChar171">
    <w:name w:val="Comment Subject Char171"/>
    <w:basedOn w:val="CommentTextChar"/>
    <w:uiPriority w:val="99"/>
    <w:semiHidden/>
    <w:rPr>
      <w:rFonts w:ascii="Calibri" w:hAnsi="Calibri" w:cs="Times New Roman"/>
      <w:b/>
      <w:bCs/>
      <w:sz w:val="20"/>
      <w:szCs w:val="20"/>
    </w:rPr>
  </w:style>
  <w:style w:type="character" w:customStyle="1" w:styleId="CommentSubjectChar170">
    <w:name w:val="Comment Subject Char170"/>
    <w:basedOn w:val="CommentTextChar"/>
    <w:uiPriority w:val="99"/>
    <w:semiHidden/>
    <w:rPr>
      <w:rFonts w:ascii="Calibri" w:hAnsi="Calibri" w:cs="Times New Roman"/>
      <w:b/>
      <w:bCs/>
      <w:sz w:val="20"/>
      <w:szCs w:val="20"/>
    </w:rPr>
  </w:style>
  <w:style w:type="character" w:customStyle="1" w:styleId="CommentSubjectChar169">
    <w:name w:val="Comment Subject Char169"/>
    <w:basedOn w:val="CommentTextChar"/>
    <w:uiPriority w:val="99"/>
    <w:semiHidden/>
    <w:rPr>
      <w:rFonts w:ascii="Calibri" w:hAnsi="Calibri" w:cs="Times New Roman"/>
      <w:b/>
      <w:bCs/>
      <w:sz w:val="20"/>
      <w:szCs w:val="20"/>
    </w:rPr>
  </w:style>
  <w:style w:type="character" w:customStyle="1" w:styleId="CommentSubjectChar168">
    <w:name w:val="Comment Subject Char168"/>
    <w:basedOn w:val="CommentTextChar"/>
    <w:uiPriority w:val="99"/>
    <w:semiHidden/>
    <w:rPr>
      <w:rFonts w:ascii="Calibri" w:hAnsi="Calibri" w:cs="Times New Roman"/>
      <w:b/>
      <w:bCs/>
      <w:sz w:val="20"/>
      <w:szCs w:val="20"/>
    </w:rPr>
  </w:style>
  <w:style w:type="character" w:customStyle="1" w:styleId="CommentSubjectChar167">
    <w:name w:val="Comment Subject Char167"/>
    <w:basedOn w:val="CommentTextChar"/>
    <w:uiPriority w:val="99"/>
    <w:semiHidden/>
    <w:rPr>
      <w:rFonts w:ascii="Calibri" w:hAnsi="Calibri" w:cs="Times New Roman"/>
      <w:b/>
      <w:bCs/>
      <w:sz w:val="20"/>
      <w:szCs w:val="20"/>
    </w:rPr>
  </w:style>
  <w:style w:type="character" w:customStyle="1" w:styleId="CommentSubjectChar166">
    <w:name w:val="Comment Subject Char166"/>
    <w:basedOn w:val="CommentTextChar"/>
    <w:uiPriority w:val="99"/>
    <w:semiHidden/>
    <w:rPr>
      <w:rFonts w:ascii="Calibri" w:hAnsi="Calibri" w:cs="Times New Roman"/>
      <w:b/>
      <w:bCs/>
      <w:sz w:val="20"/>
      <w:szCs w:val="20"/>
    </w:rPr>
  </w:style>
  <w:style w:type="character" w:customStyle="1" w:styleId="CommentSubjectChar165">
    <w:name w:val="Comment Subject Char165"/>
    <w:basedOn w:val="CommentTextChar"/>
    <w:uiPriority w:val="99"/>
    <w:semiHidden/>
    <w:rPr>
      <w:rFonts w:ascii="Calibri" w:hAnsi="Calibri" w:cs="Times New Roman"/>
      <w:b/>
      <w:bCs/>
      <w:sz w:val="20"/>
      <w:szCs w:val="20"/>
    </w:rPr>
  </w:style>
  <w:style w:type="character" w:customStyle="1" w:styleId="CommentSubjectChar164">
    <w:name w:val="Comment Subject Char164"/>
    <w:basedOn w:val="CommentTextChar"/>
    <w:uiPriority w:val="99"/>
    <w:semiHidden/>
    <w:rPr>
      <w:rFonts w:ascii="Calibri" w:hAnsi="Calibri" w:cs="Times New Roman"/>
      <w:b/>
      <w:bCs/>
      <w:sz w:val="20"/>
      <w:szCs w:val="20"/>
    </w:rPr>
  </w:style>
  <w:style w:type="character" w:customStyle="1" w:styleId="CommentSubjectChar163">
    <w:name w:val="Comment Subject Char163"/>
    <w:basedOn w:val="CommentTextChar"/>
    <w:uiPriority w:val="99"/>
    <w:semiHidden/>
    <w:rPr>
      <w:rFonts w:ascii="Calibri" w:hAnsi="Calibri" w:cs="Times New Roman"/>
      <w:b/>
      <w:bCs/>
      <w:sz w:val="20"/>
      <w:szCs w:val="20"/>
    </w:rPr>
  </w:style>
  <w:style w:type="character" w:customStyle="1" w:styleId="CommentSubjectChar162">
    <w:name w:val="Comment Subject Char162"/>
    <w:basedOn w:val="CommentTextChar"/>
    <w:uiPriority w:val="99"/>
    <w:semiHidden/>
    <w:rPr>
      <w:rFonts w:ascii="Calibri" w:hAnsi="Calibri" w:cs="Times New Roman"/>
      <w:b/>
      <w:bCs/>
      <w:sz w:val="20"/>
      <w:szCs w:val="20"/>
    </w:rPr>
  </w:style>
  <w:style w:type="character" w:customStyle="1" w:styleId="CommentSubjectChar161">
    <w:name w:val="Comment Subject Char161"/>
    <w:basedOn w:val="CommentTextChar"/>
    <w:uiPriority w:val="99"/>
    <w:semiHidden/>
    <w:rPr>
      <w:rFonts w:ascii="Calibri" w:hAnsi="Calibri" w:cs="Times New Roman"/>
      <w:b/>
      <w:bCs/>
      <w:sz w:val="20"/>
      <w:szCs w:val="20"/>
    </w:rPr>
  </w:style>
  <w:style w:type="character" w:customStyle="1" w:styleId="CommentSubjectChar160">
    <w:name w:val="Comment Subject Char160"/>
    <w:basedOn w:val="CommentTextChar"/>
    <w:uiPriority w:val="99"/>
    <w:semiHidden/>
    <w:rPr>
      <w:rFonts w:ascii="Calibri" w:hAnsi="Calibri" w:cs="Times New Roman"/>
      <w:b/>
      <w:bCs/>
      <w:sz w:val="20"/>
      <w:szCs w:val="20"/>
    </w:rPr>
  </w:style>
  <w:style w:type="character" w:customStyle="1" w:styleId="CommentSubjectChar159">
    <w:name w:val="Comment Subject Char159"/>
    <w:basedOn w:val="CommentTextChar"/>
    <w:uiPriority w:val="99"/>
    <w:semiHidden/>
    <w:rPr>
      <w:rFonts w:ascii="Calibri" w:hAnsi="Calibri" w:cs="Times New Roman"/>
      <w:b/>
      <w:bCs/>
      <w:sz w:val="20"/>
      <w:szCs w:val="20"/>
    </w:rPr>
  </w:style>
  <w:style w:type="character" w:customStyle="1" w:styleId="CommentSubjectChar158">
    <w:name w:val="Comment Subject Char158"/>
    <w:basedOn w:val="CommentTextChar"/>
    <w:uiPriority w:val="99"/>
    <w:semiHidden/>
    <w:rPr>
      <w:rFonts w:ascii="Calibri" w:hAnsi="Calibri" w:cs="Times New Roman"/>
      <w:b/>
      <w:bCs/>
      <w:sz w:val="20"/>
      <w:szCs w:val="20"/>
    </w:rPr>
  </w:style>
  <w:style w:type="character" w:customStyle="1" w:styleId="CommentSubjectChar157">
    <w:name w:val="Comment Subject Char157"/>
    <w:basedOn w:val="CommentTextChar"/>
    <w:uiPriority w:val="99"/>
    <w:semiHidden/>
    <w:rPr>
      <w:rFonts w:ascii="Calibri" w:hAnsi="Calibri" w:cs="Times New Roman"/>
      <w:b/>
      <w:bCs/>
      <w:sz w:val="20"/>
      <w:szCs w:val="20"/>
    </w:rPr>
  </w:style>
  <w:style w:type="character" w:customStyle="1" w:styleId="CommentSubjectChar156">
    <w:name w:val="Comment Subject Char156"/>
    <w:basedOn w:val="CommentTextChar"/>
    <w:uiPriority w:val="99"/>
    <w:semiHidden/>
    <w:rPr>
      <w:rFonts w:ascii="Calibri" w:hAnsi="Calibri" w:cs="Times New Roman"/>
      <w:b/>
      <w:bCs/>
      <w:sz w:val="20"/>
      <w:szCs w:val="20"/>
    </w:rPr>
  </w:style>
  <w:style w:type="character" w:customStyle="1" w:styleId="CommentSubjectChar155">
    <w:name w:val="Comment Subject Char155"/>
    <w:basedOn w:val="CommentTextChar"/>
    <w:uiPriority w:val="99"/>
    <w:semiHidden/>
    <w:rPr>
      <w:rFonts w:ascii="Calibri" w:hAnsi="Calibri" w:cs="Times New Roman"/>
      <w:b/>
      <w:bCs/>
      <w:sz w:val="20"/>
      <w:szCs w:val="20"/>
    </w:rPr>
  </w:style>
  <w:style w:type="character" w:customStyle="1" w:styleId="CommentSubjectChar154">
    <w:name w:val="Comment Subject Char154"/>
    <w:basedOn w:val="CommentTextChar"/>
    <w:uiPriority w:val="99"/>
    <w:semiHidden/>
    <w:rPr>
      <w:rFonts w:ascii="Calibri" w:hAnsi="Calibri" w:cs="Times New Roman"/>
      <w:b/>
      <w:bCs/>
      <w:sz w:val="20"/>
      <w:szCs w:val="20"/>
    </w:rPr>
  </w:style>
  <w:style w:type="character" w:customStyle="1" w:styleId="CommentSubjectChar153">
    <w:name w:val="Comment Subject Char153"/>
    <w:basedOn w:val="CommentTextChar"/>
    <w:uiPriority w:val="99"/>
    <w:semiHidden/>
    <w:rPr>
      <w:rFonts w:ascii="Calibri" w:hAnsi="Calibri" w:cs="Times New Roman"/>
      <w:b/>
      <w:bCs/>
      <w:sz w:val="20"/>
      <w:szCs w:val="20"/>
    </w:rPr>
  </w:style>
  <w:style w:type="character" w:customStyle="1" w:styleId="CommentSubjectChar152">
    <w:name w:val="Comment Subject Char152"/>
    <w:basedOn w:val="CommentTextChar"/>
    <w:uiPriority w:val="99"/>
    <w:semiHidden/>
    <w:rPr>
      <w:rFonts w:ascii="Calibri" w:hAnsi="Calibri" w:cs="Times New Roman"/>
      <w:b/>
      <w:bCs/>
      <w:sz w:val="20"/>
      <w:szCs w:val="20"/>
    </w:rPr>
  </w:style>
  <w:style w:type="character" w:customStyle="1" w:styleId="CommentSubjectChar151">
    <w:name w:val="Comment Subject Char151"/>
    <w:basedOn w:val="CommentTextChar"/>
    <w:uiPriority w:val="99"/>
    <w:semiHidden/>
    <w:rPr>
      <w:rFonts w:ascii="Calibri" w:hAnsi="Calibri" w:cs="Times New Roman"/>
      <w:b/>
      <w:bCs/>
      <w:sz w:val="20"/>
      <w:szCs w:val="20"/>
    </w:rPr>
  </w:style>
  <w:style w:type="character" w:customStyle="1" w:styleId="CommentSubjectChar150">
    <w:name w:val="Comment Subject Char150"/>
    <w:basedOn w:val="CommentTextChar"/>
    <w:uiPriority w:val="99"/>
    <w:semiHidden/>
    <w:rPr>
      <w:rFonts w:ascii="Calibri" w:hAnsi="Calibri" w:cs="Times New Roman"/>
      <w:b/>
      <w:bCs/>
      <w:sz w:val="20"/>
      <w:szCs w:val="20"/>
    </w:rPr>
  </w:style>
  <w:style w:type="character" w:customStyle="1" w:styleId="CommentSubjectChar149">
    <w:name w:val="Comment Subject Char149"/>
    <w:basedOn w:val="CommentTextChar"/>
    <w:uiPriority w:val="99"/>
    <w:semiHidden/>
    <w:rPr>
      <w:rFonts w:ascii="Calibri" w:hAnsi="Calibri" w:cs="Times New Roman"/>
      <w:b/>
      <w:bCs/>
      <w:sz w:val="20"/>
      <w:szCs w:val="20"/>
    </w:rPr>
  </w:style>
  <w:style w:type="character" w:customStyle="1" w:styleId="CommentSubjectChar148">
    <w:name w:val="Comment Subject Char148"/>
    <w:basedOn w:val="CommentTextChar"/>
    <w:uiPriority w:val="99"/>
    <w:semiHidden/>
    <w:rPr>
      <w:rFonts w:ascii="Calibri" w:hAnsi="Calibri" w:cs="Times New Roman"/>
      <w:b/>
      <w:bCs/>
      <w:sz w:val="20"/>
      <w:szCs w:val="20"/>
    </w:rPr>
  </w:style>
  <w:style w:type="character" w:customStyle="1" w:styleId="CommentSubjectChar147">
    <w:name w:val="Comment Subject Char147"/>
    <w:basedOn w:val="CommentTextChar"/>
    <w:uiPriority w:val="99"/>
    <w:semiHidden/>
    <w:rPr>
      <w:rFonts w:ascii="Calibri" w:hAnsi="Calibri" w:cs="Times New Roman"/>
      <w:b/>
      <w:bCs/>
      <w:sz w:val="20"/>
      <w:szCs w:val="20"/>
    </w:rPr>
  </w:style>
  <w:style w:type="character" w:customStyle="1" w:styleId="CommentSubjectChar146">
    <w:name w:val="Comment Subject Char146"/>
    <w:basedOn w:val="CommentTextChar"/>
    <w:uiPriority w:val="99"/>
    <w:semiHidden/>
    <w:rPr>
      <w:rFonts w:ascii="Calibri" w:hAnsi="Calibri" w:cs="Times New Roman"/>
      <w:b/>
      <w:bCs/>
      <w:sz w:val="20"/>
      <w:szCs w:val="20"/>
    </w:rPr>
  </w:style>
  <w:style w:type="character" w:customStyle="1" w:styleId="CommentSubjectChar145">
    <w:name w:val="Comment Subject Char145"/>
    <w:basedOn w:val="CommentTextChar"/>
    <w:uiPriority w:val="99"/>
    <w:semiHidden/>
    <w:rPr>
      <w:rFonts w:ascii="Calibri" w:hAnsi="Calibri" w:cs="Times New Roman"/>
      <w:b/>
      <w:bCs/>
      <w:sz w:val="20"/>
      <w:szCs w:val="20"/>
    </w:rPr>
  </w:style>
  <w:style w:type="character" w:customStyle="1" w:styleId="CommentSubjectChar144">
    <w:name w:val="Comment Subject Char144"/>
    <w:basedOn w:val="CommentTextChar"/>
    <w:uiPriority w:val="99"/>
    <w:semiHidden/>
    <w:rPr>
      <w:rFonts w:ascii="Calibri" w:hAnsi="Calibri" w:cs="Times New Roman"/>
      <w:b/>
      <w:bCs/>
      <w:sz w:val="20"/>
      <w:szCs w:val="20"/>
    </w:rPr>
  </w:style>
  <w:style w:type="character" w:customStyle="1" w:styleId="CommentSubjectChar143">
    <w:name w:val="Comment Subject Char143"/>
    <w:basedOn w:val="CommentTextChar"/>
    <w:uiPriority w:val="99"/>
    <w:semiHidden/>
    <w:rPr>
      <w:rFonts w:ascii="Calibri" w:hAnsi="Calibri" w:cs="Times New Roman"/>
      <w:b/>
      <w:bCs/>
      <w:sz w:val="20"/>
      <w:szCs w:val="20"/>
    </w:rPr>
  </w:style>
  <w:style w:type="character" w:customStyle="1" w:styleId="CommentSubjectChar142">
    <w:name w:val="Comment Subject Char142"/>
    <w:basedOn w:val="CommentTextChar"/>
    <w:uiPriority w:val="99"/>
    <w:semiHidden/>
    <w:rPr>
      <w:rFonts w:ascii="Calibri" w:hAnsi="Calibri" w:cs="Times New Roman"/>
      <w:b/>
      <w:bCs/>
      <w:sz w:val="20"/>
      <w:szCs w:val="20"/>
    </w:rPr>
  </w:style>
  <w:style w:type="character" w:customStyle="1" w:styleId="CommentSubjectChar141">
    <w:name w:val="Comment Subject Char141"/>
    <w:basedOn w:val="CommentTextChar"/>
    <w:uiPriority w:val="99"/>
    <w:semiHidden/>
    <w:rPr>
      <w:rFonts w:ascii="Calibri" w:hAnsi="Calibri" w:cs="Times New Roman"/>
      <w:b/>
      <w:bCs/>
      <w:sz w:val="20"/>
      <w:szCs w:val="20"/>
    </w:rPr>
  </w:style>
  <w:style w:type="character" w:customStyle="1" w:styleId="CommentSubjectChar140">
    <w:name w:val="Comment Subject Char140"/>
    <w:basedOn w:val="CommentTextChar"/>
    <w:uiPriority w:val="99"/>
    <w:semiHidden/>
    <w:rPr>
      <w:rFonts w:ascii="Calibri" w:hAnsi="Calibri" w:cs="Times New Roman"/>
      <w:b/>
      <w:bCs/>
      <w:sz w:val="20"/>
      <w:szCs w:val="20"/>
    </w:rPr>
  </w:style>
  <w:style w:type="character" w:customStyle="1" w:styleId="CommentSubjectChar139">
    <w:name w:val="Comment Subject Char139"/>
    <w:basedOn w:val="CommentTextChar"/>
    <w:uiPriority w:val="99"/>
    <w:semiHidden/>
    <w:rPr>
      <w:rFonts w:ascii="Calibri" w:hAnsi="Calibri" w:cs="Times New Roman"/>
      <w:b/>
      <w:bCs/>
      <w:sz w:val="20"/>
      <w:szCs w:val="20"/>
    </w:rPr>
  </w:style>
  <w:style w:type="character" w:customStyle="1" w:styleId="CommentSubjectChar138">
    <w:name w:val="Comment Subject Char138"/>
    <w:basedOn w:val="CommentTextChar"/>
    <w:uiPriority w:val="99"/>
    <w:semiHidden/>
    <w:rPr>
      <w:rFonts w:ascii="Calibri" w:hAnsi="Calibri" w:cs="Times New Roman"/>
      <w:b/>
      <w:bCs/>
      <w:sz w:val="20"/>
      <w:szCs w:val="20"/>
    </w:rPr>
  </w:style>
  <w:style w:type="character" w:customStyle="1" w:styleId="CommentSubjectChar137">
    <w:name w:val="Comment Subject Char137"/>
    <w:basedOn w:val="CommentTextChar"/>
    <w:uiPriority w:val="99"/>
    <w:semiHidden/>
    <w:rPr>
      <w:rFonts w:ascii="Calibri" w:hAnsi="Calibri" w:cs="Times New Roman"/>
      <w:b/>
      <w:bCs/>
      <w:sz w:val="20"/>
      <w:szCs w:val="20"/>
    </w:rPr>
  </w:style>
  <w:style w:type="character" w:customStyle="1" w:styleId="CommentSubjectChar136">
    <w:name w:val="Comment Subject Char136"/>
    <w:basedOn w:val="CommentTextChar"/>
    <w:uiPriority w:val="99"/>
    <w:semiHidden/>
    <w:rPr>
      <w:rFonts w:ascii="Calibri" w:hAnsi="Calibri" w:cs="Times New Roman"/>
      <w:b/>
      <w:bCs/>
      <w:sz w:val="20"/>
      <w:szCs w:val="20"/>
    </w:rPr>
  </w:style>
  <w:style w:type="character" w:customStyle="1" w:styleId="CommentSubjectChar135">
    <w:name w:val="Comment Subject Char135"/>
    <w:basedOn w:val="CommentTextChar"/>
    <w:uiPriority w:val="99"/>
    <w:semiHidden/>
    <w:rPr>
      <w:rFonts w:ascii="Calibri" w:hAnsi="Calibri" w:cs="Times New Roman"/>
      <w:b/>
      <w:bCs/>
      <w:sz w:val="20"/>
      <w:szCs w:val="20"/>
    </w:rPr>
  </w:style>
  <w:style w:type="character" w:customStyle="1" w:styleId="CommentSubjectChar134">
    <w:name w:val="Comment Subject Char134"/>
    <w:basedOn w:val="CommentTextChar"/>
    <w:uiPriority w:val="99"/>
    <w:semiHidden/>
    <w:rPr>
      <w:rFonts w:ascii="Calibri" w:hAnsi="Calibri" w:cs="Times New Roman"/>
      <w:b/>
      <w:bCs/>
      <w:sz w:val="20"/>
      <w:szCs w:val="20"/>
    </w:rPr>
  </w:style>
  <w:style w:type="character" w:customStyle="1" w:styleId="CommentSubjectChar133">
    <w:name w:val="Comment Subject Char133"/>
    <w:basedOn w:val="CommentTextChar"/>
    <w:uiPriority w:val="99"/>
    <w:semiHidden/>
    <w:rPr>
      <w:rFonts w:ascii="Calibri" w:hAnsi="Calibri" w:cs="Times New Roman"/>
      <w:b/>
      <w:bCs/>
      <w:sz w:val="20"/>
      <w:szCs w:val="20"/>
    </w:rPr>
  </w:style>
  <w:style w:type="character" w:customStyle="1" w:styleId="CommentSubjectChar132">
    <w:name w:val="Comment Subject Char132"/>
    <w:basedOn w:val="CommentTextChar"/>
    <w:uiPriority w:val="99"/>
    <w:semiHidden/>
    <w:rPr>
      <w:rFonts w:ascii="Calibri" w:hAnsi="Calibri" w:cs="Times New Roman"/>
      <w:b/>
      <w:bCs/>
      <w:sz w:val="20"/>
      <w:szCs w:val="20"/>
    </w:rPr>
  </w:style>
  <w:style w:type="character" w:customStyle="1" w:styleId="CommentSubjectChar131">
    <w:name w:val="Comment Subject Char131"/>
    <w:basedOn w:val="CommentTextChar"/>
    <w:uiPriority w:val="99"/>
    <w:semiHidden/>
    <w:rPr>
      <w:rFonts w:ascii="Calibri" w:hAnsi="Calibri" w:cs="Times New Roman"/>
      <w:b/>
      <w:bCs/>
      <w:sz w:val="20"/>
      <w:szCs w:val="20"/>
    </w:rPr>
  </w:style>
  <w:style w:type="character" w:customStyle="1" w:styleId="CommentSubjectChar130">
    <w:name w:val="Comment Subject Char130"/>
    <w:basedOn w:val="CommentTextChar"/>
    <w:uiPriority w:val="99"/>
    <w:semiHidden/>
    <w:rPr>
      <w:rFonts w:ascii="Calibri" w:hAnsi="Calibri" w:cs="Times New Roman"/>
      <w:b/>
      <w:bCs/>
      <w:sz w:val="20"/>
      <w:szCs w:val="20"/>
    </w:rPr>
  </w:style>
  <w:style w:type="character" w:customStyle="1" w:styleId="CommentSubjectChar129">
    <w:name w:val="Comment Subject Char129"/>
    <w:basedOn w:val="CommentTextChar"/>
    <w:uiPriority w:val="99"/>
    <w:semiHidden/>
    <w:rPr>
      <w:rFonts w:ascii="Calibri" w:hAnsi="Calibri" w:cs="Times New Roman"/>
      <w:b/>
      <w:bCs/>
      <w:sz w:val="20"/>
      <w:szCs w:val="20"/>
    </w:rPr>
  </w:style>
  <w:style w:type="character" w:customStyle="1" w:styleId="CommentSubjectChar128">
    <w:name w:val="Comment Subject Char128"/>
    <w:basedOn w:val="CommentTextChar"/>
    <w:uiPriority w:val="99"/>
    <w:semiHidden/>
    <w:rPr>
      <w:rFonts w:ascii="Calibri" w:hAnsi="Calibri" w:cs="Times New Roman"/>
      <w:b/>
      <w:bCs/>
      <w:sz w:val="20"/>
      <w:szCs w:val="20"/>
    </w:rPr>
  </w:style>
  <w:style w:type="character" w:customStyle="1" w:styleId="CommentSubjectChar127">
    <w:name w:val="Comment Subject Char127"/>
    <w:basedOn w:val="CommentTextChar"/>
    <w:uiPriority w:val="99"/>
    <w:semiHidden/>
    <w:rPr>
      <w:rFonts w:ascii="Calibri" w:hAnsi="Calibri" w:cs="Times New Roman"/>
      <w:b/>
      <w:bCs/>
      <w:sz w:val="20"/>
      <w:szCs w:val="20"/>
    </w:rPr>
  </w:style>
  <w:style w:type="character" w:customStyle="1" w:styleId="CommentSubjectChar126">
    <w:name w:val="Comment Subject Char126"/>
    <w:basedOn w:val="CommentTextChar"/>
    <w:uiPriority w:val="99"/>
    <w:semiHidden/>
    <w:rPr>
      <w:rFonts w:ascii="Calibri" w:hAnsi="Calibri" w:cs="Times New Roman"/>
      <w:b/>
      <w:bCs/>
      <w:sz w:val="20"/>
      <w:szCs w:val="20"/>
    </w:rPr>
  </w:style>
  <w:style w:type="character" w:customStyle="1" w:styleId="CommentSubjectChar125">
    <w:name w:val="Comment Subject Char125"/>
    <w:basedOn w:val="CommentTextChar"/>
    <w:uiPriority w:val="99"/>
    <w:semiHidden/>
    <w:rPr>
      <w:rFonts w:ascii="Calibri" w:hAnsi="Calibri" w:cs="Times New Roman"/>
      <w:b/>
      <w:bCs/>
      <w:sz w:val="20"/>
      <w:szCs w:val="20"/>
    </w:rPr>
  </w:style>
  <w:style w:type="character" w:customStyle="1" w:styleId="CommentSubjectChar124">
    <w:name w:val="Comment Subject Char124"/>
    <w:basedOn w:val="CommentTextChar"/>
    <w:uiPriority w:val="99"/>
    <w:semiHidden/>
    <w:rPr>
      <w:rFonts w:ascii="Calibri" w:hAnsi="Calibri" w:cs="Times New Roman"/>
      <w:b/>
      <w:bCs/>
      <w:sz w:val="20"/>
      <w:szCs w:val="20"/>
    </w:rPr>
  </w:style>
  <w:style w:type="character" w:customStyle="1" w:styleId="CommentSubjectChar123">
    <w:name w:val="Comment Subject Char123"/>
    <w:basedOn w:val="CommentTextChar"/>
    <w:uiPriority w:val="99"/>
    <w:semiHidden/>
    <w:rPr>
      <w:rFonts w:ascii="Calibri" w:hAnsi="Calibri" w:cs="Times New Roman"/>
      <w:b/>
      <w:bCs/>
      <w:sz w:val="20"/>
      <w:szCs w:val="20"/>
    </w:rPr>
  </w:style>
  <w:style w:type="character" w:customStyle="1" w:styleId="CommentSubjectChar122">
    <w:name w:val="Comment Subject Char122"/>
    <w:basedOn w:val="CommentTextChar"/>
    <w:uiPriority w:val="99"/>
    <w:semiHidden/>
    <w:rPr>
      <w:rFonts w:ascii="Calibri" w:hAnsi="Calibri" w:cs="Times New Roman"/>
      <w:b/>
      <w:bCs/>
      <w:sz w:val="20"/>
      <w:szCs w:val="20"/>
    </w:rPr>
  </w:style>
  <w:style w:type="character" w:customStyle="1" w:styleId="CommentSubjectChar121">
    <w:name w:val="Comment Subject Char121"/>
    <w:basedOn w:val="CommentTextChar"/>
    <w:uiPriority w:val="99"/>
    <w:semiHidden/>
    <w:rPr>
      <w:rFonts w:ascii="Calibri" w:hAnsi="Calibri" w:cs="Times New Roman"/>
      <w:b/>
      <w:bCs/>
      <w:sz w:val="20"/>
      <w:szCs w:val="20"/>
    </w:rPr>
  </w:style>
  <w:style w:type="character" w:customStyle="1" w:styleId="CommentSubjectChar120">
    <w:name w:val="Comment Subject Char120"/>
    <w:basedOn w:val="CommentTextChar"/>
    <w:uiPriority w:val="99"/>
    <w:semiHidden/>
    <w:rPr>
      <w:rFonts w:ascii="Calibri" w:hAnsi="Calibri" w:cs="Times New Roman"/>
      <w:b/>
      <w:bCs/>
      <w:sz w:val="20"/>
      <w:szCs w:val="20"/>
    </w:rPr>
  </w:style>
  <w:style w:type="character" w:customStyle="1" w:styleId="CommentSubjectChar119">
    <w:name w:val="Comment Subject Char119"/>
    <w:basedOn w:val="CommentTextChar"/>
    <w:uiPriority w:val="99"/>
    <w:semiHidden/>
    <w:rPr>
      <w:rFonts w:ascii="Calibri" w:hAnsi="Calibri" w:cs="Times New Roman"/>
      <w:b/>
      <w:bCs/>
      <w:sz w:val="20"/>
      <w:szCs w:val="20"/>
    </w:rPr>
  </w:style>
  <w:style w:type="character" w:customStyle="1" w:styleId="CommentSubjectChar118">
    <w:name w:val="Comment Subject Char118"/>
    <w:basedOn w:val="CommentTextChar"/>
    <w:uiPriority w:val="99"/>
    <w:semiHidden/>
    <w:rPr>
      <w:rFonts w:ascii="Calibri" w:hAnsi="Calibri" w:cs="Times New Roman"/>
      <w:b/>
      <w:bCs/>
      <w:sz w:val="20"/>
      <w:szCs w:val="20"/>
    </w:rPr>
  </w:style>
  <w:style w:type="character" w:customStyle="1" w:styleId="CommentSubjectChar117">
    <w:name w:val="Comment Subject Char117"/>
    <w:basedOn w:val="CommentTextChar"/>
    <w:uiPriority w:val="99"/>
    <w:semiHidden/>
    <w:rPr>
      <w:rFonts w:ascii="Calibri" w:hAnsi="Calibri" w:cs="Times New Roman"/>
      <w:b/>
      <w:bCs/>
      <w:sz w:val="20"/>
      <w:szCs w:val="20"/>
    </w:rPr>
  </w:style>
  <w:style w:type="character" w:customStyle="1" w:styleId="CommentSubjectChar116">
    <w:name w:val="Comment Subject Char116"/>
    <w:basedOn w:val="CommentTextChar"/>
    <w:uiPriority w:val="99"/>
    <w:semiHidden/>
    <w:rPr>
      <w:rFonts w:ascii="Calibri" w:hAnsi="Calibri" w:cs="Times New Roman"/>
      <w:b/>
      <w:bCs/>
      <w:sz w:val="20"/>
      <w:szCs w:val="20"/>
    </w:rPr>
  </w:style>
  <w:style w:type="character" w:customStyle="1" w:styleId="CommentSubjectChar115">
    <w:name w:val="Comment Subject Char115"/>
    <w:basedOn w:val="CommentTextChar"/>
    <w:uiPriority w:val="99"/>
    <w:semiHidden/>
    <w:rPr>
      <w:rFonts w:ascii="Calibri" w:hAnsi="Calibri" w:cs="Times New Roman"/>
      <w:b/>
      <w:bCs/>
      <w:sz w:val="20"/>
      <w:szCs w:val="20"/>
    </w:rPr>
  </w:style>
  <w:style w:type="character" w:customStyle="1" w:styleId="CommentSubjectChar114">
    <w:name w:val="Comment Subject Char114"/>
    <w:basedOn w:val="CommentTextChar"/>
    <w:uiPriority w:val="99"/>
    <w:semiHidden/>
    <w:rPr>
      <w:rFonts w:ascii="Calibri" w:hAnsi="Calibri" w:cs="Times New Roman"/>
      <w:b/>
      <w:bCs/>
      <w:sz w:val="20"/>
      <w:szCs w:val="20"/>
    </w:rPr>
  </w:style>
  <w:style w:type="character" w:customStyle="1" w:styleId="CommentSubjectChar113">
    <w:name w:val="Comment Subject Char113"/>
    <w:basedOn w:val="CommentTextChar"/>
    <w:uiPriority w:val="99"/>
    <w:semiHidden/>
    <w:rPr>
      <w:rFonts w:ascii="Calibri" w:hAnsi="Calibri" w:cs="Times New Roman"/>
      <w:b/>
      <w:bCs/>
      <w:sz w:val="20"/>
      <w:szCs w:val="20"/>
    </w:rPr>
  </w:style>
  <w:style w:type="character" w:customStyle="1" w:styleId="CommentSubjectChar112">
    <w:name w:val="Comment Subject Char112"/>
    <w:basedOn w:val="CommentTextChar"/>
    <w:uiPriority w:val="99"/>
    <w:semiHidden/>
    <w:rPr>
      <w:rFonts w:ascii="Calibri" w:hAnsi="Calibri" w:cs="Times New Roman"/>
      <w:b/>
      <w:bCs/>
      <w:sz w:val="20"/>
      <w:szCs w:val="20"/>
    </w:rPr>
  </w:style>
  <w:style w:type="character" w:customStyle="1" w:styleId="CommentSubjectChar111">
    <w:name w:val="Comment Subject Char111"/>
    <w:basedOn w:val="CommentTextChar"/>
    <w:uiPriority w:val="99"/>
    <w:semiHidden/>
    <w:rPr>
      <w:rFonts w:ascii="Calibri" w:hAnsi="Calibri" w:cs="Times New Roman"/>
      <w:b/>
      <w:bCs/>
      <w:sz w:val="20"/>
      <w:szCs w:val="20"/>
    </w:rPr>
  </w:style>
  <w:style w:type="character" w:customStyle="1" w:styleId="CommentSubjectChar110">
    <w:name w:val="Comment Subject Char110"/>
    <w:basedOn w:val="CommentTextChar"/>
    <w:uiPriority w:val="99"/>
    <w:semiHidden/>
    <w:rPr>
      <w:rFonts w:ascii="Calibri" w:hAnsi="Calibri" w:cs="Times New Roman"/>
      <w:b/>
      <w:bCs/>
      <w:sz w:val="20"/>
      <w:szCs w:val="20"/>
    </w:rPr>
  </w:style>
  <w:style w:type="character" w:customStyle="1" w:styleId="CommentSubjectChar19">
    <w:name w:val="Comment Subject Char19"/>
    <w:basedOn w:val="CommentTextChar"/>
    <w:uiPriority w:val="99"/>
    <w:semiHidden/>
    <w:rPr>
      <w:rFonts w:ascii="Calibri" w:hAnsi="Calibri" w:cs="Times New Roman"/>
      <w:b/>
      <w:bCs/>
      <w:sz w:val="20"/>
      <w:szCs w:val="20"/>
    </w:rPr>
  </w:style>
  <w:style w:type="character" w:customStyle="1" w:styleId="CommentSubjectChar18">
    <w:name w:val="Comment Subject Char18"/>
    <w:basedOn w:val="CommentTextChar"/>
    <w:uiPriority w:val="99"/>
    <w:semiHidden/>
    <w:rPr>
      <w:rFonts w:ascii="Calibri" w:hAnsi="Calibri" w:cs="Times New Roman"/>
      <w:b/>
      <w:bCs/>
      <w:sz w:val="20"/>
      <w:szCs w:val="20"/>
    </w:rPr>
  </w:style>
  <w:style w:type="character" w:customStyle="1" w:styleId="CommentSubjectChar17">
    <w:name w:val="Comment Subject Char17"/>
    <w:basedOn w:val="CommentTextChar"/>
    <w:uiPriority w:val="99"/>
    <w:semiHidden/>
    <w:rPr>
      <w:rFonts w:ascii="Calibri" w:hAnsi="Calibri" w:cs="Times New Roman"/>
      <w:b/>
      <w:bCs/>
      <w:sz w:val="20"/>
      <w:szCs w:val="20"/>
    </w:rPr>
  </w:style>
  <w:style w:type="character" w:customStyle="1" w:styleId="CommentSubjectChar16">
    <w:name w:val="Comment Subject Char16"/>
    <w:basedOn w:val="CommentTextChar"/>
    <w:uiPriority w:val="99"/>
    <w:semiHidden/>
    <w:rPr>
      <w:rFonts w:ascii="Calibri" w:hAnsi="Calibri" w:cs="Times New Roman"/>
      <w:b/>
      <w:bCs/>
      <w:sz w:val="20"/>
      <w:szCs w:val="20"/>
    </w:rPr>
  </w:style>
  <w:style w:type="character" w:customStyle="1" w:styleId="CommentSubjectChar15">
    <w:name w:val="Comment Subject Char15"/>
    <w:basedOn w:val="CommentTextChar"/>
    <w:uiPriority w:val="99"/>
    <w:semiHidden/>
    <w:rPr>
      <w:rFonts w:ascii="Calibri" w:hAnsi="Calibri" w:cs="Times New Roman"/>
      <w:b/>
      <w:bCs/>
      <w:sz w:val="20"/>
      <w:szCs w:val="20"/>
    </w:rPr>
  </w:style>
  <w:style w:type="character" w:customStyle="1" w:styleId="CommentSubjectChar14">
    <w:name w:val="Comment Subject Char14"/>
    <w:basedOn w:val="CommentTextChar"/>
    <w:uiPriority w:val="99"/>
    <w:semiHidden/>
    <w:rPr>
      <w:rFonts w:ascii="Calibri" w:hAnsi="Calibri" w:cs="Times New Roman"/>
      <w:b/>
      <w:bCs/>
      <w:sz w:val="20"/>
      <w:szCs w:val="20"/>
    </w:rPr>
  </w:style>
  <w:style w:type="character" w:customStyle="1" w:styleId="CommentSubjectChar13">
    <w:name w:val="Comment Subject Char13"/>
    <w:basedOn w:val="CommentTextChar"/>
    <w:uiPriority w:val="99"/>
    <w:semiHidden/>
    <w:rPr>
      <w:rFonts w:ascii="Calibri" w:hAnsi="Calibri" w:cs="Times New Roman"/>
      <w:b/>
      <w:bCs/>
      <w:sz w:val="20"/>
      <w:szCs w:val="20"/>
    </w:rPr>
  </w:style>
  <w:style w:type="character" w:customStyle="1" w:styleId="CommentSubjectChar12">
    <w:name w:val="Comment Subject Char12"/>
    <w:basedOn w:val="CommentTextChar"/>
    <w:uiPriority w:val="99"/>
    <w:semiHidden/>
    <w:rPr>
      <w:rFonts w:ascii="Calibri" w:hAnsi="Calibri" w:cs="Times New Roman"/>
      <w:b/>
      <w:bCs/>
      <w:sz w:val="20"/>
      <w:szCs w:val="20"/>
    </w:rPr>
  </w:style>
  <w:style w:type="character" w:customStyle="1" w:styleId="CommentSubjectChar11">
    <w:name w:val="Comment Subject Char11"/>
    <w:basedOn w:val="CommentTextChar"/>
    <w:uiPriority w:val="99"/>
    <w:semiHidden/>
    <w:rsid w:val="006B6B1F"/>
    <w:rPr>
      <w:rFonts w:ascii="Calibri" w:hAnsi="Calibri" w:cs="Times New Roman"/>
      <w:b/>
      <w:bCs/>
      <w:sz w:val="20"/>
      <w:szCs w:val="20"/>
    </w:rPr>
  </w:style>
  <w:style w:type="paragraph" w:styleId="PlainText">
    <w:name w:val="Plain Text"/>
    <w:basedOn w:val="Normal"/>
    <w:link w:val="PlainTextChar"/>
    <w:uiPriority w:val="99"/>
    <w:unhideWhenUsed/>
    <w:rsid w:val="006B6B1F"/>
    <w:pPr>
      <w:spacing w:after="0" w:line="240" w:lineRule="auto"/>
    </w:pPr>
    <w:rPr>
      <w:rFonts w:ascii="Calibri" w:hAnsi="Calibri"/>
    </w:rPr>
  </w:style>
  <w:style w:type="character" w:customStyle="1" w:styleId="PlainTextChar">
    <w:name w:val="Plain Text Char"/>
    <w:basedOn w:val="DefaultParagraphFont"/>
    <w:link w:val="PlainText"/>
    <w:uiPriority w:val="99"/>
    <w:locked/>
    <w:rsid w:val="006B6B1F"/>
    <w:rPr>
      <w:rFonts w:ascii="Calibri" w:hAnsi="Calibri" w:cs="Times New Roman"/>
    </w:rPr>
  </w:style>
  <w:style w:type="character" w:styleId="Hyperlink">
    <w:name w:val="Hyperlink"/>
    <w:basedOn w:val="DefaultParagraphFont"/>
    <w:uiPriority w:val="99"/>
    <w:unhideWhenUsed/>
    <w:rsid w:val="006B6B1F"/>
    <w:rPr>
      <w:rFonts w:cs="Times New Roman"/>
      <w:color w:val="0563C1"/>
      <w:u w:val="single"/>
    </w:rPr>
  </w:style>
  <w:style w:type="character" w:styleId="FollowedHyperlink">
    <w:name w:val="FollowedHyperlink"/>
    <w:basedOn w:val="DefaultParagraphFont"/>
    <w:uiPriority w:val="99"/>
    <w:semiHidden/>
    <w:unhideWhenUsed/>
    <w:rsid w:val="006B6B1F"/>
    <w:rPr>
      <w:rFonts w:cs="Times New Roman"/>
      <w:color w:val="954F72" w:themeColor="followedHyperlink"/>
      <w:u w:val="single"/>
    </w:rPr>
  </w:style>
  <w:style w:type="character" w:styleId="Emphasis">
    <w:name w:val="Emphasis"/>
    <w:basedOn w:val="DefaultParagraphFont"/>
    <w:uiPriority w:val="20"/>
    <w:qFormat/>
    <w:rsid w:val="006B6B1F"/>
    <w:rPr>
      <w:rFonts w:cs="Times New Roman"/>
      <w:i/>
      <w:iCs/>
    </w:rPr>
  </w:style>
  <w:style w:type="paragraph" w:styleId="Title">
    <w:name w:val="Title"/>
    <w:basedOn w:val="Heading1"/>
    <w:next w:val="Normal"/>
    <w:link w:val="TitleChar"/>
    <w:uiPriority w:val="10"/>
    <w:qFormat/>
    <w:rsid w:val="006B6B1F"/>
    <w:pPr>
      <w:spacing w:before="0" w:line="240" w:lineRule="auto"/>
    </w:pPr>
  </w:style>
  <w:style w:type="character" w:customStyle="1" w:styleId="TitleChar">
    <w:name w:val="Title Char"/>
    <w:basedOn w:val="DefaultParagraphFont"/>
    <w:link w:val="Title"/>
    <w:uiPriority w:val="10"/>
    <w:locked/>
    <w:rsid w:val="006B6B1F"/>
    <w:rPr>
      <w:rFonts w:asciiTheme="majorHAnsi" w:eastAsiaTheme="majorEastAsia" w:hAnsiTheme="majorHAnsi" w:cs="Times New Roman"/>
      <w:b/>
      <w:sz w:val="32"/>
      <w:szCs w:val="32"/>
    </w:rPr>
  </w:style>
  <w:style w:type="paragraph" w:customStyle="1" w:styleId="instructions">
    <w:name w:val="instructions"/>
    <w:basedOn w:val="Normal"/>
    <w:link w:val="instructionsChar"/>
    <w:qFormat/>
    <w:rsid w:val="00A50CA7"/>
    <w:pPr>
      <w:spacing w:after="200" w:line="240" w:lineRule="auto"/>
    </w:pPr>
    <w:rPr>
      <w:rFonts w:ascii="Calibri" w:hAnsi="Calibri"/>
      <w:color w:val="595959"/>
    </w:rPr>
  </w:style>
  <w:style w:type="character" w:customStyle="1" w:styleId="instructionsChar">
    <w:name w:val="instructions Char"/>
    <w:link w:val="instructions"/>
    <w:locked/>
    <w:rsid w:val="00A50CA7"/>
    <w:rPr>
      <w:rFonts w:ascii="Calibri" w:hAnsi="Calibri"/>
      <w:color w:val="595959"/>
    </w:rPr>
  </w:style>
  <w:style w:type="table" w:styleId="TableGrid">
    <w:name w:val="Table Grid"/>
    <w:basedOn w:val="TableNormal"/>
    <w:uiPriority w:val="39"/>
    <w:rsid w:val="00B561C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return">
    <w:name w:val="A main return"/>
    <w:basedOn w:val="Normal"/>
    <w:rsid w:val="00917E42"/>
    <w:pPr>
      <w:spacing w:before="140" w:after="0" w:line="240" w:lineRule="auto"/>
      <w:ind w:left="1100"/>
      <w:jc w:val="both"/>
    </w:pPr>
    <w:rPr>
      <w:rFonts w:ascii="Times New Roman" w:hAnsi="Times New Roman"/>
      <w:sz w:val="24"/>
      <w:szCs w:val="20"/>
    </w:rPr>
  </w:style>
  <w:style w:type="paragraph" w:customStyle="1" w:styleId="Apara">
    <w:name w:val="A para"/>
    <w:basedOn w:val="Normal"/>
    <w:rsid w:val="00917E42"/>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customStyle="1" w:styleId="AH5Sec">
    <w:name w:val="A H5 Sec"/>
    <w:basedOn w:val="Normal"/>
    <w:next w:val="Normal"/>
    <w:rsid w:val="00917E42"/>
    <w:pPr>
      <w:keepNext/>
      <w:tabs>
        <w:tab w:val="left" w:pos="1100"/>
      </w:tabs>
      <w:spacing w:before="240" w:after="0" w:line="240" w:lineRule="auto"/>
      <w:ind w:left="1100" w:hanging="1100"/>
      <w:outlineLvl w:val="4"/>
    </w:pPr>
    <w:rPr>
      <w:rFonts w:ascii="Arial" w:hAnsi="Arial"/>
      <w:b/>
      <w:sz w:val="24"/>
      <w:szCs w:val="20"/>
    </w:rPr>
  </w:style>
  <w:style w:type="character" w:customStyle="1" w:styleId="CharSectNo">
    <w:name w:val="CharSectNo"/>
    <w:basedOn w:val="DefaultParagraphFont"/>
    <w:rsid w:val="00917E42"/>
  </w:style>
  <w:style w:type="paragraph" w:customStyle="1" w:styleId="Amain">
    <w:name w:val="A main"/>
    <w:basedOn w:val="Normal"/>
    <w:uiPriority w:val="99"/>
    <w:rsid w:val="00516145"/>
    <w:pPr>
      <w:spacing w:before="140" w:after="0" w:line="240" w:lineRule="auto"/>
      <w:ind w:left="3960" w:hanging="180"/>
      <w:jc w:val="both"/>
      <w:outlineLvl w:val="5"/>
    </w:pPr>
    <w:rPr>
      <w:rFonts w:ascii="Times New Roman" w:hAnsi="Times New Roman"/>
      <w:sz w:val="24"/>
      <w:szCs w:val="20"/>
    </w:rPr>
  </w:style>
  <w:style w:type="character" w:styleId="CommentReference">
    <w:name w:val="annotation reference"/>
    <w:basedOn w:val="DefaultParagraphFont"/>
    <w:uiPriority w:val="99"/>
    <w:rsid w:val="00071D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46230">
      <w:bodyDiv w:val="1"/>
      <w:marLeft w:val="0"/>
      <w:marRight w:val="0"/>
      <w:marTop w:val="0"/>
      <w:marBottom w:val="0"/>
      <w:divBdr>
        <w:top w:val="none" w:sz="0" w:space="0" w:color="auto"/>
        <w:left w:val="none" w:sz="0" w:space="0" w:color="auto"/>
        <w:bottom w:val="none" w:sz="0" w:space="0" w:color="auto"/>
        <w:right w:val="none" w:sz="0" w:space="0" w:color="auto"/>
      </w:divBdr>
      <w:divsChild>
        <w:div w:id="917638469">
          <w:marLeft w:val="0"/>
          <w:marRight w:val="0"/>
          <w:marTop w:val="0"/>
          <w:marBottom w:val="0"/>
          <w:divBdr>
            <w:top w:val="none" w:sz="0" w:space="0" w:color="auto"/>
            <w:left w:val="none" w:sz="0" w:space="0" w:color="auto"/>
            <w:bottom w:val="none" w:sz="0" w:space="0" w:color="auto"/>
            <w:right w:val="none" w:sz="0" w:space="0" w:color="auto"/>
          </w:divBdr>
        </w:div>
      </w:divsChild>
    </w:div>
    <w:div w:id="806552539">
      <w:bodyDiv w:val="1"/>
      <w:marLeft w:val="0"/>
      <w:marRight w:val="0"/>
      <w:marTop w:val="0"/>
      <w:marBottom w:val="0"/>
      <w:divBdr>
        <w:top w:val="none" w:sz="0" w:space="0" w:color="auto"/>
        <w:left w:val="none" w:sz="0" w:space="0" w:color="auto"/>
        <w:bottom w:val="none" w:sz="0" w:space="0" w:color="auto"/>
        <w:right w:val="none" w:sz="0" w:space="0" w:color="auto"/>
      </w:divBdr>
    </w:div>
    <w:div w:id="1297028287">
      <w:marLeft w:val="0"/>
      <w:marRight w:val="0"/>
      <w:marTop w:val="0"/>
      <w:marBottom w:val="0"/>
      <w:divBdr>
        <w:top w:val="none" w:sz="0" w:space="0" w:color="auto"/>
        <w:left w:val="none" w:sz="0" w:space="0" w:color="auto"/>
        <w:bottom w:val="none" w:sz="0" w:space="0" w:color="auto"/>
        <w:right w:val="none" w:sz="0" w:space="0" w:color="auto"/>
      </w:divBdr>
      <w:divsChild>
        <w:div w:id="1297028285">
          <w:marLeft w:val="0"/>
          <w:marRight w:val="0"/>
          <w:marTop w:val="0"/>
          <w:marBottom w:val="0"/>
          <w:divBdr>
            <w:top w:val="none" w:sz="0" w:space="0" w:color="auto"/>
            <w:left w:val="none" w:sz="0" w:space="0" w:color="auto"/>
            <w:bottom w:val="none" w:sz="0" w:space="0" w:color="auto"/>
            <w:right w:val="none" w:sz="0" w:space="0" w:color="auto"/>
          </w:divBdr>
        </w:div>
        <w:div w:id="1297028286">
          <w:marLeft w:val="0"/>
          <w:marRight w:val="0"/>
          <w:marTop w:val="0"/>
          <w:marBottom w:val="0"/>
          <w:divBdr>
            <w:top w:val="none" w:sz="0" w:space="0" w:color="auto"/>
            <w:left w:val="none" w:sz="0" w:space="0" w:color="auto"/>
            <w:bottom w:val="none" w:sz="0" w:space="0" w:color="auto"/>
            <w:right w:val="none" w:sz="0" w:space="0" w:color="auto"/>
          </w:divBdr>
        </w:div>
        <w:div w:id="1297028288">
          <w:marLeft w:val="0"/>
          <w:marRight w:val="0"/>
          <w:marTop w:val="0"/>
          <w:marBottom w:val="0"/>
          <w:divBdr>
            <w:top w:val="none" w:sz="0" w:space="0" w:color="auto"/>
            <w:left w:val="none" w:sz="0" w:space="0" w:color="auto"/>
            <w:bottom w:val="none" w:sz="0" w:space="0" w:color="auto"/>
            <w:right w:val="none" w:sz="0" w:space="0" w:color="auto"/>
          </w:divBdr>
        </w:div>
        <w:div w:id="1297028289">
          <w:marLeft w:val="0"/>
          <w:marRight w:val="0"/>
          <w:marTop w:val="0"/>
          <w:marBottom w:val="0"/>
          <w:divBdr>
            <w:top w:val="none" w:sz="0" w:space="0" w:color="auto"/>
            <w:left w:val="none" w:sz="0" w:space="0" w:color="auto"/>
            <w:bottom w:val="none" w:sz="0" w:space="0" w:color="auto"/>
            <w:right w:val="none" w:sz="0" w:space="0" w:color="auto"/>
          </w:divBdr>
        </w:div>
        <w:div w:id="1297028290">
          <w:marLeft w:val="0"/>
          <w:marRight w:val="0"/>
          <w:marTop w:val="0"/>
          <w:marBottom w:val="0"/>
          <w:divBdr>
            <w:top w:val="none" w:sz="0" w:space="0" w:color="auto"/>
            <w:left w:val="none" w:sz="0" w:space="0" w:color="auto"/>
            <w:bottom w:val="none" w:sz="0" w:space="0" w:color="auto"/>
            <w:right w:val="none" w:sz="0" w:space="0" w:color="auto"/>
          </w:divBdr>
        </w:div>
        <w:div w:id="1297028292">
          <w:marLeft w:val="0"/>
          <w:marRight w:val="0"/>
          <w:marTop w:val="0"/>
          <w:marBottom w:val="0"/>
          <w:divBdr>
            <w:top w:val="none" w:sz="0" w:space="0" w:color="auto"/>
            <w:left w:val="none" w:sz="0" w:space="0" w:color="auto"/>
            <w:bottom w:val="none" w:sz="0" w:space="0" w:color="auto"/>
            <w:right w:val="none" w:sz="0" w:space="0" w:color="auto"/>
          </w:divBdr>
        </w:div>
        <w:div w:id="1297028293">
          <w:marLeft w:val="0"/>
          <w:marRight w:val="0"/>
          <w:marTop w:val="0"/>
          <w:marBottom w:val="0"/>
          <w:divBdr>
            <w:top w:val="none" w:sz="0" w:space="0" w:color="auto"/>
            <w:left w:val="none" w:sz="0" w:space="0" w:color="auto"/>
            <w:bottom w:val="none" w:sz="0" w:space="0" w:color="auto"/>
            <w:right w:val="none" w:sz="0" w:space="0" w:color="auto"/>
          </w:divBdr>
        </w:div>
        <w:div w:id="1297028294">
          <w:marLeft w:val="0"/>
          <w:marRight w:val="0"/>
          <w:marTop w:val="0"/>
          <w:marBottom w:val="0"/>
          <w:divBdr>
            <w:top w:val="none" w:sz="0" w:space="0" w:color="auto"/>
            <w:left w:val="none" w:sz="0" w:space="0" w:color="auto"/>
            <w:bottom w:val="none" w:sz="0" w:space="0" w:color="auto"/>
            <w:right w:val="none" w:sz="0" w:space="0" w:color="auto"/>
          </w:divBdr>
        </w:div>
      </w:divsChild>
    </w:div>
    <w:div w:id="1297028291">
      <w:marLeft w:val="0"/>
      <w:marRight w:val="0"/>
      <w:marTop w:val="0"/>
      <w:marBottom w:val="0"/>
      <w:divBdr>
        <w:top w:val="none" w:sz="0" w:space="0" w:color="auto"/>
        <w:left w:val="none" w:sz="0" w:space="0" w:color="auto"/>
        <w:bottom w:val="none" w:sz="0" w:space="0" w:color="auto"/>
        <w:right w:val="none" w:sz="0" w:space="0" w:color="auto"/>
      </w:divBdr>
    </w:div>
    <w:div w:id="1297028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4422-4C15-4195-9F9A-A6D9FD2C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3322</Words>
  <Characters>16749</Characters>
  <Application>Microsoft Office Word</Application>
  <DocSecurity>0</DocSecurity>
  <Lines>407</Lines>
  <Paragraphs>125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2019-11-27T00:49:00Z</cp:lastPrinted>
  <dcterms:created xsi:type="dcterms:W3CDTF">2020-12-01T05:42:00Z</dcterms:created>
  <dcterms:modified xsi:type="dcterms:W3CDTF">2020-12-01T05:42:00Z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A27261685</vt:lpwstr>
  </property>
  <property fmtid="{D5CDD505-2E9C-101B-9397-08002B2CF9AE}" pid="4" name="Objective-Title">
    <vt:lpwstr>Attach E -  ES</vt:lpwstr>
  </property>
  <property fmtid="{D5CDD505-2E9C-101B-9397-08002B2CF9AE}" pid="5" name="Objective-Comment">
    <vt:lpwstr/>
  </property>
  <property fmtid="{D5CDD505-2E9C-101B-9397-08002B2CF9AE}" pid="6" name="Objective-CreationStamp">
    <vt:filetime>2020-11-16T00:47:38Z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2020-12-01T05:25:45Z</vt:filetime>
  </property>
  <property fmtid="{D5CDD505-2E9C-101B-9397-08002B2CF9AE}" pid="10" name="Objective-ModificationStamp">
    <vt:filetime>2020-12-01T05:25:45Z</vt:filetime>
  </property>
  <property fmtid="{D5CDD505-2E9C-101B-9397-08002B2CF9AE}" pid="11" name="Objective-Owner">
    <vt:lpwstr>Cara Weekes</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Submissions:20/546 - Cabinet - Planning and Unit Titles Legisla</vt:lpwstr>
  </property>
  <property fmtid="{D5CDD505-2E9C-101B-9397-08002B2CF9AE}" pid="13" name="Objective-Parent">
    <vt:lpwstr>03. Final Lodged Documentation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1-2020/62710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