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716A3" w14:textId="77777777" w:rsidR="00AF0D54" w:rsidRPr="008D4BA9" w:rsidRDefault="00AF0D54" w:rsidP="00E74080">
      <w:pPr>
        <w:spacing w:after="0" w:line="240" w:lineRule="auto"/>
        <w:rPr>
          <w:rFonts w:cs="Arial"/>
          <w:b/>
          <w:bCs/>
          <w:szCs w:val="24"/>
        </w:rPr>
      </w:pPr>
    </w:p>
    <w:p w14:paraId="587DDEA3" w14:textId="50F203C0" w:rsidR="0030585F" w:rsidRPr="008D4BA9" w:rsidRDefault="0030585F" w:rsidP="00E74080">
      <w:pPr>
        <w:autoSpaceDE w:val="0"/>
        <w:autoSpaceDN w:val="0"/>
        <w:adjustRightInd w:val="0"/>
        <w:spacing w:before="240" w:after="120" w:line="240" w:lineRule="auto"/>
        <w:jc w:val="center"/>
        <w:rPr>
          <w:rFonts w:cs="Arial"/>
          <w:b/>
          <w:bCs/>
          <w:szCs w:val="24"/>
        </w:rPr>
      </w:pPr>
      <w:r w:rsidRPr="008D4BA9">
        <w:rPr>
          <w:rFonts w:cs="Arial"/>
          <w:b/>
          <w:bCs/>
          <w:szCs w:val="24"/>
        </w:rPr>
        <w:t>20</w:t>
      </w:r>
      <w:r w:rsidR="008D4BA9">
        <w:rPr>
          <w:rFonts w:cs="Arial"/>
          <w:b/>
          <w:bCs/>
          <w:szCs w:val="24"/>
        </w:rPr>
        <w:t>20</w:t>
      </w:r>
    </w:p>
    <w:p w14:paraId="6FD2F644" w14:textId="77777777" w:rsidR="0030585F" w:rsidRPr="008D4BA9" w:rsidRDefault="0030585F" w:rsidP="00E74080">
      <w:pPr>
        <w:autoSpaceDE w:val="0"/>
        <w:autoSpaceDN w:val="0"/>
        <w:adjustRightInd w:val="0"/>
        <w:spacing w:before="240" w:after="120" w:line="240" w:lineRule="auto"/>
        <w:jc w:val="center"/>
        <w:rPr>
          <w:rFonts w:cs="Arial"/>
          <w:b/>
          <w:bCs/>
          <w:szCs w:val="24"/>
        </w:rPr>
      </w:pPr>
    </w:p>
    <w:p w14:paraId="0B3E93DB" w14:textId="77777777" w:rsidR="0030585F" w:rsidRPr="008D4BA9" w:rsidRDefault="0030585F" w:rsidP="00E74080">
      <w:pPr>
        <w:autoSpaceDE w:val="0"/>
        <w:autoSpaceDN w:val="0"/>
        <w:adjustRightInd w:val="0"/>
        <w:spacing w:before="240" w:after="120" w:line="240" w:lineRule="auto"/>
        <w:rPr>
          <w:rFonts w:cs="Arial"/>
          <w:b/>
          <w:bCs/>
          <w:szCs w:val="24"/>
        </w:rPr>
      </w:pPr>
    </w:p>
    <w:p w14:paraId="7ABAE37D" w14:textId="77777777" w:rsidR="00EE32FF" w:rsidRPr="008D4BA9" w:rsidRDefault="00EE32FF" w:rsidP="00E74080">
      <w:pPr>
        <w:autoSpaceDE w:val="0"/>
        <w:autoSpaceDN w:val="0"/>
        <w:adjustRightInd w:val="0"/>
        <w:spacing w:before="240" w:after="120" w:line="240" w:lineRule="auto"/>
        <w:rPr>
          <w:rFonts w:cs="Arial"/>
          <w:b/>
          <w:bCs/>
          <w:szCs w:val="24"/>
        </w:rPr>
      </w:pPr>
    </w:p>
    <w:p w14:paraId="6EB635AF" w14:textId="33F17FA1" w:rsidR="0030585F" w:rsidRPr="008D4BA9" w:rsidRDefault="008D4BA9" w:rsidP="00E74080">
      <w:pPr>
        <w:autoSpaceDE w:val="0"/>
        <w:autoSpaceDN w:val="0"/>
        <w:adjustRightInd w:val="0"/>
        <w:spacing w:before="240" w:after="120" w:line="240" w:lineRule="auto"/>
        <w:jc w:val="center"/>
        <w:rPr>
          <w:rFonts w:cs="Arial"/>
          <w:b/>
          <w:bCs/>
          <w:szCs w:val="24"/>
        </w:rPr>
      </w:pPr>
      <w:r>
        <w:rPr>
          <w:rFonts w:cs="Arial"/>
          <w:b/>
          <w:bCs/>
          <w:szCs w:val="24"/>
        </w:rPr>
        <w:t xml:space="preserve">THE </w:t>
      </w:r>
      <w:r w:rsidR="0030585F" w:rsidRPr="008D4BA9">
        <w:rPr>
          <w:rFonts w:cs="Arial"/>
          <w:b/>
          <w:bCs/>
          <w:szCs w:val="24"/>
        </w:rPr>
        <w:t>LEGISLATIVE ASSEMBLY FOR THE</w:t>
      </w:r>
    </w:p>
    <w:p w14:paraId="5F365D67" w14:textId="77777777" w:rsidR="0030585F" w:rsidRPr="008D4BA9" w:rsidRDefault="0030585F" w:rsidP="00E74080">
      <w:pPr>
        <w:autoSpaceDE w:val="0"/>
        <w:autoSpaceDN w:val="0"/>
        <w:adjustRightInd w:val="0"/>
        <w:spacing w:before="240" w:after="120" w:line="240" w:lineRule="auto"/>
        <w:jc w:val="center"/>
        <w:rPr>
          <w:rFonts w:cs="Arial"/>
          <w:b/>
          <w:bCs/>
          <w:szCs w:val="24"/>
        </w:rPr>
      </w:pPr>
      <w:r w:rsidRPr="008D4BA9">
        <w:rPr>
          <w:rFonts w:cs="Arial"/>
          <w:b/>
          <w:bCs/>
          <w:szCs w:val="24"/>
        </w:rPr>
        <w:t>AUSTRALIAN CAPITAL TERRITORY</w:t>
      </w:r>
    </w:p>
    <w:p w14:paraId="43AA28BC" w14:textId="77777777" w:rsidR="0030585F" w:rsidRPr="008D4BA9" w:rsidRDefault="0030585F" w:rsidP="00E74080">
      <w:pPr>
        <w:autoSpaceDE w:val="0"/>
        <w:autoSpaceDN w:val="0"/>
        <w:adjustRightInd w:val="0"/>
        <w:spacing w:before="240" w:after="120" w:line="240" w:lineRule="auto"/>
        <w:rPr>
          <w:rFonts w:cs="Arial"/>
          <w:b/>
          <w:bCs/>
          <w:szCs w:val="24"/>
        </w:rPr>
      </w:pPr>
    </w:p>
    <w:p w14:paraId="71E998D9" w14:textId="66796872" w:rsidR="0030585F" w:rsidRDefault="0030585F" w:rsidP="00E74080">
      <w:pPr>
        <w:autoSpaceDE w:val="0"/>
        <w:autoSpaceDN w:val="0"/>
        <w:adjustRightInd w:val="0"/>
        <w:spacing w:before="240" w:after="120" w:line="240" w:lineRule="auto"/>
        <w:jc w:val="center"/>
        <w:rPr>
          <w:rFonts w:cs="Arial"/>
          <w:b/>
          <w:bCs/>
          <w:szCs w:val="24"/>
        </w:rPr>
      </w:pPr>
    </w:p>
    <w:p w14:paraId="5AA8CF74" w14:textId="192B8084" w:rsidR="00E74080" w:rsidRDefault="00E74080" w:rsidP="00E74080">
      <w:pPr>
        <w:autoSpaceDE w:val="0"/>
        <w:autoSpaceDN w:val="0"/>
        <w:adjustRightInd w:val="0"/>
        <w:spacing w:before="240" w:after="120" w:line="240" w:lineRule="auto"/>
        <w:jc w:val="center"/>
        <w:rPr>
          <w:rFonts w:cs="Arial"/>
          <w:b/>
          <w:bCs/>
          <w:szCs w:val="24"/>
        </w:rPr>
      </w:pPr>
    </w:p>
    <w:p w14:paraId="34EE0698" w14:textId="77777777" w:rsidR="00E74080" w:rsidRPr="008D4BA9" w:rsidRDefault="00E74080" w:rsidP="00E74080">
      <w:pPr>
        <w:autoSpaceDE w:val="0"/>
        <w:autoSpaceDN w:val="0"/>
        <w:adjustRightInd w:val="0"/>
        <w:spacing w:before="240" w:after="120" w:line="240" w:lineRule="auto"/>
        <w:jc w:val="center"/>
        <w:rPr>
          <w:rFonts w:cs="Arial"/>
          <w:b/>
          <w:bCs/>
          <w:szCs w:val="24"/>
        </w:rPr>
      </w:pPr>
    </w:p>
    <w:p w14:paraId="2999B3E5" w14:textId="76772F3F" w:rsidR="007326EC" w:rsidRPr="008D4BA9" w:rsidRDefault="008D4BA9" w:rsidP="00E74080">
      <w:pPr>
        <w:spacing w:before="240" w:after="120" w:line="240" w:lineRule="auto"/>
        <w:jc w:val="center"/>
        <w:rPr>
          <w:rFonts w:cs="Arial"/>
          <w:b/>
          <w:bCs/>
          <w:caps/>
          <w:szCs w:val="24"/>
        </w:rPr>
      </w:pPr>
      <w:r>
        <w:rPr>
          <w:rFonts w:cs="Arial"/>
          <w:b/>
          <w:bCs/>
          <w:caps/>
          <w:szCs w:val="24"/>
        </w:rPr>
        <w:t>covid-19 eMERGENCY RESPONSE LEGISLATION AMENDMENT bILL 2020 (nO 3)</w:t>
      </w:r>
    </w:p>
    <w:p w14:paraId="089723CC" w14:textId="77777777" w:rsidR="0030585F" w:rsidRPr="008D4BA9" w:rsidRDefault="0030585F" w:rsidP="00E74080">
      <w:pPr>
        <w:autoSpaceDE w:val="0"/>
        <w:autoSpaceDN w:val="0"/>
        <w:adjustRightInd w:val="0"/>
        <w:spacing w:before="240" w:after="120" w:line="240" w:lineRule="auto"/>
        <w:rPr>
          <w:rFonts w:cs="Arial"/>
          <w:b/>
          <w:bCs/>
          <w:szCs w:val="24"/>
        </w:rPr>
      </w:pPr>
    </w:p>
    <w:p w14:paraId="29450727" w14:textId="2A7FC95D" w:rsidR="00EE32FF" w:rsidRDefault="00EE32FF" w:rsidP="00E74080">
      <w:pPr>
        <w:autoSpaceDE w:val="0"/>
        <w:autoSpaceDN w:val="0"/>
        <w:adjustRightInd w:val="0"/>
        <w:spacing w:before="240" w:after="120" w:line="240" w:lineRule="auto"/>
        <w:rPr>
          <w:rFonts w:cs="Arial"/>
          <w:b/>
          <w:bCs/>
          <w:szCs w:val="24"/>
        </w:rPr>
      </w:pPr>
    </w:p>
    <w:p w14:paraId="035CCDF4" w14:textId="1A55C2F7" w:rsidR="00E74080" w:rsidRDefault="00E74080" w:rsidP="00E74080">
      <w:pPr>
        <w:autoSpaceDE w:val="0"/>
        <w:autoSpaceDN w:val="0"/>
        <w:adjustRightInd w:val="0"/>
        <w:spacing w:before="240" w:after="120" w:line="240" w:lineRule="auto"/>
        <w:rPr>
          <w:rFonts w:cs="Arial"/>
          <w:b/>
          <w:bCs/>
          <w:szCs w:val="24"/>
        </w:rPr>
      </w:pPr>
    </w:p>
    <w:p w14:paraId="67252F7B" w14:textId="77777777" w:rsidR="00E74080" w:rsidRPr="008D4BA9" w:rsidRDefault="00E74080" w:rsidP="00E74080">
      <w:pPr>
        <w:autoSpaceDE w:val="0"/>
        <w:autoSpaceDN w:val="0"/>
        <w:adjustRightInd w:val="0"/>
        <w:spacing w:before="240" w:after="120" w:line="240" w:lineRule="auto"/>
        <w:rPr>
          <w:rFonts w:cs="Arial"/>
          <w:b/>
          <w:bCs/>
          <w:szCs w:val="24"/>
        </w:rPr>
      </w:pPr>
    </w:p>
    <w:p w14:paraId="583025EE" w14:textId="322D9C8C" w:rsidR="0030585F" w:rsidRPr="008D4BA9" w:rsidRDefault="0030585F" w:rsidP="00E74080">
      <w:pPr>
        <w:autoSpaceDE w:val="0"/>
        <w:autoSpaceDN w:val="0"/>
        <w:adjustRightInd w:val="0"/>
        <w:spacing w:before="240" w:after="120" w:line="240" w:lineRule="auto"/>
        <w:jc w:val="center"/>
        <w:rPr>
          <w:rFonts w:cs="Arial"/>
          <w:b/>
          <w:bCs/>
          <w:szCs w:val="24"/>
        </w:rPr>
      </w:pPr>
      <w:r w:rsidRPr="008D4BA9">
        <w:rPr>
          <w:rFonts w:cs="Arial"/>
          <w:b/>
          <w:bCs/>
          <w:szCs w:val="24"/>
        </w:rPr>
        <w:t>EXPLANATORY STATEMENT</w:t>
      </w:r>
    </w:p>
    <w:p w14:paraId="6EF40694" w14:textId="036F8A6E" w:rsidR="001C2523" w:rsidRDefault="008D4BA9" w:rsidP="00E74080">
      <w:pPr>
        <w:pStyle w:val="NoSpacing"/>
        <w:spacing w:after="120"/>
        <w:jc w:val="center"/>
        <w:rPr>
          <w:rFonts w:ascii="Arial" w:hAnsi="Arial" w:cs="Arial"/>
          <w:b/>
          <w:bCs/>
          <w:szCs w:val="24"/>
        </w:rPr>
      </w:pPr>
      <w:r>
        <w:rPr>
          <w:rFonts w:ascii="Arial" w:hAnsi="Arial" w:cs="Arial"/>
          <w:b/>
          <w:bCs/>
          <w:szCs w:val="24"/>
        </w:rPr>
        <w:t>a</w:t>
      </w:r>
      <w:r w:rsidR="001C2523" w:rsidRPr="008D4BA9">
        <w:rPr>
          <w:rFonts w:ascii="Arial" w:hAnsi="Arial" w:cs="Arial"/>
          <w:b/>
          <w:bCs/>
          <w:szCs w:val="24"/>
        </w:rPr>
        <w:t>nd</w:t>
      </w:r>
    </w:p>
    <w:p w14:paraId="22AD6111" w14:textId="07FDBACE" w:rsidR="001C2523" w:rsidRPr="008D4BA9" w:rsidRDefault="008D4BA9" w:rsidP="00E74080">
      <w:pPr>
        <w:pStyle w:val="NoSpacing"/>
        <w:spacing w:after="120"/>
        <w:jc w:val="center"/>
        <w:rPr>
          <w:rFonts w:ascii="Arial" w:hAnsi="Arial" w:cs="Arial"/>
          <w:b/>
          <w:bCs/>
          <w:szCs w:val="24"/>
        </w:rPr>
      </w:pPr>
      <w:r>
        <w:rPr>
          <w:rFonts w:ascii="Arial" w:hAnsi="Arial" w:cs="Arial"/>
          <w:b/>
          <w:bCs/>
          <w:szCs w:val="24"/>
        </w:rPr>
        <w:t>HUMAN RIGHTS COMPATIBILITY STATEMENT</w:t>
      </w:r>
    </w:p>
    <w:p w14:paraId="1ADB6D12" w14:textId="7071820B" w:rsidR="001C2523" w:rsidRPr="008D4BA9" w:rsidRDefault="001C2523" w:rsidP="00E74080">
      <w:pPr>
        <w:autoSpaceDE w:val="0"/>
        <w:autoSpaceDN w:val="0"/>
        <w:adjustRightInd w:val="0"/>
        <w:spacing w:before="240" w:after="120" w:line="240" w:lineRule="auto"/>
        <w:jc w:val="center"/>
        <w:rPr>
          <w:rFonts w:cs="Arial"/>
          <w:b/>
          <w:bCs/>
          <w:szCs w:val="24"/>
        </w:rPr>
      </w:pPr>
      <w:r w:rsidRPr="008D4BA9">
        <w:rPr>
          <w:rFonts w:cs="Arial"/>
          <w:b/>
          <w:bCs/>
          <w:szCs w:val="24"/>
        </w:rPr>
        <w:t>(</w:t>
      </w:r>
      <w:r w:rsidRPr="008D4BA9">
        <w:rPr>
          <w:rFonts w:cs="Arial"/>
          <w:b/>
          <w:bCs/>
          <w:i/>
          <w:iCs/>
          <w:szCs w:val="24"/>
        </w:rPr>
        <w:t>Human Rights Act 2004</w:t>
      </w:r>
      <w:r w:rsidRPr="008D4BA9">
        <w:rPr>
          <w:rFonts w:cs="Arial"/>
          <w:b/>
          <w:bCs/>
          <w:szCs w:val="24"/>
        </w:rPr>
        <w:t>, s 37)</w:t>
      </w:r>
    </w:p>
    <w:p w14:paraId="4A2BEF3B" w14:textId="77777777" w:rsidR="0030585F" w:rsidRPr="008D4BA9" w:rsidRDefault="0030585F" w:rsidP="00F64FC3">
      <w:pPr>
        <w:autoSpaceDE w:val="0"/>
        <w:autoSpaceDN w:val="0"/>
        <w:adjustRightInd w:val="0"/>
        <w:spacing w:before="240" w:after="120"/>
        <w:rPr>
          <w:rFonts w:cs="Arial"/>
          <w:b/>
          <w:bCs/>
          <w:szCs w:val="24"/>
        </w:rPr>
      </w:pPr>
    </w:p>
    <w:p w14:paraId="1285871F" w14:textId="77777777" w:rsidR="007B7934" w:rsidRPr="008D4BA9" w:rsidRDefault="007B7934" w:rsidP="00F64FC3">
      <w:pPr>
        <w:autoSpaceDE w:val="0"/>
        <w:autoSpaceDN w:val="0"/>
        <w:adjustRightInd w:val="0"/>
        <w:spacing w:before="240" w:after="120"/>
        <w:rPr>
          <w:rFonts w:cs="Arial"/>
          <w:b/>
          <w:bCs/>
          <w:szCs w:val="24"/>
        </w:rPr>
      </w:pPr>
    </w:p>
    <w:p w14:paraId="2F2D6DDF" w14:textId="77777777" w:rsidR="0030585F" w:rsidRPr="008D4BA9" w:rsidRDefault="0030585F" w:rsidP="00F64FC3">
      <w:pPr>
        <w:autoSpaceDE w:val="0"/>
        <w:autoSpaceDN w:val="0"/>
        <w:adjustRightInd w:val="0"/>
        <w:spacing w:before="240" w:after="120"/>
        <w:rPr>
          <w:rFonts w:cs="Arial"/>
          <w:b/>
          <w:bCs/>
          <w:szCs w:val="24"/>
        </w:rPr>
      </w:pPr>
    </w:p>
    <w:p w14:paraId="7CDCC040" w14:textId="77777777" w:rsidR="0030585F" w:rsidRPr="008D4BA9" w:rsidRDefault="0030585F" w:rsidP="00F64FC3">
      <w:pPr>
        <w:autoSpaceDE w:val="0"/>
        <w:autoSpaceDN w:val="0"/>
        <w:adjustRightInd w:val="0"/>
        <w:spacing w:before="240" w:after="120"/>
        <w:rPr>
          <w:rFonts w:cs="Arial"/>
          <w:b/>
          <w:bCs/>
          <w:szCs w:val="24"/>
        </w:rPr>
      </w:pPr>
    </w:p>
    <w:p w14:paraId="3BC858F4" w14:textId="77777777" w:rsidR="0030585F" w:rsidRPr="008D4BA9" w:rsidRDefault="0030585F" w:rsidP="00F64FC3">
      <w:pPr>
        <w:autoSpaceDE w:val="0"/>
        <w:autoSpaceDN w:val="0"/>
        <w:adjustRightInd w:val="0"/>
        <w:spacing w:after="0" w:line="240" w:lineRule="auto"/>
        <w:jc w:val="right"/>
        <w:rPr>
          <w:rFonts w:cs="Arial"/>
          <w:b/>
          <w:bCs/>
          <w:szCs w:val="24"/>
        </w:rPr>
      </w:pPr>
      <w:r w:rsidRPr="008D4BA9">
        <w:rPr>
          <w:rFonts w:cs="Arial"/>
          <w:b/>
          <w:bCs/>
          <w:szCs w:val="24"/>
        </w:rPr>
        <w:t>Presented by</w:t>
      </w:r>
    </w:p>
    <w:p w14:paraId="10094C4E" w14:textId="22A8BB43" w:rsidR="0030585F" w:rsidRPr="008D4BA9" w:rsidRDefault="004E3446" w:rsidP="00F64FC3">
      <w:pPr>
        <w:autoSpaceDE w:val="0"/>
        <w:autoSpaceDN w:val="0"/>
        <w:adjustRightInd w:val="0"/>
        <w:spacing w:after="0" w:line="240" w:lineRule="auto"/>
        <w:jc w:val="right"/>
        <w:rPr>
          <w:rFonts w:cs="Arial"/>
          <w:b/>
          <w:bCs/>
          <w:szCs w:val="24"/>
        </w:rPr>
      </w:pPr>
      <w:r>
        <w:rPr>
          <w:rFonts w:cs="Arial"/>
          <w:b/>
          <w:bCs/>
          <w:szCs w:val="24"/>
        </w:rPr>
        <w:t>Andrew Barr</w:t>
      </w:r>
      <w:r w:rsidR="0030585F" w:rsidRPr="008D4BA9">
        <w:rPr>
          <w:rFonts w:cs="Arial"/>
          <w:b/>
          <w:bCs/>
          <w:szCs w:val="24"/>
        </w:rPr>
        <w:t xml:space="preserve"> MLA</w:t>
      </w:r>
    </w:p>
    <w:p w14:paraId="4FC100A3" w14:textId="5C37A5A0" w:rsidR="0030585F" w:rsidRPr="008D4BA9" w:rsidRDefault="004E3446" w:rsidP="00F64FC3">
      <w:pPr>
        <w:spacing w:after="0" w:line="240" w:lineRule="auto"/>
        <w:jc w:val="right"/>
        <w:rPr>
          <w:rFonts w:cs="Arial"/>
          <w:b/>
          <w:bCs/>
          <w:szCs w:val="24"/>
        </w:rPr>
      </w:pPr>
      <w:r>
        <w:rPr>
          <w:rFonts w:cs="Arial"/>
          <w:b/>
          <w:bCs/>
          <w:szCs w:val="24"/>
        </w:rPr>
        <w:t>Chief Minister</w:t>
      </w:r>
    </w:p>
    <w:p w14:paraId="3A423ED0" w14:textId="77777777" w:rsidR="00EE32FF" w:rsidRPr="008D4BA9" w:rsidRDefault="009428EA" w:rsidP="00F64FC3">
      <w:pPr>
        <w:spacing w:after="120"/>
        <w:jc w:val="center"/>
        <w:rPr>
          <w:rFonts w:cs="Arial"/>
          <w:b/>
          <w:bCs/>
          <w:szCs w:val="24"/>
        </w:rPr>
        <w:sectPr w:rsidR="00EE32FF" w:rsidRPr="008D4BA9"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8D4BA9">
        <w:rPr>
          <w:rFonts w:cs="Arial"/>
          <w:b/>
          <w:bCs/>
          <w:szCs w:val="24"/>
        </w:rPr>
        <w:br w:type="page"/>
      </w:r>
    </w:p>
    <w:p w14:paraId="1A7083FC" w14:textId="4559F900" w:rsidR="00BF0E36" w:rsidRDefault="008D4BA9" w:rsidP="00F64FC3">
      <w:pPr>
        <w:spacing w:after="120"/>
        <w:jc w:val="center"/>
        <w:rPr>
          <w:rFonts w:cs="Arial"/>
          <w:b/>
          <w:bCs/>
          <w:caps/>
          <w:szCs w:val="24"/>
        </w:rPr>
      </w:pPr>
      <w:r>
        <w:rPr>
          <w:rFonts w:cs="Arial"/>
          <w:b/>
          <w:bCs/>
          <w:caps/>
          <w:szCs w:val="24"/>
        </w:rPr>
        <w:lastRenderedPageBreak/>
        <w:t>COVID-19 EMERGENCY RESPONSE LEGISLATION AMENDMENT bILL 2020 (NO 3)</w:t>
      </w:r>
    </w:p>
    <w:p w14:paraId="27B253C9" w14:textId="77777777" w:rsidR="00E026EB" w:rsidRPr="008D4BA9" w:rsidRDefault="00E026EB" w:rsidP="00F64FC3">
      <w:pPr>
        <w:spacing w:after="120"/>
        <w:jc w:val="center"/>
        <w:rPr>
          <w:rFonts w:cs="Arial"/>
          <w:b/>
          <w:bCs/>
          <w:caps/>
          <w:szCs w:val="24"/>
        </w:rPr>
      </w:pPr>
    </w:p>
    <w:p w14:paraId="69842CE4" w14:textId="77777777" w:rsidR="006431CF" w:rsidRPr="00E026EB" w:rsidRDefault="006431CF" w:rsidP="00E026EB">
      <w:pPr>
        <w:jc w:val="center"/>
        <w:rPr>
          <w:b/>
          <w:bCs/>
        </w:rPr>
      </w:pPr>
      <w:bookmarkStart w:id="0" w:name="_Toc426711258"/>
      <w:bookmarkStart w:id="1" w:name="_Toc429052821"/>
      <w:bookmarkStart w:id="2" w:name="_Toc55813994"/>
      <w:r w:rsidRPr="00E026EB">
        <w:rPr>
          <w:b/>
          <w:bCs/>
        </w:rPr>
        <w:t>Outline</w:t>
      </w:r>
      <w:bookmarkEnd w:id="0"/>
      <w:bookmarkEnd w:id="1"/>
      <w:bookmarkEnd w:id="2"/>
    </w:p>
    <w:p w14:paraId="1FA9A1DB" w14:textId="0AE8288A" w:rsidR="00C4279C" w:rsidRDefault="00326167">
      <w:pPr>
        <w:pStyle w:val="TOC1"/>
        <w:tabs>
          <w:tab w:val="right" w:leader="dot" w:pos="9016"/>
        </w:tabs>
        <w:rPr>
          <w:rFonts w:asciiTheme="minorHAnsi" w:eastAsiaTheme="minorEastAsia" w:hAnsiTheme="minorHAnsi" w:cstheme="minorBidi"/>
          <w:noProof/>
          <w:sz w:val="22"/>
          <w:lang w:eastAsia="en-AU"/>
        </w:rPr>
      </w:pPr>
      <w:r w:rsidRPr="008D4BA9">
        <w:rPr>
          <w:rFonts w:cs="Arial"/>
          <w:szCs w:val="24"/>
        </w:rPr>
        <w:fldChar w:fldCharType="begin"/>
      </w:r>
      <w:r w:rsidR="00AC5B87" w:rsidRPr="008D4BA9">
        <w:rPr>
          <w:rFonts w:cs="Arial"/>
          <w:szCs w:val="24"/>
        </w:rPr>
        <w:instrText xml:space="preserve"> TOC \o "1-3" \h \z \u </w:instrText>
      </w:r>
      <w:r w:rsidRPr="008D4BA9">
        <w:rPr>
          <w:rFonts w:cs="Arial"/>
          <w:szCs w:val="24"/>
        </w:rPr>
        <w:fldChar w:fldCharType="separate"/>
      </w:r>
      <w:hyperlink w:anchor="_Toc57197590" w:history="1">
        <w:r w:rsidR="00C4279C" w:rsidRPr="005A3DD9">
          <w:rPr>
            <w:rStyle w:val="Hyperlink"/>
            <w:noProof/>
          </w:rPr>
          <w:t>COVID-19 EMERGENCY RESPONSE LEGISLATION AMENDMENT BILL 2020 (NO 3)</w:t>
        </w:r>
        <w:r w:rsidR="00C4279C">
          <w:rPr>
            <w:noProof/>
            <w:webHidden/>
          </w:rPr>
          <w:tab/>
        </w:r>
        <w:r w:rsidR="00C4279C">
          <w:rPr>
            <w:noProof/>
            <w:webHidden/>
          </w:rPr>
          <w:fldChar w:fldCharType="begin"/>
        </w:r>
        <w:r w:rsidR="00C4279C">
          <w:rPr>
            <w:noProof/>
            <w:webHidden/>
          </w:rPr>
          <w:instrText xml:space="preserve"> PAGEREF _Toc57197590 \h </w:instrText>
        </w:r>
        <w:r w:rsidR="00C4279C">
          <w:rPr>
            <w:noProof/>
            <w:webHidden/>
          </w:rPr>
        </w:r>
        <w:r w:rsidR="00C4279C">
          <w:rPr>
            <w:noProof/>
            <w:webHidden/>
          </w:rPr>
          <w:fldChar w:fldCharType="separate"/>
        </w:r>
        <w:r w:rsidR="009C4E16">
          <w:rPr>
            <w:noProof/>
            <w:webHidden/>
          </w:rPr>
          <w:t>4</w:t>
        </w:r>
        <w:r w:rsidR="00C4279C">
          <w:rPr>
            <w:noProof/>
            <w:webHidden/>
          </w:rPr>
          <w:fldChar w:fldCharType="end"/>
        </w:r>
      </w:hyperlink>
    </w:p>
    <w:p w14:paraId="49B31AE9" w14:textId="277A737C" w:rsidR="00C4279C" w:rsidRDefault="00F824F3">
      <w:pPr>
        <w:pStyle w:val="TOC2"/>
        <w:tabs>
          <w:tab w:val="right" w:leader="dot" w:pos="9016"/>
        </w:tabs>
        <w:rPr>
          <w:rFonts w:asciiTheme="minorHAnsi" w:eastAsiaTheme="minorEastAsia" w:hAnsiTheme="minorHAnsi" w:cstheme="minorBidi"/>
          <w:noProof/>
          <w:sz w:val="22"/>
          <w:lang w:eastAsia="en-AU"/>
        </w:rPr>
      </w:pPr>
      <w:hyperlink w:anchor="_Toc57197591" w:history="1">
        <w:r w:rsidR="00C4279C" w:rsidRPr="005A3DD9">
          <w:rPr>
            <w:rStyle w:val="Hyperlink"/>
            <w:noProof/>
          </w:rPr>
          <w:t>BACKGROUND</w:t>
        </w:r>
        <w:r w:rsidR="00C4279C">
          <w:rPr>
            <w:noProof/>
            <w:webHidden/>
          </w:rPr>
          <w:tab/>
        </w:r>
        <w:r w:rsidR="00C4279C">
          <w:rPr>
            <w:noProof/>
            <w:webHidden/>
          </w:rPr>
          <w:fldChar w:fldCharType="begin"/>
        </w:r>
        <w:r w:rsidR="00C4279C">
          <w:rPr>
            <w:noProof/>
            <w:webHidden/>
          </w:rPr>
          <w:instrText xml:space="preserve"> PAGEREF _Toc57197591 \h </w:instrText>
        </w:r>
        <w:r w:rsidR="00C4279C">
          <w:rPr>
            <w:noProof/>
            <w:webHidden/>
          </w:rPr>
        </w:r>
        <w:r w:rsidR="00C4279C">
          <w:rPr>
            <w:noProof/>
            <w:webHidden/>
          </w:rPr>
          <w:fldChar w:fldCharType="separate"/>
        </w:r>
        <w:r w:rsidR="009C4E16">
          <w:rPr>
            <w:noProof/>
            <w:webHidden/>
          </w:rPr>
          <w:t>4</w:t>
        </w:r>
        <w:r w:rsidR="00C4279C">
          <w:rPr>
            <w:noProof/>
            <w:webHidden/>
          </w:rPr>
          <w:fldChar w:fldCharType="end"/>
        </w:r>
      </w:hyperlink>
    </w:p>
    <w:p w14:paraId="771C3A01" w14:textId="2F57E1AE" w:rsidR="00C4279C" w:rsidRDefault="00F824F3">
      <w:pPr>
        <w:pStyle w:val="TOC2"/>
        <w:tabs>
          <w:tab w:val="right" w:leader="dot" w:pos="9016"/>
        </w:tabs>
        <w:rPr>
          <w:rFonts w:asciiTheme="minorHAnsi" w:eastAsiaTheme="minorEastAsia" w:hAnsiTheme="minorHAnsi" w:cstheme="minorBidi"/>
          <w:noProof/>
          <w:sz w:val="22"/>
          <w:lang w:eastAsia="en-AU"/>
        </w:rPr>
      </w:pPr>
      <w:hyperlink w:anchor="_Toc57197592" w:history="1">
        <w:r w:rsidR="00C4279C" w:rsidRPr="005A3DD9">
          <w:rPr>
            <w:rStyle w:val="Hyperlink"/>
            <w:noProof/>
          </w:rPr>
          <w:t>OVERVIEW OF THE BILL</w:t>
        </w:r>
        <w:r w:rsidR="00C4279C">
          <w:rPr>
            <w:noProof/>
            <w:webHidden/>
          </w:rPr>
          <w:tab/>
        </w:r>
        <w:r w:rsidR="00C4279C">
          <w:rPr>
            <w:noProof/>
            <w:webHidden/>
          </w:rPr>
          <w:fldChar w:fldCharType="begin"/>
        </w:r>
        <w:r w:rsidR="00C4279C">
          <w:rPr>
            <w:noProof/>
            <w:webHidden/>
          </w:rPr>
          <w:instrText xml:space="preserve"> PAGEREF _Toc57197592 \h </w:instrText>
        </w:r>
        <w:r w:rsidR="00C4279C">
          <w:rPr>
            <w:noProof/>
            <w:webHidden/>
          </w:rPr>
        </w:r>
        <w:r w:rsidR="00C4279C">
          <w:rPr>
            <w:noProof/>
            <w:webHidden/>
          </w:rPr>
          <w:fldChar w:fldCharType="separate"/>
        </w:r>
        <w:r w:rsidR="009C4E16">
          <w:rPr>
            <w:noProof/>
            <w:webHidden/>
          </w:rPr>
          <w:t>4</w:t>
        </w:r>
        <w:r w:rsidR="00C4279C">
          <w:rPr>
            <w:noProof/>
            <w:webHidden/>
          </w:rPr>
          <w:fldChar w:fldCharType="end"/>
        </w:r>
      </w:hyperlink>
    </w:p>
    <w:p w14:paraId="10EA1EA5" w14:textId="21A37DEB" w:rsidR="00C4279C" w:rsidRDefault="00F824F3">
      <w:pPr>
        <w:pStyle w:val="TOC2"/>
        <w:tabs>
          <w:tab w:val="right" w:leader="dot" w:pos="9016"/>
        </w:tabs>
        <w:rPr>
          <w:rFonts w:asciiTheme="minorHAnsi" w:eastAsiaTheme="minorEastAsia" w:hAnsiTheme="minorHAnsi" w:cstheme="minorBidi"/>
          <w:noProof/>
          <w:sz w:val="22"/>
          <w:lang w:eastAsia="en-AU"/>
        </w:rPr>
      </w:pPr>
      <w:hyperlink w:anchor="_Toc57197593" w:history="1">
        <w:r w:rsidR="00C4279C" w:rsidRPr="005A3DD9">
          <w:rPr>
            <w:rStyle w:val="Hyperlink"/>
            <w:noProof/>
          </w:rPr>
          <w:t>CONSULTATION ON THE PROPOSED APPROACH</w:t>
        </w:r>
        <w:r w:rsidR="00C4279C">
          <w:rPr>
            <w:noProof/>
            <w:webHidden/>
          </w:rPr>
          <w:tab/>
        </w:r>
        <w:r w:rsidR="00C4279C">
          <w:rPr>
            <w:noProof/>
            <w:webHidden/>
          </w:rPr>
          <w:fldChar w:fldCharType="begin"/>
        </w:r>
        <w:r w:rsidR="00C4279C">
          <w:rPr>
            <w:noProof/>
            <w:webHidden/>
          </w:rPr>
          <w:instrText xml:space="preserve"> PAGEREF _Toc57197593 \h </w:instrText>
        </w:r>
        <w:r w:rsidR="00C4279C">
          <w:rPr>
            <w:noProof/>
            <w:webHidden/>
          </w:rPr>
        </w:r>
        <w:r w:rsidR="00C4279C">
          <w:rPr>
            <w:noProof/>
            <w:webHidden/>
          </w:rPr>
          <w:fldChar w:fldCharType="separate"/>
        </w:r>
        <w:r w:rsidR="009C4E16">
          <w:rPr>
            <w:noProof/>
            <w:webHidden/>
          </w:rPr>
          <w:t>5</w:t>
        </w:r>
        <w:r w:rsidR="00C4279C">
          <w:rPr>
            <w:noProof/>
            <w:webHidden/>
          </w:rPr>
          <w:fldChar w:fldCharType="end"/>
        </w:r>
      </w:hyperlink>
    </w:p>
    <w:p w14:paraId="00A6512C" w14:textId="46A0F570" w:rsidR="00C4279C" w:rsidRDefault="00F824F3">
      <w:pPr>
        <w:pStyle w:val="TOC2"/>
        <w:tabs>
          <w:tab w:val="right" w:leader="dot" w:pos="9016"/>
        </w:tabs>
        <w:rPr>
          <w:rFonts w:asciiTheme="minorHAnsi" w:eastAsiaTheme="minorEastAsia" w:hAnsiTheme="minorHAnsi" w:cstheme="minorBidi"/>
          <w:noProof/>
          <w:sz w:val="22"/>
          <w:lang w:eastAsia="en-AU"/>
        </w:rPr>
      </w:pPr>
      <w:hyperlink w:anchor="_Toc57197594" w:history="1">
        <w:r w:rsidR="00C4279C" w:rsidRPr="005A3DD9">
          <w:rPr>
            <w:rStyle w:val="Hyperlink"/>
            <w:noProof/>
          </w:rPr>
          <w:t>CONSISTENCY WITH HUMAN RIGHTS</w:t>
        </w:r>
        <w:r w:rsidR="00C4279C">
          <w:rPr>
            <w:noProof/>
            <w:webHidden/>
          </w:rPr>
          <w:tab/>
        </w:r>
        <w:r w:rsidR="00C4279C">
          <w:rPr>
            <w:noProof/>
            <w:webHidden/>
          </w:rPr>
          <w:fldChar w:fldCharType="begin"/>
        </w:r>
        <w:r w:rsidR="00C4279C">
          <w:rPr>
            <w:noProof/>
            <w:webHidden/>
          </w:rPr>
          <w:instrText xml:space="preserve"> PAGEREF _Toc57197594 \h </w:instrText>
        </w:r>
        <w:r w:rsidR="00C4279C">
          <w:rPr>
            <w:noProof/>
            <w:webHidden/>
          </w:rPr>
        </w:r>
        <w:r w:rsidR="00C4279C">
          <w:rPr>
            <w:noProof/>
            <w:webHidden/>
          </w:rPr>
          <w:fldChar w:fldCharType="separate"/>
        </w:r>
        <w:r w:rsidR="009C4E16">
          <w:rPr>
            <w:noProof/>
            <w:webHidden/>
          </w:rPr>
          <w:t>6</w:t>
        </w:r>
        <w:r w:rsidR="00C4279C">
          <w:rPr>
            <w:noProof/>
            <w:webHidden/>
          </w:rPr>
          <w:fldChar w:fldCharType="end"/>
        </w:r>
      </w:hyperlink>
    </w:p>
    <w:p w14:paraId="0784C56D" w14:textId="4D72FEAC" w:rsidR="00C4279C" w:rsidRDefault="00F824F3">
      <w:pPr>
        <w:pStyle w:val="TOC3"/>
        <w:tabs>
          <w:tab w:val="right" w:leader="dot" w:pos="9016"/>
        </w:tabs>
        <w:rPr>
          <w:rFonts w:asciiTheme="minorHAnsi" w:eastAsiaTheme="minorEastAsia" w:hAnsiTheme="minorHAnsi" w:cstheme="minorBidi"/>
          <w:noProof/>
          <w:sz w:val="22"/>
          <w:lang w:eastAsia="en-AU"/>
        </w:rPr>
      </w:pPr>
      <w:hyperlink w:anchor="_Toc57197595" w:history="1">
        <w:r w:rsidR="00C4279C" w:rsidRPr="005A3DD9">
          <w:rPr>
            <w:rStyle w:val="Hyperlink"/>
            <w:noProof/>
          </w:rPr>
          <w:t>Rights Engaged</w:t>
        </w:r>
        <w:r w:rsidR="00C4279C">
          <w:rPr>
            <w:noProof/>
            <w:webHidden/>
          </w:rPr>
          <w:tab/>
        </w:r>
        <w:r w:rsidR="00C4279C">
          <w:rPr>
            <w:noProof/>
            <w:webHidden/>
          </w:rPr>
          <w:fldChar w:fldCharType="begin"/>
        </w:r>
        <w:r w:rsidR="00C4279C">
          <w:rPr>
            <w:noProof/>
            <w:webHidden/>
          </w:rPr>
          <w:instrText xml:space="preserve"> PAGEREF _Toc57197595 \h </w:instrText>
        </w:r>
        <w:r w:rsidR="00C4279C">
          <w:rPr>
            <w:noProof/>
            <w:webHidden/>
          </w:rPr>
        </w:r>
        <w:r w:rsidR="00C4279C">
          <w:rPr>
            <w:noProof/>
            <w:webHidden/>
          </w:rPr>
          <w:fldChar w:fldCharType="separate"/>
        </w:r>
        <w:r w:rsidR="009C4E16">
          <w:rPr>
            <w:noProof/>
            <w:webHidden/>
          </w:rPr>
          <w:t>6</w:t>
        </w:r>
        <w:r w:rsidR="00C4279C">
          <w:rPr>
            <w:noProof/>
            <w:webHidden/>
          </w:rPr>
          <w:fldChar w:fldCharType="end"/>
        </w:r>
      </w:hyperlink>
    </w:p>
    <w:p w14:paraId="0B96A22C" w14:textId="1FB138F5" w:rsidR="00C4279C" w:rsidRDefault="00F824F3">
      <w:pPr>
        <w:pStyle w:val="TOC3"/>
        <w:tabs>
          <w:tab w:val="right" w:leader="dot" w:pos="9016"/>
        </w:tabs>
        <w:rPr>
          <w:rFonts w:asciiTheme="minorHAnsi" w:eastAsiaTheme="minorEastAsia" w:hAnsiTheme="minorHAnsi" w:cstheme="minorBidi"/>
          <w:noProof/>
          <w:sz w:val="22"/>
          <w:lang w:eastAsia="en-AU"/>
        </w:rPr>
      </w:pPr>
      <w:hyperlink w:anchor="_Toc57197596" w:history="1">
        <w:r w:rsidR="00C4279C" w:rsidRPr="005A3DD9">
          <w:rPr>
            <w:rStyle w:val="Hyperlink"/>
            <w:noProof/>
          </w:rPr>
          <w:t>Rights Promoted</w:t>
        </w:r>
        <w:r w:rsidR="00C4279C">
          <w:rPr>
            <w:noProof/>
            <w:webHidden/>
          </w:rPr>
          <w:tab/>
        </w:r>
        <w:r w:rsidR="00C4279C">
          <w:rPr>
            <w:noProof/>
            <w:webHidden/>
          </w:rPr>
          <w:fldChar w:fldCharType="begin"/>
        </w:r>
        <w:r w:rsidR="00C4279C">
          <w:rPr>
            <w:noProof/>
            <w:webHidden/>
          </w:rPr>
          <w:instrText xml:space="preserve"> PAGEREF _Toc57197596 \h </w:instrText>
        </w:r>
        <w:r w:rsidR="00C4279C">
          <w:rPr>
            <w:noProof/>
            <w:webHidden/>
          </w:rPr>
        </w:r>
        <w:r w:rsidR="00C4279C">
          <w:rPr>
            <w:noProof/>
            <w:webHidden/>
          </w:rPr>
          <w:fldChar w:fldCharType="separate"/>
        </w:r>
        <w:r w:rsidR="009C4E16">
          <w:rPr>
            <w:noProof/>
            <w:webHidden/>
          </w:rPr>
          <w:t>7</w:t>
        </w:r>
        <w:r w:rsidR="00C4279C">
          <w:rPr>
            <w:noProof/>
            <w:webHidden/>
          </w:rPr>
          <w:fldChar w:fldCharType="end"/>
        </w:r>
      </w:hyperlink>
    </w:p>
    <w:p w14:paraId="2CD81A1C" w14:textId="6CD758FC" w:rsidR="00C4279C" w:rsidRDefault="00F824F3">
      <w:pPr>
        <w:pStyle w:val="TOC3"/>
        <w:tabs>
          <w:tab w:val="right" w:leader="dot" w:pos="9016"/>
        </w:tabs>
        <w:rPr>
          <w:rFonts w:asciiTheme="minorHAnsi" w:eastAsiaTheme="minorEastAsia" w:hAnsiTheme="minorHAnsi" w:cstheme="minorBidi"/>
          <w:noProof/>
          <w:sz w:val="22"/>
          <w:lang w:eastAsia="en-AU"/>
        </w:rPr>
      </w:pPr>
      <w:hyperlink w:anchor="_Toc57197597" w:history="1">
        <w:r w:rsidR="00C4279C" w:rsidRPr="005A3DD9">
          <w:rPr>
            <w:rStyle w:val="Hyperlink"/>
            <w:noProof/>
          </w:rPr>
          <w:t>Rights Limited</w:t>
        </w:r>
        <w:r w:rsidR="00C4279C">
          <w:rPr>
            <w:noProof/>
            <w:webHidden/>
          </w:rPr>
          <w:tab/>
        </w:r>
        <w:r w:rsidR="00C4279C">
          <w:rPr>
            <w:noProof/>
            <w:webHidden/>
          </w:rPr>
          <w:fldChar w:fldCharType="begin"/>
        </w:r>
        <w:r w:rsidR="00C4279C">
          <w:rPr>
            <w:noProof/>
            <w:webHidden/>
          </w:rPr>
          <w:instrText xml:space="preserve"> PAGEREF _Toc57197597 \h </w:instrText>
        </w:r>
        <w:r w:rsidR="00C4279C">
          <w:rPr>
            <w:noProof/>
            <w:webHidden/>
          </w:rPr>
        </w:r>
        <w:r w:rsidR="00C4279C">
          <w:rPr>
            <w:noProof/>
            <w:webHidden/>
          </w:rPr>
          <w:fldChar w:fldCharType="separate"/>
        </w:r>
        <w:r w:rsidR="009C4E16">
          <w:rPr>
            <w:noProof/>
            <w:webHidden/>
          </w:rPr>
          <w:t>11</w:t>
        </w:r>
        <w:r w:rsidR="00C4279C">
          <w:rPr>
            <w:noProof/>
            <w:webHidden/>
          </w:rPr>
          <w:fldChar w:fldCharType="end"/>
        </w:r>
      </w:hyperlink>
    </w:p>
    <w:p w14:paraId="796E7521" w14:textId="6CBE9CD6" w:rsidR="00C4279C" w:rsidRDefault="00F824F3">
      <w:pPr>
        <w:pStyle w:val="TOC1"/>
        <w:tabs>
          <w:tab w:val="right" w:leader="dot" w:pos="9016"/>
        </w:tabs>
        <w:rPr>
          <w:rFonts w:asciiTheme="minorHAnsi" w:eastAsiaTheme="minorEastAsia" w:hAnsiTheme="minorHAnsi" w:cstheme="minorBidi"/>
          <w:noProof/>
          <w:sz w:val="22"/>
          <w:lang w:eastAsia="en-AU"/>
        </w:rPr>
      </w:pPr>
      <w:hyperlink w:anchor="_Toc57197598" w:history="1">
        <w:r w:rsidR="00C4279C" w:rsidRPr="005A3DD9">
          <w:rPr>
            <w:rStyle w:val="Hyperlink"/>
            <w:i/>
            <w:iCs/>
            <w:noProof/>
          </w:rPr>
          <w:t>Human Rights Act 2004</w:t>
        </w:r>
        <w:r w:rsidR="00C4279C" w:rsidRPr="005A3DD9">
          <w:rPr>
            <w:rStyle w:val="Hyperlink"/>
            <w:noProof/>
          </w:rPr>
          <w:t xml:space="preserve"> – Compatibility Statement</w:t>
        </w:r>
        <w:r w:rsidR="00C4279C">
          <w:rPr>
            <w:noProof/>
            <w:webHidden/>
          </w:rPr>
          <w:tab/>
        </w:r>
        <w:r w:rsidR="00C4279C">
          <w:rPr>
            <w:noProof/>
            <w:webHidden/>
          </w:rPr>
          <w:fldChar w:fldCharType="begin"/>
        </w:r>
        <w:r w:rsidR="00C4279C">
          <w:rPr>
            <w:noProof/>
            <w:webHidden/>
          </w:rPr>
          <w:instrText xml:space="preserve"> PAGEREF _Toc57197598 \h </w:instrText>
        </w:r>
        <w:r w:rsidR="00C4279C">
          <w:rPr>
            <w:noProof/>
            <w:webHidden/>
          </w:rPr>
        </w:r>
        <w:r w:rsidR="00C4279C">
          <w:rPr>
            <w:noProof/>
            <w:webHidden/>
          </w:rPr>
          <w:fldChar w:fldCharType="separate"/>
        </w:r>
        <w:r w:rsidR="009C4E16">
          <w:rPr>
            <w:noProof/>
            <w:webHidden/>
          </w:rPr>
          <w:t>16</w:t>
        </w:r>
        <w:r w:rsidR="00C4279C">
          <w:rPr>
            <w:noProof/>
            <w:webHidden/>
          </w:rPr>
          <w:fldChar w:fldCharType="end"/>
        </w:r>
      </w:hyperlink>
    </w:p>
    <w:p w14:paraId="1D906A17" w14:textId="7EC4B526" w:rsidR="00C4279C" w:rsidRDefault="00F824F3">
      <w:pPr>
        <w:pStyle w:val="TOC1"/>
        <w:tabs>
          <w:tab w:val="right" w:leader="dot" w:pos="9016"/>
        </w:tabs>
        <w:rPr>
          <w:rFonts w:asciiTheme="minorHAnsi" w:eastAsiaTheme="minorEastAsia" w:hAnsiTheme="minorHAnsi" w:cstheme="minorBidi"/>
          <w:noProof/>
          <w:sz w:val="22"/>
          <w:lang w:eastAsia="en-AU"/>
        </w:rPr>
      </w:pPr>
      <w:hyperlink w:anchor="_Toc57197599" w:history="1">
        <w:r w:rsidR="00C4279C" w:rsidRPr="005A3DD9">
          <w:rPr>
            <w:rStyle w:val="Hyperlink"/>
            <w:rFonts w:cs="Arial"/>
            <w:noProof/>
            <w:lang w:eastAsia="en-AU"/>
          </w:rPr>
          <w:t>Detail</w:t>
        </w:r>
        <w:r w:rsidR="00C4279C">
          <w:rPr>
            <w:noProof/>
            <w:webHidden/>
          </w:rPr>
          <w:tab/>
        </w:r>
        <w:r w:rsidR="00C4279C">
          <w:rPr>
            <w:noProof/>
            <w:webHidden/>
          </w:rPr>
          <w:fldChar w:fldCharType="begin"/>
        </w:r>
        <w:r w:rsidR="00C4279C">
          <w:rPr>
            <w:noProof/>
            <w:webHidden/>
          </w:rPr>
          <w:instrText xml:space="preserve"> PAGEREF _Toc57197599 \h </w:instrText>
        </w:r>
        <w:r w:rsidR="00C4279C">
          <w:rPr>
            <w:noProof/>
            <w:webHidden/>
          </w:rPr>
        </w:r>
        <w:r w:rsidR="00C4279C">
          <w:rPr>
            <w:noProof/>
            <w:webHidden/>
          </w:rPr>
          <w:fldChar w:fldCharType="separate"/>
        </w:r>
        <w:r w:rsidR="009C4E16">
          <w:rPr>
            <w:noProof/>
            <w:webHidden/>
          </w:rPr>
          <w:t>17</w:t>
        </w:r>
        <w:r w:rsidR="00C4279C">
          <w:rPr>
            <w:noProof/>
            <w:webHidden/>
          </w:rPr>
          <w:fldChar w:fldCharType="end"/>
        </w:r>
      </w:hyperlink>
    </w:p>
    <w:p w14:paraId="4842B039" w14:textId="4E444F4E" w:rsidR="00C4279C" w:rsidRDefault="00F824F3">
      <w:pPr>
        <w:pStyle w:val="TOC1"/>
        <w:tabs>
          <w:tab w:val="left" w:pos="1320"/>
          <w:tab w:val="right" w:leader="dot" w:pos="9016"/>
        </w:tabs>
        <w:rPr>
          <w:rFonts w:asciiTheme="minorHAnsi" w:eastAsiaTheme="minorEastAsia" w:hAnsiTheme="minorHAnsi" w:cstheme="minorBidi"/>
          <w:noProof/>
          <w:sz w:val="22"/>
          <w:lang w:eastAsia="en-AU"/>
        </w:rPr>
      </w:pPr>
      <w:hyperlink w:anchor="_Toc57197600" w:history="1">
        <w:r w:rsidR="00C4279C" w:rsidRPr="005A3DD9">
          <w:rPr>
            <w:rStyle w:val="Hyperlink"/>
            <w:rFonts w:cs="Arial"/>
            <w:noProof/>
            <w:lang w:eastAsia="en-AU"/>
          </w:rPr>
          <w:t>Clause 1</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Name of Act</w:t>
        </w:r>
        <w:r w:rsidR="00C4279C">
          <w:rPr>
            <w:noProof/>
            <w:webHidden/>
          </w:rPr>
          <w:tab/>
        </w:r>
        <w:r w:rsidR="00C4279C">
          <w:rPr>
            <w:noProof/>
            <w:webHidden/>
          </w:rPr>
          <w:fldChar w:fldCharType="begin"/>
        </w:r>
        <w:r w:rsidR="00C4279C">
          <w:rPr>
            <w:noProof/>
            <w:webHidden/>
          </w:rPr>
          <w:instrText xml:space="preserve"> PAGEREF _Toc57197600 \h </w:instrText>
        </w:r>
        <w:r w:rsidR="00C4279C">
          <w:rPr>
            <w:noProof/>
            <w:webHidden/>
          </w:rPr>
        </w:r>
        <w:r w:rsidR="00C4279C">
          <w:rPr>
            <w:noProof/>
            <w:webHidden/>
          </w:rPr>
          <w:fldChar w:fldCharType="separate"/>
        </w:r>
        <w:r w:rsidR="009C4E16">
          <w:rPr>
            <w:noProof/>
            <w:webHidden/>
          </w:rPr>
          <w:t>17</w:t>
        </w:r>
        <w:r w:rsidR="00C4279C">
          <w:rPr>
            <w:noProof/>
            <w:webHidden/>
          </w:rPr>
          <w:fldChar w:fldCharType="end"/>
        </w:r>
      </w:hyperlink>
    </w:p>
    <w:p w14:paraId="416F5991" w14:textId="071BA165" w:rsidR="00C4279C" w:rsidRDefault="00F824F3">
      <w:pPr>
        <w:pStyle w:val="TOC1"/>
        <w:tabs>
          <w:tab w:val="left" w:pos="1320"/>
          <w:tab w:val="right" w:leader="dot" w:pos="9016"/>
        </w:tabs>
        <w:rPr>
          <w:rFonts w:asciiTheme="minorHAnsi" w:eastAsiaTheme="minorEastAsia" w:hAnsiTheme="minorHAnsi" w:cstheme="minorBidi"/>
          <w:noProof/>
          <w:sz w:val="22"/>
          <w:lang w:eastAsia="en-AU"/>
        </w:rPr>
      </w:pPr>
      <w:hyperlink w:anchor="_Toc57197601" w:history="1">
        <w:r w:rsidR="00C4279C" w:rsidRPr="005A3DD9">
          <w:rPr>
            <w:rStyle w:val="Hyperlink"/>
            <w:rFonts w:cs="Arial"/>
            <w:noProof/>
            <w:lang w:eastAsia="en-AU"/>
          </w:rPr>
          <w:t>Clause 2</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Commencement</w:t>
        </w:r>
        <w:r w:rsidR="00C4279C">
          <w:rPr>
            <w:noProof/>
            <w:webHidden/>
          </w:rPr>
          <w:tab/>
        </w:r>
        <w:r w:rsidR="00C4279C">
          <w:rPr>
            <w:noProof/>
            <w:webHidden/>
          </w:rPr>
          <w:fldChar w:fldCharType="begin"/>
        </w:r>
        <w:r w:rsidR="00C4279C">
          <w:rPr>
            <w:noProof/>
            <w:webHidden/>
          </w:rPr>
          <w:instrText xml:space="preserve"> PAGEREF _Toc57197601 \h </w:instrText>
        </w:r>
        <w:r w:rsidR="00C4279C">
          <w:rPr>
            <w:noProof/>
            <w:webHidden/>
          </w:rPr>
        </w:r>
        <w:r w:rsidR="00C4279C">
          <w:rPr>
            <w:noProof/>
            <w:webHidden/>
          </w:rPr>
          <w:fldChar w:fldCharType="separate"/>
        </w:r>
        <w:r w:rsidR="009C4E16">
          <w:rPr>
            <w:noProof/>
            <w:webHidden/>
          </w:rPr>
          <w:t>17</w:t>
        </w:r>
        <w:r w:rsidR="00C4279C">
          <w:rPr>
            <w:noProof/>
            <w:webHidden/>
          </w:rPr>
          <w:fldChar w:fldCharType="end"/>
        </w:r>
      </w:hyperlink>
    </w:p>
    <w:p w14:paraId="67CBE7DD" w14:textId="787F60D0" w:rsidR="00C4279C" w:rsidRDefault="00F824F3">
      <w:pPr>
        <w:pStyle w:val="TOC1"/>
        <w:tabs>
          <w:tab w:val="left" w:pos="1320"/>
          <w:tab w:val="right" w:leader="dot" w:pos="9016"/>
        </w:tabs>
        <w:rPr>
          <w:rFonts w:asciiTheme="minorHAnsi" w:eastAsiaTheme="minorEastAsia" w:hAnsiTheme="minorHAnsi" w:cstheme="minorBidi"/>
          <w:noProof/>
          <w:sz w:val="22"/>
          <w:lang w:eastAsia="en-AU"/>
        </w:rPr>
      </w:pPr>
      <w:hyperlink w:anchor="_Toc57197602" w:history="1">
        <w:r w:rsidR="00C4279C" w:rsidRPr="005A3DD9">
          <w:rPr>
            <w:rStyle w:val="Hyperlink"/>
            <w:rFonts w:cs="Arial"/>
            <w:noProof/>
            <w:lang w:eastAsia="en-AU"/>
          </w:rPr>
          <w:t>Clause 3</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Legislation amended––sch 1</w:t>
        </w:r>
        <w:r w:rsidR="00C4279C">
          <w:rPr>
            <w:noProof/>
            <w:webHidden/>
          </w:rPr>
          <w:tab/>
        </w:r>
        <w:r w:rsidR="00C4279C">
          <w:rPr>
            <w:noProof/>
            <w:webHidden/>
          </w:rPr>
          <w:fldChar w:fldCharType="begin"/>
        </w:r>
        <w:r w:rsidR="00C4279C">
          <w:rPr>
            <w:noProof/>
            <w:webHidden/>
          </w:rPr>
          <w:instrText xml:space="preserve"> PAGEREF _Toc57197602 \h </w:instrText>
        </w:r>
        <w:r w:rsidR="00C4279C">
          <w:rPr>
            <w:noProof/>
            <w:webHidden/>
          </w:rPr>
        </w:r>
        <w:r w:rsidR="00C4279C">
          <w:rPr>
            <w:noProof/>
            <w:webHidden/>
          </w:rPr>
          <w:fldChar w:fldCharType="separate"/>
        </w:r>
        <w:r w:rsidR="009C4E16">
          <w:rPr>
            <w:noProof/>
            <w:webHidden/>
          </w:rPr>
          <w:t>17</w:t>
        </w:r>
        <w:r w:rsidR="00C4279C">
          <w:rPr>
            <w:noProof/>
            <w:webHidden/>
          </w:rPr>
          <w:fldChar w:fldCharType="end"/>
        </w:r>
      </w:hyperlink>
    </w:p>
    <w:p w14:paraId="148B0179" w14:textId="5206D9A9" w:rsidR="00C4279C" w:rsidRDefault="00F824F3">
      <w:pPr>
        <w:pStyle w:val="TOC1"/>
        <w:tabs>
          <w:tab w:val="left" w:pos="1540"/>
          <w:tab w:val="right" w:leader="dot" w:pos="9016"/>
        </w:tabs>
        <w:rPr>
          <w:rFonts w:asciiTheme="minorHAnsi" w:eastAsiaTheme="minorEastAsia" w:hAnsiTheme="minorHAnsi" w:cstheme="minorBidi"/>
          <w:noProof/>
          <w:sz w:val="22"/>
          <w:lang w:eastAsia="en-AU"/>
        </w:rPr>
      </w:pPr>
      <w:hyperlink w:anchor="_Toc57197603" w:history="1">
        <w:r w:rsidR="00C4279C" w:rsidRPr="005A3DD9">
          <w:rPr>
            <w:rStyle w:val="Hyperlink"/>
            <w:rFonts w:cs="Arial"/>
            <w:noProof/>
            <w:lang w:eastAsia="en-AU"/>
          </w:rPr>
          <w:t>Schedule 1</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COVID-19 emergency response––Amendments</w:t>
        </w:r>
        <w:r w:rsidR="00C4279C">
          <w:rPr>
            <w:noProof/>
            <w:webHidden/>
          </w:rPr>
          <w:tab/>
        </w:r>
        <w:r w:rsidR="00C4279C">
          <w:rPr>
            <w:noProof/>
            <w:webHidden/>
          </w:rPr>
          <w:fldChar w:fldCharType="begin"/>
        </w:r>
        <w:r w:rsidR="00C4279C">
          <w:rPr>
            <w:noProof/>
            <w:webHidden/>
          </w:rPr>
          <w:instrText xml:space="preserve"> PAGEREF _Toc57197603 \h </w:instrText>
        </w:r>
        <w:r w:rsidR="00C4279C">
          <w:rPr>
            <w:noProof/>
            <w:webHidden/>
          </w:rPr>
        </w:r>
        <w:r w:rsidR="00C4279C">
          <w:rPr>
            <w:noProof/>
            <w:webHidden/>
          </w:rPr>
          <w:fldChar w:fldCharType="separate"/>
        </w:r>
        <w:r w:rsidR="009C4E16">
          <w:rPr>
            <w:noProof/>
            <w:webHidden/>
          </w:rPr>
          <w:t>18</w:t>
        </w:r>
        <w:r w:rsidR="00C4279C">
          <w:rPr>
            <w:noProof/>
            <w:webHidden/>
          </w:rPr>
          <w:fldChar w:fldCharType="end"/>
        </w:r>
      </w:hyperlink>
    </w:p>
    <w:p w14:paraId="33C43FEC" w14:textId="16948064"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04" w:history="1">
        <w:r w:rsidR="00C4279C" w:rsidRPr="005A3DD9">
          <w:rPr>
            <w:rStyle w:val="Hyperlink"/>
            <w:noProof/>
          </w:rPr>
          <w:t>Part 1.1</w:t>
        </w:r>
        <w:r w:rsidR="00C4279C">
          <w:rPr>
            <w:rFonts w:asciiTheme="minorHAnsi" w:eastAsiaTheme="minorEastAsia" w:hAnsiTheme="minorHAnsi" w:cstheme="minorBidi"/>
            <w:noProof/>
            <w:sz w:val="22"/>
            <w:lang w:eastAsia="en-AU"/>
          </w:rPr>
          <w:tab/>
        </w:r>
        <w:r w:rsidR="00C4279C" w:rsidRPr="005A3DD9">
          <w:rPr>
            <w:rStyle w:val="Hyperlink"/>
            <w:noProof/>
            <w:lang w:eastAsia="en-AU"/>
          </w:rPr>
          <w:t>Associations Incorporation Act 1991</w:t>
        </w:r>
        <w:r w:rsidR="00C4279C">
          <w:rPr>
            <w:noProof/>
            <w:webHidden/>
          </w:rPr>
          <w:tab/>
        </w:r>
        <w:r w:rsidR="00C4279C">
          <w:rPr>
            <w:noProof/>
            <w:webHidden/>
          </w:rPr>
          <w:fldChar w:fldCharType="begin"/>
        </w:r>
        <w:r w:rsidR="00C4279C">
          <w:rPr>
            <w:noProof/>
            <w:webHidden/>
          </w:rPr>
          <w:instrText xml:space="preserve"> PAGEREF _Toc57197604 \h </w:instrText>
        </w:r>
        <w:r w:rsidR="00C4279C">
          <w:rPr>
            <w:noProof/>
            <w:webHidden/>
          </w:rPr>
        </w:r>
        <w:r w:rsidR="00C4279C">
          <w:rPr>
            <w:noProof/>
            <w:webHidden/>
          </w:rPr>
          <w:fldChar w:fldCharType="separate"/>
        </w:r>
        <w:r w:rsidR="009C4E16">
          <w:rPr>
            <w:noProof/>
            <w:webHidden/>
          </w:rPr>
          <w:t>18</w:t>
        </w:r>
        <w:r w:rsidR="00C4279C">
          <w:rPr>
            <w:noProof/>
            <w:webHidden/>
          </w:rPr>
          <w:fldChar w:fldCharType="end"/>
        </w:r>
      </w:hyperlink>
    </w:p>
    <w:p w14:paraId="0AD506B9" w14:textId="092BC081"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05" w:history="1">
        <w:r w:rsidR="00C4279C" w:rsidRPr="005A3DD9">
          <w:rPr>
            <w:rStyle w:val="Hyperlink"/>
            <w:noProof/>
          </w:rPr>
          <w:t>[1.1]</w:t>
        </w:r>
        <w:r w:rsidR="00C4279C">
          <w:rPr>
            <w:rFonts w:asciiTheme="minorHAnsi" w:eastAsiaTheme="minorEastAsia" w:hAnsiTheme="minorHAnsi" w:cstheme="minorBidi"/>
            <w:noProof/>
            <w:sz w:val="22"/>
            <w:lang w:eastAsia="en-AU"/>
          </w:rPr>
          <w:tab/>
        </w:r>
        <w:r w:rsidR="00C4279C" w:rsidRPr="005A3DD9">
          <w:rPr>
            <w:rStyle w:val="Hyperlink"/>
            <w:noProof/>
          </w:rPr>
          <w:t>Section 70AA (7)</w:t>
        </w:r>
        <w:r w:rsidR="00C4279C">
          <w:rPr>
            <w:noProof/>
            <w:webHidden/>
          </w:rPr>
          <w:tab/>
        </w:r>
        <w:r w:rsidR="00C4279C">
          <w:rPr>
            <w:noProof/>
            <w:webHidden/>
          </w:rPr>
          <w:fldChar w:fldCharType="begin"/>
        </w:r>
        <w:r w:rsidR="00C4279C">
          <w:rPr>
            <w:noProof/>
            <w:webHidden/>
          </w:rPr>
          <w:instrText xml:space="preserve"> PAGEREF _Toc57197605 \h </w:instrText>
        </w:r>
        <w:r w:rsidR="00C4279C">
          <w:rPr>
            <w:noProof/>
            <w:webHidden/>
          </w:rPr>
        </w:r>
        <w:r w:rsidR="00C4279C">
          <w:rPr>
            <w:noProof/>
            <w:webHidden/>
          </w:rPr>
          <w:fldChar w:fldCharType="separate"/>
        </w:r>
        <w:r w:rsidR="009C4E16">
          <w:rPr>
            <w:noProof/>
            <w:webHidden/>
          </w:rPr>
          <w:t>18</w:t>
        </w:r>
        <w:r w:rsidR="00C4279C">
          <w:rPr>
            <w:noProof/>
            <w:webHidden/>
          </w:rPr>
          <w:fldChar w:fldCharType="end"/>
        </w:r>
      </w:hyperlink>
    </w:p>
    <w:p w14:paraId="296F8D59" w14:textId="04F4B968"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06" w:history="1">
        <w:r w:rsidR="00C4279C" w:rsidRPr="005A3DD9">
          <w:rPr>
            <w:rStyle w:val="Hyperlink"/>
            <w:noProof/>
          </w:rPr>
          <w:t>[1.2]</w:t>
        </w:r>
        <w:r w:rsidR="00C4279C">
          <w:rPr>
            <w:rFonts w:asciiTheme="minorHAnsi" w:eastAsiaTheme="minorEastAsia" w:hAnsiTheme="minorHAnsi" w:cstheme="minorBidi"/>
            <w:noProof/>
            <w:sz w:val="22"/>
            <w:lang w:eastAsia="en-AU"/>
          </w:rPr>
          <w:tab/>
        </w:r>
        <w:r w:rsidR="00C4279C" w:rsidRPr="005A3DD9">
          <w:rPr>
            <w:rStyle w:val="Hyperlink"/>
            <w:noProof/>
          </w:rPr>
          <w:t>Section 120 (6)</w:t>
        </w:r>
        <w:r w:rsidR="00C4279C">
          <w:rPr>
            <w:noProof/>
            <w:webHidden/>
          </w:rPr>
          <w:tab/>
        </w:r>
        <w:r w:rsidR="00C4279C">
          <w:rPr>
            <w:noProof/>
            <w:webHidden/>
          </w:rPr>
          <w:fldChar w:fldCharType="begin"/>
        </w:r>
        <w:r w:rsidR="00C4279C">
          <w:rPr>
            <w:noProof/>
            <w:webHidden/>
          </w:rPr>
          <w:instrText xml:space="preserve"> PAGEREF _Toc57197606 \h </w:instrText>
        </w:r>
        <w:r w:rsidR="00C4279C">
          <w:rPr>
            <w:noProof/>
            <w:webHidden/>
          </w:rPr>
        </w:r>
        <w:r w:rsidR="00C4279C">
          <w:rPr>
            <w:noProof/>
            <w:webHidden/>
          </w:rPr>
          <w:fldChar w:fldCharType="separate"/>
        </w:r>
        <w:r w:rsidR="009C4E16">
          <w:rPr>
            <w:noProof/>
            <w:webHidden/>
          </w:rPr>
          <w:t>19</w:t>
        </w:r>
        <w:r w:rsidR="00C4279C">
          <w:rPr>
            <w:noProof/>
            <w:webHidden/>
          </w:rPr>
          <w:fldChar w:fldCharType="end"/>
        </w:r>
      </w:hyperlink>
    </w:p>
    <w:p w14:paraId="378E5444" w14:textId="6A95EFA3"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07" w:history="1">
        <w:r w:rsidR="00C4279C" w:rsidRPr="005A3DD9">
          <w:rPr>
            <w:rStyle w:val="Hyperlink"/>
            <w:noProof/>
          </w:rPr>
          <w:t>Part 1.2</w:t>
        </w:r>
        <w:r w:rsidR="00C4279C">
          <w:rPr>
            <w:rFonts w:asciiTheme="minorHAnsi" w:eastAsiaTheme="minorEastAsia" w:hAnsiTheme="minorHAnsi" w:cstheme="minorBidi"/>
            <w:noProof/>
            <w:sz w:val="22"/>
            <w:lang w:eastAsia="en-AU"/>
          </w:rPr>
          <w:tab/>
        </w:r>
        <w:r w:rsidR="00C4279C" w:rsidRPr="005A3DD9">
          <w:rPr>
            <w:rStyle w:val="Hyperlink"/>
            <w:noProof/>
            <w:lang w:eastAsia="en-AU"/>
          </w:rPr>
          <w:t>Bail Act 1992</w:t>
        </w:r>
        <w:r w:rsidR="00C4279C">
          <w:rPr>
            <w:noProof/>
            <w:webHidden/>
          </w:rPr>
          <w:tab/>
        </w:r>
        <w:r w:rsidR="00C4279C">
          <w:rPr>
            <w:noProof/>
            <w:webHidden/>
          </w:rPr>
          <w:fldChar w:fldCharType="begin"/>
        </w:r>
        <w:r w:rsidR="00C4279C">
          <w:rPr>
            <w:noProof/>
            <w:webHidden/>
          </w:rPr>
          <w:instrText xml:space="preserve"> PAGEREF _Toc57197607 \h </w:instrText>
        </w:r>
        <w:r w:rsidR="00C4279C">
          <w:rPr>
            <w:noProof/>
            <w:webHidden/>
          </w:rPr>
        </w:r>
        <w:r w:rsidR="00C4279C">
          <w:rPr>
            <w:noProof/>
            <w:webHidden/>
          </w:rPr>
          <w:fldChar w:fldCharType="separate"/>
        </w:r>
        <w:r w:rsidR="009C4E16">
          <w:rPr>
            <w:noProof/>
            <w:webHidden/>
          </w:rPr>
          <w:t>19</w:t>
        </w:r>
        <w:r w:rsidR="00C4279C">
          <w:rPr>
            <w:noProof/>
            <w:webHidden/>
          </w:rPr>
          <w:fldChar w:fldCharType="end"/>
        </w:r>
      </w:hyperlink>
    </w:p>
    <w:p w14:paraId="6A4392BC" w14:textId="56BB1583"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08" w:history="1">
        <w:r w:rsidR="00C4279C" w:rsidRPr="005A3DD9">
          <w:rPr>
            <w:rStyle w:val="Hyperlink"/>
            <w:noProof/>
          </w:rPr>
          <w:t>[1.3]</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28 (7)</w:t>
        </w:r>
        <w:r w:rsidR="00C4279C">
          <w:rPr>
            <w:noProof/>
            <w:webHidden/>
          </w:rPr>
          <w:tab/>
        </w:r>
        <w:r w:rsidR="00C4279C">
          <w:rPr>
            <w:noProof/>
            <w:webHidden/>
          </w:rPr>
          <w:fldChar w:fldCharType="begin"/>
        </w:r>
        <w:r w:rsidR="00C4279C">
          <w:rPr>
            <w:noProof/>
            <w:webHidden/>
          </w:rPr>
          <w:instrText xml:space="preserve"> PAGEREF _Toc57197608 \h </w:instrText>
        </w:r>
        <w:r w:rsidR="00C4279C">
          <w:rPr>
            <w:noProof/>
            <w:webHidden/>
          </w:rPr>
        </w:r>
        <w:r w:rsidR="00C4279C">
          <w:rPr>
            <w:noProof/>
            <w:webHidden/>
          </w:rPr>
          <w:fldChar w:fldCharType="separate"/>
        </w:r>
        <w:r w:rsidR="009C4E16">
          <w:rPr>
            <w:noProof/>
            <w:webHidden/>
          </w:rPr>
          <w:t>19</w:t>
        </w:r>
        <w:r w:rsidR="00C4279C">
          <w:rPr>
            <w:noProof/>
            <w:webHidden/>
          </w:rPr>
          <w:fldChar w:fldCharType="end"/>
        </w:r>
      </w:hyperlink>
    </w:p>
    <w:p w14:paraId="3D6134ED" w14:textId="1388E465"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09" w:history="1">
        <w:r w:rsidR="00C4279C" w:rsidRPr="005A3DD9">
          <w:rPr>
            <w:rStyle w:val="Hyperlink"/>
            <w:noProof/>
          </w:rPr>
          <w:t>Part 1.3</w:t>
        </w:r>
        <w:r w:rsidR="00C4279C">
          <w:rPr>
            <w:rFonts w:asciiTheme="minorHAnsi" w:eastAsiaTheme="minorEastAsia" w:hAnsiTheme="minorHAnsi" w:cstheme="minorBidi"/>
            <w:noProof/>
            <w:sz w:val="22"/>
            <w:lang w:eastAsia="en-AU"/>
          </w:rPr>
          <w:tab/>
        </w:r>
        <w:r w:rsidR="00C4279C" w:rsidRPr="005A3DD9">
          <w:rPr>
            <w:rStyle w:val="Hyperlink"/>
            <w:noProof/>
            <w:lang w:eastAsia="en-AU"/>
          </w:rPr>
          <w:t>Corrections Management Act 2007</w:t>
        </w:r>
        <w:r w:rsidR="00C4279C">
          <w:rPr>
            <w:noProof/>
            <w:webHidden/>
          </w:rPr>
          <w:tab/>
        </w:r>
        <w:r w:rsidR="00C4279C">
          <w:rPr>
            <w:noProof/>
            <w:webHidden/>
          </w:rPr>
          <w:fldChar w:fldCharType="begin"/>
        </w:r>
        <w:r w:rsidR="00C4279C">
          <w:rPr>
            <w:noProof/>
            <w:webHidden/>
          </w:rPr>
          <w:instrText xml:space="preserve"> PAGEREF _Toc57197609 \h </w:instrText>
        </w:r>
        <w:r w:rsidR="00C4279C">
          <w:rPr>
            <w:noProof/>
            <w:webHidden/>
          </w:rPr>
        </w:r>
        <w:r w:rsidR="00C4279C">
          <w:rPr>
            <w:noProof/>
            <w:webHidden/>
          </w:rPr>
          <w:fldChar w:fldCharType="separate"/>
        </w:r>
        <w:r w:rsidR="009C4E16">
          <w:rPr>
            <w:noProof/>
            <w:webHidden/>
          </w:rPr>
          <w:t>19</w:t>
        </w:r>
        <w:r w:rsidR="00C4279C">
          <w:rPr>
            <w:noProof/>
            <w:webHidden/>
          </w:rPr>
          <w:fldChar w:fldCharType="end"/>
        </w:r>
      </w:hyperlink>
    </w:p>
    <w:p w14:paraId="553840E3" w14:textId="316D6663"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0" w:history="1">
        <w:r w:rsidR="00C4279C" w:rsidRPr="005A3DD9">
          <w:rPr>
            <w:rStyle w:val="Hyperlink"/>
            <w:noProof/>
          </w:rPr>
          <w:t>[1.4]</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26 (7)</w:t>
        </w:r>
        <w:r w:rsidR="00C4279C">
          <w:rPr>
            <w:noProof/>
            <w:webHidden/>
          </w:rPr>
          <w:tab/>
        </w:r>
        <w:r w:rsidR="00C4279C">
          <w:rPr>
            <w:noProof/>
            <w:webHidden/>
          </w:rPr>
          <w:fldChar w:fldCharType="begin"/>
        </w:r>
        <w:r w:rsidR="00C4279C">
          <w:rPr>
            <w:noProof/>
            <w:webHidden/>
          </w:rPr>
          <w:instrText xml:space="preserve"> PAGEREF _Toc57197610 \h </w:instrText>
        </w:r>
        <w:r w:rsidR="00C4279C">
          <w:rPr>
            <w:noProof/>
            <w:webHidden/>
          </w:rPr>
        </w:r>
        <w:r w:rsidR="00C4279C">
          <w:rPr>
            <w:noProof/>
            <w:webHidden/>
          </w:rPr>
          <w:fldChar w:fldCharType="separate"/>
        </w:r>
        <w:r w:rsidR="009C4E16">
          <w:rPr>
            <w:noProof/>
            <w:webHidden/>
          </w:rPr>
          <w:t>19</w:t>
        </w:r>
        <w:r w:rsidR="00C4279C">
          <w:rPr>
            <w:noProof/>
            <w:webHidden/>
          </w:rPr>
          <w:fldChar w:fldCharType="end"/>
        </w:r>
      </w:hyperlink>
    </w:p>
    <w:p w14:paraId="6A1E27AB" w14:textId="00A8E63B"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1" w:history="1">
        <w:r w:rsidR="00C4279C" w:rsidRPr="005A3DD9">
          <w:rPr>
            <w:rStyle w:val="Hyperlink"/>
            <w:noProof/>
          </w:rPr>
          <w:t>[1.5]</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30 (7)</w:t>
        </w:r>
        <w:r w:rsidR="00C4279C">
          <w:rPr>
            <w:noProof/>
            <w:webHidden/>
          </w:rPr>
          <w:tab/>
        </w:r>
        <w:r w:rsidR="00C4279C">
          <w:rPr>
            <w:noProof/>
            <w:webHidden/>
          </w:rPr>
          <w:fldChar w:fldCharType="begin"/>
        </w:r>
        <w:r w:rsidR="00C4279C">
          <w:rPr>
            <w:noProof/>
            <w:webHidden/>
          </w:rPr>
          <w:instrText xml:space="preserve"> PAGEREF _Toc57197611 \h </w:instrText>
        </w:r>
        <w:r w:rsidR="00C4279C">
          <w:rPr>
            <w:noProof/>
            <w:webHidden/>
          </w:rPr>
        </w:r>
        <w:r w:rsidR="00C4279C">
          <w:rPr>
            <w:noProof/>
            <w:webHidden/>
          </w:rPr>
          <w:fldChar w:fldCharType="separate"/>
        </w:r>
        <w:r w:rsidR="009C4E16">
          <w:rPr>
            <w:noProof/>
            <w:webHidden/>
          </w:rPr>
          <w:t>20</w:t>
        </w:r>
        <w:r w:rsidR="00C4279C">
          <w:rPr>
            <w:noProof/>
            <w:webHidden/>
          </w:rPr>
          <w:fldChar w:fldCharType="end"/>
        </w:r>
      </w:hyperlink>
    </w:p>
    <w:p w14:paraId="21E4B7D8" w14:textId="68B15E5A"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2" w:history="1">
        <w:r w:rsidR="00C4279C" w:rsidRPr="005A3DD9">
          <w:rPr>
            <w:rStyle w:val="Hyperlink"/>
            <w:noProof/>
          </w:rPr>
          <w:t>[1.6]</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205 (5)</w:t>
        </w:r>
        <w:r w:rsidR="00C4279C">
          <w:rPr>
            <w:noProof/>
            <w:webHidden/>
          </w:rPr>
          <w:tab/>
        </w:r>
        <w:r w:rsidR="00C4279C">
          <w:rPr>
            <w:noProof/>
            <w:webHidden/>
          </w:rPr>
          <w:fldChar w:fldCharType="begin"/>
        </w:r>
        <w:r w:rsidR="00C4279C">
          <w:rPr>
            <w:noProof/>
            <w:webHidden/>
          </w:rPr>
          <w:instrText xml:space="preserve"> PAGEREF _Toc57197612 \h </w:instrText>
        </w:r>
        <w:r w:rsidR="00C4279C">
          <w:rPr>
            <w:noProof/>
            <w:webHidden/>
          </w:rPr>
        </w:r>
        <w:r w:rsidR="00C4279C">
          <w:rPr>
            <w:noProof/>
            <w:webHidden/>
          </w:rPr>
          <w:fldChar w:fldCharType="separate"/>
        </w:r>
        <w:r w:rsidR="009C4E16">
          <w:rPr>
            <w:noProof/>
            <w:webHidden/>
          </w:rPr>
          <w:t>20</w:t>
        </w:r>
        <w:r w:rsidR="00C4279C">
          <w:rPr>
            <w:noProof/>
            <w:webHidden/>
          </w:rPr>
          <w:fldChar w:fldCharType="end"/>
        </w:r>
      </w:hyperlink>
    </w:p>
    <w:p w14:paraId="5E6DA273" w14:textId="73370E87"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3" w:history="1">
        <w:r w:rsidR="00C4279C" w:rsidRPr="005A3DD9">
          <w:rPr>
            <w:rStyle w:val="Hyperlink"/>
            <w:noProof/>
          </w:rPr>
          <w:t>[1.7]</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216I</w:t>
        </w:r>
        <w:r w:rsidR="00C4279C">
          <w:rPr>
            <w:noProof/>
            <w:webHidden/>
          </w:rPr>
          <w:tab/>
        </w:r>
        <w:r w:rsidR="00C4279C">
          <w:rPr>
            <w:noProof/>
            <w:webHidden/>
          </w:rPr>
          <w:fldChar w:fldCharType="begin"/>
        </w:r>
        <w:r w:rsidR="00C4279C">
          <w:rPr>
            <w:noProof/>
            <w:webHidden/>
          </w:rPr>
          <w:instrText xml:space="preserve"> PAGEREF _Toc57197613 \h </w:instrText>
        </w:r>
        <w:r w:rsidR="00C4279C">
          <w:rPr>
            <w:noProof/>
            <w:webHidden/>
          </w:rPr>
        </w:r>
        <w:r w:rsidR="00C4279C">
          <w:rPr>
            <w:noProof/>
            <w:webHidden/>
          </w:rPr>
          <w:fldChar w:fldCharType="separate"/>
        </w:r>
        <w:r w:rsidR="009C4E16">
          <w:rPr>
            <w:noProof/>
            <w:webHidden/>
          </w:rPr>
          <w:t>21</w:t>
        </w:r>
        <w:r w:rsidR="00C4279C">
          <w:rPr>
            <w:noProof/>
            <w:webHidden/>
          </w:rPr>
          <w:fldChar w:fldCharType="end"/>
        </w:r>
      </w:hyperlink>
    </w:p>
    <w:p w14:paraId="2EFDEC79" w14:textId="03E88D5E"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14" w:history="1">
        <w:r w:rsidR="00C4279C" w:rsidRPr="005A3DD9">
          <w:rPr>
            <w:rStyle w:val="Hyperlink"/>
            <w:noProof/>
          </w:rPr>
          <w:t>Part 1.4</w:t>
        </w:r>
        <w:r w:rsidR="00C4279C">
          <w:rPr>
            <w:rFonts w:asciiTheme="minorHAnsi" w:eastAsiaTheme="minorEastAsia" w:hAnsiTheme="minorHAnsi" w:cstheme="minorBidi"/>
            <w:noProof/>
            <w:sz w:val="22"/>
            <w:lang w:eastAsia="en-AU"/>
          </w:rPr>
          <w:tab/>
        </w:r>
        <w:r w:rsidR="00C4279C" w:rsidRPr="005A3DD9">
          <w:rPr>
            <w:rStyle w:val="Hyperlink"/>
            <w:noProof/>
          </w:rPr>
          <w:t>COVID-19 Emergency Response Act 2020</w:t>
        </w:r>
        <w:r w:rsidR="00C4279C">
          <w:rPr>
            <w:noProof/>
            <w:webHidden/>
          </w:rPr>
          <w:tab/>
        </w:r>
        <w:r w:rsidR="00C4279C">
          <w:rPr>
            <w:noProof/>
            <w:webHidden/>
          </w:rPr>
          <w:fldChar w:fldCharType="begin"/>
        </w:r>
        <w:r w:rsidR="00C4279C">
          <w:rPr>
            <w:noProof/>
            <w:webHidden/>
          </w:rPr>
          <w:instrText xml:space="preserve"> PAGEREF _Toc57197614 \h </w:instrText>
        </w:r>
        <w:r w:rsidR="00C4279C">
          <w:rPr>
            <w:noProof/>
            <w:webHidden/>
          </w:rPr>
        </w:r>
        <w:r w:rsidR="00C4279C">
          <w:rPr>
            <w:noProof/>
            <w:webHidden/>
          </w:rPr>
          <w:fldChar w:fldCharType="separate"/>
        </w:r>
        <w:r w:rsidR="009C4E16">
          <w:rPr>
            <w:noProof/>
            <w:webHidden/>
          </w:rPr>
          <w:t>22</w:t>
        </w:r>
        <w:r w:rsidR="00C4279C">
          <w:rPr>
            <w:noProof/>
            <w:webHidden/>
          </w:rPr>
          <w:fldChar w:fldCharType="end"/>
        </w:r>
      </w:hyperlink>
    </w:p>
    <w:p w14:paraId="5E659780" w14:textId="61CBD3C0"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5" w:history="1">
        <w:r w:rsidR="00C4279C" w:rsidRPr="005A3DD9">
          <w:rPr>
            <w:rStyle w:val="Hyperlink"/>
            <w:noProof/>
          </w:rPr>
          <w:t>[1.8]</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3 (1)</w:t>
        </w:r>
        <w:r w:rsidR="00C4279C">
          <w:rPr>
            <w:noProof/>
            <w:webHidden/>
          </w:rPr>
          <w:tab/>
        </w:r>
        <w:r w:rsidR="00C4279C">
          <w:rPr>
            <w:noProof/>
            <w:webHidden/>
          </w:rPr>
          <w:fldChar w:fldCharType="begin"/>
        </w:r>
        <w:r w:rsidR="00C4279C">
          <w:rPr>
            <w:noProof/>
            <w:webHidden/>
          </w:rPr>
          <w:instrText xml:space="preserve"> PAGEREF _Toc57197615 \h </w:instrText>
        </w:r>
        <w:r w:rsidR="00C4279C">
          <w:rPr>
            <w:noProof/>
            <w:webHidden/>
          </w:rPr>
        </w:r>
        <w:r w:rsidR="00C4279C">
          <w:rPr>
            <w:noProof/>
            <w:webHidden/>
          </w:rPr>
          <w:fldChar w:fldCharType="separate"/>
        </w:r>
        <w:r w:rsidR="009C4E16">
          <w:rPr>
            <w:noProof/>
            <w:webHidden/>
          </w:rPr>
          <w:t>22</w:t>
        </w:r>
        <w:r w:rsidR="00C4279C">
          <w:rPr>
            <w:noProof/>
            <w:webHidden/>
          </w:rPr>
          <w:fldChar w:fldCharType="end"/>
        </w:r>
      </w:hyperlink>
    </w:p>
    <w:p w14:paraId="7A71F684" w14:textId="0134CBA6"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6" w:history="1">
        <w:r w:rsidR="00C4279C" w:rsidRPr="005A3DD9">
          <w:rPr>
            <w:rStyle w:val="Hyperlink"/>
            <w:noProof/>
          </w:rPr>
          <w:t>[1.9]</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3 (2) (a)</w:t>
        </w:r>
        <w:r w:rsidR="00C4279C">
          <w:rPr>
            <w:noProof/>
            <w:webHidden/>
          </w:rPr>
          <w:tab/>
        </w:r>
        <w:r w:rsidR="00C4279C">
          <w:rPr>
            <w:noProof/>
            <w:webHidden/>
          </w:rPr>
          <w:fldChar w:fldCharType="begin"/>
        </w:r>
        <w:r w:rsidR="00C4279C">
          <w:rPr>
            <w:noProof/>
            <w:webHidden/>
          </w:rPr>
          <w:instrText xml:space="preserve"> PAGEREF _Toc57197616 \h </w:instrText>
        </w:r>
        <w:r w:rsidR="00C4279C">
          <w:rPr>
            <w:noProof/>
            <w:webHidden/>
          </w:rPr>
        </w:r>
        <w:r w:rsidR="00C4279C">
          <w:rPr>
            <w:noProof/>
            <w:webHidden/>
          </w:rPr>
          <w:fldChar w:fldCharType="separate"/>
        </w:r>
        <w:r w:rsidR="009C4E16">
          <w:rPr>
            <w:noProof/>
            <w:webHidden/>
          </w:rPr>
          <w:t>22</w:t>
        </w:r>
        <w:r w:rsidR="00C4279C">
          <w:rPr>
            <w:noProof/>
            <w:webHidden/>
          </w:rPr>
          <w:fldChar w:fldCharType="end"/>
        </w:r>
      </w:hyperlink>
    </w:p>
    <w:p w14:paraId="010B312D" w14:textId="74EF4656"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7" w:history="1">
        <w:r w:rsidR="00C4279C" w:rsidRPr="005A3DD9">
          <w:rPr>
            <w:rStyle w:val="Hyperlink"/>
            <w:noProof/>
          </w:rPr>
          <w:t>[1.10]</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3 (4), new definition of reporting period</w:t>
        </w:r>
        <w:r w:rsidR="00C4279C">
          <w:rPr>
            <w:noProof/>
            <w:webHidden/>
          </w:rPr>
          <w:tab/>
        </w:r>
        <w:r w:rsidR="00C4279C">
          <w:rPr>
            <w:noProof/>
            <w:webHidden/>
          </w:rPr>
          <w:fldChar w:fldCharType="begin"/>
        </w:r>
        <w:r w:rsidR="00C4279C">
          <w:rPr>
            <w:noProof/>
            <w:webHidden/>
          </w:rPr>
          <w:instrText xml:space="preserve"> PAGEREF _Toc57197617 \h </w:instrText>
        </w:r>
        <w:r w:rsidR="00C4279C">
          <w:rPr>
            <w:noProof/>
            <w:webHidden/>
          </w:rPr>
        </w:r>
        <w:r w:rsidR="00C4279C">
          <w:rPr>
            <w:noProof/>
            <w:webHidden/>
          </w:rPr>
          <w:fldChar w:fldCharType="separate"/>
        </w:r>
        <w:r w:rsidR="009C4E16">
          <w:rPr>
            <w:noProof/>
            <w:webHidden/>
          </w:rPr>
          <w:t>22</w:t>
        </w:r>
        <w:r w:rsidR="00C4279C">
          <w:rPr>
            <w:noProof/>
            <w:webHidden/>
          </w:rPr>
          <w:fldChar w:fldCharType="end"/>
        </w:r>
      </w:hyperlink>
    </w:p>
    <w:p w14:paraId="256A2B58" w14:textId="46B34CC0"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18" w:history="1">
        <w:r w:rsidR="00C4279C" w:rsidRPr="005A3DD9">
          <w:rPr>
            <w:rStyle w:val="Hyperlink"/>
            <w:noProof/>
          </w:rPr>
          <w:t>[1.11]</w:t>
        </w:r>
        <w:r w:rsidR="00C4279C">
          <w:rPr>
            <w:rFonts w:asciiTheme="minorHAnsi" w:eastAsiaTheme="minorEastAsia" w:hAnsiTheme="minorHAnsi" w:cstheme="minorBidi"/>
            <w:noProof/>
            <w:sz w:val="22"/>
            <w:lang w:eastAsia="en-AU"/>
          </w:rPr>
          <w:tab/>
        </w:r>
        <w:r w:rsidR="00C4279C" w:rsidRPr="005A3DD9">
          <w:rPr>
            <w:rStyle w:val="Hyperlink"/>
            <w:noProof/>
            <w:lang w:eastAsia="en-AU"/>
          </w:rPr>
          <w:t>Section 3A (2)</w:t>
        </w:r>
        <w:r w:rsidR="00C4279C">
          <w:rPr>
            <w:noProof/>
            <w:webHidden/>
          </w:rPr>
          <w:tab/>
        </w:r>
        <w:r w:rsidR="00C4279C">
          <w:rPr>
            <w:noProof/>
            <w:webHidden/>
          </w:rPr>
          <w:fldChar w:fldCharType="begin"/>
        </w:r>
        <w:r w:rsidR="00C4279C">
          <w:rPr>
            <w:noProof/>
            <w:webHidden/>
          </w:rPr>
          <w:instrText xml:space="preserve"> PAGEREF _Toc57197618 \h </w:instrText>
        </w:r>
        <w:r w:rsidR="00C4279C">
          <w:rPr>
            <w:noProof/>
            <w:webHidden/>
          </w:rPr>
        </w:r>
        <w:r w:rsidR="00C4279C">
          <w:rPr>
            <w:noProof/>
            <w:webHidden/>
          </w:rPr>
          <w:fldChar w:fldCharType="separate"/>
        </w:r>
        <w:r w:rsidR="009C4E16">
          <w:rPr>
            <w:noProof/>
            <w:webHidden/>
          </w:rPr>
          <w:t>22</w:t>
        </w:r>
        <w:r w:rsidR="00C4279C">
          <w:rPr>
            <w:noProof/>
            <w:webHidden/>
          </w:rPr>
          <w:fldChar w:fldCharType="end"/>
        </w:r>
      </w:hyperlink>
    </w:p>
    <w:p w14:paraId="750D97F2" w14:textId="097A61B1"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19" w:history="1">
        <w:r w:rsidR="00C4279C" w:rsidRPr="005A3DD9">
          <w:rPr>
            <w:rStyle w:val="Hyperlink"/>
            <w:rFonts w:cs="Arial"/>
            <w:noProof/>
          </w:rPr>
          <w:t>Part 1.5</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Crimes Act 1900</w:t>
        </w:r>
        <w:r w:rsidR="00C4279C">
          <w:rPr>
            <w:noProof/>
            <w:webHidden/>
          </w:rPr>
          <w:tab/>
        </w:r>
        <w:r w:rsidR="00C4279C">
          <w:rPr>
            <w:noProof/>
            <w:webHidden/>
          </w:rPr>
          <w:fldChar w:fldCharType="begin"/>
        </w:r>
        <w:r w:rsidR="00C4279C">
          <w:rPr>
            <w:noProof/>
            <w:webHidden/>
          </w:rPr>
          <w:instrText xml:space="preserve"> PAGEREF _Toc57197619 \h </w:instrText>
        </w:r>
        <w:r w:rsidR="00C4279C">
          <w:rPr>
            <w:noProof/>
            <w:webHidden/>
          </w:rPr>
        </w:r>
        <w:r w:rsidR="00C4279C">
          <w:rPr>
            <w:noProof/>
            <w:webHidden/>
          </w:rPr>
          <w:fldChar w:fldCharType="separate"/>
        </w:r>
        <w:r w:rsidR="009C4E16">
          <w:rPr>
            <w:noProof/>
            <w:webHidden/>
          </w:rPr>
          <w:t>23</w:t>
        </w:r>
        <w:r w:rsidR="00C4279C">
          <w:rPr>
            <w:noProof/>
            <w:webHidden/>
          </w:rPr>
          <w:fldChar w:fldCharType="end"/>
        </w:r>
      </w:hyperlink>
    </w:p>
    <w:p w14:paraId="258B2779" w14:textId="2E81A654"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0" w:history="1">
        <w:r w:rsidR="00C4279C" w:rsidRPr="005A3DD9">
          <w:rPr>
            <w:rStyle w:val="Hyperlink"/>
            <w:rFonts w:cs="Arial"/>
            <w:iCs/>
            <w:noProof/>
          </w:rPr>
          <w:t>[1.12]</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194A (7)</w:t>
        </w:r>
        <w:r w:rsidR="00C4279C">
          <w:rPr>
            <w:noProof/>
            <w:webHidden/>
          </w:rPr>
          <w:tab/>
        </w:r>
        <w:r w:rsidR="00C4279C">
          <w:rPr>
            <w:noProof/>
            <w:webHidden/>
          </w:rPr>
          <w:fldChar w:fldCharType="begin"/>
        </w:r>
        <w:r w:rsidR="00C4279C">
          <w:rPr>
            <w:noProof/>
            <w:webHidden/>
          </w:rPr>
          <w:instrText xml:space="preserve"> PAGEREF _Toc57197620 \h </w:instrText>
        </w:r>
        <w:r w:rsidR="00C4279C">
          <w:rPr>
            <w:noProof/>
            <w:webHidden/>
          </w:rPr>
        </w:r>
        <w:r w:rsidR="00C4279C">
          <w:rPr>
            <w:noProof/>
            <w:webHidden/>
          </w:rPr>
          <w:fldChar w:fldCharType="separate"/>
        </w:r>
        <w:r w:rsidR="009C4E16">
          <w:rPr>
            <w:noProof/>
            <w:webHidden/>
          </w:rPr>
          <w:t>23</w:t>
        </w:r>
        <w:r w:rsidR="00C4279C">
          <w:rPr>
            <w:noProof/>
            <w:webHidden/>
          </w:rPr>
          <w:fldChar w:fldCharType="end"/>
        </w:r>
      </w:hyperlink>
    </w:p>
    <w:p w14:paraId="66761543" w14:textId="35D8BD0F"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21" w:history="1">
        <w:r w:rsidR="00C4279C" w:rsidRPr="005A3DD9">
          <w:rPr>
            <w:rStyle w:val="Hyperlink"/>
            <w:rFonts w:cs="Arial"/>
            <w:noProof/>
          </w:rPr>
          <w:t>Part 1.6</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Crimes (Sentence Administration) Act 2005</w:t>
        </w:r>
        <w:r w:rsidR="00C4279C">
          <w:rPr>
            <w:noProof/>
            <w:webHidden/>
          </w:rPr>
          <w:tab/>
        </w:r>
        <w:r w:rsidR="00C4279C">
          <w:rPr>
            <w:noProof/>
            <w:webHidden/>
          </w:rPr>
          <w:fldChar w:fldCharType="begin"/>
        </w:r>
        <w:r w:rsidR="00C4279C">
          <w:rPr>
            <w:noProof/>
            <w:webHidden/>
          </w:rPr>
          <w:instrText xml:space="preserve"> PAGEREF _Toc57197621 \h </w:instrText>
        </w:r>
        <w:r w:rsidR="00C4279C">
          <w:rPr>
            <w:noProof/>
            <w:webHidden/>
          </w:rPr>
        </w:r>
        <w:r w:rsidR="00C4279C">
          <w:rPr>
            <w:noProof/>
            <w:webHidden/>
          </w:rPr>
          <w:fldChar w:fldCharType="separate"/>
        </w:r>
        <w:r w:rsidR="009C4E16">
          <w:rPr>
            <w:noProof/>
            <w:webHidden/>
          </w:rPr>
          <w:t>23</w:t>
        </w:r>
        <w:r w:rsidR="00C4279C">
          <w:rPr>
            <w:noProof/>
            <w:webHidden/>
          </w:rPr>
          <w:fldChar w:fldCharType="end"/>
        </w:r>
      </w:hyperlink>
    </w:p>
    <w:p w14:paraId="5B1A900B" w14:textId="1B0678AD"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2" w:history="1">
        <w:r w:rsidR="00C4279C" w:rsidRPr="005A3DD9">
          <w:rPr>
            <w:rStyle w:val="Hyperlink"/>
            <w:rFonts w:cs="Arial"/>
            <w:iCs/>
            <w:noProof/>
          </w:rPr>
          <w:t>[1.13]</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182 (2A) and (2B)</w:t>
        </w:r>
        <w:r w:rsidR="00C4279C">
          <w:rPr>
            <w:noProof/>
            <w:webHidden/>
          </w:rPr>
          <w:tab/>
        </w:r>
        <w:r w:rsidR="00C4279C">
          <w:rPr>
            <w:noProof/>
            <w:webHidden/>
          </w:rPr>
          <w:fldChar w:fldCharType="begin"/>
        </w:r>
        <w:r w:rsidR="00C4279C">
          <w:rPr>
            <w:noProof/>
            <w:webHidden/>
          </w:rPr>
          <w:instrText xml:space="preserve"> PAGEREF _Toc57197622 \h </w:instrText>
        </w:r>
        <w:r w:rsidR="00C4279C">
          <w:rPr>
            <w:noProof/>
            <w:webHidden/>
          </w:rPr>
        </w:r>
        <w:r w:rsidR="00C4279C">
          <w:rPr>
            <w:noProof/>
            <w:webHidden/>
          </w:rPr>
          <w:fldChar w:fldCharType="separate"/>
        </w:r>
        <w:r w:rsidR="009C4E16">
          <w:rPr>
            <w:noProof/>
            <w:webHidden/>
          </w:rPr>
          <w:t>23</w:t>
        </w:r>
        <w:r w:rsidR="00C4279C">
          <w:rPr>
            <w:noProof/>
            <w:webHidden/>
          </w:rPr>
          <w:fldChar w:fldCharType="end"/>
        </w:r>
      </w:hyperlink>
    </w:p>
    <w:p w14:paraId="2514D4A2" w14:textId="21BE084F"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3" w:history="1">
        <w:r w:rsidR="00C4279C" w:rsidRPr="005A3DD9">
          <w:rPr>
            <w:rStyle w:val="Hyperlink"/>
            <w:rFonts w:cs="Arial"/>
            <w:iCs/>
            <w:noProof/>
          </w:rPr>
          <w:t>[1.14]</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185 (1A) and note</w:t>
        </w:r>
        <w:r w:rsidR="00C4279C">
          <w:rPr>
            <w:noProof/>
            <w:webHidden/>
          </w:rPr>
          <w:tab/>
        </w:r>
        <w:r w:rsidR="00C4279C">
          <w:rPr>
            <w:noProof/>
            <w:webHidden/>
          </w:rPr>
          <w:fldChar w:fldCharType="begin"/>
        </w:r>
        <w:r w:rsidR="00C4279C">
          <w:rPr>
            <w:noProof/>
            <w:webHidden/>
          </w:rPr>
          <w:instrText xml:space="preserve"> PAGEREF _Toc57197623 \h </w:instrText>
        </w:r>
        <w:r w:rsidR="00C4279C">
          <w:rPr>
            <w:noProof/>
            <w:webHidden/>
          </w:rPr>
        </w:r>
        <w:r w:rsidR="00C4279C">
          <w:rPr>
            <w:noProof/>
            <w:webHidden/>
          </w:rPr>
          <w:fldChar w:fldCharType="separate"/>
        </w:r>
        <w:r w:rsidR="009C4E16">
          <w:rPr>
            <w:noProof/>
            <w:webHidden/>
          </w:rPr>
          <w:t>23</w:t>
        </w:r>
        <w:r w:rsidR="00C4279C">
          <w:rPr>
            <w:noProof/>
            <w:webHidden/>
          </w:rPr>
          <w:fldChar w:fldCharType="end"/>
        </w:r>
      </w:hyperlink>
    </w:p>
    <w:p w14:paraId="2B2E0E24" w14:textId="2C9EDE69"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4" w:history="1">
        <w:r w:rsidR="00C4279C" w:rsidRPr="005A3DD9">
          <w:rPr>
            <w:rStyle w:val="Hyperlink"/>
            <w:rFonts w:cs="Arial"/>
            <w:iCs/>
            <w:noProof/>
          </w:rPr>
          <w:t>[1.15]</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322A</w:t>
        </w:r>
        <w:r w:rsidR="00C4279C">
          <w:rPr>
            <w:noProof/>
            <w:webHidden/>
          </w:rPr>
          <w:tab/>
        </w:r>
        <w:r w:rsidR="00C4279C">
          <w:rPr>
            <w:noProof/>
            <w:webHidden/>
          </w:rPr>
          <w:fldChar w:fldCharType="begin"/>
        </w:r>
        <w:r w:rsidR="00C4279C">
          <w:rPr>
            <w:noProof/>
            <w:webHidden/>
          </w:rPr>
          <w:instrText xml:space="preserve"> PAGEREF _Toc57197624 \h </w:instrText>
        </w:r>
        <w:r w:rsidR="00C4279C">
          <w:rPr>
            <w:noProof/>
            <w:webHidden/>
          </w:rPr>
        </w:r>
        <w:r w:rsidR="00C4279C">
          <w:rPr>
            <w:noProof/>
            <w:webHidden/>
          </w:rPr>
          <w:fldChar w:fldCharType="separate"/>
        </w:r>
        <w:r w:rsidR="009C4E16">
          <w:rPr>
            <w:noProof/>
            <w:webHidden/>
          </w:rPr>
          <w:t>24</w:t>
        </w:r>
        <w:r w:rsidR="00C4279C">
          <w:rPr>
            <w:noProof/>
            <w:webHidden/>
          </w:rPr>
          <w:fldChar w:fldCharType="end"/>
        </w:r>
      </w:hyperlink>
    </w:p>
    <w:p w14:paraId="20E132E7" w14:textId="0DCCD4B3"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25" w:history="1">
        <w:r w:rsidR="00C4279C" w:rsidRPr="005A3DD9">
          <w:rPr>
            <w:rStyle w:val="Hyperlink"/>
            <w:rFonts w:cs="Arial"/>
            <w:noProof/>
          </w:rPr>
          <w:t>Part 1.7</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Crimes (Sentencing) Act 2005</w:t>
        </w:r>
        <w:r w:rsidR="00C4279C">
          <w:rPr>
            <w:noProof/>
            <w:webHidden/>
          </w:rPr>
          <w:tab/>
        </w:r>
        <w:r w:rsidR="00C4279C">
          <w:rPr>
            <w:noProof/>
            <w:webHidden/>
          </w:rPr>
          <w:fldChar w:fldCharType="begin"/>
        </w:r>
        <w:r w:rsidR="00C4279C">
          <w:rPr>
            <w:noProof/>
            <w:webHidden/>
          </w:rPr>
          <w:instrText xml:space="preserve"> PAGEREF _Toc57197625 \h </w:instrText>
        </w:r>
        <w:r w:rsidR="00C4279C">
          <w:rPr>
            <w:noProof/>
            <w:webHidden/>
          </w:rPr>
        </w:r>
        <w:r w:rsidR="00C4279C">
          <w:rPr>
            <w:noProof/>
            <w:webHidden/>
          </w:rPr>
          <w:fldChar w:fldCharType="separate"/>
        </w:r>
        <w:r w:rsidR="009C4E16">
          <w:rPr>
            <w:noProof/>
            <w:webHidden/>
          </w:rPr>
          <w:t>25</w:t>
        </w:r>
        <w:r w:rsidR="00C4279C">
          <w:rPr>
            <w:noProof/>
            <w:webHidden/>
          </w:rPr>
          <w:fldChar w:fldCharType="end"/>
        </w:r>
      </w:hyperlink>
    </w:p>
    <w:p w14:paraId="7A6A87C1" w14:textId="4440AAF3"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6" w:history="1">
        <w:r w:rsidR="00C4279C" w:rsidRPr="005A3DD9">
          <w:rPr>
            <w:rStyle w:val="Hyperlink"/>
            <w:rFonts w:cs="Arial"/>
            <w:iCs/>
            <w:noProof/>
          </w:rPr>
          <w:t>[1.16]</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13 (10)</w:t>
        </w:r>
        <w:r w:rsidR="00C4279C">
          <w:rPr>
            <w:noProof/>
            <w:webHidden/>
          </w:rPr>
          <w:tab/>
        </w:r>
        <w:r w:rsidR="00C4279C">
          <w:rPr>
            <w:noProof/>
            <w:webHidden/>
          </w:rPr>
          <w:fldChar w:fldCharType="begin"/>
        </w:r>
        <w:r w:rsidR="00C4279C">
          <w:rPr>
            <w:noProof/>
            <w:webHidden/>
          </w:rPr>
          <w:instrText xml:space="preserve"> PAGEREF _Toc57197626 \h </w:instrText>
        </w:r>
        <w:r w:rsidR="00C4279C">
          <w:rPr>
            <w:noProof/>
            <w:webHidden/>
          </w:rPr>
        </w:r>
        <w:r w:rsidR="00C4279C">
          <w:rPr>
            <w:noProof/>
            <w:webHidden/>
          </w:rPr>
          <w:fldChar w:fldCharType="separate"/>
        </w:r>
        <w:r w:rsidR="009C4E16">
          <w:rPr>
            <w:noProof/>
            <w:webHidden/>
          </w:rPr>
          <w:t>25</w:t>
        </w:r>
        <w:r w:rsidR="00C4279C">
          <w:rPr>
            <w:noProof/>
            <w:webHidden/>
          </w:rPr>
          <w:fldChar w:fldCharType="end"/>
        </w:r>
      </w:hyperlink>
    </w:p>
    <w:p w14:paraId="63E6EE06" w14:textId="6D5B9C83"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7" w:history="1">
        <w:r w:rsidR="00C4279C" w:rsidRPr="005A3DD9">
          <w:rPr>
            <w:rStyle w:val="Hyperlink"/>
            <w:rFonts w:cs="Arial"/>
            <w:iCs/>
            <w:noProof/>
          </w:rPr>
          <w:t>[1.17]</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46C (9)</w:t>
        </w:r>
        <w:r w:rsidR="00C4279C">
          <w:rPr>
            <w:noProof/>
            <w:webHidden/>
          </w:rPr>
          <w:tab/>
        </w:r>
        <w:r w:rsidR="00C4279C">
          <w:rPr>
            <w:noProof/>
            <w:webHidden/>
          </w:rPr>
          <w:fldChar w:fldCharType="begin"/>
        </w:r>
        <w:r w:rsidR="00C4279C">
          <w:rPr>
            <w:noProof/>
            <w:webHidden/>
          </w:rPr>
          <w:instrText xml:space="preserve"> PAGEREF _Toc57197627 \h </w:instrText>
        </w:r>
        <w:r w:rsidR="00C4279C">
          <w:rPr>
            <w:noProof/>
            <w:webHidden/>
          </w:rPr>
        </w:r>
        <w:r w:rsidR="00C4279C">
          <w:rPr>
            <w:noProof/>
            <w:webHidden/>
          </w:rPr>
          <w:fldChar w:fldCharType="separate"/>
        </w:r>
        <w:r w:rsidR="009C4E16">
          <w:rPr>
            <w:noProof/>
            <w:webHidden/>
          </w:rPr>
          <w:t>25</w:t>
        </w:r>
        <w:r w:rsidR="00C4279C">
          <w:rPr>
            <w:noProof/>
            <w:webHidden/>
          </w:rPr>
          <w:fldChar w:fldCharType="end"/>
        </w:r>
      </w:hyperlink>
    </w:p>
    <w:p w14:paraId="2D464036" w14:textId="6F532863"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28" w:history="1">
        <w:r w:rsidR="00C4279C" w:rsidRPr="005A3DD9">
          <w:rPr>
            <w:rStyle w:val="Hyperlink"/>
            <w:rFonts w:cs="Arial"/>
            <w:noProof/>
          </w:rPr>
          <w:t>Part 1.8</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Drugs of Dependence Act 1989</w:t>
        </w:r>
        <w:r w:rsidR="00C4279C">
          <w:rPr>
            <w:noProof/>
            <w:webHidden/>
          </w:rPr>
          <w:tab/>
        </w:r>
        <w:r w:rsidR="00C4279C">
          <w:rPr>
            <w:noProof/>
            <w:webHidden/>
          </w:rPr>
          <w:fldChar w:fldCharType="begin"/>
        </w:r>
        <w:r w:rsidR="00C4279C">
          <w:rPr>
            <w:noProof/>
            <w:webHidden/>
          </w:rPr>
          <w:instrText xml:space="preserve"> PAGEREF _Toc57197628 \h </w:instrText>
        </w:r>
        <w:r w:rsidR="00C4279C">
          <w:rPr>
            <w:noProof/>
            <w:webHidden/>
          </w:rPr>
        </w:r>
        <w:r w:rsidR="00C4279C">
          <w:rPr>
            <w:noProof/>
            <w:webHidden/>
          </w:rPr>
          <w:fldChar w:fldCharType="separate"/>
        </w:r>
        <w:r w:rsidR="009C4E16">
          <w:rPr>
            <w:noProof/>
            <w:webHidden/>
          </w:rPr>
          <w:t>26</w:t>
        </w:r>
        <w:r w:rsidR="00C4279C">
          <w:rPr>
            <w:noProof/>
            <w:webHidden/>
          </w:rPr>
          <w:fldChar w:fldCharType="end"/>
        </w:r>
      </w:hyperlink>
    </w:p>
    <w:p w14:paraId="7B1A1DE6" w14:textId="4BE34719"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29" w:history="1">
        <w:r w:rsidR="00C4279C" w:rsidRPr="005A3DD9">
          <w:rPr>
            <w:rStyle w:val="Hyperlink"/>
            <w:rFonts w:cs="Arial"/>
            <w:iCs/>
            <w:noProof/>
          </w:rPr>
          <w:t>[1.18]</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187A (5)</w:t>
        </w:r>
        <w:r w:rsidR="00C4279C">
          <w:rPr>
            <w:noProof/>
            <w:webHidden/>
          </w:rPr>
          <w:tab/>
        </w:r>
        <w:r w:rsidR="00C4279C">
          <w:rPr>
            <w:noProof/>
            <w:webHidden/>
          </w:rPr>
          <w:fldChar w:fldCharType="begin"/>
        </w:r>
        <w:r w:rsidR="00C4279C">
          <w:rPr>
            <w:noProof/>
            <w:webHidden/>
          </w:rPr>
          <w:instrText xml:space="preserve"> PAGEREF _Toc57197629 \h </w:instrText>
        </w:r>
        <w:r w:rsidR="00C4279C">
          <w:rPr>
            <w:noProof/>
            <w:webHidden/>
          </w:rPr>
        </w:r>
        <w:r w:rsidR="00C4279C">
          <w:rPr>
            <w:noProof/>
            <w:webHidden/>
          </w:rPr>
          <w:fldChar w:fldCharType="separate"/>
        </w:r>
        <w:r w:rsidR="009C4E16">
          <w:rPr>
            <w:noProof/>
            <w:webHidden/>
          </w:rPr>
          <w:t>26</w:t>
        </w:r>
        <w:r w:rsidR="00C4279C">
          <w:rPr>
            <w:noProof/>
            <w:webHidden/>
          </w:rPr>
          <w:fldChar w:fldCharType="end"/>
        </w:r>
      </w:hyperlink>
    </w:p>
    <w:p w14:paraId="33F9E8EE" w14:textId="16B33AD5" w:rsidR="00C4279C" w:rsidRDefault="00F824F3">
      <w:pPr>
        <w:pStyle w:val="TOC2"/>
        <w:tabs>
          <w:tab w:val="left" w:pos="1320"/>
          <w:tab w:val="right" w:leader="dot" w:pos="9016"/>
        </w:tabs>
        <w:rPr>
          <w:rFonts w:asciiTheme="minorHAnsi" w:eastAsiaTheme="minorEastAsia" w:hAnsiTheme="minorHAnsi" w:cstheme="minorBidi"/>
          <w:noProof/>
          <w:sz w:val="22"/>
          <w:lang w:eastAsia="en-AU"/>
        </w:rPr>
      </w:pPr>
      <w:hyperlink w:anchor="_Toc57197630" w:history="1">
        <w:r w:rsidR="00C4279C" w:rsidRPr="005A3DD9">
          <w:rPr>
            <w:rStyle w:val="Hyperlink"/>
            <w:rFonts w:cs="Arial"/>
            <w:noProof/>
          </w:rPr>
          <w:t>Part 1.9</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Education Act 2004</w:t>
        </w:r>
        <w:r w:rsidR="00C4279C">
          <w:rPr>
            <w:noProof/>
            <w:webHidden/>
          </w:rPr>
          <w:tab/>
        </w:r>
        <w:r w:rsidR="00C4279C">
          <w:rPr>
            <w:noProof/>
            <w:webHidden/>
          </w:rPr>
          <w:fldChar w:fldCharType="begin"/>
        </w:r>
        <w:r w:rsidR="00C4279C">
          <w:rPr>
            <w:noProof/>
            <w:webHidden/>
          </w:rPr>
          <w:instrText xml:space="preserve"> PAGEREF _Toc57197630 \h </w:instrText>
        </w:r>
        <w:r w:rsidR="00C4279C">
          <w:rPr>
            <w:noProof/>
            <w:webHidden/>
          </w:rPr>
        </w:r>
        <w:r w:rsidR="00C4279C">
          <w:rPr>
            <w:noProof/>
            <w:webHidden/>
          </w:rPr>
          <w:fldChar w:fldCharType="separate"/>
        </w:r>
        <w:r w:rsidR="009C4E16">
          <w:rPr>
            <w:noProof/>
            <w:webHidden/>
          </w:rPr>
          <w:t>26</w:t>
        </w:r>
        <w:r w:rsidR="00C4279C">
          <w:rPr>
            <w:noProof/>
            <w:webHidden/>
          </w:rPr>
          <w:fldChar w:fldCharType="end"/>
        </w:r>
      </w:hyperlink>
    </w:p>
    <w:p w14:paraId="1569CD5A" w14:textId="557BEF23"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31" w:history="1">
        <w:r w:rsidR="00C4279C" w:rsidRPr="005A3DD9">
          <w:rPr>
            <w:rStyle w:val="Hyperlink"/>
            <w:rFonts w:cs="Arial"/>
            <w:iCs/>
            <w:noProof/>
          </w:rPr>
          <w:t>[1.19]</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Sections 84A (3), 88AA (3) and 153B (7)</w:t>
        </w:r>
        <w:r w:rsidR="00C4279C">
          <w:rPr>
            <w:noProof/>
            <w:webHidden/>
          </w:rPr>
          <w:tab/>
        </w:r>
        <w:r w:rsidR="00C4279C">
          <w:rPr>
            <w:noProof/>
            <w:webHidden/>
          </w:rPr>
          <w:fldChar w:fldCharType="begin"/>
        </w:r>
        <w:r w:rsidR="00C4279C">
          <w:rPr>
            <w:noProof/>
            <w:webHidden/>
          </w:rPr>
          <w:instrText xml:space="preserve"> PAGEREF _Toc57197631 \h </w:instrText>
        </w:r>
        <w:r w:rsidR="00C4279C">
          <w:rPr>
            <w:noProof/>
            <w:webHidden/>
          </w:rPr>
        </w:r>
        <w:r w:rsidR="00C4279C">
          <w:rPr>
            <w:noProof/>
            <w:webHidden/>
          </w:rPr>
          <w:fldChar w:fldCharType="separate"/>
        </w:r>
        <w:r w:rsidR="009C4E16">
          <w:rPr>
            <w:noProof/>
            <w:webHidden/>
          </w:rPr>
          <w:t>26</w:t>
        </w:r>
        <w:r w:rsidR="00C4279C">
          <w:rPr>
            <w:noProof/>
            <w:webHidden/>
          </w:rPr>
          <w:fldChar w:fldCharType="end"/>
        </w:r>
      </w:hyperlink>
    </w:p>
    <w:p w14:paraId="16F7B5D6" w14:textId="08081C54"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32" w:history="1">
        <w:r w:rsidR="00C4279C" w:rsidRPr="005A3DD9">
          <w:rPr>
            <w:rStyle w:val="Hyperlink"/>
            <w:rFonts w:cs="Arial"/>
            <w:noProof/>
          </w:rPr>
          <w:t>Part 1.10</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Evidence (Miscellaneous Provisions) Act 1991</w:t>
        </w:r>
        <w:r w:rsidR="00C4279C">
          <w:rPr>
            <w:noProof/>
            <w:webHidden/>
          </w:rPr>
          <w:tab/>
        </w:r>
        <w:r w:rsidR="00C4279C">
          <w:rPr>
            <w:noProof/>
            <w:webHidden/>
          </w:rPr>
          <w:fldChar w:fldCharType="begin"/>
        </w:r>
        <w:r w:rsidR="00C4279C">
          <w:rPr>
            <w:noProof/>
            <w:webHidden/>
          </w:rPr>
          <w:instrText xml:space="preserve"> PAGEREF _Toc57197632 \h </w:instrText>
        </w:r>
        <w:r w:rsidR="00C4279C">
          <w:rPr>
            <w:noProof/>
            <w:webHidden/>
          </w:rPr>
        </w:r>
        <w:r w:rsidR="00C4279C">
          <w:rPr>
            <w:noProof/>
            <w:webHidden/>
          </w:rPr>
          <w:fldChar w:fldCharType="separate"/>
        </w:r>
        <w:r w:rsidR="009C4E16">
          <w:rPr>
            <w:noProof/>
            <w:webHidden/>
          </w:rPr>
          <w:t>27</w:t>
        </w:r>
        <w:r w:rsidR="00C4279C">
          <w:rPr>
            <w:noProof/>
            <w:webHidden/>
          </w:rPr>
          <w:fldChar w:fldCharType="end"/>
        </w:r>
      </w:hyperlink>
    </w:p>
    <w:p w14:paraId="380798CD" w14:textId="3C4BB504"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33" w:history="1">
        <w:r w:rsidR="00C4279C" w:rsidRPr="005A3DD9">
          <w:rPr>
            <w:rStyle w:val="Hyperlink"/>
            <w:rFonts w:cs="Arial"/>
            <w:iCs/>
            <w:noProof/>
          </w:rPr>
          <w:t>[1.20]</w:t>
        </w:r>
        <w:r w:rsidR="00C4279C">
          <w:rPr>
            <w:rFonts w:asciiTheme="minorHAnsi" w:eastAsiaTheme="minorEastAsia" w:hAnsiTheme="minorHAnsi" w:cstheme="minorBidi"/>
            <w:noProof/>
            <w:sz w:val="22"/>
            <w:lang w:eastAsia="en-AU"/>
          </w:rPr>
          <w:tab/>
        </w:r>
        <w:r w:rsidR="00C4279C" w:rsidRPr="005A3DD9">
          <w:rPr>
            <w:rStyle w:val="Hyperlink"/>
            <w:rFonts w:cs="Arial"/>
            <w:iCs/>
            <w:noProof/>
            <w:lang w:eastAsia="en-AU"/>
          </w:rPr>
          <w:t>Section 164 (2)</w:t>
        </w:r>
        <w:r w:rsidR="00C4279C">
          <w:rPr>
            <w:noProof/>
            <w:webHidden/>
          </w:rPr>
          <w:tab/>
        </w:r>
        <w:r w:rsidR="00C4279C">
          <w:rPr>
            <w:noProof/>
            <w:webHidden/>
          </w:rPr>
          <w:fldChar w:fldCharType="begin"/>
        </w:r>
        <w:r w:rsidR="00C4279C">
          <w:rPr>
            <w:noProof/>
            <w:webHidden/>
          </w:rPr>
          <w:instrText xml:space="preserve"> PAGEREF _Toc57197633 \h </w:instrText>
        </w:r>
        <w:r w:rsidR="00C4279C">
          <w:rPr>
            <w:noProof/>
            <w:webHidden/>
          </w:rPr>
        </w:r>
        <w:r w:rsidR="00C4279C">
          <w:rPr>
            <w:noProof/>
            <w:webHidden/>
          </w:rPr>
          <w:fldChar w:fldCharType="separate"/>
        </w:r>
        <w:r w:rsidR="009C4E16">
          <w:rPr>
            <w:noProof/>
            <w:webHidden/>
          </w:rPr>
          <w:t>27</w:t>
        </w:r>
        <w:r w:rsidR="00C4279C">
          <w:rPr>
            <w:noProof/>
            <w:webHidden/>
          </w:rPr>
          <w:fldChar w:fldCharType="end"/>
        </w:r>
      </w:hyperlink>
    </w:p>
    <w:p w14:paraId="167DC3F2" w14:textId="6994624F"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34" w:history="1">
        <w:r w:rsidR="00C4279C" w:rsidRPr="005A3DD9">
          <w:rPr>
            <w:rStyle w:val="Hyperlink"/>
            <w:rFonts w:cs="Arial"/>
            <w:noProof/>
          </w:rPr>
          <w:t>Part 1.11</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Family Violence Act 2016</w:t>
        </w:r>
        <w:r w:rsidR="00C4279C">
          <w:rPr>
            <w:noProof/>
            <w:webHidden/>
          </w:rPr>
          <w:tab/>
        </w:r>
        <w:r w:rsidR="00C4279C">
          <w:rPr>
            <w:noProof/>
            <w:webHidden/>
          </w:rPr>
          <w:fldChar w:fldCharType="begin"/>
        </w:r>
        <w:r w:rsidR="00C4279C">
          <w:rPr>
            <w:noProof/>
            <w:webHidden/>
          </w:rPr>
          <w:instrText xml:space="preserve"> PAGEREF _Toc57197634 \h </w:instrText>
        </w:r>
        <w:r w:rsidR="00C4279C">
          <w:rPr>
            <w:noProof/>
            <w:webHidden/>
          </w:rPr>
        </w:r>
        <w:r w:rsidR="00C4279C">
          <w:rPr>
            <w:noProof/>
            <w:webHidden/>
          </w:rPr>
          <w:fldChar w:fldCharType="separate"/>
        </w:r>
        <w:r w:rsidR="009C4E16">
          <w:rPr>
            <w:noProof/>
            <w:webHidden/>
          </w:rPr>
          <w:t>28</w:t>
        </w:r>
        <w:r w:rsidR="00C4279C">
          <w:rPr>
            <w:noProof/>
            <w:webHidden/>
          </w:rPr>
          <w:fldChar w:fldCharType="end"/>
        </w:r>
      </w:hyperlink>
    </w:p>
    <w:p w14:paraId="71D2DBB9" w14:textId="507ADE11"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35" w:history="1">
        <w:r w:rsidR="00C4279C" w:rsidRPr="005A3DD9">
          <w:rPr>
            <w:rStyle w:val="Hyperlink"/>
            <w:rFonts w:cs="Arial"/>
            <w:iCs/>
            <w:noProof/>
          </w:rPr>
          <w:t>[1.21]</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210</w:t>
        </w:r>
        <w:r w:rsidR="00C4279C">
          <w:rPr>
            <w:noProof/>
            <w:webHidden/>
          </w:rPr>
          <w:tab/>
        </w:r>
        <w:r w:rsidR="00C4279C">
          <w:rPr>
            <w:noProof/>
            <w:webHidden/>
          </w:rPr>
          <w:fldChar w:fldCharType="begin"/>
        </w:r>
        <w:r w:rsidR="00C4279C">
          <w:rPr>
            <w:noProof/>
            <w:webHidden/>
          </w:rPr>
          <w:instrText xml:space="preserve"> PAGEREF _Toc57197635 \h </w:instrText>
        </w:r>
        <w:r w:rsidR="00C4279C">
          <w:rPr>
            <w:noProof/>
            <w:webHidden/>
          </w:rPr>
        </w:r>
        <w:r w:rsidR="00C4279C">
          <w:rPr>
            <w:noProof/>
            <w:webHidden/>
          </w:rPr>
          <w:fldChar w:fldCharType="separate"/>
        </w:r>
        <w:r w:rsidR="009C4E16">
          <w:rPr>
            <w:noProof/>
            <w:webHidden/>
          </w:rPr>
          <w:t>28</w:t>
        </w:r>
        <w:r w:rsidR="00C4279C">
          <w:rPr>
            <w:noProof/>
            <w:webHidden/>
          </w:rPr>
          <w:fldChar w:fldCharType="end"/>
        </w:r>
      </w:hyperlink>
    </w:p>
    <w:p w14:paraId="41444CFB" w14:textId="044B8613"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36" w:history="1">
        <w:r w:rsidR="00C4279C" w:rsidRPr="005A3DD9">
          <w:rPr>
            <w:rStyle w:val="Hyperlink"/>
            <w:rFonts w:cs="Arial"/>
            <w:noProof/>
          </w:rPr>
          <w:t>Part 1.12</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Gaming Machine Regulation 2004</w:t>
        </w:r>
        <w:r w:rsidR="00C4279C">
          <w:rPr>
            <w:noProof/>
            <w:webHidden/>
          </w:rPr>
          <w:tab/>
        </w:r>
        <w:r w:rsidR="00C4279C">
          <w:rPr>
            <w:noProof/>
            <w:webHidden/>
          </w:rPr>
          <w:fldChar w:fldCharType="begin"/>
        </w:r>
        <w:r w:rsidR="00C4279C">
          <w:rPr>
            <w:noProof/>
            <w:webHidden/>
          </w:rPr>
          <w:instrText xml:space="preserve"> PAGEREF _Toc57197636 \h </w:instrText>
        </w:r>
        <w:r w:rsidR="00C4279C">
          <w:rPr>
            <w:noProof/>
            <w:webHidden/>
          </w:rPr>
        </w:r>
        <w:r w:rsidR="00C4279C">
          <w:rPr>
            <w:noProof/>
            <w:webHidden/>
          </w:rPr>
          <w:fldChar w:fldCharType="separate"/>
        </w:r>
        <w:r w:rsidR="009C4E16">
          <w:rPr>
            <w:noProof/>
            <w:webHidden/>
          </w:rPr>
          <w:t>28</w:t>
        </w:r>
        <w:r w:rsidR="00C4279C">
          <w:rPr>
            <w:noProof/>
            <w:webHidden/>
          </w:rPr>
          <w:fldChar w:fldCharType="end"/>
        </w:r>
      </w:hyperlink>
    </w:p>
    <w:p w14:paraId="744A0DED" w14:textId="0A1B4139"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37" w:history="1">
        <w:r w:rsidR="00C4279C" w:rsidRPr="005A3DD9">
          <w:rPr>
            <w:rStyle w:val="Hyperlink"/>
            <w:rFonts w:cs="Arial"/>
            <w:iCs/>
            <w:noProof/>
          </w:rPr>
          <w:t>[1.22]</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New section 69 (3)</w:t>
        </w:r>
        <w:r w:rsidR="00C4279C">
          <w:rPr>
            <w:noProof/>
            <w:webHidden/>
          </w:rPr>
          <w:tab/>
        </w:r>
        <w:r w:rsidR="00C4279C">
          <w:rPr>
            <w:noProof/>
            <w:webHidden/>
          </w:rPr>
          <w:fldChar w:fldCharType="begin"/>
        </w:r>
        <w:r w:rsidR="00C4279C">
          <w:rPr>
            <w:noProof/>
            <w:webHidden/>
          </w:rPr>
          <w:instrText xml:space="preserve"> PAGEREF _Toc57197637 \h </w:instrText>
        </w:r>
        <w:r w:rsidR="00C4279C">
          <w:rPr>
            <w:noProof/>
            <w:webHidden/>
          </w:rPr>
        </w:r>
        <w:r w:rsidR="00C4279C">
          <w:rPr>
            <w:noProof/>
            <w:webHidden/>
          </w:rPr>
          <w:fldChar w:fldCharType="separate"/>
        </w:r>
        <w:r w:rsidR="009C4E16">
          <w:rPr>
            <w:noProof/>
            <w:webHidden/>
          </w:rPr>
          <w:t>28</w:t>
        </w:r>
        <w:r w:rsidR="00C4279C">
          <w:rPr>
            <w:noProof/>
            <w:webHidden/>
          </w:rPr>
          <w:fldChar w:fldCharType="end"/>
        </w:r>
      </w:hyperlink>
    </w:p>
    <w:p w14:paraId="580527A5" w14:textId="057848AB"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38" w:history="1">
        <w:r w:rsidR="00C4279C" w:rsidRPr="005A3DD9">
          <w:rPr>
            <w:rStyle w:val="Hyperlink"/>
            <w:rFonts w:cs="Arial"/>
            <w:iCs/>
            <w:noProof/>
          </w:rPr>
          <w:t>[1.23]</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69L</w:t>
        </w:r>
        <w:r w:rsidR="00C4279C">
          <w:rPr>
            <w:noProof/>
            <w:webHidden/>
          </w:rPr>
          <w:tab/>
        </w:r>
        <w:r w:rsidR="00C4279C">
          <w:rPr>
            <w:noProof/>
            <w:webHidden/>
          </w:rPr>
          <w:fldChar w:fldCharType="begin"/>
        </w:r>
        <w:r w:rsidR="00C4279C">
          <w:rPr>
            <w:noProof/>
            <w:webHidden/>
          </w:rPr>
          <w:instrText xml:space="preserve"> PAGEREF _Toc57197638 \h </w:instrText>
        </w:r>
        <w:r w:rsidR="00C4279C">
          <w:rPr>
            <w:noProof/>
            <w:webHidden/>
          </w:rPr>
        </w:r>
        <w:r w:rsidR="00C4279C">
          <w:rPr>
            <w:noProof/>
            <w:webHidden/>
          </w:rPr>
          <w:fldChar w:fldCharType="separate"/>
        </w:r>
        <w:r w:rsidR="009C4E16">
          <w:rPr>
            <w:noProof/>
            <w:webHidden/>
          </w:rPr>
          <w:t>29</w:t>
        </w:r>
        <w:r w:rsidR="00C4279C">
          <w:rPr>
            <w:noProof/>
            <w:webHidden/>
          </w:rPr>
          <w:fldChar w:fldCharType="end"/>
        </w:r>
      </w:hyperlink>
    </w:p>
    <w:p w14:paraId="58CECA2B" w14:textId="51F1EC69"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39" w:history="1">
        <w:r w:rsidR="00C4279C" w:rsidRPr="005A3DD9">
          <w:rPr>
            <w:rStyle w:val="Hyperlink"/>
            <w:rFonts w:cs="Arial"/>
            <w:noProof/>
          </w:rPr>
          <w:t>Part 1.13</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Personal Violence Act 2016</w:t>
        </w:r>
        <w:r w:rsidR="00C4279C">
          <w:rPr>
            <w:noProof/>
            <w:webHidden/>
          </w:rPr>
          <w:tab/>
        </w:r>
        <w:r w:rsidR="00C4279C">
          <w:rPr>
            <w:noProof/>
            <w:webHidden/>
          </w:rPr>
          <w:fldChar w:fldCharType="begin"/>
        </w:r>
        <w:r w:rsidR="00C4279C">
          <w:rPr>
            <w:noProof/>
            <w:webHidden/>
          </w:rPr>
          <w:instrText xml:space="preserve"> PAGEREF _Toc57197639 \h </w:instrText>
        </w:r>
        <w:r w:rsidR="00C4279C">
          <w:rPr>
            <w:noProof/>
            <w:webHidden/>
          </w:rPr>
        </w:r>
        <w:r w:rsidR="00C4279C">
          <w:rPr>
            <w:noProof/>
            <w:webHidden/>
          </w:rPr>
          <w:fldChar w:fldCharType="separate"/>
        </w:r>
        <w:r w:rsidR="009C4E16">
          <w:rPr>
            <w:noProof/>
            <w:webHidden/>
          </w:rPr>
          <w:t>29</w:t>
        </w:r>
        <w:r w:rsidR="00C4279C">
          <w:rPr>
            <w:noProof/>
            <w:webHidden/>
          </w:rPr>
          <w:fldChar w:fldCharType="end"/>
        </w:r>
      </w:hyperlink>
    </w:p>
    <w:p w14:paraId="102EBCAC" w14:textId="4A86219C"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40" w:history="1">
        <w:r w:rsidR="00C4279C" w:rsidRPr="005A3DD9">
          <w:rPr>
            <w:rStyle w:val="Hyperlink"/>
            <w:rFonts w:cs="Arial"/>
            <w:iCs/>
            <w:noProof/>
          </w:rPr>
          <w:t>[1.24]</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209</w:t>
        </w:r>
        <w:r w:rsidR="00C4279C">
          <w:rPr>
            <w:noProof/>
            <w:webHidden/>
          </w:rPr>
          <w:tab/>
        </w:r>
        <w:r w:rsidR="00C4279C">
          <w:rPr>
            <w:noProof/>
            <w:webHidden/>
          </w:rPr>
          <w:fldChar w:fldCharType="begin"/>
        </w:r>
        <w:r w:rsidR="00C4279C">
          <w:rPr>
            <w:noProof/>
            <w:webHidden/>
          </w:rPr>
          <w:instrText xml:space="preserve"> PAGEREF _Toc57197640 \h </w:instrText>
        </w:r>
        <w:r w:rsidR="00C4279C">
          <w:rPr>
            <w:noProof/>
            <w:webHidden/>
          </w:rPr>
        </w:r>
        <w:r w:rsidR="00C4279C">
          <w:rPr>
            <w:noProof/>
            <w:webHidden/>
          </w:rPr>
          <w:fldChar w:fldCharType="separate"/>
        </w:r>
        <w:r w:rsidR="009C4E16">
          <w:rPr>
            <w:noProof/>
            <w:webHidden/>
          </w:rPr>
          <w:t>29</w:t>
        </w:r>
        <w:r w:rsidR="00C4279C">
          <w:rPr>
            <w:noProof/>
            <w:webHidden/>
          </w:rPr>
          <w:fldChar w:fldCharType="end"/>
        </w:r>
      </w:hyperlink>
    </w:p>
    <w:p w14:paraId="6C08DF49" w14:textId="64FE8E0F"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41" w:history="1">
        <w:r w:rsidR="00C4279C" w:rsidRPr="005A3DD9">
          <w:rPr>
            <w:rStyle w:val="Hyperlink"/>
            <w:rFonts w:cs="Arial"/>
            <w:noProof/>
          </w:rPr>
          <w:t>Part 1.14</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Retirement Villages Act 2012</w:t>
        </w:r>
        <w:r w:rsidR="00C4279C">
          <w:rPr>
            <w:noProof/>
            <w:webHidden/>
          </w:rPr>
          <w:tab/>
        </w:r>
        <w:r w:rsidR="00C4279C">
          <w:rPr>
            <w:noProof/>
            <w:webHidden/>
          </w:rPr>
          <w:fldChar w:fldCharType="begin"/>
        </w:r>
        <w:r w:rsidR="00C4279C">
          <w:rPr>
            <w:noProof/>
            <w:webHidden/>
          </w:rPr>
          <w:instrText xml:space="preserve"> PAGEREF _Toc57197641 \h </w:instrText>
        </w:r>
        <w:r w:rsidR="00C4279C">
          <w:rPr>
            <w:noProof/>
            <w:webHidden/>
          </w:rPr>
        </w:r>
        <w:r w:rsidR="00C4279C">
          <w:rPr>
            <w:noProof/>
            <w:webHidden/>
          </w:rPr>
          <w:fldChar w:fldCharType="separate"/>
        </w:r>
        <w:r w:rsidR="009C4E16">
          <w:rPr>
            <w:noProof/>
            <w:webHidden/>
          </w:rPr>
          <w:t>30</w:t>
        </w:r>
        <w:r w:rsidR="00C4279C">
          <w:rPr>
            <w:noProof/>
            <w:webHidden/>
          </w:rPr>
          <w:fldChar w:fldCharType="end"/>
        </w:r>
      </w:hyperlink>
    </w:p>
    <w:p w14:paraId="2B6AD454" w14:textId="6532B0E2"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42" w:history="1">
        <w:r w:rsidR="00C4279C" w:rsidRPr="005A3DD9">
          <w:rPr>
            <w:rStyle w:val="Hyperlink"/>
            <w:rFonts w:cs="Arial"/>
            <w:iCs/>
            <w:noProof/>
          </w:rPr>
          <w:t>[1.25]</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265</w:t>
        </w:r>
        <w:r w:rsidR="00C4279C">
          <w:rPr>
            <w:noProof/>
            <w:webHidden/>
          </w:rPr>
          <w:tab/>
        </w:r>
        <w:r w:rsidR="00C4279C">
          <w:rPr>
            <w:noProof/>
            <w:webHidden/>
          </w:rPr>
          <w:fldChar w:fldCharType="begin"/>
        </w:r>
        <w:r w:rsidR="00C4279C">
          <w:rPr>
            <w:noProof/>
            <w:webHidden/>
          </w:rPr>
          <w:instrText xml:space="preserve"> PAGEREF _Toc57197642 \h </w:instrText>
        </w:r>
        <w:r w:rsidR="00C4279C">
          <w:rPr>
            <w:noProof/>
            <w:webHidden/>
          </w:rPr>
        </w:r>
        <w:r w:rsidR="00C4279C">
          <w:rPr>
            <w:noProof/>
            <w:webHidden/>
          </w:rPr>
          <w:fldChar w:fldCharType="separate"/>
        </w:r>
        <w:r w:rsidR="009C4E16">
          <w:rPr>
            <w:noProof/>
            <w:webHidden/>
          </w:rPr>
          <w:t>30</w:t>
        </w:r>
        <w:r w:rsidR="00C4279C">
          <w:rPr>
            <w:noProof/>
            <w:webHidden/>
          </w:rPr>
          <w:fldChar w:fldCharType="end"/>
        </w:r>
      </w:hyperlink>
    </w:p>
    <w:p w14:paraId="3C606811" w14:textId="5011B0D2"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43" w:history="1">
        <w:r w:rsidR="00C4279C" w:rsidRPr="005A3DD9">
          <w:rPr>
            <w:rStyle w:val="Hyperlink"/>
            <w:noProof/>
          </w:rPr>
          <w:t>Part 1.15</w:t>
        </w:r>
        <w:r w:rsidR="00C4279C">
          <w:rPr>
            <w:rFonts w:asciiTheme="minorHAnsi" w:eastAsiaTheme="minorEastAsia" w:hAnsiTheme="minorHAnsi" w:cstheme="minorBidi"/>
            <w:noProof/>
            <w:sz w:val="22"/>
            <w:lang w:eastAsia="en-AU"/>
          </w:rPr>
          <w:tab/>
        </w:r>
        <w:r w:rsidR="00C4279C" w:rsidRPr="005A3DD9">
          <w:rPr>
            <w:rStyle w:val="Hyperlink"/>
            <w:noProof/>
          </w:rPr>
          <w:t>Supreme Court Act 1933</w:t>
        </w:r>
        <w:r w:rsidR="00C4279C">
          <w:rPr>
            <w:noProof/>
            <w:webHidden/>
          </w:rPr>
          <w:tab/>
        </w:r>
        <w:r w:rsidR="00C4279C">
          <w:rPr>
            <w:noProof/>
            <w:webHidden/>
          </w:rPr>
          <w:fldChar w:fldCharType="begin"/>
        </w:r>
        <w:r w:rsidR="00C4279C">
          <w:rPr>
            <w:noProof/>
            <w:webHidden/>
          </w:rPr>
          <w:instrText xml:space="preserve"> PAGEREF _Toc57197643 \h </w:instrText>
        </w:r>
        <w:r w:rsidR="00C4279C">
          <w:rPr>
            <w:noProof/>
            <w:webHidden/>
          </w:rPr>
        </w:r>
        <w:r w:rsidR="00C4279C">
          <w:rPr>
            <w:noProof/>
            <w:webHidden/>
          </w:rPr>
          <w:fldChar w:fldCharType="separate"/>
        </w:r>
        <w:r w:rsidR="009C4E16">
          <w:rPr>
            <w:noProof/>
            <w:webHidden/>
          </w:rPr>
          <w:t>30</w:t>
        </w:r>
        <w:r w:rsidR="00C4279C">
          <w:rPr>
            <w:noProof/>
            <w:webHidden/>
          </w:rPr>
          <w:fldChar w:fldCharType="end"/>
        </w:r>
      </w:hyperlink>
    </w:p>
    <w:p w14:paraId="59852DF0" w14:textId="3D8FB656"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44" w:history="1">
        <w:r w:rsidR="00C4279C" w:rsidRPr="005A3DD9">
          <w:rPr>
            <w:rStyle w:val="Hyperlink"/>
            <w:rFonts w:cs="Arial"/>
            <w:iCs/>
            <w:noProof/>
          </w:rPr>
          <w:t>[1.26]</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68B (4), definition of COVID-19 emergency period</w:t>
        </w:r>
        <w:r w:rsidR="00C4279C">
          <w:rPr>
            <w:noProof/>
            <w:webHidden/>
          </w:rPr>
          <w:tab/>
        </w:r>
        <w:r w:rsidR="00C4279C">
          <w:rPr>
            <w:noProof/>
            <w:webHidden/>
          </w:rPr>
          <w:fldChar w:fldCharType="begin"/>
        </w:r>
        <w:r w:rsidR="00C4279C">
          <w:rPr>
            <w:noProof/>
            <w:webHidden/>
          </w:rPr>
          <w:instrText xml:space="preserve"> PAGEREF _Toc57197644 \h </w:instrText>
        </w:r>
        <w:r w:rsidR="00C4279C">
          <w:rPr>
            <w:noProof/>
            <w:webHidden/>
          </w:rPr>
        </w:r>
        <w:r w:rsidR="00C4279C">
          <w:rPr>
            <w:noProof/>
            <w:webHidden/>
          </w:rPr>
          <w:fldChar w:fldCharType="separate"/>
        </w:r>
        <w:r w:rsidR="009C4E16">
          <w:rPr>
            <w:noProof/>
            <w:webHidden/>
          </w:rPr>
          <w:t>30</w:t>
        </w:r>
        <w:r w:rsidR="00C4279C">
          <w:rPr>
            <w:noProof/>
            <w:webHidden/>
          </w:rPr>
          <w:fldChar w:fldCharType="end"/>
        </w:r>
      </w:hyperlink>
    </w:p>
    <w:p w14:paraId="65404141" w14:textId="2EFE8F0D"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45" w:history="1">
        <w:r w:rsidR="00C4279C" w:rsidRPr="005A3DD9">
          <w:rPr>
            <w:rStyle w:val="Hyperlink"/>
            <w:rFonts w:cs="Arial"/>
            <w:iCs/>
            <w:noProof/>
          </w:rPr>
          <w:t>[1.27]</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 68B (5)</w:t>
        </w:r>
        <w:r w:rsidR="00C4279C">
          <w:rPr>
            <w:noProof/>
            <w:webHidden/>
          </w:rPr>
          <w:tab/>
        </w:r>
        <w:r w:rsidR="00C4279C">
          <w:rPr>
            <w:noProof/>
            <w:webHidden/>
          </w:rPr>
          <w:fldChar w:fldCharType="begin"/>
        </w:r>
        <w:r w:rsidR="00C4279C">
          <w:rPr>
            <w:noProof/>
            <w:webHidden/>
          </w:rPr>
          <w:instrText xml:space="preserve"> PAGEREF _Toc57197645 \h </w:instrText>
        </w:r>
        <w:r w:rsidR="00C4279C">
          <w:rPr>
            <w:noProof/>
            <w:webHidden/>
          </w:rPr>
        </w:r>
        <w:r w:rsidR="00C4279C">
          <w:rPr>
            <w:noProof/>
            <w:webHidden/>
          </w:rPr>
          <w:fldChar w:fldCharType="separate"/>
        </w:r>
        <w:r w:rsidR="009C4E16">
          <w:rPr>
            <w:noProof/>
            <w:webHidden/>
          </w:rPr>
          <w:t>30</w:t>
        </w:r>
        <w:r w:rsidR="00C4279C">
          <w:rPr>
            <w:noProof/>
            <w:webHidden/>
          </w:rPr>
          <w:fldChar w:fldCharType="end"/>
        </w:r>
      </w:hyperlink>
    </w:p>
    <w:p w14:paraId="6D14381F" w14:textId="42BB0634" w:rsidR="00C4279C" w:rsidRDefault="00F824F3">
      <w:pPr>
        <w:pStyle w:val="TOC2"/>
        <w:tabs>
          <w:tab w:val="left" w:pos="1540"/>
          <w:tab w:val="right" w:leader="dot" w:pos="9016"/>
        </w:tabs>
        <w:rPr>
          <w:rFonts w:asciiTheme="minorHAnsi" w:eastAsiaTheme="minorEastAsia" w:hAnsiTheme="minorHAnsi" w:cstheme="minorBidi"/>
          <w:noProof/>
          <w:sz w:val="22"/>
          <w:lang w:eastAsia="en-AU"/>
        </w:rPr>
      </w:pPr>
      <w:hyperlink w:anchor="_Toc57197646" w:history="1">
        <w:r w:rsidR="00C4279C" w:rsidRPr="005A3DD9">
          <w:rPr>
            <w:rStyle w:val="Hyperlink"/>
            <w:rFonts w:cs="Arial"/>
            <w:noProof/>
          </w:rPr>
          <w:t>Part 1.16</w:t>
        </w:r>
        <w:r w:rsidR="00C4279C">
          <w:rPr>
            <w:rFonts w:asciiTheme="minorHAnsi" w:eastAsiaTheme="minorEastAsia" w:hAnsiTheme="minorHAnsi" w:cstheme="minorBidi"/>
            <w:noProof/>
            <w:sz w:val="22"/>
            <w:lang w:eastAsia="en-AU"/>
          </w:rPr>
          <w:tab/>
        </w:r>
        <w:r w:rsidR="00C4279C" w:rsidRPr="005A3DD9">
          <w:rPr>
            <w:rStyle w:val="Hyperlink"/>
            <w:rFonts w:cs="Arial"/>
            <w:noProof/>
            <w:lang w:eastAsia="en-AU"/>
          </w:rPr>
          <w:t>Working with Vulnerable People (Background Checking) Act 2011</w:t>
        </w:r>
        <w:r w:rsidR="00C4279C">
          <w:rPr>
            <w:noProof/>
            <w:webHidden/>
          </w:rPr>
          <w:tab/>
        </w:r>
        <w:r w:rsidR="00C4279C">
          <w:rPr>
            <w:noProof/>
            <w:webHidden/>
          </w:rPr>
          <w:fldChar w:fldCharType="begin"/>
        </w:r>
        <w:r w:rsidR="00C4279C">
          <w:rPr>
            <w:noProof/>
            <w:webHidden/>
          </w:rPr>
          <w:instrText xml:space="preserve"> PAGEREF _Toc57197646 \h </w:instrText>
        </w:r>
        <w:r w:rsidR="00C4279C">
          <w:rPr>
            <w:noProof/>
            <w:webHidden/>
          </w:rPr>
        </w:r>
        <w:r w:rsidR="00C4279C">
          <w:rPr>
            <w:noProof/>
            <w:webHidden/>
          </w:rPr>
          <w:fldChar w:fldCharType="separate"/>
        </w:r>
        <w:r w:rsidR="009C4E16">
          <w:rPr>
            <w:noProof/>
            <w:webHidden/>
          </w:rPr>
          <w:t>31</w:t>
        </w:r>
        <w:r w:rsidR="00C4279C">
          <w:rPr>
            <w:noProof/>
            <w:webHidden/>
          </w:rPr>
          <w:fldChar w:fldCharType="end"/>
        </w:r>
      </w:hyperlink>
    </w:p>
    <w:p w14:paraId="3BB9F17A" w14:textId="02D4DA0E" w:rsidR="00C4279C" w:rsidRDefault="00F824F3">
      <w:pPr>
        <w:pStyle w:val="TOC3"/>
        <w:tabs>
          <w:tab w:val="left" w:pos="1320"/>
          <w:tab w:val="right" w:leader="dot" w:pos="9016"/>
        </w:tabs>
        <w:rPr>
          <w:rFonts w:asciiTheme="minorHAnsi" w:eastAsiaTheme="minorEastAsia" w:hAnsiTheme="minorHAnsi" w:cstheme="minorBidi"/>
          <w:noProof/>
          <w:sz w:val="22"/>
          <w:lang w:eastAsia="en-AU"/>
        </w:rPr>
      </w:pPr>
      <w:hyperlink w:anchor="_Toc57197647" w:history="1">
        <w:r w:rsidR="00C4279C" w:rsidRPr="005A3DD9">
          <w:rPr>
            <w:rStyle w:val="Hyperlink"/>
            <w:rFonts w:cs="Arial"/>
            <w:iCs/>
            <w:noProof/>
          </w:rPr>
          <w:t>[1.28]</w:t>
        </w:r>
        <w:r w:rsidR="00C4279C">
          <w:rPr>
            <w:rFonts w:asciiTheme="minorHAnsi" w:eastAsiaTheme="minorEastAsia" w:hAnsiTheme="minorHAnsi" w:cstheme="minorBidi"/>
            <w:noProof/>
            <w:sz w:val="22"/>
            <w:lang w:eastAsia="en-AU"/>
          </w:rPr>
          <w:tab/>
        </w:r>
        <w:r w:rsidR="00C4279C" w:rsidRPr="005A3DD9">
          <w:rPr>
            <w:rStyle w:val="Hyperlink"/>
            <w:rFonts w:cs="Arial"/>
            <w:iCs/>
            <w:noProof/>
          </w:rPr>
          <w:t>Sections 60B and 60C</w:t>
        </w:r>
        <w:r w:rsidR="00C4279C">
          <w:rPr>
            <w:noProof/>
            <w:webHidden/>
          </w:rPr>
          <w:tab/>
        </w:r>
        <w:r w:rsidR="00C4279C">
          <w:rPr>
            <w:noProof/>
            <w:webHidden/>
          </w:rPr>
          <w:fldChar w:fldCharType="begin"/>
        </w:r>
        <w:r w:rsidR="00C4279C">
          <w:rPr>
            <w:noProof/>
            <w:webHidden/>
          </w:rPr>
          <w:instrText xml:space="preserve"> PAGEREF _Toc57197647 \h </w:instrText>
        </w:r>
        <w:r w:rsidR="00C4279C">
          <w:rPr>
            <w:noProof/>
            <w:webHidden/>
          </w:rPr>
        </w:r>
        <w:r w:rsidR="00C4279C">
          <w:rPr>
            <w:noProof/>
            <w:webHidden/>
          </w:rPr>
          <w:fldChar w:fldCharType="separate"/>
        </w:r>
        <w:r w:rsidR="009C4E16">
          <w:rPr>
            <w:noProof/>
            <w:webHidden/>
          </w:rPr>
          <w:t>31</w:t>
        </w:r>
        <w:r w:rsidR="00C4279C">
          <w:rPr>
            <w:noProof/>
            <w:webHidden/>
          </w:rPr>
          <w:fldChar w:fldCharType="end"/>
        </w:r>
      </w:hyperlink>
    </w:p>
    <w:p w14:paraId="46C21EC4" w14:textId="69973261" w:rsidR="00AD1E7B" w:rsidRDefault="00326167" w:rsidP="00A41830">
      <w:pPr>
        <w:rPr>
          <w:rFonts w:cs="Arial"/>
          <w:szCs w:val="24"/>
        </w:rPr>
      </w:pPr>
      <w:r w:rsidRPr="008D4BA9">
        <w:rPr>
          <w:rFonts w:cs="Arial"/>
          <w:szCs w:val="24"/>
        </w:rPr>
        <w:fldChar w:fldCharType="end"/>
      </w:r>
      <w:bookmarkStart w:id="3" w:name="_Toc426711259"/>
      <w:bookmarkStart w:id="4" w:name="_Toc429052822"/>
    </w:p>
    <w:p w14:paraId="4BEFEE05" w14:textId="473DFFCB" w:rsidR="00AD1E7B" w:rsidRDefault="00AD1E7B">
      <w:pPr>
        <w:spacing w:after="0" w:line="240" w:lineRule="auto"/>
        <w:rPr>
          <w:rFonts w:cs="Arial"/>
          <w:szCs w:val="24"/>
        </w:rPr>
      </w:pPr>
      <w:r>
        <w:rPr>
          <w:rFonts w:cs="Arial"/>
          <w:szCs w:val="24"/>
        </w:rPr>
        <w:br w:type="page"/>
      </w:r>
    </w:p>
    <w:p w14:paraId="5671B9AA" w14:textId="1F75E6A5" w:rsidR="0051718C" w:rsidRPr="008D4BA9" w:rsidRDefault="008D4BA9" w:rsidP="00F64FC3">
      <w:pPr>
        <w:pStyle w:val="Heading1"/>
        <w:keepNext w:val="0"/>
        <w:jc w:val="center"/>
        <w:rPr>
          <w:rFonts w:eastAsia="Calibri"/>
          <w:iCs/>
        </w:rPr>
      </w:pPr>
      <w:bookmarkStart w:id="5" w:name="_Toc57197590"/>
      <w:r>
        <w:lastRenderedPageBreak/>
        <w:t xml:space="preserve">COVID-19 EMERGENCY RESPONSE </w:t>
      </w:r>
      <w:r w:rsidR="005C4A42">
        <w:t>L</w:t>
      </w:r>
      <w:r>
        <w:t>EGISLATION AMENDMENT BILL 2020 (</w:t>
      </w:r>
      <w:r w:rsidR="005C4A42">
        <w:t>N</w:t>
      </w:r>
      <w:r>
        <w:t>O 3)</w:t>
      </w:r>
      <w:bookmarkEnd w:id="5"/>
    </w:p>
    <w:p w14:paraId="15C4153C" w14:textId="29D63FF2" w:rsidR="0051718C" w:rsidRPr="008D4BA9" w:rsidRDefault="0051718C" w:rsidP="00F64FC3">
      <w:pPr>
        <w:rPr>
          <w:rFonts w:cs="Arial"/>
          <w:szCs w:val="24"/>
        </w:rPr>
      </w:pPr>
      <w:r w:rsidRPr="008D4BA9">
        <w:rPr>
          <w:rFonts w:cs="Arial"/>
          <w:szCs w:val="24"/>
        </w:rPr>
        <w:t xml:space="preserve">The Bill is not a Significant Bill. Significant Bills are bills that have been assessed as likely to have significant engagement of human rights and require more detailed reasoning in relation to compatibility with the </w:t>
      </w:r>
      <w:r w:rsidRPr="008D4BA9">
        <w:rPr>
          <w:rFonts w:cs="Arial"/>
          <w:i/>
          <w:iCs/>
          <w:szCs w:val="24"/>
        </w:rPr>
        <w:t>Human Rights Act 2004</w:t>
      </w:r>
      <w:r w:rsidRPr="008D4BA9">
        <w:rPr>
          <w:rFonts w:cs="Arial"/>
          <w:szCs w:val="24"/>
        </w:rPr>
        <w:t>.</w:t>
      </w:r>
    </w:p>
    <w:p w14:paraId="46679A0A" w14:textId="77777777" w:rsidR="00B6724F" w:rsidRPr="00233B29" w:rsidRDefault="00B6724F" w:rsidP="00F64FC3">
      <w:pPr>
        <w:pStyle w:val="Heading2"/>
        <w:keepNext w:val="0"/>
        <w:rPr>
          <w:rFonts w:eastAsia="Calibri"/>
        </w:rPr>
      </w:pPr>
      <w:bookmarkStart w:id="6" w:name="_Toc46144753"/>
      <w:bookmarkStart w:id="7" w:name="_Toc57197591"/>
      <w:bookmarkEnd w:id="3"/>
      <w:bookmarkEnd w:id="4"/>
      <w:r w:rsidRPr="00233B29">
        <w:rPr>
          <w:rFonts w:eastAsia="Calibri"/>
        </w:rPr>
        <w:t>BACKGROUND</w:t>
      </w:r>
      <w:bookmarkEnd w:id="6"/>
      <w:bookmarkEnd w:id="7"/>
    </w:p>
    <w:p w14:paraId="3B614973" w14:textId="1BFD82A1" w:rsidR="00B6724F" w:rsidRPr="00B6724F" w:rsidRDefault="00B6724F" w:rsidP="00F64FC3">
      <w:pPr>
        <w:pStyle w:val="BodyText"/>
        <w:rPr>
          <w:rFonts w:cs="Arial"/>
          <w:lang w:eastAsia="en-US"/>
        </w:rPr>
      </w:pPr>
      <w:r w:rsidRPr="00B6724F">
        <w:rPr>
          <w:rFonts w:cs="Arial"/>
          <w:lang w:eastAsia="en-US"/>
        </w:rPr>
        <w:t xml:space="preserve">On 11 March 2020, the Director-General of the </w:t>
      </w:r>
      <w:r w:rsidR="0002225E">
        <w:rPr>
          <w:rFonts w:cs="Arial"/>
          <w:lang w:eastAsia="en-US"/>
        </w:rPr>
        <w:t>World Health organisation (</w:t>
      </w:r>
      <w:r w:rsidRPr="00B6724F">
        <w:rPr>
          <w:rFonts w:cs="Arial"/>
          <w:lang w:eastAsia="en-US"/>
        </w:rPr>
        <w:t>WHO</w:t>
      </w:r>
      <w:r w:rsidR="0002225E">
        <w:rPr>
          <w:rFonts w:cs="Arial"/>
          <w:lang w:eastAsia="en-US"/>
        </w:rPr>
        <w:t>)</w:t>
      </w:r>
      <w:r w:rsidRPr="00B6724F">
        <w:rPr>
          <w:rFonts w:cs="Arial"/>
          <w:lang w:eastAsia="en-US"/>
        </w:rPr>
        <w:t xml:space="preserve"> declared COVID-19</w:t>
      </w:r>
      <w:r w:rsidR="0002225E">
        <w:rPr>
          <w:rFonts w:cs="Arial"/>
          <w:lang w:eastAsia="en-US"/>
        </w:rPr>
        <w:t xml:space="preserve"> (a new strain of coronavirus)</w:t>
      </w:r>
      <w:r w:rsidRPr="00B6724F">
        <w:rPr>
          <w:rFonts w:cs="Arial"/>
          <w:lang w:eastAsia="en-US"/>
        </w:rPr>
        <w:t xml:space="preserve"> a global pandemic. The WHO requested that every country urgently take necessary measures to ready emergency response systems.</w:t>
      </w:r>
    </w:p>
    <w:p w14:paraId="1E4B821E" w14:textId="65C98129" w:rsidR="00B6724F" w:rsidRPr="00B6724F" w:rsidRDefault="00B6724F" w:rsidP="00F64FC3">
      <w:pPr>
        <w:pStyle w:val="BodyText"/>
        <w:rPr>
          <w:rFonts w:cs="Arial"/>
          <w:lang w:eastAsia="en-US"/>
        </w:rPr>
      </w:pPr>
      <w:r w:rsidRPr="00B6724F">
        <w:rPr>
          <w:rFonts w:cs="Arial"/>
          <w:lang w:eastAsia="en-US"/>
        </w:rPr>
        <w:t xml:space="preserve">On 16 March 2020, the Minister for Health declared a public health emergency under section 119 of the </w:t>
      </w:r>
      <w:r w:rsidRPr="00B6724F">
        <w:rPr>
          <w:rFonts w:cs="Arial"/>
          <w:i/>
          <w:iCs/>
          <w:lang w:eastAsia="en-US"/>
        </w:rPr>
        <w:t>Public Health Act 1997</w:t>
      </w:r>
      <w:r w:rsidRPr="00B6724F">
        <w:rPr>
          <w:rFonts w:cs="Arial"/>
          <w:lang w:eastAsia="en-US"/>
        </w:rPr>
        <w:t xml:space="preserve"> due to the public health risk to the ACT community posed by COVID-19.</w:t>
      </w:r>
      <w:r w:rsidR="00CC3FCD">
        <w:rPr>
          <w:rFonts w:cs="Arial"/>
          <w:lang w:eastAsia="en-US"/>
        </w:rPr>
        <w:t xml:space="preserve"> On 17 November 2020, the Minister for Health further extended the </w:t>
      </w:r>
      <w:r w:rsidR="00CC3FCD" w:rsidRPr="00CC3FCD">
        <w:rPr>
          <w:rFonts w:cs="Arial"/>
          <w:lang w:eastAsia="en-US"/>
        </w:rPr>
        <w:t>Public Health (Emergency) Declaration 2020 (No 1) [NI2020-153]</w:t>
      </w:r>
      <w:r w:rsidR="00CC3FCD">
        <w:rPr>
          <w:rFonts w:cs="Arial"/>
          <w:lang w:eastAsia="en-US"/>
        </w:rPr>
        <w:t xml:space="preserve"> for 90 days </w:t>
      </w:r>
      <w:r w:rsidR="00875481">
        <w:rPr>
          <w:rFonts w:cs="Arial"/>
          <w:lang w:eastAsia="en-US"/>
        </w:rPr>
        <w:t xml:space="preserve">due to the ongoing public health risk posed by COVID-19. The Declaration </w:t>
      </w:r>
      <w:r w:rsidR="00CC3FCD">
        <w:rPr>
          <w:rFonts w:cs="Arial"/>
          <w:lang w:eastAsia="en-US"/>
        </w:rPr>
        <w:t>end</w:t>
      </w:r>
      <w:r w:rsidR="00875481">
        <w:rPr>
          <w:rFonts w:cs="Arial"/>
          <w:lang w:eastAsia="en-US"/>
        </w:rPr>
        <w:t>s</w:t>
      </w:r>
      <w:r w:rsidR="00CC3FCD">
        <w:rPr>
          <w:rFonts w:cs="Arial"/>
          <w:lang w:eastAsia="en-US"/>
        </w:rPr>
        <w:t xml:space="preserve"> on 17 February 2021.</w:t>
      </w:r>
    </w:p>
    <w:p w14:paraId="4D6693F0" w14:textId="3B2B890D" w:rsidR="00900735" w:rsidRDefault="00B6724F" w:rsidP="00F64FC3">
      <w:pPr>
        <w:pStyle w:val="BodyText"/>
        <w:rPr>
          <w:rFonts w:cs="Arial"/>
          <w:lang w:eastAsia="en-US"/>
        </w:rPr>
      </w:pPr>
      <w:r w:rsidRPr="00B6724F">
        <w:rPr>
          <w:rFonts w:cs="Arial"/>
          <w:lang w:eastAsia="en-US"/>
        </w:rPr>
        <w:t xml:space="preserve">As of </w:t>
      </w:r>
      <w:r w:rsidR="00751DD7" w:rsidRPr="002E5B19">
        <w:rPr>
          <w:rFonts w:cs="Arial"/>
          <w:lang w:eastAsia="en-US"/>
        </w:rPr>
        <w:t xml:space="preserve">24 </w:t>
      </w:r>
      <w:r w:rsidR="00743A33" w:rsidRPr="002E5B19">
        <w:rPr>
          <w:rFonts w:cs="Arial"/>
          <w:lang w:eastAsia="en-US"/>
        </w:rPr>
        <w:t>November 2020</w:t>
      </w:r>
      <w:r w:rsidRPr="00D1482A">
        <w:rPr>
          <w:rFonts w:cs="Arial"/>
          <w:lang w:eastAsia="en-US"/>
        </w:rPr>
        <w:t xml:space="preserve">, the WHO has reported that there are </w:t>
      </w:r>
      <w:r w:rsidR="00751DD7" w:rsidRPr="002E5B19">
        <w:rPr>
          <w:rFonts w:cs="Arial"/>
          <w:lang w:eastAsia="en-US"/>
        </w:rPr>
        <w:t>58,900,547</w:t>
      </w:r>
      <w:r w:rsidRPr="002E5B19">
        <w:rPr>
          <w:rFonts w:cs="Arial"/>
          <w:lang w:eastAsia="en-US"/>
        </w:rPr>
        <w:t xml:space="preserve"> cases of COVID-19 worldwide, and the Australian Government has reported </w:t>
      </w:r>
      <w:r w:rsidR="00743A33" w:rsidRPr="002E5B19">
        <w:rPr>
          <w:rFonts w:cs="Arial"/>
          <w:lang w:eastAsia="en-US"/>
        </w:rPr>
        <w:t>27,</w:t>
      </w:r>
      <w:r w:rsidR="00751DD7" w:rsidRPr="002E5B19">
        <w:rPr>
          <w:rFonts w:cs="Arial"/>
          <w:lang w:eastAsia="en-US"/>
        </w:rPr>
        <w:t>848</w:t>
      </w:r>
      <w:r w:rsidR="00751DD7" w:rsidRPr="00D1482A">
        <w:rPr>
          <w:rFonts w:cs="Arial"/>
          <w:lang w:eastAsia="en-US"/>
        </w:rPr>
        <w:t xml:space="preserve"> </w:t>
      </w:r>
      <w:r w:rsidRPr="002E5B19">
        <w:rPr>
          <w:rFonts w:cs="Arial"/>
          <w:lang w:eastAsia="en-US"/>
        </w:rPr>
        <w:t xml:space="preserve">confirmed cases in Australia and </w:t>
      </w:r>
      <w:r w:rsidR="00743A33" w:rsidRPr="002E5B19">
        <w:rPr>
          <w:rFonts w:cs="Arial"/>
          <w:lang w:eastAsia="en-US"/>
        </w:rPr>
        <w:t>907</w:t>
      </w:r>
      <w:r w:rsidRPr="00D1482A">
        <w:rPr>
          <w:rFonts w:cs="Arial"/>
          <w:lang w:eastAsia="en-US"/>
        </w:rPr>
        <w:t xml:space="preserve"> deaths as a result of COVID-19. As of </w:t>
      </w:r>
      <w:r w:rsidR="00751DD7" w:rsidRPr="002E5B19">
        <w:rPr>
          <w:rFonts w:cs="Arial"/>
          <w:lang w:eastAsia="en-US"/>
        </w:rPr>
        <w:t xml:space="preserve">24 </w:t>
      </w:r>
      <w:r w:rsidR="00743A33" w:rsidRPr="002E5B19">
        <w:rPr>
          <w:rFonts w:cs="Arial"/>
          <w:lang w:eastAsia="en-US"/>
        </w:rPr>
        <w:t>November</w:t>
      </w:r>
      <w:r w:rsidRPr="002E5B19">
        <w:rPr>
          <w:rFonts w:cs="Arial"/>
          <w:lang w:eastAsia="en-US"/>
        </w:rPr>
        <w:t xml:space="preserve"> 2020</w:t>
      </w:r>
      <w:r w:rsidRPr="00D1482A">
        <w:rPr>
          <w:rFonts w:cs="Arial"/>
          <w:lang w:eastAsia="en-US"/>
        </w:rPr>
        <w:t xml:space="preserve">, the ACT had </w:t>
      </w:r>
      <w:r w:rsidRPr="002E5B19">
        <w:rPr>
          <w:rFonts w:cs="Arial"/>
          <w:lang w:eastAsia="en-US"/>
        </w:rPr>
        <w:t>11</w:t>
      </w:r>
      <w:r w:rsidR="00751DD7" w:rsidRPr="002E5B19">
        <w:rPr>
          <w:rFonts w:cs="Arial"/>
          <w:lang w:eastAsia="en-US"/>
        </w:rPr>
        <w:t>5</w:t>
      </w:r>
      <w:r w:rsidRPr="00D1482A">
        <w:rPr>
          <w:rFonts w:cs="Arial"/>
          <w:lang w:eastAsia="en-US"/>
        </w:rPr>
        <w:t xml:space="preserve"> confirmed cases and </w:t>
      </w:r>
      <w:r w:rsidRPr="002E5B19">
        <w:rPr>
          <w:rFonts w:cs="Arial"/>
          <w:lang w:eastAsia="en-US"/>
        </w:rPr>
        <w:t>3</w:t>
      </w:r>
      <w:r w:rsidRPr="00D1482A">
        <w:rPr>
          <w:rFonts w:cs="Arial"/>
          <w:lang w:eastAsia="en-US"/>
        </w:rPr>
        <w:t xml:space="preserve"> people had died from COVID-</w:t>
      </w:r>
      <w:r w:rsidR="00743A33" w:rsidRPr="002E5B19">
        <w:rPr>
          <w:rFonts w:cs="Arial"/>
          <w:lang w:eastAsia="en-US"/>
        </w:rPr>
        <w:t>19.</w:t>
      </w:r>
      <w:r w:rsidR="004D1BDC" w:rsidRPr="002E5B19">
        <w:rPr>
          <w:rFonts w:cs="Arial"/>
          <w:lang w:eastAsia="en-US"/>
        </w:rPr>
        <w:t xml:space="preserve"> Internationally, COVID</w:t>
      </w:r>
      <w:r w:rsidR="004D1BDC">
        <w:rPr>
          <w:rFonts w:cs="Arial"/>
          <w:lang w:eastAsia="en-US"/>
        </w:rPr>
        <w:t>-19 continues to place significant strain on communities and health systems with a number of countries experienc</w:t>
      </w:r>
      <w:r w:rsidR="00B71C12">
        <w:rPr>
          <w:rFonts w:cs="Arial"/>
          <w:lang w:eastAsia="en-US"/>
        </w:rPr>
        <w:t>ing</w:t>
      </w:r>
      <w:r w:rsidR="004D1BDC">
        <w:rPr>
          <w:rFonts w:cs="Arial"/>
          <w:lang w:eastAsia="en-US"/>
        </w:rPr>
        <w:t xml:space="preserve"> second waves of the COVID-19 transmission.</w:t>
      </w:r>
    </w:p>
    <w:p w14:paraId="647CCAEE" w14:textId="05BD6209" w:rsidR="0030585F" w:rsidRPr="005C4A42" w:rsidRDefault="00164DE0" w:rsidP="005C4A42">
      <w:pPr>
        <w:pStyle w:val="Heading2"/>
        <w:rPr>
          <w:rFonts w:eastAsia="Calibri"/>
        </w:rPr>
      </w:pPr>
      <w:bookmarkStart w:id="8" w:name="_Toc57197592"/>
      <w:r w:rsidRPr="005C4A42">
        <w:rPr>
          <w:rFonts w:eastAsia="Calibri"/>
        </w:rPr>
        <w:t>OVERVIEW OF THE BILL</w:t>
      </w:r>
      <w:bookmarkEnd w:id="8"/>
    </w:p>
    <w:p w14:paraId="709BD786" w14:textId="77777777" w:rsidR="00F968B3" w:rsidRDefault="00B6724F" w:rsidP="00F64FC3">
      <w:pPr>
        <w:autoSpaceDE w:val="0"/>
        <w:autoSpaceDN w:val="0"/>
        <w:adjustRightInd w:val="0"/>
        <w:spacing w:before="240" w:after="120"/>
        <w:rPr>
          <w:rFonts w:cs="Arial"/>
          <w:szCs w:val="24"/>
        </w:rPr>
      </w:pPr>
      <w:r>
        <w:rPr>
          <w:rFonts w:cs="Arial"/>
          <w:szCs w:val="24"/>
        </w:rPr>
        <w:t xml:space="preserve">The </w:t>
      </w:r>
      <w:r>
        <w:rPr>
          <w:rFonts w:cs="Arial"/>
          <w:i/>
          <w:iCs/>
          <w:szCs w:val="24"/>
        </w:rPr>
        <w:t>COVID-19 Emergency Response Legislation Amendment Bill 2020 (No 3)</w:t>
      </w:r>
      <w:r>
        <w:rPr>
          <w:rFonts w:cs="Arial"/>
          <w:szCs w:val="24"/>
        </w:rPr>
        <w:t xml:space="preserve"> </w:t>
      </w:r>
      <w:r w:rsidR="004D1BDC">
        <w:rPr>
          <w:rFonts w:cs="Arial"/>
          <w:szCs w:val="24"/>
        </w:rPr>
        <w:t>is the fourth in a series of omnibus COVID-19 Bills</w:t>
      </w:r>
      <w:r w:rsidR="00B71C12">
        <w:rPr>
          <w:rFonts w:cs="Arial"/>
          <w:szCs w:val="24"/>
        </w:rPr>
        <w:t xml:space="preserve">. The primary purpose of the Bill is to </w:t>
      </w:r>
      <w:r>
        <w:rPr>
          <w:rFonts w:cs="Arial"/>
          <w:szCs w:val="24"/>
        </w:rPr>
        <w:t>extend</w:t>
      </w:r>
      <w:r w:rsidR="00B71C12">
        <w:rPr>
          <w:rFonts w:cs="Arial"/>
          <w:szCs w:val="24"/>
        </w:rPr>
        <w:t xml:space="preserve"> certain</w:t>
      </w:r>
      <w:r>
        <w:rPr>
          <w:rFonts w:cs="Arial"/>
          <w:szCs w:val="24"/>
        </w:rPr>
        <w:t xml:space="preserve"> </w:t>
      </w:r>
      <w:r w:rsidR="00832944">
        <w:rPr>
          <w:rFonts w:cs="Arial"/>
          <w:szCs w:val="24"/>
        </w:rPr>
        <w:t xml:space="preserve">existing </w:t>
      </w:r>
      <w:r>
        <w:rPr>
          <w:rFonts w:cs="Arial"/>
          <w:szCs w:val="24"/>
        </w:rPr>
        <w:t>COVID-19</w:t>
      </w:r>
      <w:r w:rsidR="00832944">
        <w:rPr>
          <w:rFonts w:cs="Arial"/>
          <w:szCs w:val="24"/>
        </w:rPr>
        <w:t xml:space="preserve"> legislative</w:t>
      </w:r>
      <w:r>
        <w:rPr>
          <w:rFonts w:cs="Arial"/>
          <w:szCs w:val="24"/>
        </w:rPr>
        <w:t xml:space="preserve"> measures </w:t>
      </w:r>
      <w:r w:rsidR="00832944">
        <w:rPr>
          <w:rFonts w:cs="Arial"/>
          <w:szCs w:val="24"/>
        </w:rPr>
        <w:t>adopted with</w:t>
      </w:r>
      <w:r>
        <w:rPr>
          <w:rFonts w:cs="Arial"/>
          <w:szCs w:val="24"/>
        </w:rPr>
        <w:t xml:space="preserve"> the </w:t>
      </w:r>
      <w:r>
        <w:rPr>
          <w:rFonts w:cs="Arial"/>
          <w:i/>
          <w:iCs/>
          <w:szCs w:val="24"/>
        </w:rPr>
        <w:t>COVID-19 Emergency Response Act 2020</w:t>
      </w:r>
      <w:r>
        <w:rPr>
          <w:rFonts w:cs="Arial"/>
          <w:szCs w:val="24"/>
        </w:rPr>
        <w:t xml:space="preserve"> </w:t>
      </w:r>
      <w:r w:rsidR="00710775">
        <w:rPr>
          <w:rFonts w:cs="Arial"/>
          <w:szCs w:val="24"/>
        </w:rPr>
        <w:t xml:space="preserve">and </w:t>
      </w:r>
      <w:r>
        <w:rPr>
          <w:rFonts w:cs="Arial"/>
          <w:i/>
          <w:iCs/>
          <w:szCs w:val="24"/>
        </w:rPr>
        <w:t>COVID-19 Emergency Response</w:t>
      </w:r>
      <w:r w:rsidR="00900735">
        <w:rPr>
          <w:rFonts w:cs="Arial"/>
          <w:i/>
          <w:iCs/>
          <w:szCs w:val="24"/>
        </w:rPr>
        <w:t xml:space="preserve"> </w:t>
      </w:r>
      <w:r>
        <w:rPr>
          <w:rFonts w:cs="Arial"/>
          <w:i/>
          <w:iCs/>
          <w:szCs w:val="24"/>
        </w:rPr>
        <w:t>Legislation Amendment Act 2020</w:t>
      </w:r>
      <w:r w:rsidR="00710775">
        <w:rPr>
          <w:rFonts w:cs="Arial"/>
          <w:szCs w:val="24"/>
        </w:rPr>
        <w:t xml:space="preserve"> </w:t>
      </w:r>
      <w:r w:rsidR="00F968B3">
        <w:rPr>
          <w:rFonts w:cs="Arial"/>
          <w:szCs w:val="24"/>
        </w:rPr>
        <w:t xml:space="preserve">to ensure that the ACT Government continues to meet the needs of the community in the context of the COVID-19 pandemic. </w:t>
      </w:r>
    </w:p>
    <w:p w14:paraId="79855700" w14:textId="65E53B32" w:rsidR="00470149" w:rsidRDefault="00F968B3" w:rsidP="00470149">
      <w:pPr>
        <w:autoSpaceDE w:val="0"/>
        <w:autoSpaceDN w:val="0"/>
        <w:adjustRightInd w:val="0"/>
        <w:spacing w:before="240" w:after="120"/>
        <w:rPr>
          <w:rFonts w:cs="Arial"/>
          <w:szCs w:val="24"/>
        </w:rPr>
      </w:pPr>
      <w:r>
        <w:rPr>
          <w:rFonts w:cs="Arial"/>
          <w:szCs w:val="24"/>
        </w:rPr>
        <w:t xml:space="preserve">The Bill extends measures </w:t>
      </w:r>
      <w:r w:rsidR="00832944">
        <w:rPr>
          <w:rFonts w:cs="Arial"/>
          <w:szCs w:val="24"/>
        </w:rPr>
        <w:t>that are due to expire</w:t>
      </w:r>
      <w:r w:rsidR="00914B66">
        <w:rPr>
          <w:rFonts w:cs="Arial"/>
          <w:szCs w:val="24"/>
        </w:rPr>
        <w:t xml:space="preserve"> and </w:t>
      </w:r>
      <w:r w:rsidR="00832944">
        <w:rPr>
          <w:rFonts w:cs="Arial"/>
          <w:szCs w:val="24"/>
        </w:rPr>
        <w:t>are necessary to continue.</w:t>
      </w:r>
      <w:r w:rsidR="00CC3FCD">
        <w:rPr>
          <w:rFonts w:cs="Arial"/>
          <w:szCs w:val="24"/>
        </w:rPr>
        <w:t xml:space="preserve"> </w:t>
      </w:r>
      <w:r w:rsidR="004772B0">
        <w:rPr>
          <w:rFonts w:cs="Arial"/>
          <w:szCs w:val="24"/>
        </w:rPr>
        <w:t xml:space="preserve"> </w:t>
      </w:r>
    </w:p>
    <w:p w14:paraId="0B679C68" w14:textId="20B6A90E" w:rsidR="00470149" w:rsidRDefault="00B71C12" w:rsidP="00470149">
      <w:pPr>
        <w:autoSpaceDE w:val="0"/>
        <w:autoSpaceDN w:val="0"/>
        <w:adjustRightInd w:val="0"/>
        <w:spacing w:before="240" w:after="120"/>
        <w:rPr>
          <w:rFonts w:cs="Arial"/>
          <w:szCs w:val="24"/>
        </w:rPr>
      </w:pPr>
      <w:r>
        <w:rPr>
          <w:rFonts w:cs="Arial"/>
          <w:szCs w:val="24"/>
        </w:rPr>
        <w:t xml:space="preserve">The </w:t>
      </w:r>
      <w:r w:rsidR="00470149">
        <w:rPr>
          <w:rFonts w:cs="Arial"/>
          <w:szCs w:val="24"/>
        </w:rPr>
        <w:t xml:space="preserve">COVID-19 measures </w:t>
      </w:r>
      <w:r w:rsidR="006D0C3F">
        <w:rPr>
          <w:rFonts w:cs="Arial"/>
          <w:szCs w:val="24"/>
        </w:rPr>
        <w:t xml:space="preserve">to be extended </w:t>
      </w:r>
      <w:r w:rsidR="00470149">
        <w:rPr>
          <w:rFonts w:cs="Arial"/>
          <w:szCs w:val="24"/>
        </w:rPr>
        <w:t>remain temporary. Generally,</w:t>
      </w:r>
      <w:r w:rsidR="00B11283">
        <w:rPr>
          <w:rFonts w:cs="Arial"/>
          <w:szCs w:val="24"/>
        </w:rPr>
        <w:t xml:space="preserve"> amendments to the </w:t>
      </w:r>
      <w:r w:rsidR="00470149">
        <w:rPr>
          <w:rFonts w:cs="Arial"/>
          <w:szCs w:val="24"/>
        </w:rPr>
        <w:t xml:space="preserve">expiry provisions of COVID-19 measures align with the expiry of the </w:t>
      </w:r>
      <w:r w:rsidR="00470149" w:rsidRPr="00B11283">
        <w:rPr>
          <w:rFonts w:cs="Arial"/>
          <w:szCs w:val="24"/>
        </w:rPr>
        <w:t>COVID-19 Emergency Response Act</w:t>
      </w:r>
      <w:r w:rsidR="00470149">
        <w:rPr>
          <w:rFonts w:cs="Arial"/>
          <w:szCs w:val="24"/>
        </w:rPr>
        <w:t xml:space="preserve">, </w:t>
      </w:r>
      <w:r w:rsidR="004772B0">
        <w:rPr>
          <w:rFonts w:cs="Arial"/>
          <w:szCs w:val="24"/>
        </w:rPr>
        <w:t>which</w:t>
      </w:r>
      <w:r w:rsidR="00470149">
        <w:rPr>
          <w:rFonts w:cs="Arial"/>
          <w:szCs w:val="24"/>
        </w:rPr>
        <w:t xml:space="preserve"> will expire at the end of a 12-month period during which no COVID-19 public health emergency declaration has been in force.</w:t>
      </w:r>
    </w:p>
    <w:p w14:paraId="049CAE02" w14:textId="3A609762" w:rsidR="00F04116" w:rsidRPr="00F04116" w:rsidRDefault="00F04116" w:rsidP="00F64FC3">
      <w:pPr>
        <w:autoSpaceDE w:val="0"/>
        <w:autoSpaceDN w:val="0"/>
        <w:adjustRightInd w:val="0"/>
        <w:spacing w:before="240" w:after="120"/>
        <w:rPr>
          <w:rFonts w:cs="Arial"/>
          <w:szCs w:val="24"/>
        </w:rPr>
      </w:pPr>
      <w:bookmarkStart w:id="9" w:name="_Hlk55466016"/>
      <w:r w:rsidRPr="00F04116">
        <w:rPr>
          <w:rFonts w:cs="Arial"/>
          <w:szCs w:val="24"/>
        </w:rPr>
        <w:t xml:space="preserve">The Bill </w:t>
      </w:r>
      <w:r w:rsidR="006C416C">
        <w:rPr>
          <w:rFonts w:cs="Arial"/>
          <w:szCs w:val="24"/>
        </w:rPr>
        <w:t xml:space="preserve">amends </w:t>
      </w:r>
      <w:r w:rsidRPr="00F04116">
        <w:rPr>
          <w:rFonts w:cs="Arial"/>
          <w:szCs w:val="24"/>
        </w:rPr>
        <w:t xml:space="preserve">COVID-19 </w:t>
      </w:r>
      <w:r w:rsidR="005C5A64">
        <w:rPr>
          <w:rFonts w:cs="Arial"/>
          <w:szCs w:val="24"/>
        </w:rPr>
        <w:t xml:space="preserve">legislative </w:t>
      </w:r>
      <w:r w:rsidRPr="00F04116">
        <w:rPr>
          <w:rFonts w:cs="Arial"/>
          <w:szCs w:val="24"/>
        </w:rPr>
        <w:t>measures under the</w:t>
      </w:r>
      <w:r w:rsidR="00160A62">
        <w:rPr>
          <w:rFonts w:cs="Arial"/>
          <w:szCs w:val="24"/>
        </w:rPr>
        <w:t xml:space="preserve"> following Acts</w:t>
      </w:r>
      <w:r w:rsidRPr="00F04116">
        <w:rPr>
          <w:rFonts w:cs="Arial"/>
          <w:szCs w:val="24"/>
        </w:rPr>
        <w:t>:</w:t>
      </w:r>
    </w:p>
    <w:p w14:paraId="5BD991CB" w14:textId="6B143ACB" w:rsidR="004772B0" w:rsidRPr="004772B0" w:rsidRDefault="00F04116" w:rsidP="00C057FF">
      <w:pPr>
        <w:pStyle w:val="ListParagraph"/>
        <w:numPr>
          <w:ilvl w:val="0"/>
          <w:numId w:val="3"/>
        </w:numPr>
        <w:autoSpaceDE w:val="0"/>
        <w:autoSpaceDN w:val="0"/>
        <w:adjustRightInd w:val="0"/>
        <w:spacing w:before="240" w:after="120"/>
        <w:rPr>
          <w:rFonts w:cs="Arial"/>
          <w:sz w:val="24"/>
          <w:szCs w:val="24"/>
        </w:rPr>
      </w:pPr>
      <w:r w:rsidRPr="00D720C9">
        <w:rPr>
          <w:rFonts w:cs="Arial"/>
          <w:i/>
          <w:iCs/>
          <w:sz w:val="24"/>
          <w:szCs w:val="24"/>
        </w:rPr>
        <w:lastRenderedPageBreak/>
        <w:t>Associations Incorporation Act 199</w:t>
      </w:r>
      <w:r w:rsidR="004772B0">
        <w:rPr>
          <w:rFonts w:cs="Arial"/>
          <w:i/>
          <w:iCs/>
          <w:sz w:val="24"/>
          <w:szCs w:val="24"/>
        </w:rPr>
        <w:t>1</w:t>
      </w:r>
      <w:r w:rsidR="00B11283">
        <w:rPr>
          <w:rFonts w:cs="Arial"/>
          <w:sz w:val="24"/>
          <w:szCs w:val="24"/>
        </w:rPr>
        <w:t>;</w:t>
      </w:r>
    </w:p>
    <w:p w14:paraId="7D0063BB" w14:textId="0220690C"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4772B0">
        <w:rPr>
          <w:rFonts w:cs="Arial"/>
          <w:i/>
          <w:iCs/>
          <w:sz w:val="24"/>
          <w:szCs w:val="24"/>
        </w:rPr>
        <w:t>Bail Act 1992</w:t>
      </w:r>
      <w:r w:rsidR="00B11283">
        <w:rPr>
          <w:rFonts w:cs="Arial"/>
          <w:sz w:val="24"/>
          <w:szCs w:val="24"/>
        </w:rPr>
        <w:t>;</w:t>
      </w:r>
    </w:p>
    <w:p w14:paraId="08DC5C66" w14:textId="306AA908" w:rsidR="00181256" w:rsidRPr="00D720C9" w:rsidRDefault="0018125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Corrections Management Act 2007</w:t>
      </w:r>
      <w:r w:rsidR="00B11283">
        <w:rPr>
          <w:rFonts w:cs="Arial"/>
          <w:sz w:val="24"/>
          <w:szCs w:val="24"/>
        </w:rPr>
        <w:t>;</w:t>
      </w:r>
    </w:p>
    <w:p w14:paraId="05641DF9" w14:textId="4620A4E9"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02225E">
        <w:rPr>
          <w:rFonts w:cs="Arial"/>
          <w:i/>
          <w:iCs/>
          <w:sz w:val="24"/>
          <w:szCs w:val="24"/>
        </w:rPr>
        <w:t>COVID-19 Emergency Response Act</w:t>
      </w:r>
      <w:r w:rsidR="00585525" w:rsidRPr="0002225E">
        <w:rPr>
          <w:rFonts w:cs="Arial"/>
          <w:i/>
          <w:iCs/>
          <w:sz w:val="24"/>
          <w:szCs w:val="24"/>
        </w:rPr>
        <w:t xml:space="preserve"> 2020</w:t>
      </w:r>
      <w:r w:rsidRPr="00B11283">
        <w:rPr>
          <w:rFonts w:cs="Arial"/>
          <w:sz w:val="24"/>
          <w:szCs w:val="24"/>
        </w:rPr>
        <w:t>;</w:t>
      </w:r>
    </w:p>
    <w:p w14:paraId="6EC0D71C" w14:textId="06E3702E"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Crimes Act 1900</w:t>
      </w:r>
      <w:r w:rsidR="00B11283">
        <w:rPr>
          <w:rFonts w:cs="Arial"/>
          <w:sz w:val="24"/>
          <w:szCs w:val="24"/>
        </w:rPr>
        <w:t>;</w:t>
      </w:r>
    </w:p>
    <w:p w14:paraId="40320D55" w14:textId="5E5337C7"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Crimes (Sentence Administration) Act 2005</w:t>
      </w:r>
      <w:r w:rsidR="00B11283">
        <w:rPr>
          <w:rFonts w:cs="Arial"/>
          <w:sz w:val="24"/>
          <w:szCs w:val="24"/>
        </w:rPr>
        <w:t>;</w:t>
      </w:r>
    </w:p>
    <w:p w14:paraId="45D797C0" w14:textId="398FA76F"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Crimes (Sentencing) Act 2005</w:t>
      </w:r>
      <w:r w:rsidR="00B11283">
        <w:rPr>
          <w:rFonts w:cs="Arial"/>
          <w:sz w:val="24"/>
          <w:szCs w:val="24"/>
        </w:rPr>
        <w:t>;</w:t>
      </w:r>
    </w:p>
    <w:p w14:paraId="5406F7FD" w14:textId="57171481"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Drugs of Dependence Act 1989</w:t>
      </w:r>
      <w:r w:rsidR="00B11283">
        <w:rPr>
          <w:rFonts w:cs="Arial"/>
          <w:sz w:val="24"/>
          <w:szCs w:val="24"/>
        </w:rPr>
        <w:t>;</w:t>
      </w:r>
    </w:p>
    <w:p w14:paraId="164DA21C" w14:textId="2B7A8822"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Education Act 2004</w:t>
      </w:r>
      <w:r w:rsidR="00B11283">
        <w:rPr>
          <w:rFonts w:cs="Arial"/>
          <w:sz w:val="24"/>
          <w:szCs w:val="24"/>
        </w:rPr>
        <w:t>;</w:t>
      </w:r>
    </w:p>
    <w:p w14:paraId="29A46680" w14:textId="16C55014"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Evidence (Miscellaneous Provisions) Act 1991</w:t>
      </w:r>
      <w:r w:rsidR="00B11283">
        <w:rPr>
          <w:rFonts w:cs="Arial"/>
          <w:sz w:val="24"/>
          <w:szCs w:val="24"/>
        </w:rPr>
        <w:t>;</w:t>
      </w:r>
    </w:p>
    <w:p w14:paraId="620020B2" w14:textId="2A9DCCEF" w:rsidR="00F04116" w:rsidRPr="004772B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Family Violence Act 2016</w:t>
      </w:r>
      <w:r w:rsidR="00B11283">
        <w:rPr>
          <w:rFonts w:cs="Arial"/>
          <w:sz w:val="24"/>
          <w:szCs w:val="24"/>
        </w:rPr>
        <w:t>;</w:t>
      </w:r>
    </w:p>
    <w:p w14:paraId="08252A65" w14:textId="02CBB31C" w:rsidR="00B11283" w:rsidRPr="00B11283"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Gaming Machine Regulation 2004</w:t>
      </w:r>
      <w:r w:rsidR="00B11283">
        <w:rPr>
          <w:rFonts w:cs="Arial"/>
          <w:sz w:val="24"/>
          <w:szCs w:val="24"/>
        </w:rPr>
        <w:t>;</w:t>
      </w:r>
    </w:p>
    <w:p w14:paraId="05AF1329" w14:textId="5BA2FB2F" w:rsidR="00C55BE0"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Personal Violence Act 2016</w:t>
      </w:r>
      <w:r w:rsidR="00B11283">
        <w:rPr>
          <w:rFonts w:cs="Arial"/>
          <w:sz w:val="24"/>
          <w:szCs w:val="24"/>
        </w:rPr>
        <w:t>;</w:t>
      </w:r>
    </w:p>
    <w:p w14:paraId="2E979156" w14:textId="168B14E4" w:rsidR="00B11283" w:rsidRDefault="00B11283" w:rsidP="00C057FF">
      <w:pPr>
        <w:pStyle w:val="ListParagraph"/>
        <w:numPr>
          <w:ilvl w:val="0"/>
          <w:numId w:val="3"/>
        </w:numPr>
        <w:autoSpaceDE w:val="0"/>
        <w:autoSpaceDN w:val="0"/>
        <w:adjustRightInd w:val="0"/>
        <w:spacing w:before="240" w:after="120"/>
        <w:rPr>
          <w:rFonts w:cs="Arial"/>
          <w:i/>
          <w:iCs/>
          <w:sz w:val="24"/>
          <w:szCs w:val="24"/>
        </w:rPr>
      </w:pPr>
      <w:r>
        <w:rPr>
          <w:rFonts w:cs="Arial"/>
          <w:i/>
          <w:iCs/>
          <w:sz w:val="24"/>
          <w:szCs w:val="24"/>
        </w:rPr>
        <w:t>Retirement Villages Act 2012</w:t>
      </w:r>
      <w:r>
        <w:rPr>
          <w:rFonts w:cs="Arial"/>
          <w:sz w:val="24"/>
          <w:szCs w:val="24"/>
        </w:rPr>
        <w:t>;</w:t>
      </w:r>
    </w:p>
    <w:p w14:paraId="2A37A40D" w14:textId="60235298" w:rsidR="00B11283" w:rsidRPr="004772B0" w:rsidRDefault="00B11283" w:rsidP="00C057FF">
      <w:pPr>
        <w:pStyle w:val="ListParagraph"/>
        <w:numPr>
          <w:ilvl w:val="0"/>
          <w:numId w:val="3"/>
        </w:numPr>
        <w:autoSpaceDE w:val="0"/>
        <w:autoSpaceDN w:val="0"/>
        <w:adjustRightInd w:val="0"/>
        <w:spacing w:before="240" w:after="120"/>
        <w:rPr>
          <w:rFonts w:cs="Arial"/>
          <w:i/>
          <w:iCs/>
          <w:sz w:val="24"/>
          <w:szCs w:val="24"/>
        </w:rPr>
      </w:pPr>
      <w:r>
        <w:rPr>
          <w:rFonts w:cs="Arial"/>
          <w:i/>
          <w:iCs/>
          <w:sz w:val="24"/>
          <w:szCs w:val="24"/>
        </w:rPr>
        <w:t>Supreme Court Act 1933</w:t>
      </w:r>
      <w:r>
        <w:rPr>
          <w:rFonts w:cs="Arial"/>
          <w:sz w:val="24"/>
          <w:szCs w:val="24"/>
        </w:rPr>
        <w:t>; and</w:t>
      </w:r>
    </w:p>
    <w:p w14:paraId="373E5BF8" w14:textId="5688031C" w:rsidR="00F04116" w:rsidRPr="0002225E" w:rsidRDefault="00F04116" w:rsidP="00C057FF">
      <w:pPr>
        <w:pStyle w:val="ListParagraph"/>
        <w:numPr>
          <w:ilvl w:val="0"/>
          <w:numId w:val="3"/>
        </w:numPr>
        <w:autoSpaceDE w:val="0"/>
        <w:autoSpaceDN w:val="0"/>
        <w:adjustRightInd w:val="0"/>
        <w:spacing w:before="240" w:after="120"/>
        <w:rPr>
          <w:rFonts w:cs="Arial"/>
          <w:i/>
          <w:iCs/>
          <w:sz w:val="24"/>
          <w:szCs w:val="24"/>
        </w:rPr>
      </w:pPr>
      <w:r w:rsidRPr="00D720C9">
        <w:rPr>
          <w:rFonts w:cs="Arial"/>
          <w:i/>
          <w:iCs/>
          <w:sz w:val="24"/>
          <w:szCs w:val="24"/>
        </w:rPr>
        <w:t>Working with Vulnerable People (Background Checking) Act 2011</w:t>
      </w:r>
      <w:r w:rsidR="00B11283">
        <w:rPr>
          <w:rFonts w:cs="Arial"/>
          <w:sz w:val="24"/>
          <w:szCs w:val="24"/>
        </w:rPr>
        <w:t>.</w:t>
      </w:r>
    </w:p>
    <w:p w14:paraId="3AEC2436" w14:textId="21FE0B93" w:rsidR="00B71C12" w:rsidRPr="00B71C12" w:rsidRDefault="00B71C12" w:rsidP="0002225E">
      <w:pPr>
        <w:autoSpaceDE w:val="0"/>
        <w:autoSpaceDN w:val="0"/>
        <w:adjustRightInd w:val="0"/>
        <w:spacing w:before="240" w:after="120"/>
        <w:rPr>
          <w:rFonts w:cs="Arial"/>
          <w:szCs w:val="24"/>
        </w:rPr>
      </w:pPr>
      <w:r w:rsidRPr="00B71C12">
        <w:rPr>
          <w:rFonts w:cs="Arial"/>
          <w:szCs w:val="24"/>
        </w:rPr>
        <w:t xml:space="preserve">The Bill also repeals two measures under the </w:t>
      </w:r>
      <w:r w:rsidRPr="00BE787E">
        <w:rPr>
          <w:rFonts w:cs="Arial"/>
          <w:i/>
          <w:iCs/>
          <w:szCs w:val="24"/>
        </w:rPr>
        <w:t>Crimes (Sentence Administration) Act</w:t>
      </w:r>
      <w:r w:rsidR="006D0C3F" w:rsidRPr="0002225E">
        <w:rPr>
          <w:rFonts w:cs="Arial"/>
          <w:i/>
          <w:iCs/>
          <w:szCs w:val="24"/>
        </w:rPr>
        <w:t> </w:t>
      </w:r>
      <w:r w:rsidRPr="00BE787E">
        <w:rPr>
          <w:rFonts w:cs="Arial"/>
          <w:i/>
          <w:iCs/>
          <w:szCs w:val="24"/>
        </w:rPr>
        <w:t>2005</w:t>
      </w:r>
      <w:r w:rsidRPr="0002225E">
        <w:rPr>
          <w:rFonts w:cs="Arial"/>
          <w:szCs w:val="24"/>
        </w:rPr>
        <w:t xml:space="preserve"> </w:t>
      </w:r>
      <w:r w:rsidRPr="00B71C12">
        <w:rPr>
          <w:rFonts w:cs="Arial"/>
          <w:szCs w:val="24"/>
        </w:rPr>
        <w:t>that are no long</w:t>
      </w:r>
      <w:r>
        <w:rPr>
          <w:rFonts w:cs="Arial"/>
          <w:szCs w:val="24"/>
        </w:rPr>
        <w:t>er</w:t>
      </w:r>
      <w:r w:rsidRPr="00B71C12">
        <w:rPr>
          <w:rFonts w:cs="Arial"/>
          <w:szCs w:val="24"/>
        </w:rPr>
        <w:t xml:space="preserve"> required</w:t>
      </w:r>
      <w:r>
        <w:rPr>
          <w:rFonts w:cs="Arial"/>
          <w:szCs w:val="24"/>
        </w:rPr>
        <w:t>.</w:t>
      </w:r>
    </w:p>
    <w:p w14:paraId="2CDEB443" w14:textId="28A4461B" w:rsidR="00B55BED" w:rsidRPr="00164DE0" w:rsidRDefault="00164DE0" w:rsidP="00B11283">
      <w:pPr>
        <w:pStyle w:val="Heading2"/>
      </w:pPr>
      <w:bookmarkStart w:id="10" w:name="_Toc57197593"/>
      <w:bookmarkStart w:id="11" w:name="_Toc426711260"/>
      <w:bookmarkStart w:id="12" w:name="_Toc429052823"/>
      <w:bookmarkEnd w:id="9"/>
      <w:r w:rsidRPr="004920E5">
        <w:t>CONSULTATION ON THE PROPOSED APPROACH</w:t>
      </w:r>
      <w:bookmarkEnd w:id="10"/>
    </w:p>
    <w:p w14:paraId="1DA0E5F4" w14:textId="507F100A" w:rsidR="004920E5" w:rsidRDefault="004920E5" w:rsidP="00F64FC3">
      <w:pPr>
        <w:autoSpaceDE w:val="0"/>
        <w:autoSpaceDN w:val="0"/>
        <w:adjustRightInd w:val="0"/>
        <w:spacing w:before="240" w:after="120"/>
        <w:rPr>
          <w:rFonts w:cs="Arial"/>
          <w:szCs w:val="24"/>
        </w:rPr>
      </w:pPr>
      <w:r>
        <w:rPr>
          <w:rFonts w:cs="Arial"/>
          <w:szCs w:val="24"/>
        </w:rPr>
        <w:t xml:space="preserve">ACT Government Directorates and </w:t>
      </w:r>
      <w:r w:rsidR="00B71C12">
        <w:rPr>
          <w:rFonts w:cs="Arial"/>
          <w:szCs w:val="24"/>
        </w:rPr>
        <w:t xml:space="preserve">justice </w:t>
      </w:r>
      <w:r>
        <w:rPr>
          <w:rFonts w:cs="Arial"/>
          <w:szCs w:val="24"/>
        </w:rPr>
        <w:t xml:space="preserve">Statutory Office Holders were consulted in the </w:t>
      </w:r>
      <w:r w:rsidR="00B71C12">
        <w:rPr>
          <w:rFonts w:cs="Arial"/>
          <w:szCs w:val="24"/>
        </w:rPr>
        <w:t xml:space="preserve">preparation </w:t>
      </w:r>
      <w:r>
        <w:rPr>
          <w:rFonts w:cs="Arial"/>
          <w:szCs w:val="24"/>
        </w:rPr>
        <w:t>of this Bill.</w:t>
      </w:r>
      <w:r w:rsidR="00D1482A">
        <w:rPr>
          <w:rFonts w:cs="Arial"/>
          <w:szCs w:val="24"/>
        </w:rPr>
        <w:t xml:space="preserve">  </w:t>
      </w:r>
      <w:r w:rsidR="002E58BA">
        <w:rPr>
          <w:rFonts w:cs="Arial"/>
          <w:szCs w:val="24"/>
        </w:rPr>
        <w:t>T</w:t>
      </w:r>
      <w:r>
        <w:rPr>
          <w:rFonts w:cs="Arial"/>
          <w:szCs w:val="24"/>
        </w:rPr>
        <w:t xml:space="preserve">he following business units were consulted in relation to suitability </w:t>
      </w:r>
      <w:r w:rsidR="004A7A37">
        <w:rPr>
          <w:rFonts w:cs="Arial"/>
          <w:szCs w:val="24"/>
        </w:rPr>
        <w:t xml:space="preserve">to extend or amend </w:t>
      </w:r>
      <w:r>
        <w:rPr>
          <w:rFonts w:cs="Arial"/>
          <w:szCs w:val="24"/>
        </w:rPr>
        <w:t xml:space="preserve">the </w:t>
      </w:r>
      <w:r w:rsidR="00CB191B">
        <w:rPr>
          <w:rFonts w:cs="Arial"/>
          <w:szCs w:val="24"/>
        </w:rPr>
        <w:t>measures</w:t>
      </w:r>
      <w:r>
        <w:rPr>
          <w:rFonts w:cs="Arial"/>
          <w:szCs w:val="24"/>
        </w:rPr>
        <w:t xml:space="preserve"> within </w:t>
      </w:r>
      <w:r w:rsidR="00696AB4">
        <w:rPr>
          <w:rFonts w:cs="Arial"/>
          <w:szCs w:val="24"/>
        </w:rPr>
        <w:t xml:space="preserve">their </w:t>
      </w:r>
      <w:r>
        <w:rPr>
          <w:rFonts w:cs="Arial"/>
          <w:szCs w:val="24"/>
        </w:rPr>
        <w:t>operational areas:</w:t>
      </w:r>
    </w:p>
    <w:p w14:paraId="6B87D696" w14:textId="23159E2C"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Access Canberra;</w:t>
      </w:r>
    </w:p>
    <w:p w14:paraId="0FAC9E78" w14:textId="77777777"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ACT Corrective Services;</w:t>
      </w:r>
    </w:p>
    <w:p w14:paraId="0F61D594" w14:textId="6757005C"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ACT Courts and Tribunal;</w:t>
      </w:r>
    </w:p>
    <w:p w14:paraId="134893B7" w14:textId="4873400A"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ACT Policing;</w:t>
      </w:r>
    </w:p>
    <w:p w14:paraId="086C8B8A" w14:textId="2986F265" w:rsidR="00585525" w:rsidRDefault="0058552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lastRenderedPageBreak/>
        <w:t>Chief Minister, Treasury and Economic Development Directorate;</w:t>
      </w:r>
    </w:p>
    <w:p w14:paraId="742F671F" w14:textId="7ED7E31C" w:rsidR="004920E5" w:rsidRP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Community Services Directorate;</w:t>
      </w:r>
    </w:p>
    <w:p w14:paraId="1AFA23B3" w14:textId="6D635748"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Education Directorate;</w:t>
      </w:r>
    </w:p>
    <w:p w14:paraId="171860CA" w14:textId="271CD601" w:rsidR="00585525" w:rsidRDefault="0058552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Human Rights Commission;</w:t>
      </w:r>
    </w:p>
    <w:p w14:paraId="0FB5B206" w14:textId="77FDA081"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Legal Aid ACT;</w:t>
      </w:r>
    </w:p>
    <w:p w14:paraId="47F46223" w14:textId="50A1E3DC" w:rsidR="004920E5" w:rsidRPr="000D371D" w:rsidRDefault="004920E5" w:rsidP="00585525">
      <w:pPr>
        <w:pStyle w:val="ListParagraph"/>
        <w:numPr>
          <w:ilvl w:val="0"/>
          <w:numId w:val="22"/>
        </w:numPr>
        <w:autoSpaceDE w:val="0"/>
        <w:autoSpaceDN w:val="0"/>
        <w:adjustRightInd w:val="0"/>
        <w:spacing w:before="240" w:after="120"/>
        <w:rPr>
          <w:rFonts w:cs="Arial"/>
          <w:szCs w:val="24"/>
        </w:rPr>
      </w:pPr>
      <w:r>
        <w:rPr>
          <w:rFonts w:cs="Arial"/>
          <w:sz w:val="24"/>
          <w:szCs w:val="24"/>
        </w:rPr>
        <w:t>Director of Public Prosecutions ACT;</w:t>
      </w:r>
      <w:r w:rsidR="00585525">
        <w:rPr>
          <w:rFonts w:cs="Arial"/>
          <w:sz w:val="24"/>
          <w:szCs w:val="24"/>
        </w:rPr>
        <w:t xml:space="preserve"> and</w:t>
      </w:r>
    </w:p>
    <w:p w14:paraId="728584CA" w14:textId="55722CF0" w:rsidR="004920E5" w:rsidRDefault="004920E5" w:rsidP="004920E5">
      <w:pPr>
        <w:pStyle w:val="ListParagraph"/>
        <w:numPr>
          <w:ilvl w:val="0"/>
          <w:numId w:val="22"/>
        </w:numPr>
        <w:autoSpaceDE w:val="0"/>
        <w:autoSpaceDN w:val="0"/>
        <w:adjustRightInd w:val="0"/>
        <w:spacing w:before="240" w:after="120"/>
        <w:rPr>
          <w:rFonts w:cs="Arial"/>
          <w:sz w:val="24"/>
          <w:szCs w:val="24"/>
        </w:rPr>
      </w:pPr>
      <w:r>
        <w:rPr>
          <w:rFonts w:cs="Arial"/>
          <w:sz w:val="24"/>
          <w:szCs w:val="24"/>
        </w:rPr>
        <w:t>Sentence Administration Board.</w:t>
      </w:r>
    </w:p>
    <w:bookmarkEnd w:id="11"/>
    <w:bookmarkEnd w:id="12"/>
    <w:p w14:paraId="77B6DB03" w14:textId="5554F706" w:rsidR="00B71C12" w:rsidRPr="00B71C12" w:rsidRDefault="00B71C12" w:rsidP="0002225E">
      <w:pPr>
        <w:autoSpaceDE w:val="0"/>
        <w:autoSpaceDN w:val="0"/>
        <w:adjustRightInd w:val="0"/>
        <w:spacing w:before="240" w:after="120"/>
        <w:rPr>
          <w:rFonts w:cs="Arial"/>
          <w:szCs w:val="24"/>
        </w:rPr>
      </w:pPr>
      <w:r w:rsidRPr="00B71C12">
        <w:rPr>
          <w:rFonts w:cs="Arial"/>
          <w:szCs w:val="24"/>
        </w:rPr>
        <w:t>The ACT Bar Association and ACT Law Society were also consulted on the draft Bill.</w:t>
      </w:r>
    </w:p>
    <w:p w14:paraId="0F6AAC2E" w14:textId="111542F8" w:rsidR="00702566" w:rsidRPr="00B11283" w:rsidRDefault="00164DE0" w:rsidP="00B11283">
      <w:pPr>
        <w:pStyle w:val="Heading2"/>
      </w:pPr>
      <w:bookmarkStart w:id="13" w:name="_Toc57197594"/>
      <w:r w:rsidRPr="00B11283">
        <w:t>CONSISTENCY WITH HUMAN RIGHTS</w:t>
      </w:r>
      <w:bookmarkEnd w:id="13"/>
    </w:p>
    <w:p w14:paraId="186CF3EB" w14:textId="03FF0E8C" w:rsidR="00585525" w:rsidRPr="00BE787E" w:rsidRDefault="00585525" w:rsidP="00D1482A">
      <w:pPr>
        <w:autoSpaceDE w:val="0"/>
        <w:autoSpaceDN w:val="0"/>
        <w:adjustRightInd w:val="0"/>
        <w:spacing w:before="240" w:after="120"/>
        <w:rPr>
          <w:bCs/>
        </w:rPr>
      </w:pPr>
      <w:r w:rsidRPr="00876E10">
        <w:rPr>
          <w:rFonts w:cs="Arial"/>
          <w:szCs w:val="24"/>
        </w:rPr>
        <w:t xml:space="preserve">Human rights engaged for all of the measures extended under the Bill </w:t>
      </w:r>
      <w:r w:rsidRPr="0002225E">
        <w:rPr>
          <w:rFonts w:cs="Arial"/>
          <w:szCs w:val="24"/>
        </w:rPr>
        <w:t xml:space="preserve">are addressed in the explanatory statements for the COVID-19 Emergency Response Bill </w:t>
      </w:r>
      <w:r w:rsidR="00332356" w:rsidRPr="0002225E">
        <w:rPr>
          <w:rFonts w:cs="Arial"/>
          <w:szCs w:val="24"/>
        </w:rPr>
        <w:t xml:space="preserve">2020 </w:t>
      </w:r>
      <w:r w:rsidRPr="0002225E">
        <w:rPr>
          <w:rFonts w:cs="Arial"/>
          <w:szCs w:val="24"/>
        </w:rPr>
        <w:t>and COVID-19 Emergenc</w:t>
      </w:r>
      <w:r w:rsidR="00332356" w:rsidRPr="0002225E">
        <w:rPr>
          <w:rFonts w:cs="Arial"/>
          <w:szCs w:val="24"/>
        </w:rPr>
        <w:t xml:space="preserve">y Response Legislation Amendment Bill 2020. </w:t>
      </w:r>
      <w:r w:rsidR="00332356" w:rsidRPr="00226D05">
        <w:rPr>
          <w:rFonts w:cs="Arial"/>
          <w:szCs w:val="24"/>
        </w:rPr>
        <w:t>This explanatory statement summari</w:t>
      </w:r>
      <w:r w:rsidR="00332356" w:rsidRPr="00A41830">
        <w:rPr>
          <w:rFonts w:cs="Arial"/>
          <w:szCs w:val="24"/>
        </w:rPr>
        <w:t>s</w:t>
      </w:r>
      <w:r w:rsidR="00B13AFF" w:rsidRPr="00A41830">
        <w:rPr>
          <w:rFonts w:cs="Arial"/>
          <w:szCs w:val="24"/>
        </w:rPr>
        <w:t>es</w:t>
      </w:r>
      <w:r w:rsidR="00332356" w:rsidRPr="00A41830">
        <w:rPr>
          <w:rFonts w:cs="Arial"/>
          <w:szCs w:val="24"/>
        </w:rPr>
        <w:t xml:space="preserve"> how </w:t>
      </w:r>
      <w:r w:rsidR="00C21623" w:rsidRPr="00A41830">
        <w:rPr>
          <w:rFonts w:cs="Arial"/>
          <w:szCs w:val="24"/>
        </w:rPr>
        <w:t xml:space="preserve">extending the measures engages human </w:t>
      </w:r>
      <w:r w:rsidR="00332356" w:rsidRPr="00A41830">
        <w:rPr>
          <w:rFonts w:cs="Arial"/>
          <w:szCs w:val="24"/>
        </w:rPr>
        <w:t>rights.</w:t>
      </w:r>
    </w:p>
    <w:p w14:paraId="34BFABF1" w14:textId="6BF9D599" w:rsidR="001E4E37" w:rsidRPr="008D4BA9" w:rsidRDefault="001E4E37" w:rsidP="00B11283">
      <w:pPr>
        <w:pStyle w:val="Heading3"/>
      </w:pPr>
      <w:bookmarkStart w:id="14" w:name="_Toc57197595"/>
      <w:r w:rsidRPr="008D4BA9">
        <w:t>Rights Engaged</w:t>
      </w:r>
      <w:bookmarkEnd w:id="14"/>
    </w:p>
    <w:p w14:paraId="0F6CCCD3" w14:textId="0CB1469A" w:rsidR="00517D6E" w:rsidRDefault="00517D6E" w:rsidP="00517D6E">
      <w:r>
        <w:t xml:space="preserve">The Bill engages and </w:t>
      </w:r>
      <w:r w:rsidR="00D72029">
        <w:t xml:space="preserve">may </w:t>
      </w:r>
      <w:r>
        <w:t xml:space="preserve">promote the following rights under the </w:t>
      </w:r>
      <w:r>
        <w:rPr>
          <w:i/>
          <w:iCs/>
        </w:rPr>
        <w:t>Human Rights Act</w:t>
      </w:r>
      <w:r w:rsidR="00585525">
        <w:rPr>
          <w:i/>
          <w:iCs/>
        </w:rPr>
        <w:t> </w:t>
      </w:r>
      <w:r>
        <w:rPr>
          <w:i/>
          <w:iCs/>
        </w:rPr>
        <w:t>2004</w:t>
      </w:r>
      <w:r>
        <w:t xml:space="preserve">, and will be discussed </w:t>
      </w:r>
      <w:r w:rsidR="004069C0">
        <w:t xml:space="preserve">under </w:t>
      </w:r>
      <w:r w:rsidR="004069C0">
        <w:rPr>
          <w:u w:val="single"/>
        </w:rPr>
        <w:t>Rights Promoted</w:t>
      </w:r>
      <w:r w:rsidR="004069C0" w:rsidRPr="004069C0">
        <w:t xml:space="preserve"> </w:t>
      </w:r>
      <w:r>
        <w:t>in detail:</w:t>
      </w:r>
    </w:p>
    <w:p w14:paraId="4045DADC" w14:textId="72D1668C" w:rsidR="009F749F" w:rsidRDefault="009F749F" w:rsidP="009F749F">
      <w:pPr>
        <w:pStyle w:val="ListParagraph"/>
        <w:numPr>
          <w:ilvl w:val="0"/>
          <w:numId w:val="10"/>
        </w:numPr>
        <w:rPr>
          <w:sz w:val="24"/>
          <w:szCs w:val="24"/>
        </w:rPr>
      </w:pPr>
      <w:r w:rsidRPr="004C5142">
        <w:rPr>
          <w:sz w:val="24"/>
          <w:szCs w:val="24"/>
        </w:rPr>
        <w:t>right to recognition and equality before the law</w:t>
      </w:r>
      <w:r>
        <w:rPr>
          <w:sz w:val="24"/>
          <w:szCs w:val="24"/>
        </w:rPr>
        <w:t xml:space="preserve"> (section 8)</w:t>
      </w:r>
      <w:r w:rsidR="004069C0">
        <w:rPr>
          <w:sz w:val="24"/>
          <w:szCs w:val="24"/>
        </w:rPr>
        <w:t>;</w:t>
      </w:r>
    </w:p>
    <w:p w14:paraId="1E6EF3DD" w14:textId="632FA841" w:rsidR="00517D6E" w:rsidRDefault="00517D6E" w:rsidP="00C057FF">
      <w:pPr>
        <w:pStyle w:val="ListParagraph"/>
        <w:numPr>
          <w:ilvl w:val="0"/>
          <w:numId w:val="10"/>
        </w:numPr>
        <w:rPr>
          <w:sz w:val="24"/>
          <w:szCs w:val="24"/>
        </w:rPr>
      </w:pPr>
      <w:r w:rsidRPr="00517D6E">
        <w:rPr>
          <w:sz w:val="24"/>
          <w:szCs w:val="24"/>
        </w:rPr>
        <w:t>right to life (section 9)</w:t>
      </w:r>
      <w:r w:rsidR="004069C0">
        <w:rPr>
          <w:sz w:val="24"/>
          <w:szCs w:val="24"/>
        </w:rPr>
        <w:t>;</w:t>
      </w:r>
    </w:p>
    <w:p w14:paraId="38042AB7" w14:textId="77777777" w:rsidR="00F4419C" w:rsidRPr="000B13EA" w:rsidRDefault="00F4419C" w:rsidP="00F4419C">
      <w:pPr>
        <w:pStyle w:val="ListParagraph"/>
        <w:numPr>
          <w:ilvl w:val="0"/>
          <w:numId w:val="10"/>
        </w:numPr>
        <w:rPr>
          <w:sz w:val="24"/>
          <w:szCs w:val="24"/>
        </w:rPr>
      </w:pPr>
      <w:r>
        <w:rPr>
          <w:sz w:val="24"/>
          <w:szCs w:val="24"/>
        </w:rPr>
        <w:t xml:space="preserve">right to </w:t>
      </w:r>
      <w:r w:rsidRPr="000B13EA">
        <w:rPr>
          <w:sz w:val="24"/>
          <w:szCs w:val="24"/>
        </w:rPr>
        <w:t>protection of the family and children (section 11);</w:t>
      </w:r>
    </w:p>
    <w:p w14:paraId="39756D63" w14:textId="57F6784A" w:rsidR="00517D6E" w:rsidRDefault="00517D6E" w:rsidP="00C057FF">
      <w:pPr>
        <w:pStyle w:val="ListParagraph"/>
        <w:numPr>
          <w:ilvl w:val="0"/>
          <w:numId w:val="10"/>
        </w:numPr>
        <w:rPr>
          <w:sz w:val="24"/>
          <w:szCs w:val="24"/>
        </w:rPr>
      </w:pPr>
      <w:r w:rsidRPr="00517D6E">
        <w:rPr>
          <w:sz w:val="24"/>
          <w:szCs w:val="24"/>
        </w:rPr>
        <w:t>right to freedom of expression (section 16</w:t>
      </w:r>
      <w:r>
        <w:rPr>
          <w:sz w:val="24"/>
          <w:szCs w:val="24"/>
        </w:rPr>
        <w:t>)</w:t>
      </w:r>
      <w:r w:rsidR="004069C0">
        <w:rPr>
          <w:sz w:val="24"/>
          <w:szCs w:val="24"/>
        </w:rPr>
        <w:t>;</w:t>
      </w:r>
    </w:p>
    <w:p w14:paraId="79D7A210" w14:textId="25718BF2" w:rsidR="0087196D" w:rsidRDefault="0087196D" w:rsidP="00C057FF">
      <w:pPr>
        <w:pStyle w:val="ListParagraph"/>
        <w:numPr>
          <w:ilvl w:val="0"/>
          <w:numId w:val="10"/>
        </w:numPr>
        <w:rPr>
          <w:sz w:val="24"/>
          <w:szCs w:val="24"/>
        </w:rPr>
      </w:pPr>
      <w:r w:rsidRPr="004E6C32">
        <w:rPr>
          <w:sz w:val="24"/>
          <w:szCs w:val="24"/>
        </w:rPr>
        <w:t>right to liberty and security of person (section 18)</w:t>
      </w:r>
      <w:r w:rsidR="004069C0">
        <w:rPr>
          <w:sz w:val="24"/>
          <w:szCs w:val="24"/>
        </w:rPr>
        <w:t>;</w:t>
      </w:r>
    </w:p>
    <w:p w14:paraId="63BDA733" w14:textId="10128D52" w:rsidR="0087196D" w:rsidRDefault="0087196D" w:rsidP="00C057FF">
      <w:pPr>
        <w:pStyle w:val="ListParagraph"/>
        <w:numPr>
          <w:ilvl w:val="0"/>
          <w:numId w:val="10"/>
        </w:numPr>
        <w:rPr>
          <w:sz w:val="24"/>
          <w:szCs w:val="24"/>
        </w:rPr>
      </w:pPr>
      <w:r>
        <w:rPr>
          <w:sz w:val="24"/>
          <w:szCs w:val="24"/>
        </w:rPr>
        <w:t>r</w:t>
      </w:r>
      <w:r w:rsidRPr="004E6C32">
        <w:rPr>
          <w:sz w:val="24"/>
          <w:szCs w:val="24"/>
        </w:rPr>
        <w:t>ight to humane treatment when deprived of liberty (section 19)</w:t>
      </w:r>
      <w:r w:rsidR="004069C0">
        <w:rPr>
          <w:sz w:val="24"/>
          <w:szCs w:val="24"/>
        </w:rPr>
        <w:t>;</w:t>
      </w:r>
    </w:p>
    <w:p w14:paraId="4B2C053A" w14:textId="32C4446D" w:rsidR="004069C0" w:rsidRDefault="004069C0" w:rsidP="004069C0">
      <w:pPr>
        <w:pStyle w:val="ListParagraph"/>
        <w:numPr>
          <w:ilvl w:val="0"/>
          <w:numId w:val="10"/>
        </w:numPr>
        <w:rPr>
          <w:sz w:val="24"/>
          <w:szCs w:val="24"/>
        </w:rPr>
      </w:pPr>
      <w:r>
        <w:rPr>
          <w:sz w:val="24"/>
          <w:szCs w:val="24"/>
        </w:rPr>
        <w:t>right to a fair trial (section 21);</w:t>
      </w:r>
    </w:p>
    <w:p w14:paraId="52DC045B" w14:textId="2E81E7EF" w:rsidR="0087196D" w:rsidRDefault="0087196D" w:rsidP="00C057FF">
      <w:pPr>
        <w:pStyle w:val="ListParagraph"/>
        <w:numPr>
          <w:ilvl w:val="0"/>
          <w:numId w:val="10"/>
        </w:numPr>
        <w:rPr>
          <w:sz w:val="24"/>
          <w:szCs w:val="24"/>
        </w:rPr>
      </w:pPr>
      <w:r w:rsidRPr="004E6C32">
        <w:rPr>
          <w:sz w:val="24"/>
          <w:szCs w:val="24"/>
        </w:rPr>
        <w:t>rights in criminal proceedings (section 22)</w:t>
      </w:r>
      <w:r w:rsidR="004069C0">
        <w:rPr>
          <w:sz w:val="24"/>
          <w:szCs w:val="24"/>
        </w:rPr>
        <w:t>;</w:t>
      </w:r>
    </w:p>
    <w:p w14:paraId="5409968F" w14:textId="4CB97214" w:rsidR="00C022A5" w:rsidRDefault="00C022A5" w:rsidP="00C057FF">
      <w:pPr>
        <w:pStyle w:val="ListParagraph"/>
        <w:numPr>
          <w:ilvl w:val="0"/>
          <w:numId w:val="10"/>
        </w:numPr>
        <w:rPr>
          <w:sz w:val="24"/>
          <w:szCs w:val="24"/>
        </w:rPr>
      </w:pPr>
      <w:r>
        <w:rPr>
          <w:sz w:val="24"/>
          <w:szCs w:val="24"/>
        </w:rPr>
        <w:t>right to education (section 27A)</w:t>
      </w:r>
      <w:r w:rsidR="004069C0">
        <w:rPr>
          <w:sz w:val="24"/>
          <w:szCs w:val="24"/>
        </w:rPr>
        <w:t>; and</w:t>
      </w:r>
    </w:p>
    <w:p w14:paraId="10D3E918" w14:textId="015A4774" w:rsidR="00D35A0C" w:rsidRDefault="00D35A0C" w:rsidP="00C057FF">
      <w:pPr>
        <w:pStyle w:val="ListParagraph"/>
        <w:numPr>
          <w:ilvl w:val="0"/>
          <w:numId w:val="10"/>
        </w:numPr>
        <w:rPr>
          <w:sz w:val="24"/>
          <w:szCs w:val="24"/>
        </w:rPr>
      </w:pPr>
      <w:r>
        <w:rPr>
          <w:sz w:val="24"/>
          <w:szCs w:val="24"/>
        </w:rPr>
        <w:t>right to work and other work-related rights (section 27B)</w:t>
      </w:r>
      <w:r w:rsidR="004069C0">
        <w:rPr>
          <w:sz w:val="24"/>
          <w:szCs w:val="24"/>
        </w:rPr>
        <w:t>.</w:t>
      </w:r>
    </w:p>
    <w:p w14:paraId="568302C7" w14:textId="77777777" w:rsidR="00D1482A" w:rsidRDefault="00D1482A" w:rsidP="00517D6E"/>
    <w:p w14:paraId="2EE4306F" w14:textId="6ADDB559" w:rsidR="00517D6E" w:rsidRDefault="00517D6E" w:rsidP="00517D6E">
      <w:r>
        <w:lastRenderedPageBreak/>
        <w:t xml:space="preserve">The Bill engages and </w:t>
      </w:r>
      <w:r w:rsidR="00D72029">
        <w:t xml:space="preserve">may </w:t>
      </w:r>
      <w:r>
        <w:t xml:space="preserve">limit the following rights under the </w:t>
      </w:r>
      <w:r w:rsidRPr="00517D6E">
        <w:t>Human Rights Act</w:t>
      </w:r>
      <w:r>
        <w:t xml:space="preserve">, and will be discussed </w:t>
      </w:r>
      <w:r w:rsidR="008B5E4A">
        <w:t xml:space="preserve">under </w:t>
      </w:r>
      <w:r w:rsidR="008B5E4A">
        <w:rPr>
          <w:u w:val="single"/>
        </w:rPr>
        <w:t>Rights Limited</w:t>
      </w:r>
      <w:r w:rsidR="008B5E4A">
        <w:t xml:space="preserve"> </w:t>
      </w:r>
      <w:r>
        <w:t>in detail:</w:t>
      </w:r>
    </w:p>
    <w:p w14:paraId="00BF954C" w14:textId="3612DC01" w:rsidR="000B13EA" w:rsidRPr="000B13EA" w:rsidRDefault="004A7A37" w:rsidP="000B13EA">
      <w:pPr>
        <w:pStyle w:val="ListParagraph"/>
        <w:numPr>
          <w:ilvl w:val="0"/>
          <w:numId w:val="11"/>
        </w:numPr>
        <w:rPr>
          <w:sz w:val="24"/>
          <w:szCs w:val="24"/>
        </w:rPr>
      </w:pPr>
      <w:r>
        <w:rPr>
          <w:sz w:val="24"/>
          <w:szCs w:val="24"/>
        </w:rPr>
        <w:t xml:space="preserve">right to </w:t>
      </w:r>
      <w:r w:rsidR="000B13EA" w:rsidRPr="000B13EA">
        <w:rPr>
          <w:sz w:val="24"/>
          <w:szCs w:val="24"/>
        </w:rPr>
        <w:t>protection of the family and children (section 11);</w:t>
      </w:r>
    </w:p>
    <w:p w14:paraId="57E0B2A4" w14:textId="30FB4E24" w:rsidR="00517D6E" w:rsidRPr="000B13EA" w:rsidRDefault="00E52981" w:rsidP="00C057FF">
      <w:pPr>
        <w:pStyle w:val="ListParagraph"/>
        <w:numPr>
          <w:ilvl w:val="0"/>
          <w:numId w:val="11"/>
        </w:numPr>
        <w:rPr>
          <w:sz w:val="24"/>
          <w:szCs w:val="24"/>
        </w:rPr>
      </w:pPr>
      <w:r w:rsidRPr="000B13EA">
        <w:rPr>
          <w:sz w:val="24"/>
          <w:szCs w:val="24"/>
        </w:rPr>
        <w:t>right to liberty and security of person</w:t>
      </w:r>
      <w:r w:rsidR="000B13EA" w:rsidRPr="000B13EA">
        <w:rPr>
          <w:sz w:val="24"/>
          <w:szCs w:val="24"/>
        </w:rPr>
        <w:t xml:space="preserve"> (section 18)</w:t>
      </w:r>
      <w:r w:rsidRPr="000B13EA">
        <w:rPr>
          <w:sz w:val="24"/>
          <w:szCs w:val="24"/>
        </w:rPr>
        <w:t>;</w:t>
      </w:r>
    </w:p>
    <w:p w14:paraId="6477944F" w14:textId="59EBBA56" w:rsidR="00E52981" w:rsidRPr="000B13EA" w:rsidRDefault="00E52981" w:rsidP="00C057FF">
      <w:pPr>
        <w:pStyle w:val="ListParagraph"/>
        <w:numPr>
          <w:ilvl w:val="0"/>
          <w:numId w:val="11"/>
        </w:numPr>
        <w:rPr>
          <w:sz w:val="24"/>
          <w:szCs w:val="24"/>
        </w:rPr>
      </w:pPr>
      <w:r w:rsidRPr="000B13EA">
        <w:rPr>
          <w:sz w:val="24"/>
          <w:szCs w:val="24"/>
        </w:rPr>
        <w:t>right to humane treatment</w:t>
      </w:r>
      <w:r w:rsidR="000B13EA" w:rsidRPr="000B13EA">
        <w:rPr>
          <w:sz w:val="24"/>
          <w:szCs w:val="24"/>
        </w:rPr>
        <w:t xml:space="preserve"> when deprived of liberty (section 19)</w:t>
      </w:r>
      <w:r w:rsidR="008B7558" w:rsidRPr="000B13EA">
        <w:rPr>
          <w:sz w:val="24"/>
          <w:szCs w:val="24"/>
        </w:rPr>
        <w:t>;</w:t>
      </w:r>
    </w:p>
    <w:p w14:paraId="1CE11216" w14:textId="3B4B01FA" w:rsidR="008B7558" w:rsidRDefault="008B7558" w:rsidP="00C057FF">
      <w:pPr>
        <w:pStyle w:val="ListParagraph"/>
        <w:numPr>
          <w:ilvl w:val="0"/>
          <w:numId w:val="11"/>
        </w:numPr>
        <w:rPr>
          <w:sz w:val="24"/>
          <w:szCs w:val="24"/>
        </w:rPr>
      </w:pPr>
      <w:r w:rsidRPr="000B13EA">
        <w:rPr>
          <w:sz w:val="24"/>
          <w:szCs w:val="24"/>
        </w:rPr>
        <w:t>right to a fair trial</w:t>
      </w:r>
      <w:r w:rsidR="000B13EA" w:rsidRPr="000B13EA">
        <w:rPr>
          <w:sz w:val="24"/>
          <w:szCs w:val="24"/>
        </w:rPr>
        <w:t xml:space="preserve"> (section 21)</w:t>
      </w:r>
      <w:r w:rsidR="00DC5DE4">
        <w:rPr>
          <w:sz w:val="24"/>
          <w:szCs w:val="24"/>
        </w:rPr>
        <w:t>;</w:t>
      </w:r>
    </w:p>
    <w:p w14:paraId="642AF17C" w14:textId="5DBE9FFE" w:rsidR="00413A9E" w:rsidRPr="00413A9E" w:rsidRDefault="00413A9E" w:rsidP="00C057FF">
      <w:pPr>
        <w:pStyle w:val="ListParagraph"/>
        <w:numPr>
          <w:ilvl w:val="0"/>
          <w:numId w:val="11"/>
        </w:numPr>
        <w:rPr>
          <w:sz w:val="24"/>
          <w:szCs w:val="24"/>
        </w:rPr>
      </w:pPr>
      <w:r w:rsidRPr="00413A9E">
        <w:rPr>
          <w:sz w:val="24"/>
          <w:szCs w:val="24"/>
        </w:rPr>
        <w:t>rights in criminal proceedings (section 22); and</w:t>
      </w:r>
    </w:p>
    <w:p w14:paraId="476DCB29" w14:textId="3506D09F" w:rsidR="00413A9E" w:rsidRPr="00413A9E" w:rsidRDefault="00413A9E" w:rsidP="00C057FF">
      <w:pPr>
        <w:pStyle w:val="ListParagraph"/>
        <w:numPr>
          <w:ilvl w:val="0"/>
          <w:numId w:val="11"/>
        </w:numPr>
        <w:rPr>
          <w:sz w:val="24"/>
          <w:szCs w:val="24"/>
        </w:rPr>
      </w:pPr>
      <w:r w:rsidRPr="00413A9E">
        <w:rPr>
          <w:sz w:val="24"/>
          <w:szCs w:val="24"/>
        </w:rPr>
        <w:t>right to prohibition against retrospective criminal laws (section 25).</w:t>
      </w:r>
    </w:p>
    <w:p w14:paraId="07DCB479" w14:textId="5992487F" w:rsidR="001E4E37" w:rsidRDefault="001E4E37" w:rsidP="00B11283">
      <w:pPr>
        <w:pStyle w:val="Heading3"/>
      </w:pPr>
      <w:bookmarkStart w:id="15" w:name="_Toc57197596"/>
      <w:r w:rsidRPr="00164DE0">
        <w:t>Rights Promoted</w:t>
      </w:r>
      <w:bookmarkEnd w:id="15"/>
    </w:p>
    <w:p w14:paraId="49AAB14D" w14:textId="77777777" w:rsidR="000B2F77" w:rsidRDefault="000B2F77" w:rsidP="000B2F77">
      <w:pPr>
        <w:pStyle w:val="Heading4"/>
        <w:rPr>
          <w:lang w:eastAsia="en-AU"/>
        </w:rPr>
      </w:pPr>
      <w:r w:rsidRPr="00B11283">
        <w:rPr>
          <w:lang w:eastAsia="en-AU"/>
        </w:rPr>
        <w:t>Associations Incorporation Act</w:t>
      </w:r>
      <w:r>
        <w:rPr>
          <w:lang w:eastAsia="en-AU"/>
        </w:rPr>
        <w:t xml:space="preserve"> 1991</w:t>
      </w:r>
    </w:p>
    <w:p w14:paraId="3460A353" w14:textId="559AC1AB" w:rsidR="000B2F77" w:rsidRDefault="003748D2" w:rsidP="000B2F77">
      <w:pPr>
        <w:rPr>
          <w:lang w:eastAsia="en-AU"/>
        </w:rPr>
      </w:pPr>
      <w:r>
        <w:rPr>
          <w:lang w:eastAsia="en-AU"/>
        </w:rPr>
        <w:t>The extension of COVID-19 measures in the</w:t>
      </w:r>
      <w:r w:rsidR="000B2F77">
        <w:rPr>
          <w:lang w:eastAsia="en-AU"/>
        </w:rPr>
        <w:t xml:space="preserve"> Associations Incorporation Act may promote the following rights under the Human Rights Act:</w:t>
      </w:r>
    </w:p>
    <w:p w14:paraId="7A668482" w14:textId="1977A1BD" w:rsidR="000B2F77" w:rsidRDefault="000B2F77" w:rsidP="00C057FF">
      <w:pPr>
        <w:pStyle w:val="ListParagraph"/>
        <w:numPr>
          <w:ilvl w:val="0"/>
          <w:numId w:val="9"/>
        </w:numPr>
        <w:rPr>
          <w:sz w:val="24"/>
          <w:szCs w:val="24"/>
        </w:rPr>
      </w:pPr>
      <w:r w:rsidRPr="00517D6E">
        <w:rPr>
          <w:sz w:val="24"/>
          <w:szCs w:val="24"/>
        </w:rPr>
        <w:t>right to freedom of expression</w:t>
      </w:r>
      <w:r>
        <w:rPr>
          <w:sz w:val="24"/>
          <w:szCs w:val="24"/>
        </w:rPr>
        <w:t xml:space="preserve">, because the amendments facilitate incorporated associations’ abilities to convene meetings and their members’ opinions to be expressed at such meetings at a time when the COVID-19 pandemic continues </w:t>
      </w:r>
      <w:r w:rsidR="009A2284">
        <w:rPr>
          <w:sz w:val="24"/>
          <w:szCs w:val="24"/>
        </w:rPr>
        <w:t>and health measures constrain the way in which meetings can be conducted</w:t>
      </w:r>
      <w:r>
        <w:rPr>
          <w:sz w:val="24"/>
          <w:szCs w:val="24"/>
        </w:rPr>
        <w:t>; and</w:t>
      </w:r>
    </w:p>
    <w:p w14:paraId="49F67BDE" w14:textId="42CE562D" w:rsidR="000B2F77" w:rsidRDefault="000B2F77" w:rsidP="00C057FF">
      <w:pPr>
        <w:pStyle w:val="ListParagraph"/>
        <w:numPr>
          <w:ilvl w:val="0"/>
          <w:numId w:val="9"/>
        </w:numPr>
        <w:rPr>
          <w:sz w:val="24"/>
          <w:szCs w:val="24"/>
        </w:rPr>
      </w:pPr>
      <w:r w:rsidRPr="00517D6E">
        <w:rPr>
          <w:sz w:val="24"/>
          <w:szCs w:val="24"/>
        </w:rPr>
        <w:t>right to lif</w:t>
      </w:r>
      <w:r>
        <w:rPr>
          <w:sz w:val="24"/>
          <w:szCs w:val="24"/>
        </w:rPr>
        <w:t>e, because the amendments ensure that incorporated associations are provided additional time to plan and adopt COVID-19 safe measures that are suitable for their individual associations, prioritising the health and safety of their members.</w:t>
      </w:r>
    </w:p>
    <w:p w14:paraId="00CCE09B" w14:textId="7306DD2C" w:rsidR="003518CA" w:rsidRPr="003518CA" w:rsidRDefault="003518CA" w:rsidP="003518CA">
      <w:pPr>
        <w:rPr>
          <w:rFonts w:cs="Arial"/>
          <w:bCs/>
          <w:szCs w:val="24"/>
        </w:rPr>
      </w:pPr>
      <w:r>
        <w:rPr>
          <w:szCs w:val="24"/>
        </w:rPr>
        <w:t>A detailed human rights analysis can be found at the</w:t>
      </w:r>
      <w:r w:rsidRPr="003518CA">
        <w:rPr>
          <w:rFonts w:cs="Arial"/>
          <w:bCs/>
          <w:szCs w:val="24"/>
        </w:rPr>
        <w:t xml:space="preserve"> Explanatory Statement to the COVID-19 Emergency Response Legislation Amendment Bill 2020.</w:t>
      </w:r>
    </w:p>
    <w:p w14:paraId="0FFACB3E" w14:textId="77777777" w:rsidR="000B2F77" w:rsidRDefault="000B2F77" w:rsidP="000B2F77">
      <w:pPr>
        <w:pStyle w:val="Heading4"/>
        <w:rPr>
          <w:lang w:eastAsia="en-AU"/>
        </w:rPr>
      </w:pPr>
      <w:r>
        <w:rPr>
          <w:lang w:eastAsia="en-AU"/>
        </w:rPr>
        <w:t>Bail Act 1992</w:t>
      </w:r>
    </w:p>
    <w:p w14:paraId="2353C9F7" w14:textId="681218D5" w:rsidR="000B2F77" w:rsidRDefault="00B16AC7" w:rsidP="000B2F77">
      <w:pPr>
        <w:rPr>
          <w:szCs w:val="24"/>
        </w:rPr>
      </w:pPr>
      <w:r>
        <w:rPr>
          <w:szCs w:val="24"/>
        </w:rPr>
        <w:t>The extension of the COVID-19 measure in</w:t>
      </w:r>
      <w:r w:rsidR="000B2F77">
        <w:rPr>
          <w:szCs w:val="24"/>
        </w:rPr>
        <w:t xml:space="preserve"> the Bail Act </w:t>
      </w:r>
      <w:r w:rsidR="00D72029">
        <w:rPr>
          <w:szCs w:val="24"/>
        </w:rPr>
        <w:t xml:space="preserve">may </w:t>
      </w:r>
      <w:r w:rsidR="000B2F77">
        <w:rPr>
          <w:szCs w:val="24"/>
        </w:rPr>
        <w:t>promote the following rights under the Human Rights Act:</w:t>
      </w:r>
    </w:p>
    <w:p w14:paraId="6077C44C" w14:textId="593679E3" w:rsidR="000B2F77" w:rsidRPr="004E6C32" w:rsidRDefault="000B2F77" w:rsidP="00C057FF">
      <w:pPr>
        <w:pStyle w:val="ListParagraph"/>
        <w:numPr>
          <w:ilvl w:val="0"/>
          <w:numId w:val="7"/>
        </w:numPr>
        <w:rPr>
          <w:sz w:val="24"/>
          <w:szCs w:val="24"/>
        </w:rPr>
      </w:pPr>
      <w:r w:rsidRPr="004E6C32">
        <w:rPr>
          <w:sz w:val="24"/>
          <w:szCs w:val="24"/>
        </w:rPr>
        <w:t>right to liberty and security of person</w:t>
      </w:r>
      <w:r>
        <w:rPr>
          <w:sz w:val="24"/>
          <w:szCs w:val="24"/>
        </w:rPr>
        <w:t xml:space="preserve">, </w:t>
      </w:r>
      <w:r w:rsidRPr="004E6C32">
        <w:rPr>
          <w:sz w:val="24"/>
          <w:szCs w:val="24"/>
        </w:rPr>
        <w:t>by support</w:t>
      </w:r>
      <w:r>
        <w:rPr>
          <w:sz w:val="24"/>
          <w:szCs w:val="24"/>
        </w:rPr>
        <w:t>ing</w:t>
      </w:r>
      <w:r w:rsidRPr="004E6C32">
        <w:rPr>
          <w:sz w:val="24"/>
          <w:szCs w:val="24"/>
        </w:rPr>
        <w:t xml:space="preserve"> the accused to meet one of the requirements for release on bail or continuation of bail, which </w:t>
      </w:r>
      <w:r w:rsidR="00C21623">
        <w:rPr>
          <w:sz w:val="24"/>
          <w:szCs w:val="24"/>
        </w:rPr>
        <w:t>c</w:t>
      </w:r>
      <w:r w:rsidRPr="004E6C32">
        <w:rPr>
          <w:sz w:val="24"/>
          <w:szCs w:val="24"/>
        </w:rPr>
        <w:t xml:space="preserve">ould otherwise </w:t>
      </w:r>
      <w:r w:rsidR="00B16AC7">
        <w:rPr>
          <w:sz w:val="24"/>
          <w:szCs w:val="24"/>
        </w:rPr>
        <w:t xml:space="preserve">be </w:t>
      </w:r>
      <w:r w:rsidRPr="004E6C32">
        <w:rPr>
          <w:sz w:val="24"/>
          <w:szCs w:val="24"/>
        </w:rPr>
        <w:t>delay</w:t>
      </w:r>
      <w:r w:rsidR="00B16AC7">
        <w:rPr>
          <w:sz w:val="24"/>
          <w:szCs w:val="24"/>
        </w:rPr>
        <w:t>ed</w:t>
      </w:r>
      <w:r>
        <w:rPr>
          <w:sz w:val="24"/>
          <w:szCs w:val="24"/>
        </w:rPr>
        <w:t>;</w:t>
      </w:r>
      <w:r w:rsidR="00D35A0C">
        <w:rPr>
          <w:sz w:val="24"/>
          <w:szCs w:val="24"/>
        </w:rPr>
        <w:t xml:space="preserve"> and</w:t>
      </w:r>
    </w:p>
    <w:p w14:paraId="740A1FAD" w14:textId="4C6392DB" w:rsidR="000B2F77" w:rsidRDefault="000B2F77" w:rsidP="00C057FF">
      <w:pPr>
        <w:pStyle w:val="ListParagraph"/>
        <w:numPr>
          <w:ilvl w:val="0"/>
          <w:numId w:val="7"/>
        </w:numPr>
        <w:rPr>
          <w:sz w:val="24"/>
          <w:szCs w:val="24"/>
        </w:rPr>
      </w:pPr>
      <w:r w:rsidRPr="004E6C32">
        <w:rPr>
          <w:sz w:val="24"/>
          <w:szCs w:val="24"/>
        </w:rPr>
        <w:t>rights in criminal proceedings</w:t>
      </w:r>
      <w:r>
        <w:rPr>
          <w:sz w:val="24"/>
          <w:szCs w:val="24"/>
        </w:rPr>
        <w:t xml:space="preserve">, </w:t>
      </w:r>
      <w:r w:rsidRPr="004E6C32">
        <w:rPr>
          <w:sz w:val="24"/>
          <w:szCs w:val="24"/>
        </w:rPr>
        <w:t>by not delaying bail applications.</w:t>
      </w:r>
    </w:p>
    <w:p w14:paraId="2305A78A" w14:textId="470E9200" w:rsidR="00F4419C" w:rsidRPr="00F4419C" w:rsidRDefault="00F4419C" w:rsidP="00F4419C">
      <w:pPr>
        <w:rPr>
          <w:szCs w:val="24"/>
        </w:rPr>
      </w:pPr>
      <w:r>
        <w:rPr>
          <w:szCs w:val="24"/>
        </w:rPr>
        <w:t>A detailed human rights analysis can be found at the</w:t>
      </w:r>
      <w:r w:rsidRPr="003518CA">
        <w:rPr>
          <w:rFonts w:cs="Arial"/>
          <w:bCs/>
          <w:szCs w:val="24"/>
        </w:rPr>
        <w:t xml:space="preserve"> Explanatory Statement to the COVID-19 Emergency Response Legislation Amendment Bill</w:t>
      </w:r>
      <w:r>
        <w:rPr>
          <w:rFonts w:cs="Arial"/>
          <w:bCs/>
          <w:szCs w:val="24"/>
        </w:rPr>
        <w:t>.</w:t>
      </w:r>
    </w:p>
    <w:p w14:paraId="436E269C" w14:textId="77777777" w:rsidR="000B2F77" w:rsidRDefault="000B2F77" w:rsidP="000B2F77">
      <w:pPr>
        <w:pStyle w:val="Heading4"/>
        <w:rPr>
          <w:lang w:eastAsia="en-AU"/>
        </w:rPr>
      </w:pPr>
      <w:r>
        <w:rPr>
          <w:lang w:eastAsia="en-AU"/>
        </w:rPr>
        <w:lastRenderedPageBreak/>
        <w:t>Corrections Management Act 2007</w:t>
      </w:r>
    </w:p>
    <w:p w14:paraId="33FB27DE" w14:textId="2D7BC146" w:rsidR="00DC03B9" w:rsidRDefault="00DC03B9" w:rsidP="000B2F77">
      <w:pPr>
        <w:rPr>
          <w:lang w:eastAsia="en-AU"/>
        </w:rPr>
      </w:pPr>
      <w:r>
        <w:rPr>
          <w:szCs w:val="24"/>
        </w:rPr>
        <w:t>The extension of COVID-19 measure</w:t>
      </w:r>
      <w:r w:rsidR="000940BC">
        <w:rPr>
          <w:szCs w:val="24"/>
        </w:rPr>
        <w:t>s</w:t>
      </w:r>
      <w:r>
        <w:rPr>
          <w:szCs w:val="24"/>
        </w:rPr>
        <w:t xml:space="preserve"> in </w:t>
      </w:r>
      <w:r w:rsidR="000B2F77">
        <w:rPr>
          <w:lang w:eastAsia="en-AU"/>
        </w:rPr>
        <w:t xml:space="preserve">the Corrections Management Act </w:t>
      </w:r>
      <w:r w:rsidR="00D72029">
        <w:rPr>
          <w:lang w:eastAsia="en-AU"/>
        </w:rPr>
        <w:t xml:space="preserve">may </w:t>
      </w:r>
      <w:r w:rsidR="000B2F77">
        <w:rPr>
          <w:lang w:eastAsia="en-AU"/>
        </w:rPr>
        <w:t>promote the</w:t>
      </w:r>
      <w:r>
        <w:rPr>
          <w:lang w:eastAsia="en-AU"/>
        </w:rPr>
        <w:t xml:space="preserve"> following rights under the Human Rights Act:</w:t>
      </w:r>
    </w:p>
    <w:p w14:paraId="5F8AE40E" w14:textId="1D849353" w:rsidR="00DC03B9" w:rsidRDefault="00DC03B9" w:rsidP="00DC03B9">
      <w:pPr>
        <w:pStyle w:val="ListParagraph"/>
        <w:numPr>
          <w:ilvl w:val="0"/>
          <w:numId w:val="14"/>
        </w:numPr>
        <w:rPr>
          <w:sz w:val="24"/>
          <w:szCs w:val="24"/>
        </w:rPr>
      </w:pPr>
      <w:r>
        <w:rPr>
          <w:sz w:val="24"/>
          <w:szCs w:val="24"/>
        </w:rPr>
        <w:t xml:space="preserve">right to life, through addressing the </w:t>
      </w:r>
      <w:r w:rsidR="0046364A">
        <w:rPr>
          <w:sz w:val="24"/>
          <w:szCs w:val="24"/>
        </w:rPr>
        <w:t xml:space="preserve">increased </w:t>
      </w:r>
      <w:r>
        <w:rPr>
          <w:sz w:val="24"/>
          <w:szCs w:val="24"/>
        </w:rPr>
        <w:t xml:space="preserve">risk of </w:t>
      </w:r>
      <w:r w:rsidR="00D35A0C">
        <w:rPr>
          <w:sz w:val="24"/>
          <w:szCs w:val="24"/>
        </w:rPr>
        <w:t>a</w:t>
      </w:r>
      <w:r>
        <w:rPr>
          <w:sz w:val="24"/>
          <w:szCs w:val="24"/>
        </w:rPr>
        <w:t xml:space="preserve"> COVID-19 </w:t>
      </w:r>
      <w:r w:rsidR="00D35A0C">
        <w:rPr>
          <w:sz w:val="24"/>
          <w:szCs w:val="24"/>
        </w:rPr>
        <w:t xml:space="preserve">outbreak </w:t>
      </w:r>
      <w:r>
        <w:rPr>
          <w:sz w:val="24"/>
          <w:szCs w:val="24"/>
        </w:rPr>
        <w:t>in</w:t>
      </w:r>
      <w:r w:rsidR="00D35A0C">
        <w:rPr>
          <w:sz w:val="24"/>
          <w:szCs w:val="24"/>
        </w:rPr>
        <w:t xml:space="preserve"> a</w:t>
      </w:r>
      <w:r>
        <w:rPr>
          <w:sz w:val="24"/>
          <w:szCs w:val="24"/>
        </w:rPr>
        <w:t xml:space="preserve"> closed environment </w:t>
      </w:r>
      <w:r w:rsidR="000940BC">
        <w:rPr>
          <w:sz w:val="24"/>
          <w:szCs w:val="24"/>
        </w:rPr>
        <w:t>by</w:t>
      </w:r>
      <w:r>
        <w:rPr>
          <w:sz w:val="24"/>
          <w:szCs w:val="24"/>
        </w:rPr>
        <w:t xml:space="preserve"> </w:t>
      </w:r>
      <w:r w:rsidR="0046364A">
        <w:rPr>
          <w:sz w:val="24"/>
          <w:szCs w:val="24"/>
        </w:rPr>
        <w:t>supporting long-term</w:t>
      </w:r>
      <w:r>
        <w:rPr>
          <w:sz w:val="24"/>
          <w:szCs w:val="24"/>
        </w:rPr>
        <w:t xml:space="preserve"> </w:t>
      </w:r>
      <w:r w:rsidR="00106D9D">
        <w:rPr>
          <w:sz w:val="24"/>
          <w:szCs w:val="24"/>
        </w:rPr>
        <w:t xml:space="preserve">leave from </w:t>
      </w:r>
      <w:r w:rsidR="00A41830">
        <w:rPr>
          <w:sz w:val="24"/>
          <w:szCs w:val="24"/>
        </w:rPr>
        <w:t>a</w:t>
      </w:r>
      <w:r w:rsidR="00106D9D">
        <w:rPr>
          <w:sz w:val="24"/>
          <w:szCs w:val="24"/>
        </w:rPr>
        <w:t xml:space="preserve"> correctional centre;</w:t>
      </w:r>
    </w:p>
    <w:p w14:paraId="73CC04C3" w14:textId="2B3F5B2A" w:rsidR="000B2F77" w:rsidRDefault="000B2F77" w:rsidP="00DC03B9">
      <w:pPr>
        <w:pStyle w:val="ListParagraph"/>
        <w:numPr>
          <w:ilvl w:val="0"/>
          <w:numId w:val="14"/>
        </w:numPr>
        <w:rPr>
          <w:sz w:val="24"/>
          <w:szCs w:val="24"/>
        </w:rPr>
      </w:pPr>
      <w:r w:rsidRPr="00DC03B9">
        <w:rPr>
          <w:sz w:val="24"/>
          <w:szCs w:val="24"/>
        </w:rPr>
        <w:t xml:space="preserve">right to liberty and security of person, by allowing </w:t>
      </w:r>
      <w:r w:rsidR="0046364A">
        <w:rPr>
          <w:sz w:val="24"/>
          <w:szCs w:val="24"/>
        </w:rPr>
        <w:t xml:space="preserve">early release of </w:t>
      </w:r>
      <w:r w:rsidRPr="00DC03B9">
        <w:rPr>
          <w:sz w:val="24"/>
          <w:szCs w:val="24"/>
        </w:rPr>
        <w:t>offenders</w:t>
      </w:r>
      <w:r w:rsidR="0046364A">
        <w:rPr>
          <w:sz w:val="24"/>
          <w:szCs w:val="24"/>
        </w:rPr>
        <w:t xml:space="preserve"> </w:t>
      </w:r>
      <w:r w:rsidRPr="00DC03B9">
        <w:rPr>
          <w:sz w:val="24"/>
          <w:szCs w:val="24"/>
        </w:rPr>
        <w:t>into the community in a range of circumstances</w:t>
      </w:r>
      <w:r w:rsidR="00106D9D">
        <w:rPr>
          <w:sz w:val="24"/>
          <w:szCs w:val="24"/>
        </w:rPr>
        <w:t>; and</w:t>
      </w:r>
    </w:p>
    <w:p w14:paraId="436F4BB0" w14:textId="6936B2BC" w:rsidR="00106D9D" w:rsidRDefault="00106D9D" w:rsidP="00DC03B9">
      <w:pPr>
        <w:pStyle w:val="ListParagraph"/>
        <w:numPr>
          <w:ilvl w:val="0"/>
          <w:numId w:val="14"/>
        </w:numPr>
        <w:rPr>
          <w:sz w:val="24"/>
          <w:szCs w:val="24"/>
        </w:rPr>
      </w:pPr>
      <w:r>
        <w:rPr>
          <w:sz w:val="24"/>
          <w:szCs w:val="24"/>
        </w:rPr>
        <w:t xml:space="preserve">right to work and other work-related rights, by </w:t>
      </w:r>
      <w:r w:rsidR="0046364A">
        <w:rPr>
          <w:sz w:val="24"/>
          <w:szCs w:val="24"/>
        </w:rPr>
        <w:t>creating</w:t>
      </w:r>
      <w:r>
        <w:rPr>
          <w:sz w:val="24"/>
          <w:szCs w:val="24"/>
        </w:rPr>
        <w:t xml:space="preserve"> a safe environment for </w:t>
      </w:r>
      <w:r w:rsidR="00A41830">
        <w:rPr>
          <w:sz w:val="24"/>
          <w:szCs w:val="24"/>
        </w:rPr>
        <w:t>c</w:t>
      </w:r>
      <w:r w:rsidR="00D35A0C">
        <w:rPr>
          <w:sz w:val="24"/>
          <w:szCs w:val="24"/>
        </w:rPr>
        <w:t>orrections</w:t>
      </w:r>
      <w:r>
        <w:rPr>
          <w:sz w:val="24"/>
          <w:szCs w:val="24"/>
        </w:rPr>
        <w:t xml:space="preserve"> </w:t>
      </w:r>
      <w:r w:rsidR="00A41830">
        <w:rPr>
          <w:sz w:val="24"/>
          <w:szCs w:val="24"/>
        </w:rPr>
        <w:t>o</w:t>
      </w:r>
      <w:r>
        <w:rPr>
          <w:sz w:val="24"/>
          <w:szCs w:val="24"/>
        </w:rPr>
        <w:t>fficers</w:t>
      </w:r>
      <w:r w:rsidR="0046364A">
        <w:rPr>
          <w:sz w:val="24"/>
          <w:szCs w:val="24"/>
        </w:rPr>
        <w:t xml:space="preserve"> as they perform their duties</w:t>
      </w:r>
      <w:r>
        <w:rPr>
          <w:sz w:val="24"/>
          <w:szCs w:val="24"/>
        </w:rPr>
        <w:t>.</w:t>
      </w:r>
    </w:p>
    <w:p w14:paraId="45C1B86D" w14:textId="4FA7B387" w:rsidR="00D35A0C" w:rsidRPr="00D35A0C" w:rsidRDefault="00D35A0C" w:rsidP="00D35A0C">
      <w:pPr>
        <w:rPr>
          <w:i/>
          <w:iCs/>
          <w:szCs w:val="24"/>
        </w:rPr>
      </w:pPr>
      <w:r>
        <w:rPr>
          <w:szCs w:val="24"/>
        </w:rPr>
        <w:t xml:space="preserve">A detailed human rights analysis can be found at the Explanatory Statements to the </w:t>
      </w:r>
      <w:r w:rsidRPr="00D35A0C">
        <w:rPr>
          <w:szCs w:val="24"/>
        </w:rPr>
        <w:t xml:space="preserve">COVID-19 Emergency Response </w:t>
      </w:r>
      <w:r>
        <w:rPr>
          <w:szCs w:val="24"/>
        </w:rPr>
        <w:t>Bill</w:t>
      </w:r>
      <w:r w:rsidRPr="00D35A0C">
        <w:rPr>
          <w:szCs w:val="24"/>
        </w:rPr>
        <w:t xml:space="preserve"> 2020</w:t>
      </w:r>
      <w:r>
        <w:rPr>
          <w:szCs w:val="24"/>
        </w:rPr>
        <w:t xml:space="preserve"> and </w:t>
      </w:r>
      <w:r w:rsidRPr="00D35A0C">
        <w:rPr>
          <w:szCs w:val="24"/>
        </w:rPr>
        <w:t>COVID-19 Emergency</w:t>
      </w:r>
      <w:r>
        <w:rPr>
          <w:szCs w:val="24"/>
        </w:rPr>
        <w:t xml:space="preserve"> Response Legislation Amendment Bill</w:t>
      </w:r>
      <w:r w:rsidR="00257197">
        <w:rPr>
          <w:szCs w:val="24"/>
        </w:rPr>
        <w:t>.</w:t>
      </w:r>
    </w:p>
    <w:p w14:paraId="4A09613C" w14:textId="466DD2BC" w:rsidR="004C5142" w:rsidRDefault="004C5142" w:rsidP="00C46CEE">
      <w:pPr>
        <w:pStyle w:val="Heading4"/>
      </w:pPr>
      <w:r>
        <w:t>Crimes (Sentence Administration) Act 2005</w:t>
      </w:r>
    </w:p>
    <w:p w14:paraId="30B7C442" w14:textId="6AE8D306" w:rsidR="004C5142" w:rsidRDefault="004C5142" w:rsidP="004C5142">
      <w:pPr>
        <w:rPr>
          <w:lang w:eastAsia="en-AU"/>
        </w:rPr>
      </w:pPr>
      <w:r>
        <w:t>The extension of COVID-19 measures in the Crimes (Sentence Administration) Act</w:t>
      </w:r>
      <w:r w:rsidR="00257197">
        <w:t xml:space="preserve"> </w:t>
      </w:r>
      <w:r w:rsidR="00D72029">
        <w:t xml:space="preserve">may </w:t>
      </w:r>
      <w:r>
        <w:t xml:space="preserve">promote the </w:t>
      </w:r>
      <w:r>
        <w:rPr>
          <w:lang w:eastAsia="en-AU"/>
        </w:rPr>
        <w:t>following rights under the Human Rights Act:</w:t>
      </w:r>
    </w:p>
    <w:p w14:paraId="7E3A4066" w14:textId="60193167" w:rsidR="004C5142" w:rsidRDefault="004C5142" w:rsidP="004C5142">
      <w:pPr>
        <w:pStyle w:val="ListParagraph"/>
        <w:numPr>
          <w:ilvl w:val="0"/>
          <w:numId w:val="19"/>
        </w:numPr>
        <w:rPr>
          <w:sz w:val="24"/>
          <w:szCs w:val="24"/>
        </w:rPr>
      </w:pPr>
      <w:r w:rsidRPr="004C5142">
        <w:rPr>
          <w:sz w:val="24"/>
          <w:szCs w:val="24"/>
        </w:rPr>
        <w:t xml:space="preserve">right to recognition and equality before the law, by allowing the Sentence Administration Board to </w:t>
      </w:r>
      <w:r w:rsidRPr="002E5B19">
        <w:rPr>
          <w:sz w:val="24"/>
          <w:szCs w:val="24"/>
        </w:rPr>
        <w:t xml:space="preserve">reduce the current notice provisions in </w:t>
      </w:r>
      <w:r w:rsidRPr="00D1482A">
        <w:rPr>
          <w:sz w:val="24"/>
          <w:szCs w:val="24"/>
        </w:rPr>
        <w:t>the Act</w:t>
      </w:r>
      <w:r w:rsidR="005831D7">
        <w:rPr>
          <w:sz w:val="24"/>
          <w:szCs w:val="24"/>
        </w:rPr>
        <w:t>. This supports the offender’s ability to make applications to the board and have those applications heard in a shorter time than would ordinarily be the case</w:t>
      </w:r>
      <w:r w:rsidR="003020AD">
        <w:rPr>
          <w:sz w:val="24"/>
          <w:szCs w:val="24"/>
        </w:rPr>
        <w:t>; and</w:t>
      </w:r>
    </w:p>
    <w:p w14:paraId="0DE7EC84" w14:textId="7273CF15" w:rsidR="000F6988" w:rsidRPr="000F6988" w:rsidRDefault="003020AD" w:rsidP="004C5142">
      <w:pPr>
        <w:pStyle w:val="ListParagraph"/>
        <w:numPr>
          <w:ilvl w:val="0"/>
          <w:numId w:val="19"/>
        </w:numPr>
        <w:rPr>
          <w:sz w:val="24"/>
          <w:szCs w:val="24"/>
        </w:rPr>
      </w:pPr>
      <w:r>
        <w:rPr>
          <w:sz w:val="24"/>
          <w:szCs w:val="24"/>
        </w:rPr>
        <w:t xml:space="preserve">right </w:t>
      </w:r>
      <w:r w:rsidRPr="000F6988">
        <w:rPr>
          <w:sz w:val="24"/>
          <w:szCs w:val="24"/>
        </w:rPr>
        <w:t>to liberty</w:t>
      </w:r>
      <w:r w:rsidR="000F6988" w:rsidRPr="000F6988">
        <w:rPr>
          <w:sz w:val="24"/>
          <w:szCs w:val="24"/>
        </w:rPr>
        <w:t>:</w:t>
      </w:r>
    </w:p>
    <w:p w14:paraId="65931880" w14:textId="7D11A5B2" w:rsidR="003020AD" w:rsidRPr="002E58BA" w:rsidRDefault="003020AD" w:rsidP="002E58BA">
      <w:pPr>
        <w:pStyle w:val="ListParagraph"/>
        <w:numPr>
          <w:ilvl w:val="0"/>
          <w:numId w:val="30"/>
        </w:numPr>
        <w:rPr>
          <w:sz w:val="24"/>
          <w:szCs w:val="24"/>
        </w:rPr>
      </w:pPr>
      <w:r w:rsidRPr="002E58BA">
        <w:rPr>
          <w:sz w:val="24"/>
          <w:szCs w:val="24"/>
        </w:rPr>
        <w:t xml:space="preserve">as a decision to either to take no action and simply record </w:t>
      </w:r>
      <w:r w:rsidR="00A41830">
        <w:rPr>
          <w:sz w:val="24"/>
          <w:szCs w:val="24"/>
        </w:rPr>
        <w:t>an</w:t>
      </w:r>
      <w:r w:rsidRPr="002E58BA">
        <w:rPr>
          <w:sz w:val="24"/>
          <w:szCs w:val="24"/>
        </w:rPr>
        <w:t xml:space="preserve"> alleged breach or issue a warning for an alleged breach</w:t>
      </w:r>
      <w:r w:rsidR="004A769A" w:rsidRPr="002E58BA">
        <w:rPr>
          <w:sz w:val="24"/>
          <w:szCs w:val="24"/>
        </w:rPr>
        <w:t>,</w:t>
      </w:r>
      <w:r w:rsidRPr="002E58BA">
        <w:rPr>
          <w:sz w:val="24"/>
          <w:szCs w:val="24"/>
        </w:rPr>
        <w:t xml:space="preserve"> will avoid the need for the offender to be reported to either the sentencing court or the </w:t>
      </w:r>
      <w:r w:rsidR="00A41830">
        <w:rPr>
          <w:sz w:val="24"/>
          <w:szCs w:val="24"/>
        </w:rPr>
        <w:t>Sentence Administration B</w:t>
      </w:r>
      <w:r w:rsidRPr="002E58BA">
        <w:rPr>
          <w:sz w:val="24"/>
          <w:szCs w:val="24"/>
        </w:rPr>
        <w:t>oard for non-compliance with their order</w:t>
      </w:r>
      <w:r w:rsidR="00B71C12" w:rsidRPr="002E58BA">
        <w:rPr>
          <w:sz w:val="24"/>
          <w:szCs w:val="24"/>
        </w:rPr>
        <w:t>; and</w:t>
      </w:r>
    </w:p>
    <w:p w14:paraId="7459E126" w14:textId="290E9075" w:rsidR="000F6988" w:rsidRPr="00A41830" w:rsidRDefault="000F6988" w:rsidP="00A41830">
      <w:pPr>
        <w:pStyle w:val="ListParagraph"/>
        <w:numPr>
          <w:ilvl w:val="0"/>
          <w:numId w:val="30"/>
        </w:numPr>
        <w:rPr>
          <w:sz w:val="24"/>
          <w:szCs w:val="24"/>
        </w:rPr>
      </w:pPr>
      <w:r>
        <w:rPr>
          <w:sz w:val="24"/>
          <w:szCs w:val="24"/>
        </w:rPr>
        <w:t>a</w:t>
      </w:r>
      <w:r w:rsidRPr="00A41830">
        <w:rPr>
          <w:sz w:val="24"/>
          <w:szCs w:val="24"/>
        </w:rPr>
        <w:t>s repealing two measures relating to the constitution of the Sentence Admi</w:t>
      </w:r>
      <w:r>
        <w:rPr>
          <w:sz w:val="24"/>
          <w:szCs w:val="24"/>
        </w:rPr>
        <w:t>ni</w:t>
      </w:r>
      <w:r w:rsidRPr="00A41830">
        <w:rPr>
          <w:sz w:val="24"/>
          <w:szCs w:val="24"/>
        </w:rPr>
        <w:t>s</w:t>
      </w:r>
      <w:r>
        <w:rPr>
          <w:sz w:val="24"/>
          <w:szCs w:val="24"/>
        </w:rPr>
        <w:t>tration Board permitting a single judicial member to exercise certain supervisory functions under sections 182 and 185 will support effective decision making by the Board.</w:t>
      </w:r>
    </w:p>
    <w:p w14:paraId="067B63D4" w14:textId="3ED10F00" w:rsidR="00257197" w:rsidRPr="00257197" w:rsidRDefault="00257197" w:rsidP="00257197">
      <w:pPr>
        <w:rPr>
          <w:i/>
          <w:iCs/>
          <w:szCs w:val="24"/>
        </w:rPr>
      </w:pPr>
      <w:r w:rsidRPr="00257197">
        <w:rPr>
          <w:szCs w:val="24"/>
        </w:rPr>
        <w:t>A detailed human rights analysis can be found at the Explanatory Statements to the COVID-19 Emergency Response Bill and COVID-19 Emergency Response Legislation Amendment Bill.</w:t>
      </w:r>
    </w:p>
    <w:p w14:paraId="3B54D0A4" w14:textId="2A66EFC7" w:rsidR="00934880" w:rsidRDefault="00934880" w:rsidP="00C46CEE">
      <w:pPr>
        <w:pStyle w:val="Heading4"/>
      </w:pPr>
      <w:r>
        <w:lastRenderedPageBreak/>
        <w:t>Crimes (Sentencing) Act 2005</w:t>
      </w:r>
    </w:p>
    <w:p w14:paraId="3AB498AB" w14:textId="5378444E" w:rsidR="00FC642F" w:rsidRDefault="00934880" w:rsidP="00934880">
      <w:r>
        <w:t xml:space="preserve">The extension of the COVID-19 measures in the Crimes (Sentencing) Act </w:t>
      </w:r>
      <w:r w:rsidR="00D72029">
        <w:t xml:space="preserve">may </w:t>
      </w:r>
      <w:r>
        <w:t xml:space="preserve">promote the </w:t>
      </w:r>
      <w:r w:rsidR="00FC642F">
        <w:t>following rights</w:t>
      </w:r>
      <w:r>
        <w:t xml:space="preserve"> under the Human Rights Act</w:t>
      </w:r>
      <w:r w:rsidR="00FC642F">
        <w:t>:</w:t>
      </w:r>
    </w:p>
    <w:p w14:paraId="6C3CB0F1" w14:textId="2C6F947A" w:rsidR="00FC642F" w:rsidRDefault="00FC642F" w:rsidP="00FC642F">
      <w:pPr>
        <w:pStyle w:val="ListParagraph"/>
        <w:numPr>
          <w:ilvl w:val="0"/>
          <w:numId w:val="18"/>
        </w:numPr>
        <w:rPr>
          <w:sz w:val="24"/>
          <w:szCs w:val="24"/>
        </w:rPr>
      </w:pPr>
      <w:r>
        <w:rPr>
          <w:sz w:val="24"/>
          <w:szCs w:val="24"/>
        </w:rPr>
        <w:t>right to life, by reducing the amount of person</w:t>
      </w:r>
      <w:r w:rsidR="009F749F">
        <w:rPr>
          <w:sz w:val="24"/>
          <w:szCs w:val="24"/>
        </w:rPr>
        <w:t>-to-person</w:t>
      </w:r>
      <w:r>
        <w:rPr>
          <w:sz w:val="24"/>
          <w:szCs w:val="24"/>
        </w:rPr>
        <w:t xml:space="preserve"> contact required of an offender as part of the sentencing process; and</w:t>
      </w:r>
    </w:p>
    <w:p w14:paraId="4F923557" w14:textId="60FD1420" w:rsidR="00FC642F" w:rsidRDefault="00FC642F" w:rsidP="00FC642F">
      <w:pPr>
        <w:pStyle w:val="ListParagraph"/>
        <w:numPr>
          <w:ilvl w:val="0"/>
          <w:numId w:val="18"/>
        </w:numPr>
        <w:rPr>
          <w:sz w:val="24"/>
          <w:szCs w:val="24"/>
        </w:rPr>
      </w:pPr>
      <w:r>
        <w:rPr>
          <w:sz w:val="24"/>
          <w:szCs w:val="24"/>
        </w:rPr>
        <w:t>right to liberty</w:t>
      </w:r>
      <w:r w:rsidR="00934880" w:rsidRPr="00FC642F">
        <w:rPr>
          <w:sz w:val="24"/>
          <w:szCs w:val="24"/>
        </w:rPr>
        <w:t>, b</w:t>
      </w:r>
      <w:r>
        <w:rPr>
          <w:sz w:val="24"/>
          <w:szCs w:val="24"/>
        </w:rPr>
        <w:t>ecause an intensive correction order allows</w:t>
      </w:r>
      <w:r w:rsidR="00934880" w:rsidRPr="00FC642F">
        <w:rPr>
          <w:sz w:val="24"/>
          <w:szCs w:val="24"/>
        </w:rPr>
        <w:t xml:space="preserve"> an offender to serve a sentence of imprisonment in the community</w:t>
      </w:r>
      <w:r>
        <w:rPr>
          <w:sz w:val="24"/>
          <w:szCs w:val="24"/>
        </w:rPr>
        <w:t>.</w:t>
      </w:r>
    </w:p>
    <w:p w14:paraId="432851C2" w14:textId="14310618" w:rsidR="009F749F" w:rsidRPr="009F749F" w:rsidRDefault="009F749F" w:rsidP="009F749F">
      <w:pPr>
        <w:rPr>
          <w:i/>
          <w:iCs/>
          <w:szCs w:val="24"/>
        </w:rPr>
      </w:pPr>
      <w:r w:rsidRPr="009F749F">
        <w:rPr>
          <w:szCs w:val="24"/>
        </w:rPr>
        <w:t>A detailed human rights analysis can be found at the Explanatory Statements to the COVID-19 Emergency Response Bill and COVID-19 Emergency Response Legislation Amendment Bill.</w:t>
      </w:r>
    </w:p>
    <w:p w14:paraId="74BD0301" w14:textId="72F1A506" w:rsidR="00C46CEE" w:rsidRDefault="00C46CEE" w:rsidP="00C46CEE">
      <w:pPr>
        <w:pStyle w:val="Heading4"/>
      </w:pPr>
      <w:r>
        <w:t>Education Act 2004</w:t>
      </w:r>
    </w:p>
    <w:p w14:paraId="6389259C" w14:textId="2EC89679" w:rsidR="00C46CEE" w:rsidRDefault="00C46CEE" w:rsidP="00C46CEE">
      <w:pPr>
        <w:rPr>
          <w:lang w:eastAsia="en-AU"/>
        </w:rPr>
      </w:pPr>
      <w:r>
        <w:rPr>
          <w:lang w:eastAsia="en-AU"/>
        </w:rPr>
        <w:t xml:space="preserve">The extension of COVID-19 legislative measures in the Education Act </w:t>
      </w:r>
      <w:r w:rsidR="00D72029">
        <w:rPr>
          <w:lang w:eastAsia="en-AU"/>
        </w:rPr>
        <w:t xml:space="preserve">may </w:t>
      </w:r>
      <w:r>
        <w:rPr>
          <w:lang w:eastAsia="en-AU"/>
        </w:rPr>
        <w:t>promote the right to education</w:t>
      </w:r>
      <w:r w:rsidR="00FC434B">
        <w:rPr>
          <w:lang w:eastAsia="en-AU"/>
        </w:rPr>
        <w:t xml:space="preserve"> under the Human Rights Act</w:t>
      </w:r>
      <w:r>
        <w:rPr>
          <w:lang w:eastAsia="en-AU"/>
        </w:rPr>
        <w:t>. In the event that COVID-19 public health restrictions are in place in the ACT, the measures will allow schools to continue to provide education to children through remote means.</w:t>
      </w:r>
    </w:p>
    <w:p w14:paraId="6AF5DC7B" w14:textId="56E9A831" w:rsidR="005C6ED9" w:rsidRPr="005C6ED9" w:rsidRDefault="005C6ED9" w:rsidP="00C46CEE">
      <w:pPr>
        <w:rPr>
          <w:i/>
          <w:iCs/>
          <w:szCs w:val="24"/>
        </w:rPr>
      </w:pPr>
      <w:r w:rsidRPr="009F749F">
        <w:rPr>
          <w:szCs w:val="24"/>
        </w:rPr>
        <w:t>A detailed human rights analysis can be found at the Explanatory Statement to the</w:t>
      </w:r>
      <w:r>
        <w:rPr>
          <w:szCs w:val="24"/>
        </w:rPr>
        <w:t xml:space="preserve"> </w:t>
      </w:r>
      <w:r w:rsidRPr="009F749F">
        <w:rPr>
          <w:szCs w:val="24"/>
        </w:rPr>
        <w:t>COVID-19 Emergency Response Legislation Amendment Bill.</w:t>
      </w:r>
    </w:p>
    <w:p w14:paraId="442E5BCC" w14:textId="4EA81B19" w:rsidR="00443E5B" w:rsidRDefault="00443E5B" w:rsidP="00443E5B">
      <w:pPr>
        <w:pStyle w:val="Heading4"/>
        <w:rPr>
          <w:lang w:eastAsia="en-AU"/>
        </w:rPr>
      </w:pPr>
      <w:r>
        <w:rPr>
          <w:lang w:eastAsia="en-AU"/>
        </w:rPr>
        <w:t>Evidence (Miscellaneous Provisions) Act 1991</w:t>
      </w:r>
    </w:p>
    <w:p w14:paraId="22246407" w14:textId="403A6005" w:rsidR="00443E5B" w:rsidRDefault="00443E5B" w:rsidP="00443E5B">
      <w:pPr>
        <w:rPr>
          <w:lang w:eastAsia="en-AU"/>
        </w:rPr>
      </w:pPr>
      <w:r>
        <w:rPr>
          <w:lang w:eastAsia="en-AU"/>
        </w:rPr>
        <w:t xml:space="preserve">The extension of the COVID-19 regulation-making power under the Evidence (Miscellaneous Provisions) Act </w:t>
      </w:r>
      <w:r w:rsidR="00D72029">
        <w:rPr>
          <w:lang w:eastAsia="en-AU"/>
        </w:rPr>
        <w:t xml:space="preserve">may </w:t>
      </w:r>
      <w:r>
        <w:rPr>
          <w:lang w:eastAsia="en-AU"/>
        </w:rPr>
        <w:t>promote the right to be tried without unreasonable delay</w:t>
      </w:r>
      <w:r w:rsidR="00FC434B">
        <w:rPr>
          <w:lang w:eastAsia="en-AU"/>
        </w:rPr>
        <w:t xml:space="preserve"> under the Human Rights Act</w:t>
      </w:r>
      <w:r>
        <w:rPr>
          <w:lang w:eastAsia="en-AU"/>
        </w:rPr>
        <w:t>, by reducing the need for adjournments</w:t>
      </w:r>
      <w:r w:rsidR="00AA1979">
        <w:rPr>
          <w:lang w:eastAsia="en-AU"/>
        </w:rPr>
        <w:t xml:space="preserve"> </w:t>
      </w:r>
      <w:r w:rsidR="00AA1979">
        <w:rPr>
          <w:szCs w:val="24"/>
        </w:rPr>
        <w:t>due to a COVID-19 emergency</w:t>
      </w:r>
      <w:r>
        <w:rPr>
          <w:lang w:eastAsia="en-AU"/>
        </w:rPr>
        <w:t>.</w:t>
      </w:r>
      <w:r w:rsidR="00445114">
        <w:rPr>
          <w:lang w:eastAsia="en-AU"/>
        </w:rPr>
        <w:t xml:space="preserve"> A</w:t>
      </w:r>
      <w:r w:rsidR="00445114">
        <w:t xml:space="preserve"> human rights analysis</w:t>
      </w:r>
      <w:r w:rsidR="004E4AF3">
        <w:t xml:space="preserve"> will be included in the explanatory statement for any regulation made under the provision</w:t>
      </w:r>
      <w:r w:rsidR="00445114">
        <w:t xml:space="preserve"> where it </w:t>
      </w:r>
      <w:r w:rsidR="004E4AF3">
        <w:t xml:space="preserve">engages rights under the Human Rights Act where it is </w:t>
      </w:r>
      <w:r w:rsidR="00445114">
        <w:t xml:space="preserve">feasible in the context of </w:t>
      </w:r>
      <w:r w:rsidR="004E4AF3">
        <w:t xml:space="preserve">the </w:t>
      </w:r>
      <w:r w:rsidR="00445114">
        <w:t>public health emergency.</w:t>
      </w:r>
    </w:p>
    <w:p w14:paraId="1DF0A87C" w14:textId="347C5ADD" w:rsidR="000545CF" w:rsidRPr="005C6ED9" w:rsidRDefault="000545CF" w:rsidP="000545CF">
      <w:pPr>
        <w:rPr>
          <w:i/>
          <w:iCs/>
          <w:szCs w:val="24"/>
        </w:rPr>
      </w:pPr>
      <w:r w:rsidRPr="009F749F">
        <w:rPr>
          <w:szCs w:val="24"/>
        </w:rPr>
        <w:t>A detailed human rights analysis can be found at the Explanatory Statement to the</w:t>
      </w:r>
      <w:r>
        <w:rPr>
          <w:szCs w:val="24"/>
        </w:rPr>
        <w:t xml:space="preserve"> </w:t>
      </w:r>
      <w:r w:rsidRPr="009F749F">
        <w:rPr>
          <w:szCs w:val="24"/>
        </w:rPr>
        <w:t>COVID-19 Emergency Response Bill.</w:t>
      </w:r>
    </w:p>
    <w:p w14:paraId="35E5EE4B" w14:textId="5FC629AF" w:rsidR="00AA2C1B" w:rsidRPr="00144365" w:rsidRDefault="00AA2C1B" w:rsidP="00AA2C1B">
      <w:pPr>
        <w:pStyle w:val="Heading4"/>
        <w:rPr>
          <w:lang w:eastAsia="en-AU"/>
        </w:rPr>
      </w:pPr>
      <w:r>
        <w:rPr>
          <w:lang w:eastAsia="en-AU"/>
        </w:rPr>
        <w:t>Family Violence Act 2016</w:t>
      </w:r>
      <w:r w:rsidR="00144365">
        <w:rPr>
          <w:lang w:eastAsia="en-AU"/>
        </w:rPr>
        <w:t xml:space="preserve"> and Personal Violence Act 2016</w:t>
      </w:r>
    </w:p>
    <w:p w14:paraId="56C4CB12" w14:textId="1999D191" w:rsidR="00144365" w:rsidRDefault="00AA2C1B" w:rsidP="00AA2C1B">
      <w:pPr>
        <w:rPr>
          <w:lang w:eastAsia="en-AU"/>
        </w:rPr>
      </w:pPr>
      <w:r>
        <w:rPr>
          <w:lang w:eastAsia="en-AU"/>
        </w:rPr>
        <w:t xml:space="preserve">The extension of </w:t>
      </w:r>
      <w:r w:rsidR="00144365">
        <w:rPr>
          <w:lang w:eastAsia="en-AU"/>
        </w:rPr>
        <w:t xml:space="preserve">COVID-19 measures in the Family Violence Act and the Personal Violence Act </w:t>
      </w:r>
      <w:r w:rsidR="00F4419C">
        <w:rPr>
          <w:lang w:eastAsia="en-AU"/>
        </w:rPr>
        <w:t xml:space="preserve">may </w:t>
      </w:r>
      <w:r w:rsidR="00144365">
        <w:rPr>
          <w:lang w:eastAsia="en-AU"/>
        </w:rPr>
        <w:t>promote the following rights under the Human Rights Act:</w:t>
      </w:r>
    </w:p>
    <w:p w14:paraId="41196FAB" w14:textId="1BC02FD3" w:rsidR="00AA2C1B" w:rsidRDefault="00144365" w:rsidP="00144365">
      <w:pPr>
        <w:pStyle w:val="ListParagraph"/>
        <w:numPr>
          <w:ilvl w:val="0"/>
          <w:numId w:val="16"/>
        </w:numPr>
        <w:rPr>
          <w:sz w:val="24"/>
          <w:szCs w:val="24"/>
        </w:rPr>
      </w:pPr>
      <w:r w:rsidRPr="00144365">
        <w:rPr>
          <w:sz w:val="24"/>
          <w:szCs w:val="24"/>
        </w:rPr>
        <w:t>right to life</w:t>
      </w:r>
      <w:r w:rsidR="00821995">
        <w:rPr>
          <w:sz w:val="24"/>
          <w:szCs w:val="24"/>
        </w:rPr>
        <w:t xml:space="preserve">, right to protection of the family and children, and </w:t>
      </w:r>
      <w:r w:rsidRPr="00144365">
        <w:rPr>
          <w:sz w:val="24"/>
          <w:szCs w:val="24"/>
        </w:rPr>
        <w:t>right to security of the person</w:t>
      </w:r>
      <w:r w:rsidR="00821995">
        <w:rPr>
          <w:sz w:val="24"/>
          <w:szCs w:val="24"/>
        </w:rPr>
        <w:t>,</w:t>
      </w:r>
      <w:r w:rsidRPr="00144365">
        <w:rPr>
          <w:sz w:val="24"/>
          <w:szCs w:val="24"/>
        </w:rPr>
        <w:t xml:space="preserve"> by helping protect applicants from interpersonal violence</w:t>
      </w:r>
      <w:r>
        <w:rPr>
          <w:sz w:val="24"/>
          <w:szCs w:val="24"/>
        </w:rPr>
        <w:t xml:space="preserve"> through </w:t>
      </w:r>
      <w:r w:rsidR="00821995">
        <w:rPr>
          <w:sz w:val="24"/>
          <w:szCs w:val="24"/>
        </w:rPr>
        <w:t xml:space="preserve">the </w:t>
      </w:r>
      <w:r>
        <w:rPr>
          <w:sz w:val="24"/>
          <w:szCs w:val="24"/>
        </w:rPr>
        <w:t xml:space="preserve">extension of a general interim order if a return conference </w:t>
      </w:r>
      <w:r w:rsidR="00821995">
        <w:rPr>
          <w:sz w:val="24"/>
          <w:szCs w:val="24"/>
        </w:rPr>
        <w:t>or</w:t>
      </w:r>
      <w:r>
        <w:rPr>
          <w:sz w:val="24"/>
          <w:szCs w:val="24"/>
        </w:rPr>
        <w:t xml:space="preserve"> hearing </w:t>
      </w:r>
      <w:r w:rsidR="00385F08">
        <w:rPr>
          <w:sz w:val="24"/>
          <w:szCs w:val="24"/>
        </w:rPr>
        <w:t xml:space="preserve">to progress to a final order cannot </w:t>
      </w:r>
      <w:r>
        <w:rPr>
          <w:sz w:val="24"/>
          <w:szCs w:val="24"/>
        </w:rPr>
        <w:t xml:space="preserve">occur </w:t>
      </w:r>
      <w:r w:rsidR="00385F08">
        <w:rPr>
          <w:sz w:val="24"/>
          <w:szCs w:val="24"/>
        </w:rPr>
        <w:t>due to a COVID-19 emergency</w:t>
      </w:r>
      <w:r>
        <w:rPr>
          <w:sz w:val="24"/>
          <w:szCs w:val="24"/>
        </w:rPr>
        <w:t>;</w:t>
      </w:r>
      <w:r w:rsidR="00821995">
        <w:rPr>
          <w:sz w:val="24"/>
          <w:szCs w:val="24"/>
        </w:rPr>
        <w:t xml:space="preserve"> and</w:t>
      </w:r>
    </w:p>
    <w:p w14:paraId="105C1B25" w14:textId="76D1C8FE" w:rsidR="00144365" w:rsidRDefault="00821995" w:rsidP="00144365">
      <w:pPr>
        <w:pStyle w:val="ListParagraph"/>
        <w:numPr>
          <w:ilvl w:val="0"/>
          <w:numId w:val="16"/>
        </w:numPr>
        <w:rPr>
          <w:sz w:val="24"/>
          <w:szCs w:val="24"/>
        </w:rPr>
      </w:pPr>
      <w:r>
        <w:rPr>
          <w:sz w:val="24"/>
          <w:szCs w:val="24"/>
        </w:rPr>
        <w:lastRenderedPageBreak/>
        <w:t>rights in criminal proceedings, by not delaying proceedings where parts can be heard through audio-visual means.</w:t>
      </w:r>
    </w:p>
    <w:p w14:paraId="6918BA32" w14:textId="1114CA29" w:rsidR="000545CF" w:rsidRPr="000545CF" w:rsidRDefault="000545CF" w:rsidP="000545CF">
      <w:pPr>
        <w:rPr>
          <w:i/>
          <w:iCs/>
          <w:szCs w:val="24"/>
        </w:rPr>
      </w:pPr>
      <w:r w:rsidRPr="000545CF">
        <w:rPr>
          <w:szCs w:val="24"/>
        </w:rPr>
        <w:t>A detailed human rights analysis can be found at the Explanatory Statement to the COVID-19 Emergency Response Bill.</w:t>
      </w:r>
    </w:p>
    <w:p w14:paraId="29CF7EFF" w14:textId="7F81360A" w:rsidR="00417669" w:rsidRDefault="00417669" w:rsidP="00417669">
      <w:pPr>
        <w:pStyle w:val="Heading4"/>
      </w:pPr>
      <w:r>
        <w:t>Retirement Villages Act 2012</w:t>
      </w:r>
    </w:p>
    <w:p w14:paraId="2520B4CD" w14:textId="77777777" w:rsidR="00516E9A" w:rsidRDefault="00417669" w:rsidP="00417669">
      <w:r>
        <w:t xml:space="preserve">The extension of COVID-19 measures in the Retirement Villages Act may promote the </w:t>
      </w:r>
      <w:r w:rsidR="00516E9A">
        <w:t xml:space="preserve">following </w:t>
      </w:r>
      <w:r w:rsidR="00516E9A">
        <w:rPr>
          <w:lang w:eastAsia="en-AU"/>
        </w:rPr>
        <w:t>rights under the Human Rights Act</w:t>
      </w:r>
      <w:r w:rsidR="00516E9A">
        <w:t>:</w:t>
      </w:r>
    </w:p>
    <w:p w14:paraId="4BDC2827" w14:textId="4669ACA4" w:rsidR="00516E9A" w:rsidRDefault="00417669" w:rsidP="00516E9A">
      <w:pPr>
        <w:pStyle w:val="ListParagraph"/>
        <w:numPr>
          <w:ilvl w:val="0"/>
          <w:numId w:val="20"/>
        </w:numPr>
        <w:rPr>
          <w:sz w:val="24"/>
          <w:szCs w:val="24"/>
        </w:rPr>
      </w:pPr>
      <w:r w:rsidRPr="00516E9A">
        <w:rPr>
          <w:sz w:val="24"/>
          <w:szCs w:val="24"/>
        </w:rPr>
        <w:t>right to freedom of expression</w:t>
      </w:r>
      <w:r w:rsidR="00516E9A">
        <w:rPr>
          <w:sz w:val="24"/>
          <w:szCs w:val="24"/>
        </w:rPr>
        <w:t>,</w:t>
      </w:r>
      <w:r w:rsidR="00FC434B" w:rsidRPr="00516E9A">
        <w:rPr>
          <w:sz w:val="24"/>
          <w:szCs w:val="24"/>
        </w:rPr>
        <w:t xml:space="preserve"> </w:t>
      </w:r>
      <w:r w:rsidRPr="00516E9A">
        <w:rPr>
          <w:sz w:val="24"/>
          <w:szCs w:val="24"/>
        </w:rPr>
        <w:t xml:space="preserve">by </w:t>
      </w:r>
      <w:r w:rsidR="00516E9A">
        <w:rPr>
          <w:sz w:val="24"/>
          <w:szCs w:val="24"/>
        </w:rPr>
        <w:t>facilitating retirement village residents’ and operators’ ability to convene meetings so that opinions can be expressed and matters voted on at a time when the COVID-19 pandemic continues</w:t>
      </w:r>
      <w:r w:rsidR="009A2284">
        <w:rPr>
          <w:sz w:val="24"/>
          <w:szCs w:val="24"/>
        </w:rPr>
        <w:t xml:space="preserve"> and health measures constrain the way in which meetings can be conducted</w:t>
      </w:r>
      <w:r w:rsidR="00516E9A">
        <w:rPr>
          <w:sz w:val="24"/>
          <w:szCs w:val="24"/>
        </w:rPr>
        <w:t>; and</w:t>
      </w:r>
    </w:p>
    <w:p w14:paraId="1B0328B4" w14:textId="66AA3FAB" w:rsidR="00417669" w:rsidRPr="00516E9A" w:rsidRDefault="00516E9A" w:rsidP="00516E9A">
      <w:pPr>
        <w:pStyle w:val="ListParagraph"/>
        <w:numPr>
          <w:ilvl w:val="0"/>
          <w:numId w:val="20"/>
        </w:numPr>
        <w:rPr>
          <w:sz w:val="24"/>
          <w:szCs w:val="24"/>
        </w:rPr>
      </w:pPr>
      <w:r>
        <w:rPr>
          <w:sz w:val="24"/>
          <w:szCs w:val="24"/>
        </w:rPr>
        <w:t>right to life, by ensuring that retirement villages can continue to operate while implementing COVID-19 safe measures that ensure the health and safety of residents can be prioritised.</w:t>
      </w:r>
    </w:p>
    <w:p w14:paraId="598C11A3" w14:textId="4F18BB0F" w:rsidR="00C805F7" w:rsidRPr="00C805F7" w:rsidRDefault="00C805F7" w:rsidP="00417669">
      <w:pPr>
        <w:rPr>
          <w:i/>
          <w:iCs/>
          <w:szCs w:val="24"/>
        </w:rPr>
      </w:pPr>
      <w:r w:rsidRPr="000545CF">
        <w:rPr>
          <w:szCs w:val="24"/>
        </w:rPr>
        <w:t xml:space="preserve">A detailed human rights analysis can be found at the Explanatory Statement to the COVID-19 Emergency Response </w:t>
      </w:r>
      <w:r>
        <w:rPr>
          <w:szCs w:val="24"/>
        </w:rPr>
        <w:t xml:space="preserve">Legislation Amendment </w:t>
      </w:r>
      <w:r w:rsidRPr="000545CF">
        <w:rPr>
          <w:szCs w:val="24"/>
        </w:rPr>
        <w:t>Bill.</w:t>
      </w:r>
    </w:p>
    <w:p w14:paraId="1EB55AB1" w14:textId="4F58447E" w:rsidR="00401FB7" w:rsidRDefault="00401FB7" w:rsidP="00401FB7">
      <w:pPr>
        <w:pStyle w:val="Heading4"/>
      </w:pPr>
      <w:r>
        <w:t>Supreme Court Act 1933</w:t>
      </w:r>
    </w:p>
    <w:p w14:paraId="08486F3E" w14:textId="4C8B8BBC" w:rsidR="00401FB7" w:rsidRDefault="00B2615A" w:rsidP="00401FB7">
      <w:pPr>
        <w:rPr>
          <w:lang w:eastAsia="en-AU"/>
        </w:rPr>
      </w:pPr>
      <w:r>
        <w:t xml:space="preserve">The extension of the COVID-19 measure in the Supreme Court Act </w:t>
      </w:r>
      <w:r w:rsidR="00F4419C">
        <w:t xml:space="preserve">may </w:t>
      </w:r>
      <w:r>
        <w:t xml:space="preserve">promote the </w:t>
      </w:r>
      <w:r>
        <w:rPr>
          <w:lang w:eastAsia="en-AU"/>
        </w:rPr>
        <w:t>following rights under the Human Rights Act:</w:t>
      </w:r>
    </w:p>
    <w:p w14:paraId="01A740B8" w14:textId="425DAF8F" w:rsidR="00B2615A" w:rsidRDefault="00B2615A" w:rsidP="00B2615A">
      <w:pPr>
        <w:pStyle w:val="ListParagraph"/>
        <w:numPr>
          <w:ilvl w:val="0"/>
          <w:numId w:val="17"/>
        </w:numPr>
        <w:rPr>
          <w:sz w:val="24"/>
          <w:szCs w:val="24"/>
        </w:rPr>
      </w:pPr>
      <w:r>
        <w:rPr>
          <w:sz w:val="24"/>
          <w:szCs w:val="24"/>
        </w:rPr>
        <w:t>rights in criminal proceedings, by providing a means for matters to be heard without delay; and</w:t>
      </w:r>
    </w:p>
    <w:p w14:paraId="2BAC4282" w14:textId="65302013" w:rsidR="00B2615A" w:rsidRDefault="00B2615A" w:rsidP="00B2615A">
      <w:pPr>
        <w:pStyle w:val="ListParagraph"/>
        <w:numPr>
          <w:ilvl w:val="0"/>
          <w:numId w:val="17"/>
        </w:numPr>
        <w:rPr>
          <w:sz w:val="24"/>
          <w:szCs w:val="24"/>
        </w:rPr>
      </w:pPr>
      <w:r>
        <w:rPr>
          <w:sz w:val="24"/>
          <w:szCs w:val="24"/>
        </w:rPr>
        <w:t xml:space="preserve">right to a fair trial, by allowing an accused to </w:t>
      </w:r>
      <w:r w:rsidR="00AA1979">
        <w:rPr>
          <w:sz w:val="24"/>
          <w:szCs w:val="24"/>
        </w:rPr>
        <w:t xml:space="preserve">elect to </w:t>
      </w:r>
      <w:r>
        <w:rPr>
          <w:sz w:val="24"/>
          <w:szCs w:val="24"/>
        </w:rPr>
        <w:t xml:space="preserve">be tried by a judge alone for offences which must be heard by a jury, noting that this right </w:t>
      </w:r>
      <w:r w:rsidR="00F4419C">
        <w:rPr>
          <w:sz w:val="24"/>
          <w:szCs w:val="24"/>
        </w:rPr>
        <w:t>may</w:t>
      </w:r>
      <w:r>
        <w:rPr>
          <w:sz w:val="24"/>
          <w:szCs w:val="24"/>
        </w:rPr>
        <w:t xml:space="preserve"> be promoted by either a jury trial or a trial by judge alone.</w:t>
      </w:r>
    </w:p>
    <w:p w14:paraId="42E8A963" w14:textId="26DD6FA4" w:rsidR="00FC434B" w:rsidRDefault="00FC434B" w:rsidP="00FC434B">
      <w:pPr>
        <w:rPr>
          <w:szCs w:val="24"/>
        </w:rPr>
      </w:pPr>
      <w:r w:rsidRPr="00FC434B">
        <w:rPr>
          <w:szCs w:val="24"/>
        </w:rPr>
        <w:t>A detailed human rights analysis can be found at the Explanatory Statement to the COVID-19 Emergency Response Bill.</w:t>
      </w:r>
    </w:p>
    <w:p w14:paraId="1810B794" w14:textId="582E837F" w:rsidR="008A43A4" w:rsidRDefault="008A43A4" w:rsidP="008A43A4">
      <w:pPr>
        <w:pStyle w:val="Heading4"/>
      </w:pPr>
      <w:r w:rsidRPr="004A4E9D">
        <w:t>Working with Vulnerable People (Background Checking) Act 2011</w:t>
      </w:r>
    </w:p>
    <w:p w14:paraId="13360426" w14:textId="2B67150F" w:rsidR="00AA1979" w:rsidRDefault="00D72029" w:rsidP="009A2284">
      <w:pPr>
        <w:rPr>
          <w:b/>
          <w:szCs w:val="26"/>
        </w:rPr>
      </w:pPr>
      <w:r>
        <w:t xml:space="preserve">The amendment to the COVID-19 measure in the </w:t>
      </w:r>
      <w:r w:rsidR="005D4C91">
        <w:t>Working with Vulnerable People (Background Checking)</w:t>
      </w:r>
      <w:r>
        <w:t xml:space="preserve"> Act may promote the </w:t>
      </w:r>
      <w:r>
        <w:rPr>
          <w:szCs w:val="24"/>
        </w:rPr>
        <w:t xml:space="preserve">right to life, right to education and right to work and other work-related rights </w:t>
      </w:r>
      <w:r w:rsidR="004A4E9D">
        <w:rPr>
          <w:szCs w:val="24"/>
        </w:rPr>
        <w:t xml:space="preserve">under the Human Rights Act, </w:t>
      </w:r>
      <w:r>
        <w:rPr>
          <w:szCs w:val="24"/>
        </w:rPr>
        <w:t>by allowing critical workers to remain in the workforce to support</w:t>
      </w:r>
      <w:r w:rsidR="0033633C">
        <w:rPr>
          <w:szCs w:val="24"/>
        </w:rPr>
        <w:t xml:space="preserve"> the</w:t>
      </w:r>
      <w:r w:rsidR="004A4E9D">
        <w:rPr>
          <w:szCs w:val="24"/>
        </w:rPr>
        <w:t xml:space="preserve"> provision of health care and education.</w:t>
      </w:r>
      <w:bookmarkStart w:id="16" w:name="_Hlk55808273"/>
    </w:p>
    <w:p w14:paraId="72E3DAFA" w14:textId="77777777" w:rsidR="00C4279C" w:rsidRDefault="00C4279C">
      <w:pPr>
        <w:spacing w:after="0" w:line="240" w:lineRule="auto"/>
        <w:rPr>
          <w:b/>
          <w:szCs w:val="26"/>
        </w:rPr>
      </w:pPr>
      <w:bookmarkStart w:id="17" w:name="_Toc57197597"/>
      <w:r>
        <w:br w:type="page"/>
      </w:r>
    </w:p>
    <w:p w14:paraId="5E01CC9F" w14:textId="039B2B96" w:rsidR="002F0FD2" w:rsidRDefault="001E4E37" w:rsidP="005100D9">
      <w:pPr>
        <w:pStyle w:val="Heading3"/>
      </w:pPr>
      <w:r w:rsidRPr="00164DE0">
        <w:lastRenderedPageBreak/>
        <w:t>Rights Limited</w:t>
      </w:r>
      <w:bookmarkEnd w:id="17"/>
    </w:p>
    <w:p w14:paraId="5DE5328F" w14:textId="4B62F563" w:rsidR="00EE6DE3" w:rsidRDefault="00EE6DE3" w:rsidP="005100D9">
      <w:pPr>
        <w:pStyle w:val="Heading4"/>
        <w:rPr>
          <w:lang w:eastAsia="en-AU"/>
        </w:rPr>
      </w:pPr>
      <w:bookmarkStart w:id="18" w:name="_Hlk55485448"/>
      <w:r w:rsidRPr="00793D26">
        <w:rPr>
          <w:lang w:eastAsia="en-AU"/>
        </w:rPr>
        <w:t>Corrections Management Act</w:t>
      </w:r>
      <w:r w:rsidR="00530E0A" w:rsidRPr="00793D26">
        <w:rPr>
          <w:lang w:eastAsia="en-AU"/>
        </w:rPr>
        <w:t xml:space="preserve"> 2007</w:t>
      </w:r>
    </w:p>
    <w:bookmarkEnd w:id="18"/>
    <w:p w14:paraId="43C37E96" w14:textId="44AF5328" w:rsidR="00793D26" w:rsidRDefault="00793D26" w:rsidP="00B7391A">
      <w:pPr>
        <w:rPr>
          <w:lang w:eastAsia="en-AU"/>
        </w:rPr>
      </w:pPr>
      <w:r>
        <w:rPr>
          <w:lang w:eastAsia="en-AU"/>
        </w:rPr>
        <w:t xml:space="preserve">The </w:t>
      </w:r>
      <w:r w:rsidR="004824E5">
        <w:rPr>
          <w:lang w:eastAsia="en-AU"/>
        </w:rPr>
        <w:t xml:space="preserve">extension of the </w:t>
      </w:r>
      <w:r w:rsidR="00110D9A">
        <w:rPr>
          <w:lang w:eastAsia="en-AU"/>
        </w:rPr>
        <w:t xml:space="preserve">following </w:t>
      </w:r>
      <w:r w:rsidR="004824E5">
        <w:rPr>
          <w:lang w:eastAsia="en-AU"/>
        </w:rPr>
        <w:t xml:space="preserve">COVID-19 </w:t>
      </w:r>
      <w:r>
        <w:rPr>
          <w:lang w:eastAsia="en-AU"/>
        </w:rPr>
        <w:t xml:space="preserve">measures in the Corrections Management Act </w:t>
      </w:r>
      <w:r w:rsidR="00353EDE">
        <w:rPr>
          <w:lang w:eastAsia="en-AU"/>
        </w:rPr>
        <w:t xml:space="preserve">may </w:t>
      </w:r>
      <w:r>
        <w:rPr>
          <w:lang w:eastAsia="en-AU"/>
        </w:rPr>
        <w:t>limit</w:t>
      </w:r>
      <w:r w:rsidR="00110D9A">
        <w:rPr>
          <w:lang w:eastAsia="en-AU"/>
        </w:rPr>
        <w:t xml:space="preserve"> </w:t>
      </w:r>
      <w:r w:rsidR="00110D9A" w:rsidRPr="00D02F19">
        <w:rPr>
          <w:szCs w:val="24"/>
        </w:rPr>
        <w:t>the right to liberty and security of person and the right to humane treatment</w:t>
      </w:r>
      <w:r w:rsidR="00110D9A">
        <w:rPr>
          <w:szCs w:val="24"/>
        </w:rPr>
        <w:t xml:space="preserve"> under the Human Rights Act:</w:t>
      </w:r>
    </w:p>
    <w:p w14:paraId="425E530B" w14:textId="31342401" w:rsidR="00B7391A" w:rsidRDefault="00110D9A" w:rsidP="00B7391A">
      <w:pPr>
        <w:pStyle w:val="ListParagraph"/>
        <w:numPr>
          <w:ilvl w:val="0"/>
          <w:numId w:val="12"/>
        </w:numPr>
        <w:rPr>
          <w:sz w:val="24"/>
          <w:szCs w:val="24"/>
        </w:rPr>
      </w:pPr>
      <w:r>
        <w:rPr>
          <w:sz w:val="24"/>
          <w:szCs w:val="24"/>
        </w:rPr>
        <w:t>section 26 – power for the</w:t>
      </w:r>
      <w:r w:rsidR="00B7391A">
        <w:rPr>
          <w:sz w:val="24"/>
          <w:szCs w:val="24"/>
        </w:rPr>
        <w:t xml:space="preserve"> director-general to declare an emergency related to COVID-19 </w:t>
      </w:r>
      <w:r w:rsidR="004824E5">
        <w:rPr>
          <w:sz w:val="24"/>
          <w:szCs w:val="24"/>
        </w:rPr>
        <w:t>for</w:t>
      </w:r>
      <w:r w:rsidR="00B7391A">
        <w:rPr>
          <w:sz w:val="24"/>
          <w:szCs w:val="24"/>
        </w:rPr>
        <w:t xml:space="preserve"> a correctional centre;</w:t>
      </w:r>
    </w:p>
    <w:p w14:paraId="37A49BD2" w14:textId="4B7EDEBB" w:rsidR="00B7391A" w:rsidRDefault="00110D9A" w:rsidP="00B7391A">
      <w:pPr>
        <w:pStyle w:val="ListParagraph"/>
        <w:numPr>
          <w:ilvl w:val="0"/>
          <w:numId w:val="12"/>
        </w:numPr>
        <w:rPr>
          <w:sz w:val="24"/>
          <w:szCs w:val="24"/>
        </w:rPr>
      </w:pPr>
      <w:r>
        <w:rPr>
          <w:sz w:val="24"/>
          <w:szCs w:val="24"/>
        </w:rPr>
        <w:t>section 30 – i</w:t>
      </w:r>
      <w:r w:rsidR="00B7391A" w:rsidRPr="00D02F19">
        <w:rPr>
          <w:sz w:val="24"/>
          <w:szCs w:val="24"/>
        </w:rPr>
        <w:t>ncrease</w:t>
      </w:r>
      <w:r w:rsidR="004824E5">
        <w:rPr>
          <w:sz w:val="24"/>
          <w:szCs w:val="24"/>
        </w:rPr>
        <w:t xml:space="preserve"> the</w:t>
      </w:r>
      <w:r w:rsidR="00B7391A" w:rsidRPr="00D02F19">
        <w:rPr>
          <w:sz w:val="24"/>
          <w:szCs w:val="24"/>
        </w:rPr>
        <w:t xml:space="preserve"> time </w:t>
      </w:r>
      <w:r w:rsidR="00B7391A">
        <w:rPr>
          <w:sz w:val="24"/>
          <w:szCs w:val="24"/>
        </w:rPr>
        <w:t>that</w:t>
      </w:r>
      <w:r w:rsidR="00B7391A" w:rsidRPr="00D02F19">
        <w:rPr>
          <w:sz w:val="24"/>
          <w:szCs w:val="24"/>
        </w:rPr>
        <w:t xml:space="preserve"> a person </w:t>
      </w:r>
      <w:r w:rsidR="00B7391A">
        <w:rPr>
          <w:sz w:val="24"/>
          <w:szCs w:val="24"/>
        </w:rPr>
        <w:t>can</w:t>
      </w:r>
      <w:r w:rsidR="00B7391A" w:rsidRPr="00D02F19">
        <w:rPr>
          <w:sz w:val="24"/>
          <w:szCs w:val="24"/>
        </w:rPr>
        <w:t xml:space="preserve"> be detained in a police cell </w:t>
      </w:r>
      <w:r w:rsidR="00B7391A">
        <w:rPr>
          <w:sz w:val="24"/>
          <w:szCs w:val="24"/>
        </w:rPr>
        <w:t xml:space="preserve">from 36 hours </w:t>
      </w:r>
      <w:r w:rsidR="00B7391A" w:rsidRPr="00D02F19">
        <w:rPr>
          <w:sz w:val="24"/>
          <w:szCs w:val="24"/>
        </w:rPr>
        <w:t xml:space="preserve">to </w:t>
      </w:r>
      <w:r w:rsidR="00B7391A">
        <w:rPr>
          <w:sz w:val="24"/>
          <w:szCs w:val="24"/>
        </w:rPr>
        <w:t xml:space="preserve">a maximum of </w:t>
      </w:r>
      <w:r w:rsidR="00B7391A" w:rsidRPr="00D02F19">
        <w:rPr>
          <w:sz w:val="24"/>
          <w:szCs w:val="24"/>
        </w:rPr>
        <w:t>48 hours</w:t>
      </w:r>
      <w:r w:rsidR="00B7391A">
        <w:rPr>
          <w:sz w:val="24"/>
          <w:szCs w:val="24"/>
        </w:rPr>
        <w:t xml:space="preserve">; </w:t>
      </w:r>
      <w:r>
        <w:rPr>
          <w:sz w:val="24"/>
          <w:szCs w:val="24"/>
        </w:rPr>
        <w:t>and</w:t>
      </w:r>
    </w:p>
    <w:p w14:paraId="6A82BAF8" w14:textId="0D10B07A" w:rsidR="00B7391A" w:rsidRDefault="00110D9A" w:rsidP="00B7391A">
      <w:pPr>
        <w:pStyle w:val="ListParagraph"/>
        <w:numPr>
          <w:ilvl w:val="0"/>
          <w:numId w:val="12"/>
        </w:numPr>
        <w:rPr>
          <w:sz w:val="24"/>
          <w:szCs w:val="24"/>
        </w:rPr>
      </w:pPr>
      <w:r>
        <w:rPr>
          <w:sz w:val="24"/>
          <w:szCs w:val="24"/>
        </w:rPr>
        <w:t xml:space="preserve">part 12.3 – </w:t>
      </w:r>
      <w:r w:rsidR="00B7391A" w:rsidRPr="00D02F19">
        <w:rPr>
          <w:sz w:val="24"/>
          <w:szCs w:val="24"/>
        </w:rPr>
        <w:t>a new COVID-19 leave scheme.</w:t>
      </w:r>
    </w:p>
    <w:p w14:paraId="13DEAA7F" w14:textId="5F10EBE3" w:rsidR="004824E5" w:rsidRPr="00D02F19" w:rsidRDefault="00B07909" w:rsidP="00B07909">
      <w:pPr>
        <w:rPr>
          <w:szCs w:val="24"/>
        </w:rPr>
      </w:pPr>
      <w:r>
        <w:rPr>
          <w:color w:val="000000" w:themeColor="text1"/>
          <w:lang w:eastAsia="en-AU"/>
        </w:rPr>
        <w:t>Extending t</w:t>
      </w:r>
      <w:r w:rsidRPr="00522CED">
        <w:rPr>
          <w:color w:val="000000" w:themeColor="text1"/>
          <w:lang w:eastAsia="en-AU"/>
        </w:rPr>
        <w:t>he measures</w:t>
      </w:r>
      <w:r>
        <w:rPr>
          <w:color w:val="000000" w:themeColor="text1"/>
          <w:lang w:eastAsia="en-AU"/>
        </w:rPr>
        <w:t xml:space="preserve"> is</w:t>
      </w:r>
      <w:r w:rsidRPr="00522CED">
        <w:rPr>
          <w:color w:val="000000" w:themeColor="text1"/>
          <w:lang w:eastAsia="en-AU"/>
        </w:rPr>
        <w:t xml:space="preserve"> </w:t>
      </w:r>
      <w:r>
        <w:rPr>
          <w:color w:val="000000" w:themeColor="text1"/>
          <w:lang w:eastAsia="en-AU"/>
        </w:rPr>
        <w:t>necessary and</w:t>
      </w:r>
      <w:r w:rsidRPr="00522CED">
        <w:rPr>
          <w:color w:val="000000" w:themeColor="text1"/>
          <w:lang w:eastAsia="en-AU"/>
        </w:rPr>
        <w:t xml:space="preserve"> rationally connected to </w:t>
      </w:r>
      <w:r>
        <w:rPr>
          <w:color w:val="000000" w:themeColor="text1"/>
          <w:lang w:eastAsia="en-AU"/>
        </w:rPr>
        <w:t xml:space="preserve">continuing to </w:t>
      </w:r>
      <w:r w:rsidRPr="00522CED">
        <w:rPr>
          <w:color w:val="000000" w:themeColor="text1"/>
          <w:lang w:eastAsia="en-AU"/>
        </w:rPr>
        <w:t>achiev</w:t>
      </w:r>
      <w:r>
        <w:rPr>
          <w:color w:val="000000" w:themeColor="text1"/>
          <w:lang w:eastAsia="en-AU"/>
        </w:rPr>
        <w:t>e</w:t>
      </w:r>
      <w:r w:rsidRPr="00522CED">
        <w:rPr>
          <w:color w:val="000000" w:themeColor="text1"/>
          <w:lang w:eastAsia="en-AU"/>
        </w:rPr>
        <w:t xml:space="preserve"> </w:t>
      </w:r>
      <w:r>
        <w:rPr>
          <w:color w:val="000000" w:themeColor="text1"/>
          <w:lang w:eastAsia="en-AU"/>
        </w:rPr>
        <w:t>the objective</w:t>
      </w:r>
      <w:r w:rsidRPr="00522CED">
        <w:rPr>
          <w:color w:val="000000" w:themeColor="text1"/>
          <w:lang w:eastAsia="en-AU"/>
        </w:rPr>
        <w:t xml:space="preserve"> of </w:t>
      </w:r>
      <w:r>
        <w:rPr>
          <w:lang w:eastAsia="en-AU"/>
        </w:rPr>
        <w:t>providing a safe environment for detainees in police custody and in the Alexander Maconochie Centre</w:t>
      </w:r>
      <w:r w:rsidR="003113D7">
        <w:rPr>
          <w:lang w:eastAsia="en-AU"/>
        </w:rPr>
        <w:t xml:space="preserve"> (AMC)</w:t>
      </w:r>
      <w:r>
        <w:rPr>
          <w:lang w:eastAsia="en-AU"/>
        </w:rPr>
        <w:t xml:space="preserve">. </w:t>
      </w:r>
      <w:r>
        <w:rPr>
          <w:color w:val="000000" w:themeColor="text1"/>
          <w:lang w:eastAsia="en-AU"/>
        </w:rPr>
        <w:t>Th</w:t>
      </w:r>
      <w:r w:rsidR="004F0026">
        <w:rPr>
          <w:color w:val="000000" w:themeColor="text1"/>
          <w:lang w:eastAsia="en-AU"/>
        </w:rPr>
        <w:t>e objective</w:t>
      </w:r>
      <w:r>
        <w:rPr>
          <w:color w:val="000000" w:themeColor="text1"/>
          <w:lang w:eastAsia="en-AU"/>
        </w:rPr>
        <w:t xml:space="preserve"> is achieved by</w:t>
      </w:r>
      <w:r w:rsidRPr="00B07909">
        <w:rPr>
          <w:color w:val="000000" w:themeColor="text1"/>
          <w:lang w:eastAsia="en-AU"/>
        </w:rPr>
        <w:t xml:space="preserve"> </w:t>
      </w:r>
      <w:r>
        <w:rPr>
          <w:lang w:eastAsia="en-AU"/>
        </w:rPr>
        <w:t xml:space="preserve">giving the director-general discretion to impose restrictions suitable to maintain a COVID-19 safe environment within </w:t>
      </w:r>
      <w:r w:rsidR="009A2284">
        <w:rPr>
          <w:lang w:eastAsia="en-AU"/>
        </w:rPr>
        <w:t>a</w:t>
      </w:r>
      <w:r>
        <w:rPr>
          <w:lang w:eastAsia="en-AU"/>
        </w:rPr>
        <w:t xml:space="preserve"> </w:t>
      </w:r>
      <w:r w:rsidR="00A6278C">
        <w:rPr>
          <w:lang w:eastAsia="en-AU"/>
        </w:rPr>
        <w:t>correctional</w:t>
      </w:r>
      <w:r>
        <w:rPr>
          <w:lang w:eastAsia="en-AU"/>
        </w:rPr>
        <w:t xml:space="preserve"> centre, limiting the number of person-to-person contact</w:t>
      </w:r>
      <w:r w:rsidR="009A2284">
        <w:rPr>
          <w:lang w:eastAsia="en-AU"/>
        </w:rPr>
        <w:t>s</w:t>
      </w:r>
      <w:r>
        <w:rPr>
          <w:lang w:eastAsia="en-AU"/>
        </w:rPr>
        <w:t xml:space="preserve"> by detainees, and preventing overcrowding of the correctional centre during a COVID-19 emergency by granting leave to detainees in appropriate conditions. </w:t>
      </w:r>
      <w:r>
        <w:rPr>
          <w:szCs w:val="24"/>
        </w:rPr>
        <w:t xml:space="preserve">A detailed analysis of the human rights limitations is discussed in the </w:t>
      </w:r>
      <w:r w:rsidRPr="00D02F19">
        <w:rPr>
          <w:szCs w:val="24"/>
        </w:rPr>
        <w:t>Explanatory Statement</w:t>
      </w:r>
      <w:r>
        <w:rPr>
          <w:szCs w:val="24"/>
        </w:rPr>
        <w:t>s</w:t>
      </w:r>
      <w:r w:rsidRPr="00D02F19">
        <w:rPr>
          <w:szCs w:val="24"/>
        </w:rPr>
        <w:t xml:space="preserve"> to the </w:t>
      </w:r>
      <w:r>
        <w:rPr>
          <w:lang w:eastAsia="en-AU"/>
        </w:rPr>
        <w:t xml:space="preserve">COVID-19 Emergency Response Bill and </w:t>
      </w:r>
      <w:r w:rsidRPr="00D02F19">
        <w:rPr>
          <w:szCs w:val="24"/>
        </w:rPr>
        <w:t xml:space="preserve">COVID-19 </w:t>
      </w:r>
      <w:r>
        <w:rPr>
          <w:szCs w:val="24"/>
        </w:rPr>
        <w:t>Emergency Response Legislation Amendment Bill.</w:t>
      </w:r>
    </w:p>
    <w:p w14:paraId="740B25DF" w14:textId="7B0E7869" w:rsidR="00B7391A" w:rsidRDefault="00B7391A" w:rsidP="00B7391A">
      <w:pPr>
        <w:rPr>
          <w:color w:val="000000" w:themeColor="text1"/>
          <w:lang w:eastAsia="en-AU"/>
        </w:rPr>
      </w:pPr>
      <w:r w:rsidRPr="00522CED">
        <w:rPr>
          <w:color w:val="000000" w:themeColor="text1"/>
          <w:lang w:eastAsia="en-AU"/>
        </w:rPr>
        <w:t xml:space="preserve">Safeguards </w:t>
      </w:r>
      <w:r w:rsidR="009A2284">
        <w:rPr>
          <w:color w:val="000000" w:themeColor="text1"/>
          <w:lang w:eastAsia="en-AU"/>
        </w:rPr>
        <w:t>incorporated</w:t>
      </w:r>
      <w:r w:rsidRPr="00522CED">
        <w:rPr>
          <w:color w:val="000000" w:themeColor="text1"/>
          <w:lang w:eastAsia="en-AU"/>
        </w:rPr>
        <w:t xml:space="preserve"> in the measure</w:t>
      </w:r>
      <w:r>
        <w:rPr>
          <w:color w:val="000000" w:themeColor="text1"/>
          <w:lang w:eastAsia="en-AU"/>
        </w:rPr>
        <w:t>s</w:t>
      </w:r>
      <w:r w:rsidRPr="00522CED">
        <w:rPr>
          <w:color w:val="000000" w:themeColor="text1"/>
          <w:lang w:eastAsia="en-AU"/>
        </w:rPr>
        <w:t xml:space="preserve"> to ensure they are the least restrictive measures reasonably available </w:t>
      </w:r>
      <w:r>
        <w:rPr>
          <w:color w:val="000000" w:themeColor="text1"/>
          <w:lang w:eastAsia="en-AU"/>
        </w:rPr>
        <w:t>ar</w:t>
      </w:r>
      <w:r w:rsidRPr="00522CED">
        <w:rPr>
          <w:color w:val="000000" w:themeColor="text1"/>
          <w:lang w:eastAsia="en-AU"/>
        </w:rPr>
        <w:t xml:space="preserve">e discussed in detail in the </w:t>
      </w:r>
      <w:r w:rsidRPr="00D02F19">
        <w:rPr>
          <w:szCs w:val="24"/>
        </w:rPr>
        <w:t>Explanatory Statement to the</w:t>
      </w:r>
      <w:r>
        <w:rPr>
          <w:szCs w:val="24"/>
        </w:rPr>
        <w:t xml:space="preserve"> </w:t>
      </w:r>
      <w:r>
        <w:rPr>
          <w:lang w:eastAsia="en-AU"/>
        </w:rPr>
        <w:t>COVID-19 Emergency Response Bill and</w:t>
      </w:r>
      <w:r w:rsidRPr="00D02F19">
        <w:rPr>
          <w:szCs w:val="24"/>
        </w:rPr>
        <w:t xml:space="preserve"> COVID-19 </w:t>
      </w:r>
      <w:r>
        <w:rPr>
          <w:szCs w:val="24"/>
        </w:rPr>
        <w:t>Emergency Response Legislation Amendment Bill and remain unchanged by this Bill</w:t>
      </w:r>
      <w:r w:rsidR="009A2284">
        <w:rPr>
          <w:szCs w:val="24"/>
        </w:rPr>
        <w:t>.</w:t>
      </w:r>
      <w:r w:rsidR="00CC3FCD">
        <w:rPr>
          <w:szCs w:val="24"/>
        </w:rPr>
        <w:t xml:space="preserve"> </w:t>
      </w:r>
      <w:r w:rsidR="009A2284">
        <w:rPr>
          <w:szCs w:val="24"/>
        </w:rPr>
        <w:t xml:space="preserve">This </w:t>
      </w:r>
      <w:r w:rsidRPr="00522CED">
        <w:rPr>
          <w:color w:val="000000" w:themeColor="text1"/>
        </w:rPr>
        <w:t>includ</w:t>
      </w:r>
      <w:r w:rsidR="009A2284">
        <w:rPr>
          <w:color w:val="000000" w:themeColor="text1"/>
        </w:rPr>
        <w:t>es</w:t>
      </w:r>
      <w:r w:rsidR="00A6278C">
        <w:rPr>
          <w:color w:val="000000" w:themeColor="text1"/>
        </w:rPr>
        <w:t xml:space="preserve"> in relation to detention in police cells and COVID-19 leave,</w:t>
      </w:r>
      <w:r w:rsidRPr="00522CED">
        <w:rPr>
          <w:color w:val="000000" w:themeColor="text1"/>
        </w:rPr>
        <w:t xml:space="preserve"> </w:t>
      </w:r>
      <w:r w:rsidRPr="00522CED">
        <w:rPr>
          <w:color w:val="000000" w:themeColor="text1"/>
          <w:lang w:eastAsia="en-AU"/>
        </w:rPr>
        <w:t>that the</w:t>
      </w:r>
      <w:r>
        <w:rPr>
          <w:color w:val="000000" w:themeColor="text1"/>
          <w:lang w:eastAsia="en-AU"/>
        </w:rPr>
        <w:t xml:space="preserve"> </w:t>
      </w:r>
      <w:r w:rsidRPr="00522CED">
        <w:rPr>
          <w:color w:val="000000" w:themeColor="text1"/>
          <w:lang w:eastAsia="en-AU"/>
        </w:rPr>
        <w:t>measures commence by Ministerial notice.</w:t>
      </w:r>
    </w:p>
    <w:p w14:paraId="6AB8DC70" w14:textId="55421BF1" w:rsidR="00B7391A" w:rsidRPr="00522CED" w:rsidRDefault="004F0026" w:rsidP="00B7391A">
      <w:pPr>
        <w:rPr>
          <w:rFonts w:ascii="Calibri" w:hAnsi="Calibri"/>
          <w:color w:val="000000" w:themeColor="text1"/>
          <w:sz w:val="22"/>
          <w:lang w:eastAsia="en-AU"/>
        </w:rPr>
      </w:pPr>
      <w:r w:rsidRPr="00522CED">
        <w:rPr>
          <w:color w:val="000000" w:themeColor="text1"/>
          <w:lang w:eastAsia="en-AU"/>
        </w:rPr>
        <w:t>The extension of th</w:t>
      </w:r>
      <w:r>
        <w:rPr>
          <w:color w:val="000000" w:themeColor="text1"/>
          <w:lang w:eastAsia="en-AU"/>
        </w:rPr>
        <w:t xml:space="preserve">ese </w:t>
      </w:r>
      <w:r w:rsidRPr="00522CED">
        <w:rPr>
          <w:color w:val="000000" w:themeColor="text1"/>
          <w:lang w:eastAsia="en-AU"/>
        </w:rPr>
        <w:t>measure</w:t>
      </w:r>
      <w:r>
        <w:rPr>
          <w:color w:val="000000" w:themeColor="text1"/>
          <w:lang w:eastAsia="en-AU"/>
        </w:rPr>
        <w:t>s</w:t>
      </w:r>
      <w:r w:rsidRPr="00522CED">
        <w:rPr>
          <w:color w:val="000000" w:themeColor="text1"/>
          <w:lang w:eastAsia="en-AU"/>
        </w:rPr>
        <w:t xml:space="preserv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w:t>
      </w:r>
      <w:r w:rsidR="003113D7">
        <w:rPr>
          <w:color w:val="000000" w:themeColor="text1"/>
          <w:lang w:eastAsia="en-AU"/>
        </w:rPr>
        <w:t xml:space="preserve"> of maintaining a safe environment at the AMC</w:t>
      </w:r>
      <w:r>
        <w:rPr>
          <w:color w:val="000000" w:themeColor="text1"/>
          <w:lang w:eastAsia="en-AU"/>
        </w:rPr>
        <w:t xml:space="preserve">. The </w:t>
      </w:r>
      <w:r w:rsidR="009A2284">
        <w:rPr>
          <w:color w:val="000000" w:themeColor="text1"/>
          <w:lang w:eastAsia="en-AU"/>
        </w:rPr>
        <w:t xml:space="preserve">amendments made by this Bill will result in the </w:t>
      </w:r>
      <w:r>
        <w:rPr>
          <w:color w:val="000000" w:themeColor="text1"/>
          <w:lang w:eastAsia="en-AU"/>
        </w:rPr>
        <w:t xml:space="preserve">measures </w:t>
      </w:r>
      <w:r w:rsidR="009A2284">
        <w:rPr>
          <w:color w:val="000000" w:themeColor="text1"/>
          <w:lang w:eastAsia="en-AU"/>
        </w:rPr>
        <w:t xml:space="preserve">being </w:t>
      </w:r>
      <w:r>
        <w:rPr>
          <w:color w:val="000000" w:themeColor="text1"/>
          <w:lang w:eastAsia="en-AU"/>
        </w:rPr>
        <w:t xml:space="preserve">extended to expire 12 months after a COVID-19 emergency ends. The Bill therefore links the expiry of the measures with the COVID-19 emergency declaration, rather than a fixed date. Although the measures will not expire until 12 months beyond the end of a COVID-19 emergency, the underlying measures can only be used </w:t>
      </w:r>
      <w:r w:rsidR="000E12AB">
        <w:rPr>
          <w:color w:val="000000" w:themeColor="text1"/>
          <w:lang w:eastAsia="en-AU"/>
        </w:rPr>
        <w:t>while</w:t>
      </w:r>
      <w:r>
        <w:rPr>
          <w:color w:val="000000" w:themeColor="text1"/>
          <w:lang w:eastAsia="en-AU"/>
        </w:rPr>
        <w:t xml:space="preserve"> a COVID-19 emergency declaration</w:t>
      </w:r>
      <w:r w:rsidR="000E12AB">
        <w:rPr>
          <w:color w:val="000000" w:themeColor="text1"/>
          <w:lang w:eastAsia="en-AU"/>
        </w:rPr>
        <w:t xml:space="preserve"> is in force</w:t>
      </w:r>
      <w:r>
        <w:rPr>
          <w:color w:val="000000" w:themeColor="text1"/>
          <w:lang w:eastAsia="en-AU"/>
        </w:rPr>
        <w:t>. Allowing the measures to expire 12 months beyond the end of a COVID-19 emergency will ensure that the measures can be re-enlivened in a timely way without requiring the measure to be re-legislated.</w:t>
      </w:r>
    </w:p>
    <w:p w14:paraId="4017B656" w14:textId="5A02A35E" w:rsidR="00EE6DE3" w:rsidRDefault="00EE6DE3" w:rsidP="00EE6DE3">
      <w:pPr>
        <w:pStyle w:val="Heading4"/>
        <w:rPr>
          <w:lang w:eastAsia="en-AU"/>
        </w:rPr>
      </w:pPr>
      <w:r w:rsidRPr="00333334">
        <w:rPr>
          <w:lang w:eastAsia="en-AU"/>
        </w:rPr>
        <w:lastRenderedPageBreak/>
        <w:t>Crimes (Sentence Administration) Act</w:t>
      </w:r>
    </w:p>
    <w:bookmarkEnd w:id="16"/>
    <w:p w14:paraId="755242D7" w14:textId="5DE40C3A" w:rsidR="00B7391A" w:rsidRDefault="004824E5" w:rsidP="00B7391A">
      <w:pPr>
        <w:rPr>
          <w:lang w:eastAsia="en-AU"/>
        </w:rPr>
      </w:pPr>
      <w:r>
        <w:rPr>
          <w:lang w:eastAsia="en-AU"/>
        </w:rPr>
        <w:t xml:space="preserve">The extension of the following COVID-19 measures in the </w:t>
      </w:r>
      <w:r w:rsidR="006F4397">
        <w:rPr>
          <w:lang w:eastAsia="en-AU"/>
        </w:rPr>
        <w:t>Crimes (Sentence Administration)</w:t>
      </w:r>
      <w:r>
        <w:rPr>
          <w:lang w:eastAsia="en-AU"/>
        </w:rPr>
        <w:t xml:space="preserve"> Act may limit </w:t>
      </w:r>
      <w:r w:rsidRPr="00D02F19">
        <w:rPr>
          <w:szCs w:val="24"/>
        </w:rPr>
        <w:t>the</w:t>
      </w:r>
      <w:r w:rsidR="006F4397" w:rsidRPr="006F4397">
        <w:rPr>
          <w:lang w:eastAsia="en-AU"/>
        </w:rPr>
        <w:t xml:space="preserve"> </w:t>
      </w:r>
      <w:r w:rsidR="006F4397">
        <w:rPr>
          <w:lang w:eastAsia="en-AU"/>
        </w:rPr>
        <w:t>right to a fair trial and the right to liberty and security of the person under the Human Rights Act:</w:t>
      </w:r>
    </w:p>
    <w:p w14:paraId="6FDB317B" w14:textId="6436C843" w:rsidR="00B7391A" w:rsidRDefault="00B7391A" w:rsidP="00B7391A">
      <w:pPr>
        <w:pStyle w:val="ListParagraph"/>
        <w:numPr>
          <w:ilvl w:val="0"/>
          <w:numId w:val="21"/>
        </w:numPr>
        <w:rPr>
          <w:sz w:val="24"/>
          <w:szCs w:val="24"/>
        </w:rPr>
      </w:pPr>
      <w:r>
        <w:rPr>
          <w:sz w:val="24"/>
          <w:szCs w:val="24"/>
        </w:rPr>
        <w:t>allow</w:t>
      </w:r>
      <w:r w:rsidR="006F4397">
        <w:rPr>
          <w:sz w:val="24"/>
          <w:szCs w:val="24"/>
        </w:rPr>
        <w:t>ing</w:t>
      </w:r>
      <w:r>
        <w:rPr>
          <w:sz w:val="24"/>
          <w:szCs w:val="24"/>
        </w:rPr>
        <w:t xml:space="preserve"> the Sentence Administration Board to refuse a parole order without a full hearing and reduc</w:t>
      </w:r>
      <w:r w:rsidR="006F4397">
        <w:rPr>
          <w:sz w:val="24"/>
          <w:szCs w:val="24"/>
        </w:rPr>
        <w:t>ing</w:t>
      </w:r>
      <w:r>
        <w:rPr>
          <w:sz w:val="24"/>
          <w:szCs w:val="24"/>
        </w:rPr>
        <w:t xml:space="preserve"> the </w:t>
      </w:r>
      <w:r w:rsidR="009A2284">
        <w:rPr>
          <w:sz w:val="24"/>
          <w:szCs w:val="24"/>
        </w:rPr>
        <w:t xml:space="preserve">length of </w:t>
      </w:r>
      <w:r>
        <w:rPr>
          <w:sz w:val="24"/>
          <w:szCs w:val="24"/>
        </w:rPr>
        <w:t>notice</w:t>
      </w:r>
      <w:r w:rsidR="009A2284">
        <w:rPr>
          <w:sz w:val="24"/>
          <w:szCs w:val="24"/>
        </w:rPr>
        <w:t xml:space="preserve"> to attend a </w:t>
      </w:r>
      <w:r w:rsidR="0078561D">
        <w:rPr>
          <w:sz w:val="24"/>
          <w:szCs w:val="24"/>
        </w:rPr>
        <w:t>hearing</w:t>
      </w:r>
      <w:r>
        <w:rPr>
          <w:sz w:val="24"/>
          <w:szCs w:val="24"/>
        </w:rPr>
        <w:t>; and</w:t>
      </w:r>
    </w:p>
    <w:p w14:paraId="470633CB" w14:textId="5C2B3FC7" w:rsidR="00B7391A" w:rsidRPr="008B7558" w:rsidRDefault="00B7391A" w:rsidP="00B7391A">
      <w:pPr>
        <w:pStyle w:val="ListParagraph"/>
        <w:numPr>
          <w:ilvl w:val="0"/>
          <w:numId w:val="21"/>
        </w:numPr>
        <w:rPr>
          <w:sz w:val="24"/>
          <w:szCs w:val="24"/>
        </w:rPr>
      </w:pPr>
      <w:r w:rsidRPr="008B7558">
        <w:rPr>
          <w:sz w:val="24"/>
          <w:szCs w:val="24"/>
        </w:rPr>
        <w:t>introduc</w:t>
      </w:r>
      <w:r w:rsidR="006F4397">
        <w:rPr>
          <w:sz w:val="24"/>
          <w:szCs w:val="24"/>
        </w:rPr>
        <w:t>tion of</w:t>
      </w:r>
      <w:r w:rsidRPr="008B7558">
        <w:rPr>
          <w:sz w:val="24"/>
          <w:szCs w:val="24"/>
        </w:rPr>
        <w:t xml:space="preserve"> an administrative sanction scheme for</w:t>
      </w:r>
      <w:r w:rsidR="000E12AB">
        <w:rPr>
          <w:sz w:val="24"/>
          <w:szCs w:val="24"/>
        </w:rPr>
        <w:t xml:space="preserve"> </w:t>
      </w:r>
      <w:r w:rsidRPr="008B7558">
        <w:rPr>
          <w:sz w:val="24"/>
          <w:szCs w:val="24"/>
        </w:rPr>
        <w:t>offender non-compliance with conditions of good behaviour orders, intensive correction orders and parole</w:t>
      </w:r>
      <w:r w:rsidR="000E12AB">
        <w:rPr>
          <w:sz w:val="24"/>
          <w:szCs w:val="24"/>
        </w:rPr>
        <w:t xml:space="preserve"> orders</w:t>
      </w:r>
      <w:r w:rsidRPr="008B7558">
        <w:rPr>
          <w:sz w:val="24"/>
          <w:szCs w:val="24"/>
        </w:rPr>
        <w:t>.</w:t>
      </w:r>
    </w:p>
    <w:p w14:paraId="2005E57C" w14:textId="0E04C50B" w:rsidR="00FE17DD" w:rsidRDefault="000F1E5A" w:rsidP="006F4397">
      <w:pPr>
        <w:rPr>
          <w:color w:val="000000" w:themeColor="text1"/>
          <w:lang w:eastAsia="en-AU"/>
        </w:rPr>
      </w:pPr>
      <w:r>
        <w:rPr>
          <w:color w:val="000000" w:themeColor="text1"/>
          <w:lang w:eastAsia="en-AU"/>
        </w:rPr>
        <w:t>Extending t</w:t>
      </w:r>
      <w:r w:rsidRPr="00522CED">
        <w:rPr>
          <w:color w:val="000000" w:themeColor="text1"/>
          <w:lang w:eastAsia="en-AU"/>
        </w:rPr>
        <w:t>he measures</w:t>
      </w:r>
      <w:r>
        <w:rPr>
          <w:color w:val="000000" w:themeColor="text1"/>
          <w:lang w:eastAsia="en-AU"/>
        </w:rPr>
        <w:t xml:space="preserve"> is</w:t>
      </w:r>
      <w:r w:rsidRPr="00522CED">
        <w:rPr>
          <w:color w:val="000000" w:themeColor="text1"/>
          <w:lang w:eastAsia="en-AU"/>
        </w:rPr>
        <w:t xml:space="preserve"> </w:t>
      </w:r>
      <w:r>
        <w:rPr>
          <w:color w:val="000000" w:themeColor="text1"/>
          <w:lang w:eastAsia="en-AU"/>
        </w:rPr>
        <w:t>necessary and</w:t>
      </w:r>
      <w:r w:rsidRPr="00522CED">
        <w:rPr>
          <w:color w:val="000000" w:themeColor="text1"/>
          <w:lang w:eastAsia="en-AU"/>
        </w:rPr>
        <w:t xml:space="preserve"> rationally connected to </w:t>
      </w:r>
      <w:r>
        <w:rPr>
          <w:color w:val="000000" w:themeColor="text1"/>
          <w:lang w:eastAsia="en-AU"/>
        </w:rPr>
        <w:t xml:space="preserve">continuing to </w:t>
      </w:r>
      <w:r w:rsidRPr="00522CED">
        <w:rPr>
          <w:color w:val="000000" w:themeColor="text1"/>
          <w:lang w:eastAsia="en-AU"/>
        </w:rPr>
        <w:t>achiev</w:t>
      </w:r>
      <w:r>
        <w:rPr>
          <w:color w:val="000000" w:themeColor="text1"/>
          <w:lang w:eastAsia="en-AU"/>
        </w:rPr>
        <w:t>e</w:t>
      </w:r>
      <w:r w:rsidRPr="00522CED">
        <w:rPr>
          <w:color w:val="000000" w:themeColor="text1"/>
          <w:lang w:eastAsia="en-AU"/>
        </w:rPr>
        <w:t xml:space="preserve"> </w:t>
      </w:r>
      <w:r>
        <w:rPr>
          <w:color w:val="000000" w:themeColor="text1"/>
          <w:lang w:eastAsia="en-AU"/>
        </w:rPr>
        <w:t>the objective</w:t>
      </w:r>
      <w:r w:rsidRPr="00522CED">
        <w:rPr>
          <w:color w:val="000000" w:themeColor="text1"/>
          <w:lang w:eastAsia="en-AU"/>
        </w:rPr>
        <w:t xml:space="preserve"> of </w:t>
      </w:r>
      <w:r>
        <w:rPr>
          <w:lang w:eastAsia="en-AU"/>
        </w:rPr>
        <w:t>supporting</w:t>
      </w:r>
      <w:r>
        <w:rPr>
          <w:color w:val="000000" w:themeColor="text1"/>
          <w:lang w:eastAsia="en-AU"/>
        </w:rPr>
        <w:t xml:space="preserve"> the effective operation of the Sentence Administration Board. Th</w:t>
      </w:r>
      <w:r w:rsidR="002547BE">
        <w:rPr>
          <w:color w:val="000000" w:themeColor="text1"/>
          <w:lang w:eastAsia="en-AU"/>
        </w:rPr>
        <w:t>e objective</w:t>
      </w:r>
      <w:r>
        <w:rPr>
          <w:color w:val="000000" w:themeColor="text1"/>
          <w:lang w:eastAsia="en-AU"/>
        </w:rPr>
        <w:t xml:space="preserve"> is achieved by</w:t>
      </w:r>
      <w:r w:rsidRPr="000F1E5A">
        <w:rPr>
          <w:color w:val="000000" w:themeColor="text1"/>
          <w:lang w:eastAsia="en-AU"/>
        </w:rPr>
        <w:t xml:space="preserve"> </w:t>
      </w:r>
      <w:r w:rsidR="00FE17DD">
        <w:rPr>
          <w:color w:val="000000" w:themeColor="text1"/>
          <w:lang w:eastAsia="en-AU"/>
        </w:rPr>
        <w:t xml:space="preserve">providing flexibility to the board to choose not to hold a hearing when there is no reasonable prospect of success at that time, and </w:t>
      </w:r>
      <w:r w:rsidR="002547BE">
        <w:rPr>
          <w:color w:val="000000" w:themeColor="text1"/>
          <w:lang w:eastAsia="en-AU"/>
        </w:rPr>
        <w:t>by</w:t>
      </w:r>
      <w:r w:rsidR="00FE17DD">
        <w:rPr>
          <w:color w:val="000000" w:themeColor="text1"/>
          <w:lang w:eastAsia="en-AU"/>
        </w:rPr>
        <w:t xml:space="preserve"> allow</w:t>
      </w:r>
      <w:r w:rsidR="002547BE">
        <w:rPr>
          <w:color w:val="000000" w:themeColor="text1"/>
          <w:lang w:eastAsia="en-AU"/>
        </w:rPr>
        <w:t>ing</w:t>
      </w:r>
      <w:r w:rsidR="00FE17DD">
        <w:rPr>
          <w:color w:val="000000" w:themeColor="text1"/>
          <w:lang w:eastAsia="en-AU"/>
        </w:rPr>
        <w:t xml:space="preserve"> low-level instances of non-compliance to be addressed </w:t>
      </w:r>
      <w:r w:rsidR="000E12AB">
        <w:rPr>
          <w:color w:val="000000" w:themeColor="text1"/>
          <w:lang w:eastAsia="en-AU"/>
        </w:rPr>
        <w:t xml:space="preserve">within a case management framework and </w:t>
      </w:r>
      <w:r w:rsidR="00FE17DD">
        <w:rPr>
          <w:color w:val="000000" w:themeColor="text1"/>
          <w:lang w:eastAsia="en-AU"/>
        </w:rPr>
        <w:t xml:space="preserve">without increasing </w:t>
      </w:r>
      <w:r w:rsidR="003113D7">
        <w:rPr>
          <w:color w:val="000000" w:themeColor="text1"/>
          <w:lang w:eastAsia="en-AU"/>
        </w:rPr>
        <w:t>an</w:t>
      </w:r>
      <w:r w:rsidR="00FE17DD">
        <w:rPr>
          <w:color w:val="000000" w:themeColor="text1"/>
          <w:lang w:eastAsia="en-AU"/>
        </w:rPr>
        <w:t xml:space="preserve"> offender’s person-to-person contact with the court or the board. </w:t>
      </w:r>
      <w:r>
        <w:rPr>
          <w:lang w:eastAsia="en-AU"/>
        </w:rPr>
        <w:t xml:space="preserve">A detailed analysis </w:t>
      </w:r>
      <w:r>
        <w:rPr>
          <w:szCs w:val="24"/>
        </w:rPr>
        <w:t xml:space="preserve">of the human rights limitations is discussed in the </w:t>
      </w:r>
      <w:r w:rsidR="000E12AB">
        <w:rPr>
          <w:szCs w:val="24"/>
        </w:rPr>
        <w:t>e</w:t>
      </w:r>
      <w:r w:rsidRPr="00D02F19">
        <w:rPr>
          <w:szCs w:val="24"/>
        </w:rPr>
        <w:t xml:space="preserve">xplanatory </w:t>
      </w:r>
      <w:r w:rsidR="000E12AB">
        <w:rPr>
          <w:szCs w:val="24"/>
        </w:rPr>
        <w:t>s</w:t>
      </w:r>
      <w:r w:rsidRPr="00D02F19">
        <w:rPr>
          <w:szCs w:val="24"/>
        </w:rPr>
        <w:t>tatement</w:t>
      </w:r>
      <w:r>
        <w:rPr>
          <w:szCs w:val="24"/>
        </w:rPr>
        <w:t>s</w:t>
      </w:r>
      <w:r w:rsidRPr="00D02F19">
        <w:rPr>
          <w:szCs w:val="24"/>
        </w:rPr>
        <w:t xml:space="preserve"> to the</w:t>
      </w:r>
      <w:r>
        <w:rPr>
          <w:szCs w:val="24"/>
        </w:rPr>
        <w:t xml:space="preserve"> </w:t>
      </w:r>
      <w:r w:rsidRPr="00D02F19">
        <w:rPr>
          <w:szCs w:val="24"/>
        </w:rPr>
        <w:t xml:space="preserve">COVID-19 </w:t>
      </w:r>
      <w:r>
        <w:rPr>
          <w:szCs w:val="24"/>
        </w:rPr>
        <w:t>Emergency Response Bill and COVID-19 Emergency Response Legislation Amendment Bill and remains unchanged by this Bill.</w:t>
      </w:r>
    </w:p>
    <w:p w14:paraId="3437700E" w14:textId="1D1D10A0" w:rsidR="000F1E5A" w:rsidRDefault="00FE17DD" w:rsidP="006F4397">
      <w:pPr>
        <w:rPr>
          <w:lang w:eastAsia="en-AU"/>
        </w:rPr>
      </w:pPr>
      <w:r w:rsidRPr="00522CED">
        <w:rPr>
          <w:color w:val="000000" w:themeColor="text1"/>
          <w:lang w:eastAsia="en-AU"/>
        </w:rPr>
        <w:t xml:space="preserve">Safeguards </w:t>
      </w:r>
      <w:r w:rsidR="003113D7">
        <w:rPr>
          <w:color w:val="000000" w:themeColor="text1"/>
          <w:lang w:eastAsia="en-AU"/>
        </w:rPr>
        <w:t>incorporated in</w:t>
      </w:r>
      <w:r w:rsidRPr="00522CED">
        <w:rPr>
          <w:color w:val="000000" w:themeColor="text1"/>
          <w:lang w:eastAsia="en-AU"/>
        </w:rPr>
        <w:t xml:space="preserve"> the measure</w:t>
      </w:r>
      <w:r>
        <w:rPr>
          <w:color w:val="000000" w:themeColor="text1"/>
          <w:lang w:eastAsia="en-AU"/>
        </w:rPr>
        <w:t>s</w:t>
      </w:r>
      <w:r w:rsidRPr="00522CED">
        <w:rPr>
          <w:color w:val="000000" w:themeColor="text1"/>
          <w:lang w:eastAsia="en-AU"/>
        </w:rPr>
        <w:t xml:space="preserve"> to ensure they are the least restrictive measures reasonably available </w:t>
      </w:r>
      <w:r>
        <w:rPr>
          <w:color w:val="000000" w:themeColor="text1"/>
          <w:lang w:eastAsia="en-AU"/>
        </w:rPr>
        <w:t>ar</w:t>
      </w:r>
      <w:r w:rsidRPr="00522CED">
        <w:rPr>
          <w:color w:val="000000" w:themeColor="text1"/>
          <w:lang w:eastAsia="en-AU"/>
        </w:rPr>
        <w:t xml:space="preserve">e discussed in detail in the </w:t>
      </w:r>
      <w:r w:rsidR="000E12AB">
        <w:rPr>
          <w:szCs w:val="24"/>
        </w:rPr>
        <w:t>e</w:t>
      </w:r>
      <w:r w:rsidRPr="00D02F19">
        <w:rPr>
          <w:szCs w:val="24"/>
        </w:rPr>
        <w:t xml:space="preserve">xplanatory </w:t>
      </w:r>
      <w:r w:rsidR="000E12AB">
        <w:rPr>
          <w:szCs w:val="24"/>
        </w:rPr>
        <w:t>s</w:t>
      </w:r>
      <w:r w:rsidRPr="00D02F19">
        <w:rPr>
          <w:szCs w:val="24"/>
        </w:rPr>
        <w:t xml:space="preserve">tatement to the COVID-19 </w:t>
      </w:r>
      <w:r>
        <w:rPr>
          <w:szCs w:val="24"/>
        </w:rPr>
        <w:t xml:space="preserve">Emergency Response Bill and </w:t>
      </w:r>
      <w:r w:rsidRPr="00D02F19">
        <w:rPr>
          <w:szCs w:val="24"/>
        </w:rPr>
        <w:t xml:space="preserve">COVID-19 </w:t>
      </w:r>
      <w:r>
        <w:rPr>
          <w:szCs w:val="24"/>
        </w:rPr>
        <w:t>Emergency Response Legislation Amendment Bill and remain unchanged by this Bill</w:t>
      </w:r>
      <w:r>
        <w:rPr>
          <w:color w:val="000000" w:themeColor="text1"/>
        </w:rPr>
        <w:t xml:space="preserve">. The safeguards include the delayed commencement of the administrative sanction scheme which commenced on 11 September 2020 following the development of guidelines as required </w:t>
      </w:r>
      <w:r w:rsidR="000E12AB">
        <w:rPr>
          <w:color w:val="000000" w:themeColor="text1"/>
        </w:rPr>
        <w:t>under</w:t>
      </w:r>
      <w:r>
        <w:rPr>
          <w:color w:val="000000" w:themeColor="text1"/>
        </w:rPr>
        <w:t xml:space="preserve"> the legislation.</w:t>
      </w:r>
    </w:p>
    <w:p w14:paraId="22435307" w14:textId="3BB7DB98" w:rsidR="00B7391A" w:rsidRPr="006F4397" w:rsidRDefault="002547BE" w:rsidP="00B7391A">
      <w:pPr>
        <w:rPr>
          <w:rFonts w:ascii="Calibri" w:hAnsi="Calibri"/>
          <w:color w:val="000000" w:themeColor="text1"/>
          <w:sz w:val="22"/>
          <w:lang w:eastAsia="en-AU"/>
        </w:rPr>
      </w:pPr>
      <w:r w:rsidRPr="00522CED">
        <w:rPr>
          <w:color w:val="000000" w:themeColor="text1"/>
          <w:lang w:eastAsia="en-AU"/>
        </w:rPr>
        <w:t>The extension of th</w:t>
      </w:r>
      <w:r>
        <w:rPr>
          <w:color w:val="000000" w:themeColor="text1"/>
          <w:lang w:eastAsia="en-AU"/>
        </w:rPr>
        <w:t xml:space="preserve">ese </w:t>
      </w:r>
      <w:r w:rsidRPr="00522CED">
        <w:rPr>
          <w:color w:val="000000" w:themeColor="text1"/>
          <w:lang w:eastAsia="en-AU"/>
        </w:rPr>
        <w:t>measure</w:t>
      </w:r>
      <w:r>
        <w:rPr>
          <w:color w:val="000000" w:themeColor="text1"/>
          <w:lang w:eastAsia="en-AU"/>
        </w:rPr>
        <w:t>s</w:t>
      </w:r>
      <w:r w:rsidRPr="00522CED">
        <w:rPr>
          <w:color w:val="000000" w:themeColor="text1"/>
          <w:lang w:eastAsia="en-AU"/>
        </w:rPr>
        <w:t xml:space="preserv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w:t>
      </w:r>
      <w:r w:rsidR="003113D7">
        <w:rPr>
          <w:color w:val="000000" w:themeColor="text1"/>
          <w:lang w:eastAsia="en-AU"/>
        </w:rPr>
        <w:t xml:space="preserve"> of supporting the effective operation of the Sentence Administration Board</w:t>
      </w:r>
      <w:r>
        <w:rPr>
          <w:color w:val="000000" w:themeColor="text1"/>
          <w:lang w:eastAsia="en-AU"/>
        </w:rPr>
        <w:t xml:space="preserve">. The measures </w:t>
      </w:r>
      <w:r w:rsidR="00986922">
        <w:rPr>
          <w:color w:val="000000" w:themeColor="text1"/>
          <w:lang w:eastAsia="en-AU"/>
        </w:rPr>
        <w:t xml:space="preserve">are </w:t>
      </w:r>
      <w:r>
        <w:rPr>
          <w:color w:val="000000" w:themeColor="text1"/>
          <w:lang w:eastAsia="en-AU"/>
        </w:rPr>
        <w:t>due to expire on 8</w:t>
      </w:r>
      <w:r w:rsidR="000E12AB">
        <w:rPr>
          <w:color w:val="000000" w:themeColor="text1"/>
          <w:lang w:eastAsia="en-AU"/>
        </w:rPr>
        <w:t> </w:t>
      </w:r>
      <w:r>
        <w:rPr>
          <w:color w:val="000000" w:themeColor="text1"/>
          <w:lang w:eastAsia="en-AU"/>
        </w:rPr>
        <w:t>April 2021</w:t>
      </w:r>
      <w:r w:rsidR="000E12AB">
        <w:rPr>
          <w:color w:val="000000" w:themeColor="text1"/>
          <w:lang w:eastAsia="en-AU"/>
        </w:rPr>
        <w:t xml:space="preserve"> and </w:t>
      </w:r>
      <w:r w:rsidR="003113D7">
        <w:rPr>
          <w:color w:val="000000" w:themeColor="text1"/>
          <w:lang w:eastAsia="en-AU"/>
        </w:rPr>
        <w:t xml:space="preserve">the Bill </w:t>
      </w:r>
      <w:r w:rsidR="000E12AB">
        <w:rPr>
          <w:color w:val="000000" w:themeColor="text1"/>
          <w:lang w:eastAsia="en-AU"/>
        </w:rPr>
        <w:t xml:space="preserve">will </w:t>
      </w:r>
      <w:r w:rsidR="003113D7">
        <w:rPr>
          <w:color w:val="000000" w:themeColor="text1"/>
          <w:lang w:eastAsia="en-AU"/>
        </w:rPr>
        <w:t xml:space="preserve">extend the measures </w:t>
      </w:r>
      <w:r>
        <w:rPr>
          <w:color w:val="000000" w:themeColor="text1"/>
          <w:lang w:eastAsia="en-AU"/>
        </w:rPr>
        <w:t xml:space="preserve">to expire 12 months after a COVID-19 emergency ends. The Bill therefore links the expiry of the measures with the COVID-19 emergency declaration, rather than a fixed date. Although the measures will not expire until 12 months beyond the end of a COVID-19 emergency, the underlying measures can only be used if there is a COVID-19 emergency declaration. Allowing the measures to expire 12 months beyond the end of a COVID-19 emergency will ensure that the measures can be re-enlivened in a timely way without requiring the measure to be re-legislated. </w:t>
      </w:r>
    </w:p>
    <w:p w14:paraId="7BD0057B" w14:textId="2E2545BB" w:rsidR="00EE6DE3" w:rsidRDefault="00EE6DE3" w:rsidP="00EE6DE3">
      <w:pPr>
        <w:pStyle w:val="Heading4"/>
        <w:rPr>
          <w:lang w:eastAsia="en-AU"/>
        </w:rPr>
      </w:pPr>
      <w:r>
        <w:rPr>
          <w:lang w:eastAsia="en-AU"/>
        </w:rPr>
        <w:lastRenderedPageBreak/>
        <w:t>Education Act 2004</w:t>
      </w:r>
    </w:p>
    <w:p w14:paraId="7BAEE8F7" w14:textId="77777777" w:rsidR="00D1482A" w:rsidRDefault="008E5768" w:rsidP="004603A4">
      <w:pPr>
        <w:rPr>
          <w:lang w:eastAsia="en-AU"/>
        </w:rPr>
      </w:pPr>
      <w:r>
        <w:rPr>
          <w:lang w:eastAsia="en-AU"/>
        </w:rPr>
        <w:t xml:space="preserve">The extension of the COVID-19 measures in the Education </w:t>
      </w:r>
      <w:r w:rsidRPr="002E5B19">
        <w:rPr>
          <w:lang w:eastAsia="en-AU"/>
        </w:rPr>
        <w:t>Act engages</w:t>
      </w:r>
      <w:r w:rsidRPr="002E5B19">
        <w:rPr>
          <w:szCs w:val="24"/>
        </w:rPr>
        <w:t xml:space="preserve"> the right to protection of the family and children under the Human Rights Act insofar as school attendance provides an opportunity to identify and support vulnerable children. </w:t>
      </w:r>
      <w:r w:rsidRPr="002E5B19">
        <w:rPr>
          <w:color w:val="000000" w:themeColor="text1"/>
          <w:lang w:eastAsia="en-AU"/>
        </w:rPr>
        <w:t>To</w:t>
      </w:r>
      <w:r>
        <w:rPr>
          <w:color w:val="000000" w:themeColor="text1"/>
          <w:lang w:eastAsia="en-AU"/>
        </w:rPr>
        <w:t xml:space="preserve"> the extent this right may be limited, extending</w:t>
      </w:r>
      <w:r w:rsidR="00E10677">
        <w:rPr>
          <w:color w:val="000000" w:themeColor="text1"/>
          <w:lang w:eastAsia="en-AU"/>
        </w:rPr>
        <w:t xml:space="preserve"> t</w:t>
      </w:r>
      <w:r w:rsidR="00E10677" w:rsidRPr="00522CED">
        <w:rPr>
          <w:color w:val="000000" w:themeColor="text1"/>
          <w:lang w:eastAsia="en-AU"/>
        </w:rPr>
        <w:t>he measures</w:t>
      </w:r>
      <w:r w:rsidR="00E10677">
        <w:rPr>
          <w:color w:val="000000" w:themeColor="text1"/>
          <w:lang w:eastAsia="en-AU"/>
        </w:rPr>
        <w:t xml:space="preserve"> is</w:t>
      </w:r>
      <w:r w:rsidR="00E10677" w:rsidRPr="00522CED">
        <w:rPr>
          <w:color w:val="000000" w:themeColor="text1"/>
          <w:lang w:eastAsia="en-AU"/>
        </w:rPr>
        <w:t xml:space="preserve"> </w:t>
      </w:r>
      <w:r w:rsidR="00E10677">
        <w:rPr>
          <w:color w:val="000000" w:themeColor="text1"/>
          <w:lang w:eastAsia="en-AU"/>
        </w:rPr>
        <w:t>necessary and</w:t>
      </w:r>
      <w:r w:rsidR="00E10677" w:rsidRPr="00522CED">
        <w:rPr>
          <w:color w:val="000000" w:themeColor="text1"/>
          <w:lang w:eastAsia="en-AU"/>
        </w:rPr>
        <w:t xml:space="preserve"> rationally connected to </w:t>
      </w:r>
      <w:r w:rsidR="00E10677">
        <w:rPr>
          <w:color w:val="000000" w:themeColor="text1"/>
          <w:lang w:eastAsia="en-AU"/>
        </w:rPr>
        <w:t xml:space="preserve">continuing to </w:t>
      </w:r>
      <w:r w:rsidR="00E10677" w:rsidRPr="00522CED">
        <w:rPr>
          <w:color w:val="000000" w:themeColor="text1"/>
          <w:lang w:eastAsia="en-AU"/>
        </w:rPr>
        <w:t>achiev</w:t>
      </w:r>
      <w:r w:rsidR="00E10677">
        <w:rPr>
          <w:color w:val="000000" w:themeColor="text1"/>
          <w:lang w:eastAsia="en-AU"/>
        </w:rPr>
        <w:t>e</w:t>
      </w:r>
      <w:r w:rsidR="00E10677" w:rsidRPr="00522CED">
        <w:rPr>
          <w:color w:val="000000" w:themeColor="text1"/>
          <w:lang w:eastAsia="en-AU"/>
        </w:rPr>
        <w:t xml:space="preserve"> </w:t>
      </w:r>
      <w:r w:rsidR="00E10677">
        <w:rPr>
          <w:color w:val="000000" w:themeColor="text1"/>
          <w:lang w:eastAsia="en-AU"/>
        </w:rPr>
        <w:t>the objective</w:t>
      </w:r>
      <w:r w:rsidR="00E10677" w:rsidRPr="00522CED">
        <w:rPr>
          <w:color w:val="000000" w:themeColor="text1"/>
          <w:lang w:eastAsia="en-AU"/>
        </w:rPr>
        <w:t xml:space="preserve"> of </w:t>
      </w:r>
      <w:r w:rsidR="00C460B0">
        <w:rPr>
          <w:color w:val="000000" w:themeColor="text1"/>
          <w:lang w:eastAsia="en-AU"/>
        </w:rPr>
        <w:t>providing education to children in the ACT in a COVID-19 safe way during a COVID-19 emergency</w:t>
      </w:r>
      <w:r w:rsidR="000F1E5A">
        <w:rPr>
          <w:color w:val="000000" w:themeColor="text1"/>
          <w:lang w:eastAsia="en-AU"/>
        </w:rPr>
        <w:t>. Th</w:t>
      </w:r>
      <w:r w:rsidR="002547BE">
        <w:rPr>
          <w:color w:val="000000" w:themeColor="text1"/>
          <w:lang w:eastAsia="en-AU"/>
        </w:rPr>
        <w:t>e objective</w:t>
      </w:r>
      <w:r w:rsidR="00C460B0">
        <w:rPr>
          <w:color w:val="000000" w:themeColor="text1"/>
          <w:lang w:eastAsia="en-AU"/>
        </w:rPr>
        <w:t xml:space="preserve"> is achieved by </w:t>
      </w:r>
      <w:r w:rsidR="00C460B0">
        <w:rPr>
          <w:lang w:eastAsia="en-AU"/>
        </w:rPr>
        <w:t>supporting government and non-government schools in the ACT to operate without contravening requirements</w:t>
      </w:r>
      <w:r w:rsidR="000E12AB">
        <w:rPr>
          <w:lang w:eastAsia="en-AU"/>
        </w:rPr>
        <w:t xml:space="preserve"> under the Education Act</w:t>
      </w:r>
      <w:r w:rsidR="00C460B0">
        <w:rPr>
          <w:lang w:eastAsia="en-AU"/>
        </w:rPr>
        <w:t xml:space="preserve">. </w:t>
      </w:r>
    </w:p>
    <w:p w14:paraId="2E2E78C4" w14:textId="159DC454" w:rsidR="004603A4" w:rsidRDefault="004603A4" w:rsidP="004603A4">
      <w:pPr>
        <w:rPr>
          <w:color w:val="000000" w:themeColor="text1"/>
          <w:lang w:eastAsia="en-AU"/>
        </w:rPr>
      </w:pPr>
      <w:r w:rsidRPr="00522CED">
        <w:rPr>
          <w:color w:val="000000" w:themeColor="text1"/>
          <w:lang w:eastAsia="en-AU"/>
        </w:rPr>
        <w:t xml:space="preserve">Safeguards </w:t>
      </w:r>
      <w:r w:rsidR="003113D7">
        <w:rPr>
          <w:color w:val="000000" w:themeColor="text1"/>
          <w:lang w:eastAsia="en-AU"/>
        </w:rPr>
        <w:t>incorporated in</w:t>
      </w:r>
      <w:r w:rsidRPr="00522CED">
        <w:rPr>
          <w:color w:val="000000" w:themeColor="text1"/>
          <w:lang w:eastAsia="en-AU"/>
        </w:rPr>
        <w:t xml:space="preserve"> the measure</w:t>
      </w:r>
      <w:r>
        <w:rPr>
          <w:color w:val="000000" w:themeColor="text1"/>
          <w:lang w:eastAsia="en-AU"/>
        </w:rPr>
        <w:t>s</w:t>
      </w:r>
      <w:r w:rsidRPr="00522CED">
        <w:rPr>
          <w:color w:val="000000" w:themeColor="text1"/>
          <w:lang w:eastAsia="en-AU"/>
        </w:rPr>
        <w:t xml:space="preserve"> to ensure they are the least restrictive measures reasonably available</w:t>
      </w:r>
      <w:r w:rsidR="00C460B0">
        <w:rPr>
          <w:color w:val="000000" w:themeColor="text1"/>
          <w:lang w:eastAsia="en-AU"/>
        </w:rPr>
        <w:t xml:space="preserve"> </w:t>
      </w:r>
      <w:r w:rsidR="001A320D">
        <w:rPr>
          <w:color w:val="000000" w:themeColor="text1"/>
        </w:rPr>
        <w:t>include</w:t>
      </w:r>
      <w:r w:rsidR="005831D7">
        <w:rPr>
          <w:color w:val="000000" w:themeColor="text1"/>
        </w:rPr>
        <w:t xml:space="preserve"> supporting schools to implement attendance and wellbeing procedures for all students who are learning remotely, including</w:t>
      </w:r>
      <w:r w:rsidR="001A320D">
        <w:rPr>
          <w:color w:val="000000" w:themeColor="text1"/>
        </w:rPr>
        <w:t xml:space="preserve"> </w:t>
      </w:r>
      <w:r w:rsidR="001A320D" w:rsidRPr="002E5B19">
        <w:rPr>
          <w:color w:val="000000" w:themeColor="text1"/>
        </w:rPr>
        <w:t>regular check-ins</w:t>
      </w:r>
      <w:r w:rsidR="00CE37A3">
        <w:rPr>
          <w:color w:val="000000" w:themeColor="text1"/>
        </w:rPr>
        <w:t xml:space="preserve">, </w:t>
      </w:r>
      <w:r w:rsidR="00C460B0">
        <w:rPr>
          <w:color w:val="000000" w:themeColor="text1"/>
        </w:rPr>
        <w:t xml:space="preserve">development of </w:t>
      </w:r>
      <w:r w:rsidR="001A320D">
        <w:rPr>
          <w:color w:val="000000" w:themeColor="text1"/>
        </w:rPr>
        <w:t>guidelines</w:t>
      </w:r>
      <w:r w:rsidR="00CE37A3">
        <w:rPr>
          <w:color w:val="000000" w:themeColor="text1"/>
        </w:rPr>
        <w:t xml:space="preserve"> </w:t>
      </w:r>
      <w:r w:rsidR="00C460B0">
        <w:rPr>
          <w:color w:val="000000" w:themeColor="text1"/>
        </w:rPr>
        <w:t>for families to support learning from home</w:t>
      </w:r>
      <w:r w:rsidR="005831D7">
        <w:rPr>
          <w:color w:val="000000" w:themeColor="text1"/>
        </w:rPr>
        <w:t>, including guidance for families of students with disabilities,</w:t>
      </w:r>
      <w:r w:rsidR="00C460B0">
        <w:rPr>
          <w:color w:val="000000" w:themeColor="text1"/>
        </w:rPr>
        <w:t xml:space="preserve"> </w:t>
      </w:r>
      <w:r w:rsidR="00CE37A3">
        <w:rPr>
          <w:color w:val="000000" w:themeColor="text1"/>
        </w:rPr>
        <w:t xml:space="preserve">and </w:t>
      </w:r>
      <w:r w:rsidR="00C460B0">
        <w:rPr>
          <w:color w:val="000000" w:themeColor="text1"/>
        </w:rPr>
        <w:t xml:space="preserve">establishing </w:t>
      </w:r>
      <w:r w:rsidR="005831D7">
        <w:rPr>
          <w:color w:val="000000" w:themeColor="text1"/>
        </w:rPr>
        <w:t xml:space="preserve">a student </w:t>
      </w:r>
      <w:r w:rsidR="00CE37A3">
        <w:rPr>
          <w:color w:val="000000" w:themeColor="text1"/>
        </w:rPr>
        <w:t xml:space="preserve">wellbeing </w:t>
      </w:r>
      <w:r w:rsidR="005831D7">
        <w:rPr>
          <w:color w:val="000000" w:themeColor="text1"/>
        </w:rPr>
        <w:t>phone line</w:t>
      </w:r>
      <w:r w:rsidRPr="00522CED">
        <w:rPr>
          <w:color w:val="000000" w:themeColor="text1"/>
          <w:lang w:eastAsia="en-AU"/>
        </w:rPr>
        <w:t xml:space="preserve">. </w:t>
      </w:r>
      <w:r w:rsidR="00C460B0">
        <w:rPr>
          <w:szCs w:val="24"/>
        </w:rPr>
        <w:t xml:space="preserve">A detailed analysis of the human rights </w:t>
      </w:r>
      <w:r w:rsidR="00870004">
        <w:rPr>
          <w:szCs w:val="24"/>
        </w:rPr>
        <w:t>engagement</w:t>
      </w:r>
      <w:r w:rsidR="00C460B0">
        <w:rPr>
          <w:szCs w:val="24"/>
        </w:rPr>
        <w:t xml:space="preserve"> is discussed in the </w:t>
      </w:r>
      <w:r w:rsidR="00C460B0" w:rsidRPr="00D02F19">
        <w:rPr>
          <w:szCs w:val="24"/>
        </w:rPr>
        <w:t xml:space="preserve">Explanatory Statement to the COVID-19 </w:t>
      </w:r>
      <w:r w:rsidR="00C460B0">
        <w:rPr>
          <w:szCs w:val="24"/>
        </w:rPr>
        <w:t>Emergency Response Legislation Amendment Bill and remains unchanged by this Bill.</w:t>
      </w:r>
    </w:p>
    <w:p w14:paraId="3A99E5D5" w14:textId="7B6DFBA4" w:rsidR="00CA399A" w:rsidRDefault="002547BE" w:rsidP="00CA399A">
      <w:pPr>
        <w:rPr>
          <w:lang w:eastAsia="en-AU"/>
        </w:rPr>
      </w:pPr>
      <w:r w:rsidRPr="00522CED">
        <w:rPr>
          <w:color w:val="000000" w:themeColor="text1"/>
          <w:lang w:eastAsia="en-AU"/>
        </w:rPr>
        <w:t>The extension of th</w:t>
      </w:r>
      <w:r>
        <w:rPr>
          <w:color w:val="000000" w:themeColor="text1"/>
          <w:lang w:eastAsia="en-AU"/>
        </w:rPr>
        <w:t xml:space="preserve">ese </w:t>
      </w:r>
      <w:r w:rsidRPr="00522CED">
        <w:rPr>
          <w:color w:val="000000" w:themeColor="text1"/>
          <w:lang w:eastAsia="en-AU"/>
        </w:rPr>
        <w:t>measure</w:t>
      </w:r>
      <w:r>
        <w:rPr>
          <w:color w:val="000000" w:themeColor="text1"/>
          <w:lang w:eastAsia="en-AU"/>
        </w:rPr>
        <w:t>s</w:t>
      </w:r>
      <w:r w:rsidRPr="00522CED">
        <w:rPr>
          <w:color w:val="000000" w:themeColor="text1"/>
          <w:lang w:eastAsia="en-AU"/>
        </w:rPr>
        <w:t xml:space="preserv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w:t>
      </w:r>
      <w:r w:rsidR="003113D7">
        <w:rPr>
          <w:color w:val="000000" w:themeColor="text1"/>
          <w:lang w:eastAsia="en-AU"/>
        </w:rPr>
        <w:t xml:space="preserve"> of supporting the provision of education in a COVID-19 emergency</w:t>
      </w:r>
      <w:r>
        <w:rPr>
          <w:color w:val="000000" w:themeColor="text1"/>
          <w:lang w:eastAsia="en-AU"/>
        </w:rPr>
        <w:t>. The measures</w:t>
      </w:r>
      <w:r w:rsidR="00986922">
        <w:rPr>
          <w:color w:val="000000" w:themeColor="text1"/>
          <w:lang w:eastAsia="en-AU"/>
        </w:rPr>
        <w:t xml:space="preserve"> are</w:t>
      </w:r>
      <w:r>
        <w:rPr>
          <w:color w:val="000000" w:themeColor="text1"/>
          <w:lang w:eastAsia="en-AU"/>
        </w:rPr>
        <w:t xml:space="preserve"> due to expire on 8</w:t>
      </w:r>
      <w:r w:rsidR="000E12AB">
        <w:rPr>
          <w:color w:val="000000" w:themeColor="text1"/>
          <w:lang w:eastAsia="en-AU"/>
        </w:rPr>
        <w:t> </w:t>
      </w:r>
      <w:r>
        <w:rPr>
          <w:color w:val="000000" w:themeColor="text1"/>
          <w:lang w:eastAsia="en-AU"/>
        </w:rPr>
        <w:t>April 2021</w:t>
      </w:r>
      <w:r w:rsidR="000E12AB">
        <w:rPr>
          <w:color w:val="000000" w:themeColor="text1"/>
          <w:lang w:eastAsia="en-AU"/>
        </w:rPr>
        <w:t xml:space="preserve"> and </w:t>
      </w:r>
      <w:r w:rsidR="003113D7">
        <w:rPr>
          <w:color w:val="000000" w:themeColor="text1"/>
          <w:lang w:eastAsia="en-AU"/>
        </w:rPr>
        <w:t xml:space="preserve">the Bill </w:t>
      </w:r>
      <w:r w:rsidR="000E12AB">
        <w:rPr>
          <w:color w:val="000000" w:themeColor="text1"/>
          <w:lang w:eastAsia="en-AU"/>
        </w:rPr>
        <w:t xml:space="preserve">will </w:t>
      </w:r>
      <w:r>
        <w:rPr>
          <w:color w:val="000000" w:themeColor="text1"/>
          <w:lang w:eastAsia="en-AU"/>
        </w:rPr>
        <w:t>extend</w:t>
      </w:r>
      <w:r w:rsidR="003113D7">
        <w:rPr>
          <w:color w:val="000000" w:themeColor="text1"/>
          <w:lang w:eastAsia="en-AU"/>
        </w:rPr>
        <w:t xml:space="preserve"> them t</w:t>
      </w:r>
      <w:r>
        <w:rPr>
          <w:color w:val="000000" w:themeColor="text1"/>
          <w:lang w:eastAsia="en-AU"/>
        </w:rPr>
        <w:t xml:space="preserve">o expire 12 months after a COVID-19 emergency ends. The Bill therefore links the expiry of the measures with the COVID-19 emergency declaration, rather than a fixed date. Although the measures will not expire until 12 months beyond the end of a COVID-19 emergency, the underlying measures can only be used if there is a COVID-19 emergency declaration. Allowing the measures to expire 12 months beyond the end of a COVID-19 emergency will ensure that the measures can be re-enlivened in a timely way without requiring the measure to be re-legislated. </w:t>
      </w:r>
    </w:p>
    <w:p w14:paraId="7B2532B2" w14:textId="18DB92C2" w:rsidR="00EE6DE3" w:rsidRDefault="00EE6DE3" w:rsidP="00EE6DE3">
      <w:pPr>
        <w:pStyle w:val="Heading4"/>
        <w:rPr>
          <w:lang w:eastAsia="en-AU"/>
        </w:rPr>
      </w:pPr>
      <w:r>
        <w:rPr>
          <w:lang w:eastAsia="en-AU"/>
        </w:rPr>
        <w:t>Evidence (Miscellaneous Provisions) Act</w:t>
      </w:r>
      <w:r w:rsidR="00FB2E42">
        <w:rPr>
          <w:lang w:eastAsia="en-AU"/>
        </w:rPr>
        <w:t xml:space="preserve"> 1991</w:t>
      </w:r>
    </w:p>
    <w:p w14:paraId="144DCF1F" w14:textId="5BFDE431" w:rsidR="004565F3" w:rsidRPr="00D02F19" w:rsidRDefault="008E5768" w:rsidP="004565F3">
      <w:pPr>
        <w:rPr>
          <w:szCs w:val="24"/>
        </w:rPr>
      </w:pPr>
      <w:r>
        <w:rPr>
          <w:lang w:eastAsia="en-AU"/>
        </w:rPr>
        <w:t>The extension of the COVID-19 regulation-making power in the Evidence (Miscellaneous Provisions) Act engages</w:t>
      </w:r>
      <w:r>
        <w:rPr>
          <w:szCs w:val="24"/>
        </w:rPr>
        <w:t xml:space="preserve"> </w:t>
      </w:r>
      <w:r w:rsidRPr="00D02F19">
        <w:rPr>
          <w:szCs w:val="24"/>
        </w:rPr>
        <w:t>the</w:t>
      </w:r>
      <w:r>
        <w:rPr>
          <w:szCs w:val="24"/>
        </w:rPr>
        <w:t xml:space="preserve"> right to a fair trial and the right to be tried without unreasonable delay under the Human Rights Act.</w:t>
      </w:r>
      <w:r w:rsidR="004565F3">
        <w:rPr>
          <w:szCs w:val="24"/>
        </w:rPr>
        <w:t xml:space="preserve"> </w:t>
      </w:r>
    </w:p>
    <w:p w14:paraId="1DA2557F" w14:textId="39366D33" w:rsidR="008A1764" w:rsidRDefault="008E5768" w:rsidP="004565F3">
      <w:pPr>
        <w:rPr>
          <w:szCs w:val="24"/>
        </w:rPr>
      </w:pPr>
      <w:r>
        <w:rPr>
          <w:color w:val="000000" w:themeColor="text1"/>
          <w:lang w:eastAsia="en-AU"/>
        </w:rPr>
        <w:t>To the extent these rights may be limited, extending</w:t>
      </w:r>
      <w:r w:rsidR="008A1764">
        <w:rPr>
          <w:color w:val="000000" w:themeColor="text1"/>
          <w:lang w:eastAsia="en-AU"/>
        </w:rPr>
        <w:t xml:space="preserve"> t</w:t>
      </w:r>
      <w:r w:rsidR="008A1764" w:rsidRPr="00522CED">
        <w:rPr>
          <w:color w:val="000000" w:themeColor="text1"/>
          <w:lang w:eastAsia="en-AU"/>
        </w:rPr>
        <w:t>he measure</w:t>
      </w:r>
      <w:r w:rsidR="008A1764">
        <w:rPr>
          <w:color w:val="000000" w:themeColor="text1"/>
          <w:lang w:eastAsia="en-AU"/>
        </w:rPr>
        <w:t xml:space="preserve"> is</w:t>
      </w:r>
      <w:r w:rsidR="008A1764" w:rsidRPr="00522CED">
        <w:rPr>
          <w:color w:val="000000" w:themeColor="text1"/>
          <w:lang w:eastAsia="en-AU"/>
        </w:rPr>
        <w:t xml:space="preserve"> </w:t>
      </w:r>
      <w:r w:rsidR="008A1764">
        <w:rPr>
          <w:color w:val="000000" w:themeColor="text1"/>
          <w:lang w:eastAsia="en-AU"/>
        </w:rPr>
        <w:t>necessary and</w:t>
      </w:r>
      <w:r w:rsidR="008A1764" w:rsidRPr="00522CED">
        <w:rPr>
          <w:color w:val="000000" w:themeColor="text1"/>
          <w:lang w:eastAsia="en-AU"/>
        </w:rPr>
        <w:t xml:space="preserve"> rationally connected to </w:t>
      </w:r>
      <w:r w:rsidR="008A1764">
        <w:rPr>
          <w:color w:val="000000" w:themeColor="text1"/>
          <w:lang w:eastAsia="en-AU"/>
        </w:rPr>
        <w:t xml:space="preserve">continuing to </w:t>
      </w:r>
      <w:r w:rsidR="008A1764" w:rsidRPr="00522CED">
        <w:rPr>
          <w:color w:val="000000" w:themeColor="text1"/>
          <w:lang w:eastAsia="en-AU"/>
        </w:rPr>
        <w:t>achiev</w:t>
      </w:r>
      <w:r w:rsidR="008A1764">
        <w:rPr>
          <w:color w:val="000000" w:themeColor="text1"/>
          <w:lang w:eastAsia="en-AU"/>
        </w:rPr>
        <w:t>e</w:t>
      </w:r>
      <w:r w:rsidR="008A1764" w:rsidRPr="00522CED">
        <w:rPr>
          <w:color w:val="000000" w:themeColor="text1"/>
          <w:lang w:eastAsia="en-AU"/>
        </w:rPr>
        <w:t xml:space="preserve"> </w:t>
      </w:r>
      <w:r w:rsidR="008A1764">
        <w:rPr>
          <w:color w:val="000000" w:themeColor="text1"/>
          <w:lang w:eastAsia="en-AU"/>
        </w:rPr>
        <w:t>the objective</w:t>
      </w:r>
      <w:r w:rsidR="008A1764" w:rsidRPr="00522CED">
        <w:rPr>
          <w:color w:val="000000" w:themeColor="text1"/>
          <w:lang w:eastAsia="en-AU"/>
        </w:rPr>
        <w:t xml:space="preserve"> of </w:t>
      </w:r>
      <w:r w:rsidR="008A1764">
        <w:rPr>
          <w:color w:val="000000" w:themeColor="text1"/>
          <w:lang w:eastAsia="en-AU"/>
        </w:rPr>
        <w:t xml:space="preserve">public safety and ensuring legal proceedings are not disrupted more than necessary in the event of a COVID-19 emergency. The objectives are achieved by </w:t>
      </w:r>
      <w:r w:rsidR="000E12AB">
        <w:rPr>
          <w:color w:val="000000" w:themeColor="text1"/>
          <w:lang w:eastAsia="en-AU"/>
        </w:rPr>
        <w:t xml:space="preserve">giving the Executive power to make regulations to allow the court to </w:t>
      </w:r>
      <w:r w:rsidR="008A1764">
        <w:rPr>
          <w:color w:val="000000" w:themeColor="text1"/>
          <w:lang w:eastAsia="en-AU"/>
        </w:rPr>
        <w:t>record witness evidence</w:t>
      </w:r>
      <w:r w:rsidR="003A74C3">
        <w:rPr>
          <w:color w:val="000000" w:themeColor="text1"/>
          <w:lang w:eastAsia="en-AU"/>
        </w:rPr>
        <w:t xml:space="preserve"> where </w:t>
      </w:r>
      <w:r w:rsidR="008A1764">
        <w:rPr>
          <w:color w:val="000000" w:themeColor="text1"/>
          <w:lang w:eastAsia="en-AU"/>
        </w:rPr>
        <w:t xml:space="preserve">the </w:t>
      </w:r>
      <w:r w:rsidR="003A74C3">
        <w:rPr>
          <w:color w:val="000000" w:themeColor="text1"/>
          <w:lang w:eastAsia="en-AU"/>
        </w:rPr>
        <w:t xml:space="preserve">trial is </w:t>
      </w:r>
      <w:r w:rsidR="008A1764">
        <w:rPr>
          <w:color w:val="000000" w:themeColor="text1"/>
          <w:lang w:eastAsia="en-AU"/>
        </w:rPr>
        <w:t>adjourn</w:t>
      </w:r>
      <w:r w:rsidR="003A74C3">
        <w:rPr>
          <w:color w:val="000000" w:themeColor="text1"/>
          <w:lang w:eastAsia="en-AU"/>
        </w:rPr>
        <w:t>ed</w:t>
      </w:r>
      <w:r w:rsidR="008A1764">
        <w:rPr>
          <w:color w:val="000000" w:themeColor="text1"/>
          <w:lang w:eastAsia="en-AU"/>
        </w:rPr>
        <w:t xml:space="preserve">. </w:t>
      </w:r>
      <w:r w:rsidR="008A1764">
        <w:rPr>
          <w:szCs w:val="24"/>
        </w:rPr>
        <w:t xml:space="preserve">A detailed analysis of the human rights </w:t>
      </w:r>
      <w:r>
        <w:rPr>
          <w:szCs w:val="24"/>
        </w:rPr>
        <w:t>engagement</w:t>
      </w:r>
      <w:r w:rsidR="008A1764">
        <w:rPr>
          <w:szCs w:val="24"/>
        </w:rPr>
        <w:t xml:space="preserve"> is discussed in the </w:t>
      </w:r>
      <w:r w:rsidR="008A1764" w:rsidRPr="00D02F19">
        <w:rPr>
          <w:szCs w:val="24"/>
        </w:rPr>
        <w:t xml:space="preserve">Explanatory Statement to the </w:t>
      </w:r>
      <w:r w:rsidR="008A1764">
        <w:rPr>
          <w:lang w:eastAsia="en-AU"/>
        </w:rPr>
        <w:t>COVID-19 Emergency Response Bill</w:t>
      </w:r>
      <w:r w:rsidR="008A1764">
        <w:rPr>
          <w:szCs w:val="24"/>
        </w:rPr>
        <w:t xml:space="preserve"> and remains unchanged by this Bill.</w:t>
      </w:r>
    </w:p>
    <w:p w14:paraId="31D540A4" w14:textId="6D61B7F8" w:rsidR="004565F3" w:rsidRPr="008A1764" w:rsidRDefault="008A1764" w:rsidP="004565F3">
      <w:pPr>
        <w:rPr>
          <w:lang w:eastAsia="en-AU"/>
        </w:rPr>
      </w:pPr>
      <w:r w:rsidRPr="00522CED">
        <w:rPr>
          <w:color w:val="000000" w:themeColor="text1"/>
          <w:lang w:eastAsia="en-AU"/>
        </w:rPr>
        <w:lastRenderedPageBreak/>
        <w:t>The extension of th</w:t>
      </w:r>
      <w:r w:rsidR="0058402E">
        <w:rPr>
          <w:color w:val="000000" w:themeColor="text1"/>
          <w:lang w:eastAsia="en-AU"/>
        </w:rPr>
        <w:t xml:space="preserve">is </w:t>
      </w:r>
      <w:r w:rsidRPr="00522CED">
        <w:rPr>
          <w:color w:val="000000" w:themeColor="text1"/>
          <w:lang w:eastAsia="en-AU"/>
        </w:rPr>
        <w:t xml:space="preserve">measure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w:t>
      </w:r>
      <w:r w:rsidR="003113D7">
        <w:rPr>
          <w:color w:val="000000" w:themeColor="text1"/>
          <w:lang w:eastAsia="en-AU"/>
        </w:rPr>
        <w:t xml:space="preserve"> of avoiding disruption to legal proceedings</w:t>
      </w:r>
      <w:r>
        <w:rPr>
          <w:color w:val="000000" w:themeColor="text1"/>
          <w:lang w:eastAsia="en-AU"/>
        </w:rPr>
        <w:t xml:space="preserve">. The </w:t>
      </w:r>
      <w:r w:rsidR="0058402E">
        <w:rPr>
          <w:color w:val="000000" w:themeColor="text1"/>
          <w:lang w:eastAsia="en-AU"/>
        </w:rPr>
        <w:t xml:space="preserve">measure </w:t>
      </w:r>
      <w:r w:rsidR="00986922">
        <w:rPr>
          <w:color w:val="000000" w:themeColor="text1"/>
          <w:lang w:eastAsia="en-AU"/>
        </w:rPr>
        <w:t>is</w:t>
      </w:r>
      <w:r>
        <w:rPr>
          <w:color w:val="000000" w:themeColor="text1"/>
          <w:lang w:eastAsia="en-AU"/>
        </w:rPr>
        <w:t xml:space="preserve"> due to expire on 8</w:t>
      </w:r>
      <w:r w:rsidR="003A74C3">
        <w:rPr>
          <w:color w:val="000000" w:themeColor="text1"/>
          <w:lang w:eastAsia="en-AU"/>
        </w:rPr>
        <w:t> </w:t>
      </w:r>
      <w:r>
        <w:rPr>
          <w:color w:val="000000" w:themeColor="text1"/>
          <w:lang w:eastAsia="en-AU"/>
        </w:rPr>
        <w:t>April</w:t>
      </w:r>
      <w:r w:rsidR="003A74C3">
        <w:rPr>
          <w:color w:val="000000" w:themeColor="text1"/>
          <w:lang w:eastAsia="en-AU"/>
        </w:rPr>
        <w:t> </w:t>
      </w:r>
      <w:r>
        <w:rPr>
          <w:color w:val="000000" w:themeColor="text1"/>
          <w:lang w:eastAsia="en-AU"/>
        </w:rPr>
        <w:t>2021</w:t>
      </w:r>
      <w:r w:rsidR="003A74C3">
        <w:rPr>
          <w:color w:val="000000" w:themeColor="text1"/>
          <w:lang w:eastAsia="en-AU"/>
        </w:rPr>
        <w:t xml:space="preserve"> and </w:t>
      </w:r>
      <w:r w:rsidR="003113D7">
        <w:rPr>
          <w:color w:val="000000" w:themeColor="text1"/>
          <w:lang w:eastAsia="en-AU"/>
        </w:rPr>
        <w:t xml:space="preserve">the Bill </w:t>
      </w:r>
      <w:r w:rsidR="003A74C3">
        <w:rPr>
          <w:color w:val="000000" w:themeColor="text1"/>
          <w:lang w:eastAsia="en-AU"/>
        </w:rPr>
        <w:t xml:space="preserve">will </w:t>
      </w:r>
      <w:r w:rsidR="003113D7">
        <w:rPr>
          <w:color w:val="000000" w:themeColor="text1"/>
          <w:lang w:eastAsia="en-AU"/>
        </w:rPr>
        <w:t>e</w:t>
      </w:r>
      <w:r>
        <w:rPr>
          <w:color w:val="000000" w:themeColor="text1"/>
          <w:lang w:eastAsia="en-AU"/>
        </w:rPr>
        <w:t>xtend</w:t>
      </w:r>
      <w:r w:rsidR="003113D7">
        <w:rPr>
          <w:color w:val="000000" w:themeColor="text1"/>
          <w:lang w:eastAsia="en-AU"/>
        </w:rPr>
        <w:t xml:space="preserve"> this</w:t>
      </w:r>
      <w:r w:rsidR="002E58BA">
        <w:rPr>
          <w:color w:val="000000" w:themeColor="text1"/>
          <w:lang w:eastAsia="en-AU"/>
        </w:rPr>
        <w:t xml:space="preserve"> </w:t>
      </w:r>
      <w:r>
        <w:rPr>
          <w:color w:val="000000" w:themeColor="text1"/>
          <w:lang w:eastAsia="en-AU"/>
        </w:rPr>
        <w:t xml:space="preserve">to expire 12 months after a COVID-19 emergency ends. The Bill therefore links the expiry of the </w:t>
      </w:r>
      <w:r w:rsidR="0058402E">
        <w:rPr>
          <w:color w:val="000000" w:themeColor="text1"/>
          <w:lang w:eastAsia="en-AU"/>
        </w:rPr>
        <w:t>measure</w:t>
      </w:r>
      <w:r>
        <w:rPr>
          <w:color w:val="000000" w:themeColor="text1"/>
          <w:lang w:eastAsia="en-AU"/>
        </w:rPr>
        <w:t xml:space="preserve"> with the COVID-19 emergency declaration, rather than a fixed date. Although the </w:t>
      </w:r>
      <w:r w:rsidR="0058402E">
        <w:rPr>
          <w:color w:val="000000" w:themeColor="text1"/>
          <w:lang w:eastAsia="en-AU"/>
        </w:rPr>
        <w:t>measure</w:t>
      </w:r>
      <w:r>
        <w:rPr>
          <w:color w:val="000000" w:themeColor="text1"/>
          <w:lang w:eastAsia="en-AU"/>
        </w:rPr>
        <w:t xml:space="preserve"> will not expire until 12 months beyond the end of a COVID-19 emergency, the underlying measure</w:t>
      </w:r>
      <w:r w:rsidR="0058402E">
        <w:rPr>
          <w:color w:val="000000" w:themeColor="text1"/>
          <w:lang w:eastAsia="en-AU"/>
        </w:rPr>
        <w:t xml:space="preserve"> </w:t>
      </w:r>
      <w:r>
        <w:rPr>
          <w:color w:val="000000" w:themeColor="text1"/>
          <w:lang w:eastAsia="en-AU"/>
        </w:rPr>
        <w:t xml:space="preserve">can only be used if there is a COVID-19 emergency declaration. Allowing the </w:t>
      </w:r>
      <w:r w:rsidR="0058402E">
        <w:rPr>
          <w:color w:val="000000" w:themeColor="text1"/>
          <w:lang w:eastAsia="en-AU"/>
        </w:rPr>
        <w:t>measure</w:t>
      </w:r>
      <w:r>
        <w:rPr>
          <w:color w:val="000000" w:themeColor="text1"/>
          <w:lang w:eastAsia="en-AU"/>
        </w:rPr>
        <w:t xml:space="preserve"> to expire 12 months </w:t>
      </w:r>
      <w:r w:rsidR="003A74C3">
        <w:rPr>
          <w:color w:val="000000" w:themeColor="text1"/>
          <w:lang w:eastAsia="en-AU"/>
        </w:rPr>
        <w:t>after</w:t>
      </w:r>
      <w:r>
        <w:rPr>
          <w:color w:val="000000" w:themeColor="text1"/>
          <w:lang w:eastAsia="en-AU"/>
        </w:rPr>
        <w:t xml:space="preserve"> the end of a COVID-19 emergency will ensure that the measure can be re-enlivened in a timely way without requiring the measure to be re-legislated. </w:t>
      </w:r>
    </w:p>
    <w:p w14:paraId="4E410B5C" w14:textId="557AD234" w:rsidR="00EE6DE3" w:rsidRDefault="00EE6DE3" w:rsidP="00EE6DE3">
      <w:pPr>
        <w:pStyle w:val="Heading4"/>
        <w:rPr>
          <w:lang w:eastAsia="en-AU"/>
        </w:rPr>
      </w:pPr>
      <w:r>
        <w:rPr>
          <w:lang w:eastAsia="en-AU"/>
        </w:rPr>
        <w:t>Family Violence Act</w:t>
      </w:r>
      <w:r w:rsidR="00597BA5">
        <w:rPr>
          <w:lang w:eastAsia="en-AU"/>
        </w:rPr>
        <w:t xml:space="preserve"> </w:t>
      </w:r>
      <w:r w:rsidR="00635ED1">
        <w:rPr>
          <w:lang w:eastAsia="en-AU"/>
        </w:rPr>
        <w:t xml:space="preserve">2016 </w:t>
      </w:r>
      <w:r w:rsidR="00597BA5">
        <w:rPr>
          <w:lang w:eastAsia="en-AU"/>
        </w:rPr>
        <w:t>and</w:t>
      </w:r>
      <w:r w:rsidR="00597BA5" w:rsidRPr="00597BA5">
        <w:rPr>
          <w:lang w:eastAsia="en-AU"/>
        </w:rPr>
        <w:t xml:space="preserve"> </w:t>
      </w:r>
      <w:r w:rsidR="00597BA5">
        <w:rPr>
          <w:lang w:eastAsia="en-AU"/>
        </w:rPr>
        <w:t>Personal Violence Act</w:t>
      </w:r>
      <w:r w:rsidR="00635ED1">
        <w:rPr>
          <w:lang w:eastAsia="en-AU"/>
        </w:rPr>
        <w:t xml:space="preserve"> 2016</w:t>
      </w:r>
    </w:p>
    <w:p w14:paraId="77ED9543" w14:textId="77777777" w:rsidR="008E5768" w:rsidRPr="00D02F19" w:rsidRDefault="008E5768" w:rsidP="008E5768">
      <w:pPr>
        <w:rPr>
          <w:szCs w:val="24"/>
        </w:rPr>
      </w:pPr>
      <w:r>
        <w:rPr>
          <w:lang w:eastAsia="en-AU"/>
        </w:rPr>
        <w:t xml:space="preserve">The extension of the COVID-19 measures in the Family Violence Act and Personal Violence Act, which extend the 12-month general limit on interim orders for a further six months, engages and may </w:t>
      </w:r>
      <w:r>
        <w:rPr>
          <w:szCs w:val="24"/>
        </w:rPr>
        <w:t xml:space="preserve">limit the right to a fair trial under the Human Rights Act as it can delay the time before a final order can be made. </w:t>
      </w:r>
    </w:p>
    <w:p w14:paraId="378AC985" w14:textId="5ACC77C5" w:rsidR="00563B46" w:rsidRDefault="00635ED1" w:rsidP="001A320D">
      <w:pPr>
        <w:rPr>
          <w:szCs w:val="24"/>
        </w:rPr>
      </w:pPr>
      <w:r>
        <w:rPr>
          <w:color w:val="000000" w:themeColor="text1"/>
          <w:lang w:eastAsia="en-AU"/>
        </w:rPr>
        <w:t>Extending t</w:t>
      </w:r>
      <w:r w:rsidRPr="00522CED">
        <w:rPr>
          <w:color w:val="000000" w:themeColor="text1"/>
          <w:lang w:eastAsia="en-AU"/>
        </w:rPr>
        <w:t>he measure</w:t>
      </w:r>
      <w:r w:rsidR="00563B46">
        <w:rPr>
          <w:color w:val="000000" w:themeColor="text1"/>
          <w:lang w:eastAsia="en-AU"/>
        </w:rPr>
        <w:t>s</w:t>
      </w:r>
      <w:r>
        <w:rPr>
          <w:color w:val="000000" w:themeColor="text1"/>
          <w:lang w:eastAsia="en-AU"/>
        </w:rPr>
        <w:t xml:space="preserve"> is</w:t>
      </w:r>
      <w:r w:rsidRPr="00522CED">
        <w:rPr>
          <w:color w:val="000000" w:themeColor="text1"/>
          <w:lang w:eastAsia="en-AU"/>
        </w:rPr>
        <w:t xml:space="preserve"> </w:t>
      </w:r>
      <w:r>
        <w:rPr>
          <w:color w:val="000000" w:themeColor="text1"/>
          <w:lang w:eastAsia="en-AU"/>
        </w:rPr>
        <w:t>necessary and</w:t>
      </w:r>
      <w:r w:rsidRPr="00522CED">
        <w:rPr>
          <w:color w:val="000000" w:themeColor="text1"/>
          <w:lang w:eastAsia="en-AU"/>
        </w:rPr>
        <w:t xml:space="preserve"> rationally connected to </w:t>
      </w:r>
      <w:r>
        <w:rPr>
          <w:color w:val="000000" w:themeColor="text1"/>
          <w:lang w:eastAsia="en-AU"/>
        </w:rPr>
        <w:t xml:space="preserve">continuing to </w:t>
      </w:r>
      <w:r w:rsidRPr="00522CED">
        <w:rPr>
          <w:color w:val="000000" w:themeColor="text1"/>
          <w:lang w:eastAsia="en-AU"/>
        </w:rPr>
        <w:t>achiev</w:t>
      </w:r>
      <w:r>
        <w:rPr>
          <w:color w:val="000000" w:themeColor="text1"/>
          <w:lang w:eastAsia="en-AU"/>
        </w:rPr>
        <w:t>e</w:t>
      </w:r>
      <w:r w:rsidRPr="00522CED">
        <w:rPr>
          <w:color w:val="000000" w:themeColor="text1"/>
          <w:lang w:eastAsia="en-AU"/>
        </w:rPr>
        <w:t xml:space="preserve"> </w:t>
      </w:r>
      <w:r>
        <w:rPr>
          <w:color w:val="000000" w:themeColor="text1"/>
          <w:lang w:eastAsia="en-AU"/>
        </w:rPr>
        <w:t>the objective</w:t>
      </w:r>
      <w:r w:rsidRPr="00522CED">
        <w:rPr>
          <w:color w:val="000000" w:themeColor="text1"/>
          <w:lang w:eastAsia="en-AU"/>
        </w:rPr>
        <w:t xml:space="preserve"> of </w:t>
      </w:r>
      <w:r w:rsidR="00597BA5">
        <w:rPr>
          <w:color w:val="000000" w:themeColor="text1"/>
          <w:lang w:eastAsia="en-AU"/>
        </w:rPr>
        <w:t>public safety</w:t>
      </w:r>
      <w:r w:rsidR="00563B46">
        <w:rPr>
          <w:color w:val="000000" w:themeColor="text1"/>
          <w:lang w:eastAsia="en-AU"/>
        </w:rPr>
        <w:t>. Th</w:t>
      </w:r>
      <w:r w:rsidR="002547BE">
        <w:rPr>
          <w:color w:val="000000" w:themeColor="text1"/>
          <w:lang w:eastAsia="en-AU"/>
        </w:rPr>
        <w:t xml:space="preserve">e objective </w:t>
      </w:r>
      <w:r w:rsidR="00563B46">
        <w:rPr>
          <w:color w:val="000000" w:themeColor="text1"/>
          <w:lang w:eastAsia="en-AU"/>
        </w:rPr>
        <w:t>is achieved b</w:t>
      </w:r>
      <w:r w:rsidR="00394659">
        <w:rPr>
          <w:color w:val="000000" w:themeColor="text1"/>
          <w:lang w:eastAsia="en-AU"/>
        </w:rPr>
        <w:t>y protecting applicants from interpersonal violence and reducing the risk of infection to parties and court staff</w:t>
      </w:r>
      <w:r w:rsidR="00563B46">
        <w:rPr>
          <w:color w:val="000000" w:themeColor="text1"/>
          <w:lang w:eastAsia="en-AU"/>
        </w:rPr>
        <w:t xml:space="preserve"> during a COVID-19 emergency</w:t>
      </w:r>
      <w:r w:rsidR="00597BA5" w:rsidRPr="00522CED">
        <w:rPr>
          <w:color w:val="000000" w:themeColor="text1"/>
          <w:lang w:eastAsia="en-AU"/>
        </w:rPr>
        <w:t xml:space="preserve">. </w:t>
      </w:r>
      <w:r w:rsidR="00563B46">
        <w:rPr>
          <w:szCs w:val="24"/>
        </w:rPr>
        <w:t xml:space="preserve">A detailed analysis of the human rights limitation is discussed in the </w:t>
      </w:r>
      <w:r w:rsidR="00563B46" w:rsidRPr="00D02F19">
        <w:rPr>
          <w:szCs w:val="24"/>
        </w:rPr>
        <w:t xml:space="preserve">Explanatory Statement to the </w:t>
      </w:r>
      <w:r w:rsidR="00563B46">
        <w:rPr>
          <w:lang w:eastAsia="en-AU"/>
        </w:rPr>
        <w:t xml:space="preserve">COVID-19 Emergency Response Bill </w:t>
      </w:r>
      <w:r w:rsidR="00563B46">
        <w:rPr>
          <w:szCs w:val="24"/>
        </w:rPr>
        <w:t>and remains unchanged by this Bill.</w:t>
      </w:r>
    </w:p>
    <w:p w14:paraId="6DCC8476" w14:textId="4A98547A" w:rsidR="00597BA5" w:rsidRDefault="00563B46" w:rsidP="001A320D">
      <w:pPr>
        <w:rPr>
          <w:color w:val="000000" w:themeColor="text1"/>
          <w:lang w:eastAsia="en-AU"/>
        </w:rPr>
      </w:pPr>
      <w:r w:rsidRPr="00522CED">
        <w:rPr>
          <w:color w:val="000000" w:themeColor="text1"/>
          <w:lang w:eastAsia="en-AU"/>
        </w:rPr>
        <w:t>The extension of th</w:t>
      </w:r>
      <w:r>
        <w:rPr>
          <w:color w:val="000000" w:themeColor="text1"/>
          <w:lang w:eastAsia="en-AU"/>
        </w:rPr>
        <w:t xml:space="preserve">ese </w:t>
      </w:r>
      <w:r w:rsidRPr="00522CED">
        <w:rPr>
          <w:color w:val="000000" w:themeColor="text1"/>
          <w:lang w:eastAsia="en-AU"/>
        </w:rPr>
        <w:t>measure</w:t>
      </w:r>
      <w:r>
        <w:rPr>
          <w:color w:val="000000" w:themeColor="text1"/>
          <w:lang w:eastAsia="en-AU"/>
        </w:rPr>
        <w:t>s</w:t>
      </w:r>
      <w:r w:rsidRPr="00522CED">
        <w:rPr>
          <w:color w:val="000000" w:themeColor="text1"/>
          <w:lang w:eastAsia="en-AU"/>
        </w:rPr>
        <w:t xml:space="preserv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w:t>
      </w:r>
      <w:r w:rsidR="003113D7">
        <w:rPr>
          <w:color w:val="000000" w:themeColor="text1"/>
          <w:lang w:eastAsia="en-AU"/>
        </w:rPr>
        <w:t xml:space="preserve"> of public safety</w:t>
      </w:r>
      <w:r>
        <w:rPr>
          <w:color w:val="000000" w:themeColor="text1"/>
          <w:lang w:eastAsia="en-AU"/>
        </w:rPr>
        <w:t xml:space="preserve">. The measures </w:t>
      </w:r>
      <w:r w:rsidR="00986922">
        <w:rPr>
          <w:color w:val="000000" w:themeColor="text1"/>
          <w:lang w:eastAsia="en-AU"/>
        </w:rPr>
        <w:t xml:space="preserve">are </w:t>
      </w:r>
      <w:r>
        <w:rPr>
          <w:color w:val="000000" w:themeColor="text1"/>
          <w:lang w:eastAsia="en-AU"/>
        </w:rPr>
        <w:t>due to expire on 8</w:t>
      </w:r>
      <w:r w:rsidR="003A74C3">
        <w:rPr>
          <w:color w:val="000000" w:themeColor="text1"/>
          <w:lang w:eastAsia="en-AU"/>
        </w:rPr>
        <w:t> </w:t>
      </w:r>
      <w:r>
        <w:rPr>
          <w:color w:val="000000" w:themeColor="text1"/>
          <w:lang w:eastAsia="en-AU"/>
        </w:rPr>
        <w:t>April 2021</w:t>
      </w:r>
      <w:r w:rsidR="003A74C3">
        <w:rPr>
          <w:color w:val="000000" w:themeColor="text1"/>
          <w:lang w:eastAsia="en-AU"/>
        </w:rPr>
        <w:t xml:space="preserve"> and</w:t>
      </w:r>
      <w:r w:rsidR="003113D7">
        <w:rPr>
          <w:color w:val="000000" w:themeColor="text1"/>
          <w:lang w:eastAsia="en-AU"/>
        </w:rPr>
        <w:t xml:space="preserve"> the Bill</w:t>
      </w:r>
      <w:r w:rsidR="003A74C3">
        <w:rPr>
          <w:color w:val="000000" w:themeColor="text1"/>
          <w:lang w:eastAsia="en-AU"/>
        </w:rPr>
        <w:t xml:space="preserve"> will </w:t>
      </w:r>
      <w:r>
        <w:rPr>
          <w:color w:val="000000" w:themeColor="text1"/>
          <w:lang w:eastAsia="en-AU"/>
        </w:rPr>
        <w:t>extend</w:t>
      </w:r>
      <w:r w:rsidR="003113D7">
        <w:rPr>
          <w:color w:val="000000" w:themeColor="text1"/>
          <w:lang w:eastAsia="en-AU"/>
        </w:rPr>
        <w:t xml:space="preserve"> them</w:t>
      </w:r>
      <w:r>
        <w:rPr>
          <w:color w:val="000000" w:themeColor="text1"/>
          <w:lang w:eastAsia="en-AU"/>
        </w:rPr>
        <w:t xml:space="preserve"> to expire 12 months after a COVID-19 emergency ends. The Bill therefore links the expiry of the measures with the COVID-19 emergency declaration, rather than a fixed date. Although the measures will not expire until 12 months beyond the end of a COVID-19 emergency, the underlying measures can only be used if there is a COVID-19 emergency declaration. Allowing the measures to expire 12 months beyond the end of a COVID-19 emergency will ensure that the measures can be re-enlivened in a timely way without requiring the measure to be re-legislated. </w:t>
      </w:r>
    </w:p>
    <w:p w14:paraId="3CBB5C81" w14:textId="325D2B21" w:rsidR="001C4FAF" w:rsidRDefault="001C4FAF" w:rsidP="001C4FAF">
      <w:pPr>
        <w:pStyle w:val="Heading4"/>
        <w:rPr>
          <w:lang w:eastAsia="en-AU"/>
        </w:rPr>
      </w:pPr>
      <w:bookmarkStart w:id="19" w:name="_Hlk55809605"/>
      <w:r w:rsidRPr="00B7391A">
        <w:rPr>
          <w:lang w:eastAsia="en-AU"/>
        </w:rPr>
        <w:t>Supreme Court Act</w:t>
      </w:r>
      <w:r w:rsidR="00EF0095" w:rsidRPr="00B7391A">
        <w:rPr>
          <w:lang w:eastAsia="en-AU"/>
        </w:rPr>
        <w:t xml:space="preserve"> 1933</w:t>
      </w:r>
    </w:p>
    <w:bookmarkEnd w:id="19"/>
    <w:p w14:paraId="4674E655" w14:textId="789D91F5" w:rsidR="008E5768" w:rsidRPr="00D02F19" w:rsidRDefault="008E5768" w:rsidP="008E5768">
      <w:pPr>
        <w:rPr>
          <w:szCs w:val="24"/>
        </w:rPr>
      </w:pPr>
      <w:r>
        <w:rPr>
          <w:lang w:eastAsia="en-AU"/>
        </w:rPr>
        <w:t xml:space="preserve">The extension of the COVID-19 measure in the Supreme Court Act, which allows an accused to elect a judge alone trial for an offence normally </w:t>
      </w:r>
      <w:r w:rsidR="00A7763D">
        <w:rPr>
          <w:lang w:eastAsia="en-AU"/>
        </w:rPr>
        <w:t>required to be before a jury</w:t>
      </w:r>
      <w:r>
        <w:rPr>
          <w:lang w:eastAsia="en-AU"/>
        </w:rPr>
        <w:t xml:space="preserve"> may engage</w:t>
      </w:r>
      <w:r>
        <w:rPr>
          <w:szCs w:val="24"/>
        </w:rPr>
        <w:t xml:space="preserve"> </w:t>
      </w:r>
      <w:r w:rsidRPr="00D02F19">
        <w:rPr>
          <w:szCs w:val="24"/>
        </w:rPr>
        <w:t>the</w:t>
      </w:r>
      <w:r>
        <w:rPr>
          <w:szCs w:val="24"/>
        </w:rPr>
        <w:t xml:space="preserve"> right to a fair trial and rights in criminal proceedings. </w:t>
      </w:r>
    </w:p>
    <w:p w14:paraId="7A9134BE" w14:textId="38FEA3C2" w:rsidR="00B7391A" w:rsidRDefault="008E5768" w:rsidP="00B7391A">
      <w:pPr>
        <w:rPr>
          <w:szCs w:val="24"/>
        </w:rPr>
      </w:pPr>
      <w:r>
        <w:rPr>
          <w:color w:val="000000" w:themeColor="text1"/>
          <w:lang w:eastAsia="en-AU"/>
        </w:rPr>
        <w:t>To the extent these rights may be limited, extending</w:t>
      </w:r>
      <w:r w:rsidR="00566480">
        <w:rPr>
          <w:color w:val="000000" w:themeColor="text1"/>
          <w:lang w:eastAsia="en-AU"/>
        </w:rPr>
        <w:t xml:space="preserve"> t</w:t>
      </w:r>
      <w:r w:rsidR="00566480" w:rsidRPr="00522CED">
        <w:rPr>
          <w:color w:val="000000" w:themeColor="text1"/>
          <w:lang w:eastAsia="en-AU"/>
        </w:rPr>
        <w:t>he measur</w:t>
      </w:r>
      <w:r w:rsidR="00566480">
        <w:rPr>
          <w:color w:val="000000" w:themeColor="text1"/>
          <w:lang w:eastAsia="en-AU"/>
        </w:rPr>
        <w:t>e is</w:t>
      </w:r>
      <w:r w:rsidR="00566480" w:rsidRPr="00522CED">
        <w:rPr>
          <w:color w:val="000000" w:themeColor="text1"/>
          <w:lang w:eastAsia="en-AU"/>
        </w:rPr>
        <w:t xml:space="preserve"> </w:t>
      </w:r>
      <w:r w:rsidR="00566480">
        <w:rPr>
          <w:color w:val="000000" w:themeColor="text1"/>
          <w:lang w:eastAsia="en-AU"/>
        </w:rPr>
        <w:t>necessary and</w:t>
      </w:r>
      <w:r w:rsidR="00566480" w:rsidRPr="00522CED">
        <w:rPr>
          <w:color w:val="000000" w:themeColor="text1"/>
          <w:lang w:eastAsia="en-AU"/>
        </w:rPr>
        <w:t xml:space="preserve"> rationally connected to </w:t>
      </w:r>
      <w:r w:rsidR="00566480">
        <w:rPr>
          <w:color w:val="000000" w:themeColor="text1"/>
          <w:lang w:eastAsia="en-AU"/>
        </w:rPr>
        <w:t xml:space="preserve">continuing to </w:t>
      </w:r>
      <w:r w:rsidR="00566480" w:rsidRPr="00522CED">
        <w:rPr>
          <w:color w:val="000000" w:themeColor="text1"/>
          <w:lang w:eastAsia="en-AU"/>
        </w:rPr>
        <w:t>achiev</w:t>
      </w:r>
      <w:r w:rsidR="00566480">
        <w:rPr>
          <w:color w:val="000000" w:themeColor="text1"/>
          <w:lang w:eastAsia="en-AU"/>
        </w:rPr>
        <w:t>e</w:t>
      </w:r>
      <w:r w:rsidR="00566480" w:rsidRPr="00522CED">
        <w:rPr>
          <w:color w:val="000000" w:themeColor="text1"/>
          <w:lang w:eastAsia="en-AU"/>
        </w:rPr>
        <w:t xml:space="preserve"> </w:t>
      </w:r>
      <w:r w:rsidR="00566480">
        <w:rPr>
          <w:color w:val="000000" w:themeColor="text1"/>
          <w:lang w:eastAsia="en-AU"/>
        </w:rPr>
        <w:t>the objective</w:t>
      </w:r>
      <w:r w:rsidR="00566480" w:rsidRPr="00522CED">
        <w:rPr>
          <w:color w:val="000000" w:themeColor="text1"/>
          <w:lang w:eastAsia="en-AU"/>
        </w:rPr>
        <w:t xml:space="preserve"> of </w:t>
      </w:r>
      <w:r w:rsidR="00B7391A">
        <w:rPr>
          <w:color w:val="000000" w:themeColor="text1"/>
          <w:lang w:eastAsia="en-AU"/>
        </w:rPr>
        <w:t>effective administration of justice</w:t>
      </w:r>
      <w:r w:rsidR="00566480">
        <w:rPr>
          <w:color w:val="000000" w:themeColor="text1"/>
          <w:lang w:eastAsia="en-AU"/>
        </w:rPr>
        <w:t>. Th</w:t>
      </w:r>
      <w:r w:rsidR="002547BE">
        <w:rPr>
          <w:color w:val="000000" w:themeColor="text1"/>
          <w:lang w:eastAsia="en-AU"/>
        </w:rPr>
        <w:t>e objective</w:t>
      </w:r>
      <w:r w:rsidR="00566480">
        <w:rPr>
          <w:color w:val="000000" w:themeColor="text1"/>
          <w:lang w:eastAsia="en-AU"/>
        </w:rPr>
        <w:t xml:space="preserve"> is achieved</w:t>
      </w:r>
      <w:r w:rsidR="00B7391A">
        <w:rPr>
          <w:color w:val="000000" w:themeColor="text1"/>
          <w:lang w:eastAsia="en-AU"/>
        </w:rPr>
        <w:t xml:space="preserve"> by allowing serious </w:t>
      </w:r>
      <w:r w:rsidR="003A74C3">
        <w:rPr>
          <w:color w:val="000000" w:themeColor="text1"/>
          <w:lang w:eastAsia="en-AU"/>
        </w:rPr>
        <w:t>criminal charges</w:t>
      </w:r>
      <w:r w:rsidR="00B7391A">
        <w:rPr>
          <w:color w:val="000000" w:themeColor="text1"/>
          <w:lang w:eastAsia="en-AU"/>
        </w:rPr>
        <w:t xml:space="preserve"> to progress to trial by judge alone</w:t>
      </w:r>
      <w:r w:rsidR="00566480">
        <w:rPr>
          <w:color w:val="000000" w:themeColor="text1"/>
          <w:lang w:eastAsia="en-AU"/>
        </w:rPr>
        <w:t>,</w:t>
      </w:r>
      <w:r w:rsidR="00566480" w:rsidRPr="00566480">
        <w:rPr>
          <w:color w:val="000000" w:themeColor="text1"/>
          <w:lang w:eastAsia="en-AU"/>
        </w:rPr>
        <w:t xml:space="preserve"> </w:t>
      </w:r>
      <w:r w:rsidR="00566480">
        <w:rPr>
          <w:color w:val="000000" w:themeColor="text1"/>
          <w:lang w:eastAsia="en-AU"/>
        </w:rPr>
        <w:t>ensuring that t</w:t>
      </w:r>
      <w:r w:rsidR="003A74C3">
        <w:rPr>
          <w:color w:val="000000" w:themeColor="text1"/>
          <w:lang w:eastAsia="en-AU"/>
        </w:rPr>
        <w:t xml:space="preserve">hese </w:t>
      </w:r>
      <w:r w:rsidR="00566480">
        <w:rPr>
          <w:color w:val="000000" w:themeColor="text1"/>
          <w:lang w:eastAsia="en-AU"/>
        </w:rPr>
        <w:t xml:space="preserve">matters are not delayed due to </w:t>
      </w:r>
      <w:r w:rsidR="003A74C3">
        <w:rPr>
          <w:color w:val="000000" w:themeColor="text1"/>
          <w:lang w:eastAsia="en-AU"/>
        </w:rPr>
        <w:t xml:space="preserve">the </w:t>
      </w:r>
      <w:r w:rsidR="003A74C3">
        <w:rPr>
          <w:color w:val="000000" w:themeColor="text1"/>
          <w:lang w:eastAsia="en-AU"/>
        </w:rPr>
        <w:lastRenderedPageBreak/>
        <w:t>COVID-19 emergency</w:t>
      </w:r>
      <w:r w:rsidR="00B7391A">
        <w:rPr>
          <w:color w:val="000000" w:themeColor="text1"/>
          <w:lang w:eastAsia="en-AU"/>
        </w:rPr>
        <w:t xml:space="preserve">. </w:t>
      </w:r>
      <w:r w:rsidR="00986922">
        <w:rPr>
          <w:color w:val="000000" w:themeColor="text1"/>
          <w:lang w:eastAsia="en-AU"/>
        </w:rPr>
        <w:t>Currently,</w:t>
      </w:r>
      <w:r w:rsidR="00B7391A">
        <w:rPr>
          <w:color w:val="000000" w:themeColor="text1"/>
          <w:lang w:eastAsia="en-AU"/>
        </w:rPr>
        <w:t xml:space="preserve"> the Supreme Court is able to hold jury trials,</w:t>
      </w:r>
      <w:r w:rsidR="00986922">
        <w:rPr>
          <w:color w:val="000000" w:themeColor="text1"/>
          <w:lang w:eastAsia="en-AU"/>
        </w:rPr>
        <w:t xml:space="preserve"> however, measures designed to support social distancing mean that the Court is required to reduce the overall number of trials that may occur concurrently and this may negatively impact on court listing arrangements</w:t>
      </w:r>
      <w:r w:rsidR="00B7391A">
        <w:rPr>
          <w:color w:val="000000" w:themeColor="text1"/>
          <w:lang w:eastAsia="en-AU"/>
        </w:rPr>
        <w:t>.</w:t>
      </w:r>
      <w:r w:rsidR="00566480">
        <w:rPr>
          <w:color w:val="000000" w:themeColor="text1"/>
          <w:lang w:eastAsia="en-AU"/>
        </w:rPr>
        <w:t xml:space="preserve"> </w:t>
      </w:r>
      <w:r w:rsidR="00566480">
        <w:rPr>
          <w:szCs w:val="24"/>
        </w:rPr>
        <w:t xml:space="preserve">A detailed analysis of the human rights </w:t>
      </w:r>
      <w:r w:rsidR="005E1661">
        <w:rPr>
          <w:szCs w:val="24"/>
        </w:rPr>
        <w:t xml:space="preserve">engagement </w:t>
      </w:r>
      <w:r w:rsidR="00566480">
        <w:rPr>
          <w:szCs w:val="24"/>
        </w:rPr>
        <w:t xml:space="preserve">is discussed in the </w:t>
      </w:r>
      <w:r w:rsidR="00566480" w:rsidRPr="00D02F19">
        <w:rPr>
          <w:szCs w:val="24"/>
        </w:rPr>
        <w:t xml:space="preserve">Explanatory Statement to the COVID-19 </w:t>
      </w:r>
      <w:r w:rsidR="00566480">
        <w:rPr>
          <w:szCs w:val="24"/>
        </w:rPr>
        <w:t xml:space="preserve">Emergency Response </w:t>
      </w:r>
      <w:r w:rsidR="00566480" w:rsidRPr="00D02F19">
        <w:rPr>
          <w:szCs w:val="24"/>
        </w:rPr>
        <w:t>Bill</w:t>
      </w:r>
      <w:r w:rsidR="00566480">
        <w:rPr>
          <w:szCs w:val="24"/>
        </w:rPr>
        <w:t xml:space="preserve"> and remains unchanged by this Bill.</w:t>
      </w:r>
    </w:p>
    <w:p w14:paraId="45E51C78" w14:textId="1AB28C71" w:rsidR="00142947" w:rsidRDefault="00C806B6" w:rsidP="00B7391A">
      <w:pPr>
        <w:rPr>
          <w:color w:val="000000" w:themeColor="text1"/>
          <w:lang w:eastAsia="en-AU"/>
        </w:rPr>
      </w:pPr>
      <w:r w:rsidRPr="00522CED">
        <w:rPr>
          <w:color w:val="000000" w:themeColor="text1"/>
          <w:lang w:eastAsia="en-AU"/>
        </w:rPr>
        <w:t>The extension of th</w:t>
      </w:r>
      <w:r>
        <w:rPr>
          <w:color w:val="000000" w:themeColor="text1"/>
          <w:lang w:eastAsia="en-AU"/>
        </w:rPr>
        <w:t xml:space="preserve">is </w:t>
      </w:r>
      <w:r w:rsidRPr="00522CED">
        <w:rPr>
          <w:color w:val="000000" w:themeColor="text1"/>
          <w:lang w:eastAsia="en-AU"/>
        </w:rPr>
        <w:t xml:space="preserve">measure is the least restrictive </w:t>
      </w:r>
      <w:r>
        <w:rPr>
          <w:color w:val="000000" w:themeColor="text1"/>
          <w:lang w:eastAsia="en-AU"/>
        </w:rPr>
        <w:t xml:space="preserve">option </w:t>
      </w:r>
      <w:r w:rsidRPr="00522CED">
        <w:rPr>
          <w:color w:val="000000" w:themeColor="text1"/>
          <w:lang w:eastAsia="en-AU"/>
        </w:rPr>
        <w:t>reasonably available</w:t>
      </w:r>
      <w:r>
        <w:rPr>
          <w:color w:val="000000" w:themeColor="text1"/>
          <w:lang w:eastAsia="en-AU"/>
        </w:rPr>
        <w:t xml:space="preserve"> to achieve the legitimate objective. The</w:t>
      </w:r>
      <w:r w:rsidR="006026A5">
        <w:rPr>
          <w:color w:val="000000" w:themeColor="text1"/>
          <w:lang w:eastAsia="en-AU"/>
        </w:rPr>
        <w:t xml:space="preserve"> measure applies until 31 December 2020 (a date which may be extended by the Executive by regulation) and</w:t>
      </w:r>
      <w:r w:rsidR="008D19D3">
        <w:rPr>
          <w:color w:val="000000" w:themeColor="text1"/>
          <w:lang w:eastAsia="en-AU"/>
        </w:rPr>
        <w:t xml:space="preserve"> the measure</w:t>
      </w:r>
      <w:r w:rsidR="006026A5">
        <w:rPr>
          <w:color w:val="000000" w:themeColor="text1"/>
          <w:lang w:eastAsia="en-AU"/>
        </w:rPr>
        <w:t xml:space="preserve"> </w:t>
      </w:r>
      <w:r w:rsidR="00986922">
        <w:rPr>
          <w:color w:val="000000" w:themeColor="text1"/>
          <w:lang w:eastAsia="en-AU"/>
        </w:rPr>
        <w:t>is</w:t>
      </w:r>
      <w:r>
        <w:rPr>
          <w:color w:val="000000" w:themeColor="text1"/>
          <w:lang w:eastAsia="en-AU"/>
        </w:rPr>
        <w:t xml:space="preserve"> due to expire on 8 April 2021</w:t>
      </w:r>
      <w:r w:rsidR="006026A5">
        <w:rPr>
          <w:color w:val="000000" w:themeColor="text1"/>
          <w:lang w:eastAsia="en-AU"/>
        </w:rPr>
        <w:t xml:space="preserve">. </w:t>
      </w:r>
      <w:r w:rsidR="005E1661">
        <w:rPr>
          <w:color w:val="000000" w:themeColor="text1"/>
          <w:lang w:eastAsia="en-AU"/>
        </w:rPr>
        <w:t>The application and expiry date of the measure is extended until 30 June 2021. However, because the extended expiry does not otherwise change the operation of measures, any human rights limitations only go as far as is strictly necessary to respond to the exigencies of the COVID-19 emergency.</w:t>
      </w:r>
    </w:p>
    <w:p w14:paraId="60B0886B" w14:textId="77777777" w:rsidR="005D4C91" w:rsidRDefault="005D4C91" w:rsidP="005D4C91">
      <w:pPr>
        <w:pStyle w:val="Heading4"/>
        <w:rPr>
          <w:lang w:eastAsia="en-AU"/>
        </w:rPr>
      </w:pPr>
      <w:r w:rsidRPr="004A4E9D">
        <w:rPr>
          <w:lang w:eastAsia="en-AU"/>
        </w:rPr>
        <w:t>Working with Vulnerable People (Background Checking) Act 2011</w:t>
      </w:r>
    </w:p>
    <w:p w14:paraId="339136C6" w14:textId="3FAAE162" w:rsidR="005E1661" w:rsidRPr="00EF1B73" w:rsidRDefault="005E1661" w:rsidP="005E1661">
      <w:pPr>
        <w:rPr>
          <w:color w:val="000000" w:themeColor="text1"/>
          <w:lang w:eastAsia="en-AU"/>
        </w:rPr>
      </w:pPr>
      <w:r w:rsidRPr="00EF1B73">
        <w:rPr>
          <w:color w:val="000000" w:themeColor="text1"/>
          <w:lang w:eastAsia="en-AU"/>
        </w:rPr>
        <w:t>The amendment to the COVID-19 measure in the Working with Vulnerable People (Background Checking) Act</w:t>
      </w:r>
      <w:r>
        <w:rPr>
          <w:color w:val="000000" w:themeColor="text1"/>
          <w:lang w:eastAsia="en-AU"/>
        </w:rPr>
        <w:t xml:space="preserve"> extends </w:t>
      </w:r>
      <w:r w:rsidRPr="00F37D62">
        <w:rPr>
          <w:color w:val="000000" w:themeColor="text1"/>
          <w:lang w:eastAsia="en-AU"/>
        </w:rPr>
        <w:t xml:space="preserve">registrations that have been previously extended under a section </w:t>
      </w:r>
      <w:r w:rsidR="001C513B" w:rsidRPr="00F37D62">
        <w:rPr>
          <w:color w:val="000000" w:themeColor="text1"/>
          <w:lang w:eastAsia="en-AU"/>
        </w:rPr>
        <w:t>60</w:t>
      </w:r>
      <w:r w:rsidR="001C513B">
        <w:rPr>
          <w:color w:val="000000" w:themeColor="text1"/>
          <w:lang w:eastAsia="en-AU"/>
        </w:rPr>
        <w:t xml:space="preserve">B </w:t>
      </w:r>
      <w:r w:rsidR="007250E7">
        <w:rPr>
          <w:color w:val="000000" w:themeColor="text1"/>
          <w:lang w:eastAsia="en-AU"/>
        </w:rPr>
        <w:t xml:space="preserve">(to be </w:t>
      </w:r>
      <w:r w:rsidR="002E5B19">
        <w:rPr>
          <w:color w:val="000000" w:themeColor="text1"/>
          <w:lang w:eastAsia="en-AU"/>
        </w:rPr>
        <w:t>omitted</w:t>
      </w:r>
      <w:r w:rsidR="007250E7">
        <w:rPr>
          <w:color w:val="000000" w:themeColor="text1"/>
          <w:lang w:eastAsia="en-AU"/>
        </w:rPr>
        <w:t xml:space="preserve"> by this Bill)</w:t>
      </w:r>
      <w:r w:rsidRPr="00F37D62">
        <w:rPr>
          <w:color w:val="000000" w:themeColor="text1"/>
          <w:lang w:eastAsia="en-AU"/>
        </w:rPr>
        <w:t xml:space="preserve"> or that are due to expire by 12-months from the date the registration was due to expire.</w:t>
      </w:r>
      <w:r>
        <w:rPr>
          <w:color w:val="000000" w:themeColor="text1"/>
          <w:lang w:eastAsia="en-AU"/>
        </w:rPr>
        <w:t xml:space="preserve"> This</w:t>
      </w:r>
      <w:r w:rsidRPr="00F37D62">
        <w:rPr>
          <w:color w:val="000000" w:themeColor="text1"/>
          <w:lang w:eastAsia="en-AU"/>
        </w:rPr>
        <w:t xml:space="preserve"> </w:t>
      </w:r>
      <w:r>
        <w:rPr>
          <w:color w:val="000000" w:themeColor="text1"/>
          <w:lang w:eastAsia="en-AU"/>
        </w:rPr>
        <w:t xml:space="preserve">engages </w:t>
      </w:r>
      <w:r w:rsidRPr="00EF1B73">
        <w:rPr>
          <w:color w:val="000000" w:themeColor="text1"/>
          <w:lang w:eastAsia="en-AU"/>
        </w:rPr>
        <w:t>the right to protection of the family and children</w:t>
      </w:r>
      <w:r>
        <w:rPr>
          <w:color w:val="000000" w:themeColor="text1"/>
          <w:lang w:eastAsia="en-AU"/>
        </w:rPr>
        <w:t xml:space="preserve"> and the right to security of persons</w:t>
      </w:r>
      <w:r w:rsidRPr="00EF1B73">
        <w:rPr>
          <w:color w:val="000000" w:themeColor="text1"/>
          <w:lang w:eastAsia="en-AU"/>
        </w:rPr>
        <w:t xml:space="preserve"> under the Human Rights Act</w:t>
      </w:r>
      <w:r>
        <w:rPr>
          <w:color w:val="000000" w:themeColor="text1"/>
          <w:lang w:eastAsia="en-AU"/>
        </w:rPr>
        <w:t xml:space="preserve"> to the extent that automatic extensions of registration may impact vulnerable people.</w:t>
      </w:r>
      <w:r w:rsidRPr="00EF1B73">
        <w:rPr>
          <w:color w:val="000000" w:themeColor="text1"/>
          <w:lang w:eastAsia="en-AU"/>
        </w:rPr>
        <w:t xml:space="preserve"> </w:t>
      </w:r>
    </w:p>
    <w:p w14:paraId="725E5DED" w14:textId="4EDBD2EB" w:rsidR="00DA4E7B" w:rsidRDefault="005E1661" w:rsidP="007250E7">
      <w:pPr>
        <w:rPr>
          <w:rFonts w:cs="Arial"/>
          <w:i/>
          <w:color w:val="FF0000"/>
          <w:szCs w:val="24"/>
        </w:rPr>
      </w:pPr>
      <w:r>
        <w:rPr>
          <w:color w:val="000000" w:themeColor="text1"/>
          <w:lang w:eastAsia="en-AU"/>
        </w:rPr>
        <w:t>To the extent these rights may be engaged and limited, extending t</w:t>
      </w:r>
      <w:r w:rsidRPr="00522CED">
        <w:rPr>
          <w:color w:val="000000" w:themeColor="text1"/>
          <w:lang w:eastAsia="en-AU"/>
        </w:rPr>
        <w:t>he measur</w:t>
      </w:r>
      <w:r>
        <w:rPr>
          <w:color w:val="000000" w:themeColor="text1"/>
          <w:lang w:eastAsia="en-AU"/>
        </w:rPr>
        <w:t>e is</w:t>
      </w:r>
      <w:r w:rsidRPr="006749C5">
        <w:rPr>
          <w:color w:val="000000" w:themeColor="text1"/>
          <w:lang w:eastAsia="en-AU"/>
        </w:rPr>
        <w:t xml:space="preserve"> necessary </w:t>
      </w:r>
      <w:r>
        <w:rPr>
          <w:color w:val="000000" w:themeColor="text1"/>
          <w:lang w:eastAsia="en-AU"/>
        </w:rPr>
        <w:t>to the objective of ensuring</w:t>
      </w:r>
      <w:r w:rsidRPr="006749C5">
        <w:rPr>
          <w:color w:val="000000" w:themeColor="text1"/>
          <w:lang w:eastAsia="en-AU"/>
        </w:rPr>
        <w:t xml:space="preserve"> that critical workers continue to hold relevant authorisations to work during a COVID-19 emergency and supports an orderly transition to normal registration arrangements.</w:t>
      </w:r>
      <w:r>
        <w:rPr>
          <w:color w:val="000000" w:themeColor="text1"/>
          <w:lang w:eastAsia="en-AU"/>
        </w:rPr>
        <w:t xml:space="preserve"> The objective is rationally connected to this objective by allowing expiring registrations to be extend by 12 months,</w:t>
      </w:r>
      <w:r w:rsidRPr="00566480">
        <w:rPr>
          <w:color w:val="000000" w:themeColor="text1"/>
          <w:lang w:eastAsia="en-AU"/>
        </w:rPr>
        <w:t xml:space="preserve"> </w:t>
      </w:r>
      <w:r>
        <w:rPr>
          <w:color w:val="000000" w:themeColor="text1"/>
          <w:lang w:eastAsia="en-AU"/>
        </w:rPr>
        <w:t xml:space="preserve">ensuring that these registrations can continue during the COVID-19 emergency. The measure is also reasonable and demonstrably justified in accordance with section 28 of the HRA, as a person holding a registration will continue to be subject to compliance requirements under the Act including the requirement to report to the Commissioner if they have been charged or convicted of certain offences. Further, an extended registration remains subject to regulatory compliance action including suspension or cancellation in relevant circumstances. </w:t>
      </w:r>
      <w:r w:rsidRPr="00EF1B73">
        <w:rPr>
          <w:color w:val="000000" w:themeColor="text1"/>
          <w:lang w:eastAsia="en-AU"/>
        </w:rPr>
        <w:t xml:space="preserve">A detailed analysis of the human rights </w:t>
      </w:r>
      <w:r>
        <w:rPr>
          <w:color w:val="000000" w:themeColor="text1"/>
          <w:lang w:eastAsia="en-AU"/>
        </w:rPr>
        <w:t>engagement</w:t>
      </w:r>
      <w:r w:rsidRPr="00EF1B73">
        <w:rPr>
          <w:color w:val="000000" w:themeColor="text1"/>
          <w:lang w:eastAsia="en-AU"/>
        </w:rPr>
        <w:t xml:space="preserve"> is discussed in the Explanatory Statement to the COVID-19 Emergency Response Bill and remains unchanged by this Bill.</w:t>
      </w:r>
      <w:r w:rsidRPr="00445114">
        <w:rPr>
          <w:color w:val="000000" w:themeColor="text1"/>
          <w:lang w:eastAsia="en-AU"/>
        </w:rPr>
        <w:t xml:space="preserve"> </w:t>
      </w:r>
      <w:r>
        <w:rPr>
          <w:color w:val="000000" w:themeColor="text1"/>
          <w:lang w:eastAsia="en-AU"/>
        </w:rPr>
        <w:t>The measure is due to expire six months after the end of the COVID-19 emergency period and the Bill does not amend this expiry.</w:t>
      </w:r>
      <w:r w:rsidR="007250E7">
        <w:rPr>
          <w:color w:val="000000" w:themeColor="text1"/>
          <w:lang w:eastAsia="en-AU"/>
        </w:rPr>
        <w:t xml:space="preserve"> </w:t>
      </w:r>
      <w:r w:rsidR="005D4C91" w:rsidRPr="00522CED">
        <w:rPr>
          <w:color w:val="000000" w:themeColor="text1"/>
          <w:lang w:eastAsia="en-AU"/>
        </w:rPr>
        <w:t xml:space="preserve">The </w:t>
      </w:r>
      <w:r w:rsidR="00445114">
        <w:rPr>
          <w:color w:val="000000" w:themeColor="text1"/>
          <w:lang w:eastAsia="en-AU"/>
        </w:rPr>
        <w:t xml:space="preserve">amendment to the extension of registrations </w:t>
      </w:r>
      <w:r w:rsidR="005D4C91" w:rsidRPr="00522CED">
        <w:rPr>
          <w:color w:val="000000" w:themeColor="text1"/>
          <w:lang w:eastAsia="en-AU"/>
        </w:rPr>
        <w:t xml:space="preserve">measure is the least restrictive </w:t>
      </w:r>
      <w:r w:rsidR="005D4C91">
        <w:rPr>
          <w:color w:val="000000" w:themeColor="text1"/>
          <w:lang w:eastAsia="en-AU"/>
        </w:rPr>
        <w:t xml:space="preserve">option </w:t>
      </w:r>
      <w:r w:rsidR="005D4C91" w:rsidRPr="00522CED">
        <w:rPr>
          <w:color w:val="000000" w:themeColor="text1"/>
          <w:lang w:eastAsia="en-AU"/>
        </w:rPr>
        <w:t>reasonably available</w:t>
      </w:r>
      <w:r w:rsidR="005D4C91">
        <w:rPr>
          <w:color w:val="000000" w:themeColor="text1"/>
          <w:lang w:eastAsia="en-AU"/>
        </w:rPr>
        <w:t xml:space="preserve"> to achieve the legitimate objective</w:t>
      </w:r>
      <w:r w:rsidR="007401B9">
        <w:rPr>
          <w:color w:val="000000" w:themeColor="text1"/>
          <w:lang w:eastAsia="en-AU"/>
        </w:rPr>
        <w:t xml:space="preserve"> of the administration of the working with vulnerable people registration scheme.</w:t>
      </w:r>
    </w:p>
    <w:p w14:paraId="5BA082E0" w14:textId="34186819" w:rsidR="00B55BED" w:rsidRPr="008D4BA9" w:rsidRDefault="009541F0" w:rsidP="00F64FC3">
      <w:pPr>
        <w:jc w:val="center"/>
        <w:rPr>
          <w:rFonts w:cs="Arial"/>
          <w:i/>
          <w:iCs/>
          <w:szCs w:val="24"/>
        </w:rPr>
      </w:pPr>
      <w:r>
        <w:rPr>
          <w:rFonts w:cs="Arial"/>
          <w:szCs w:val="24"/>
        </w:rPr>
        <w:lastRenderedPageBreak/>
        <w:t>COVID-19 EMERGENCY RESPONSE LEGISLATION AMENDMENT BILL 2020 (NO 3)</w:t>
      </w:r>
    </w:p>
    <w:p w14:paraId="37C9AECE" w14:textId="59100288" w:rsidR="00B55BED" w:rsidRPr="00164DE0" w:rsidRDefault="00B55BED" w:rsidP="00577391">
      <w:pPr>
        <w:pStyle w:val="Heading1"/>
        <w:jc w:val="center"/>
        <w:rPr>
          <w:i/>
        </w:rPr>
      </w:pPr>
      <w:bookmarkStart w:id="20" w:name="_Toc57197598"/>
      <w:r w:rsidRPr="0030391C">
        <w:rPr>
          <w:i/>
          <w:iCs/>
        </w:rPr>
        <w:t>Human Rights Act 2004</w:t>
      </w:r>
      <w:r w:rsidRPr="00164DE0">
        <w:t xml:space="preserve"> </w:t>
      </w:r>
      <w:r w:rsidR="0030391C">
        <w:t>–</w:t>
      </w:r>
      <w:r w:rsidRPr="00164DE0">
        <w:t xml:space="preserve"> Compatibility Statement</w:t>
      </w:r>
      <w:bookmarkEnd w:id="20"/>
    </w:p>
    <w:p w14:paraId="4F43F019" w14:textId="77777777" w:rsidR="00B55BED" w:rsidRPr="008D4BA9" w:rsidRDefault="00B55BED" w:rsidP="00F64FC3">
      <w:pPr>
        <w:rPr>
          <w:rFonts w:cs="Arial"/>
          <w:szCs w:val="24"/>
        </w:rPr>
      </w:pPr>
    </w:p>
    <w:p w14:paraId="7C5ED20F" w14:textId="77777777" w:rsidR="00B55BED" w:rsidRPr="008D4BA9" w:rsidRDefault="00B55BED" w:rsidP="00F64FC3">
      <w:pPr>
        <w:rPr>
          <w:rFonts w:cs="Arial"/>
          <w:szCs w:val="24"/>
        </w:rPr>
      </w:pPr>
    </w:p>
    <w:p w14:paraId="5CAD87A1" w14:textId="0086F4C1" w:rsidR="00B55BED" w:rsidRPr="008D4BA9" w:rsidRDefault="00B55BED" w:rsidP="00F64FC3">
      <w:pPr>
        <w:jc w:val="both"/>
        <w:rPr>
          <w:rFonts w:cs="Arial"/>
          <w:szCs w:val="24"/>
        </w:rPr>
      </w:pPr>
      <w:r w:rsidRPr="008D4BA9">
        <w:rPr>
          <w:rFonts w:cs="Arial"/>
          <w:szCs w:val="24"/>
        </w:rPr>
        <w:t xml:space="preserve">In accordance with section 37 of the </w:t>
      </w:r>
      <w:r w:rsidRPr="008D4BA9">
        <w:rPr>
          <w:rFonts w:cs="Arial"/>
          <w:i/>
          <w:iCs/>
          <w:szCs w:val="24"/>
        </w:rPr>
        <w:t>Human Rights Act 2004</w:t>
      </w:r>
      <w:r w:rsidRPr="008D4BA9">
        <w:rPr>
          <w:rFonts w:cs="Arial"/>
          <w:szCs w:val="24"/>
        </w:rPr>
        <w:t xml:space="preserve"> I have examined the</w:t>
      </w:r>
      <w:r w:rsidRPr="008D4BA9">
        <w:rPr>
          <w:rFonts w:cs="Arial"/>
          <w:b/>
          <w:bCs/>
          <w:caps/>
          <w:szCs w:val="24"/>
        </w:rPr>
        <w:t xml:space="preserve"> </w:t>
      </w:r>
      <w:r w:rsidR="009541F0">
        <w:rPr>
          <w:rFonts w:cs="Arial"/>
          <w:b/>
          <w:bCs/>
          <w:iCs/>
          <w:szCs w:val="24"/>
        </w:rPr>
        <w:t>COVID-19 Emergency Response Legislation Amendment Bill 2020 (No 3)</w:t>
      </w:r>
      <w:r w:rsidRPr="008D4BA9">
        <w:rPr>
          <w:rFonts w:cs="Arial"/>
          <w:szCs w:val="24"/>
        </w:rPr>
        <w:t xml:space="preserve">. In my opinion, having regard to the outline of the policy considerations and justification of any limitations on rights outlined in this explanatory statement, the Bill as presented to the Legislative </w:t>
      </w:r>
      <w:r w:rsidRPr="00ED79A3">
        <w:rPr>
          <w:rFonts w:cs="Arial"/>
          <w:szCs w:val="24"/>
        </w:rPr>
        <w:t>Assembly is consistent</w:t>
      </w:r>
      <w:r w:rsidRPr="008D4BA9">
        <w:rPr>
          <w:rFonts w:cs="Arial"/>
          <w:szCs w:val="24"/>
        </w:rPr>
        <w:t xml:space="preserve"> with the </w:t>
      </w:r>
      <w:r w:rsidRPr="008D4BA9">
        <w:rPr>
          <w:rFonts w:cs="Arial"/>
          <w:i/>
          <w:iCs/>
          <w:szCs w:val="24"/>
        </w:rPr>
        <w:t>Human Rights Act 2004.</w:t>
      </w:r>
    </w:p>
    <w:p w14:paraId="083900D6" w14:textId="77777777" w:rsidR="00B55BED" w:rsidRPr="008D4BA9" w:rsidRDefault="00B55BED" w:rsidP="00F64FC3">
      <w:pPr>
        <w:rPr>
          <w:rFonts w:cs="Arial"/>
          <w:szCs w:val="24"/>
        </w:rPr>
      </w:pPr>
    </w:p>
    <w:p w14:paraId="0DE1C0F3" w14:textId="77777777" w:rsidR="00B55BED" w:rsidRPr="008D4BA9" w:rsidRDefault="00B55BED" w:rsidP="00F64FC3">
      <w:pPr>
        <w:rPr>
          <w:rFonts w:cs="Arial"/>
          <w:szCs w:val="24"/>
        </w:rPr>
      </w:pPr>
    </w:p>
    <w:p w14:paraId="28B3EE64" w14:textId="77777777" w:rsidR="00B55BED" w:rsidRPr="008D4BA9" w:rsidRDefault="00B55BED" w:rsidP="00F64FC3">
      <w:pPr>
        <w:rPr>
          <w:rFonts w:cs="Arial"/>
          <w:szCs w:val="24"/>
        </w:rPr>
      </w:pPr>
      <w:r w:rsidRPr="008D4BA9">
        <w:rPr>
          <w:rFonts w:cs="Arial"/>
          <w:szCs w:val="24"/>
        </w:rPr>
        <w:t>………………………………………………….</w:t>
      </w:r>
    </w:p>
    <w:p w14:paraId="19CD2A14" w14:textId="6D38D4AE" w:rsidR="00B55BED" w:rsidRPr="008D4BA9" w:rsidRDefault="009541F0" w:rsidP="00F64FC3">
      <w:pPr>
        <w:rPr>
          <w:rFonts w:cs="Arial"/>
          <w:szCs w:val="24"/>
        </w:rPr>
      </w:pPr>
      <w:r>
        <w:rPr>
          <w:rFonts w:cs="Arial"/>
          <w:szCs w:val="24"/>
        </w:rPr>
        <w:t xml:space="preserve">Shane Rattenbury </w:t>
      </w:r>
      <w:r w:rsidR="00B55BED" w:rsidRPr="008D4BA9">
        <w:rPr>
          <w:rFonts w:cs="Arial"/>
          <w:szCs w:val="24"/>
        </w:rPr>
        <w:t>MLA</w:t>
      </w:r>
      <w:r w:rsidR="00B55BED" w:rsidRPr="008D4BA9">
        <w:rPr>
          <w:rFonts w:cs="Arial"/>
          <w:szCs w:val="24"/>
        </w:rPr>
        <w:br/>
        <w:t>Attorney-General</w:t>
      </w:r>
    </w:p>
    <w:p w14:paraId="6ED3FA22" w14:textId="77777777" w:rsidR="00B55BED" w:rsidRPr="008D4BA9" w:rsidRDefault="00B55BED" w:rsidP="00F64FC3">
      <w:pPr>
        <w:spacing w:before="200"/>
        <w:rPr>
          <w:rFonts w:cs="Arial"/>
          <w:szCs w:val="24"/>
        </w:rPr>
      </w:pPr>
    </w:p>
    <w:p w14:paraId="4FFA97DB" w14:textId="77777777" w:rsidR="00B55BED" w:rsidRPr="008D4BA9" w:rsidRDefault="00B55BED" w:rsidP="00F64FC3">
      <w:pPr>
        <w:rPr>
          <w:rFonts w:cs="Arial"/>
          <w:szCs w:val="24"/>
        </w:rPr>
      </w:pPr>
    </w:p>
    <w:p w14:paraId="75C30062" w14:textId="77777777" w:rsidR="00D21B72" w:rsidRPr="008D4BA9" w:rsidRDefault="00D21B72" w:rsidP="00F64FC3">
      <w:pPr>
        <w:autoSpaceDE w:val="0"/>
        <w:autoSpaceDN w:val="0"/>
        <w:adjustRightInd w:val="0"/>
        <w:spacing w:before="240" w:after="120"/>
        <w:jc w:val="center"/>
        <w:rPr>
          <w:rFonts w:cs="Arial"/>
          <w:bCs/>
          <w:szCs w:val="24"/>
        </w:rPr>
      </w:pPr>
    </w:p>
    <w:p w14:paraId="17FDD1FD" w14:textId="77777777" w:rsidR="00B55BED" w:rsidRPr="008D4BA9" w:rsidRDefault="00B55BED" w:rsidP="00F64FC3">
      <w:pPr>
        <w:spacing w:after="0" w:line="240" w:lineRule="auto"/>
        <w:rPr>
          <w:rFonts w:cs="Arial"/>
          <w:b/>
          <w:bCs/>
          <w:szCs w:val="24"/>
          <w:lang w:eastAsia="en-AU"/>
        </w:rPr>
      </w:pPr>
      <w:r w:rsidRPr="008D4BA9">
        <w:rPr>
          <w:rFonts w:cs="Arial"/>
          <w:b/>
          <w:bCs/>
          <w:szCs w:val="24"/>
          <w:lang w:eastAsia="en-AU"/>
        </w:rPr>
        <w:br w:type="page"/>
      </w:r>
    </w:p>
    <w:p w14:paraId="54F2A35E" w14:textId="28DBA8B1" w:rsidR="00702566" w:rsidRPr="008D4BA9" w:rsidRDefault="009541F0" w:rsidP="00F64FC3">
      <w:pPr>
        <w:autoSpaceDE w:val="0"/>
        <w:autoSpaceDN w:val="0"/>
        <w:adjustRightInd w:val="0"/>
        <w:spacing w:before="240" w:after="120"/>
        <w:jc w:val="center"/>
        <w:rPr>
          <w:rFonts w:cs="Arial"/>
          <w:b/>
          <w:bCs/>
          <w:szCs w:val="24"/>
          <w:lang w:eastAsia="en-AU"/>
        </w:rPr>
      </w:pPr>
      <w:r>
        <w:rPr>
          <w:rFonts w:cs="Arial"/>
          <w:b/>
          <w:bCs/>
          <w:szCs w:val="24"/>
          <w:lang w:eastAsia="en-AU"/>
        </w:rPr>
        <w:lastRenderedPageBreak/>
        <w:t>COVID-19 Emergency Response Legislation Amendment Bill 2020 (No 3)</w:t>
      </w:r>
    </w:p>
    <w:p w14:paraId="7B72276F" w14:textId="77777777" w:rsidR="00702566" w:rsidRPr="008D4BA9" w:rsidRDefault="00702566" w:rsidP="00F64FC3">
      <w:pPr>
        <w:pStyle w:val="Title"/>
        <w:spacing w:before="240" w:after="120"/>
        <w:rPr>
          <w:rFonts w:cs="Arial"/>
          <w:sz w:val="24"/>
          <w:szCs w:val="24"/>
          <w:lang w:eastAsia="en-AU"/>
        </w:rPr>
      </w:pPr>
      <w:bookmarkStart w:id="21" w:name="_Toc426711261"/>
      <w:bookmarkStart w:id="22" w:name="_Toc429052824"/>
      <w:bookmarkStart w:id="23" w:name="_Toc57197599"/>
      <w:r w:rsidRPr="008D4BA9">
        <w:rPr>
          <w:rFonts w:cs="Arial"/>
          <w:sz w:val="24"/>
          <w:szCs w:val="24"/>
          <w:lang w:eastAsia="en-AU"/>
        </w:rPr>
        <w:t>Detail</w:t>
      </w:r>
      <w:bookmarkEnd w:id="21"/>
      <w:bookmarkEnd w:id="22"/>
      <w:bookmarkEnd w:id="23"/>
    </w:p>
    <w:p w14:paraId="655FC8CE" w14:textId="46BECC99" w:rsidR="00AC5B87" w:rsidRPr="008D4BA9" w:rsidRDefault="00D60934" w:rsidP="00F64FC3">
      <w:pPr>
        <w:pStyle w:val="Heading1"/>
        <w:keepNext w:val="0"/>
        <w:rPr>
          <w:rFonts w:cs="Arial"/>
          <w:sz w:val="24"/>
          <w:szCs w:val="24"/>
          <w:lang w:eastAsia="en-AU"/>
        </w:rPr>
      </w:pPr>
      <w:bookmarkStart w:id="24" w:name="_Preamble"/>
      <w:bookmarkStart w:id="25" w:name="_Toc57197600"/>
      <w:bookmarkEnd w:id="24"/>
      <w:r>
        <w:rPr>
          <w:rFonts w:cs="Arial"/>
          <w:sz w:val="24"/>
          <w:szCs w:val="24"/>
          <w:lang w:eastAsia="en-AU"/>
        </w:rPr>
        <w:t>Clause</w:t>
      </w:r>
      <w:r w:rsidR="00AC5B87" w:rsidRPr="008D4BA9">
        <w:rPr>
          <w:rFonts w:cs="Arial"/>
          <w:sz w:val="24"/>
          <w:szCs w:val="24"/>
          <w:lang w:eastAsia="en-AU"/>
        </w:rPr>
        <w:t xml:space="preserve"> </w:t>
      </w:r>
      <w:r w:rsidR="00326167" w:rsidRPr="008D4BA9">
        <w:rPr>
          <w:rFonts w:cs="Arial"/>
          <w:sz w:val="24"/>
          <w:szCs w:val="24"/>
          <w:lang w:eastAsia="en-AU"/>
        </w:rPr>
        <w:fldChar w:fldCharType="begin"/>
      </w:r>
      <w:r w:rsidR="00AC5B87" w:rsidRPr="008D4BA9">
        <w:rPr>
          <w:rFonts w:cs="Arial"/>
          <w:sz w:val="24"/>
          <w:szCs w:val="24"/>
          <w:lang w:eastAsia="en-AU"/>
        </w:rPr>
        <w:instrText xml:space="preserve"> SEQ Part \* ARABIC </w:instrText>
      </w:r>
      <w:r w:rsidR="00326167" w:rsidRPr="008D4BA9">
        <w:rPr>
          <w:rFonts w:cs="Arial"/>
          <w:sz w:val="24"/>
          <w:szCs w:val="24"/>
          <w:lang w:eastAsia="en-AU"/>
        </w:rPr>
        <w:fldChar w:fldCharType="separate"/>
      </w:r>
      <w:r w:rsidR="009C4E16">
        <w:rPr>
          <w:rFonts w:cs="Arial"/>
          <w:noProof/>
          <w:sz w:val="24"/>
          <w:szCs w:val="24"/>
          <w:lang w:eastAsia="en-AU"/>
        </w:rPr>
        <w:t>1</w:t>
      </w:r>
      <w:r w:rsidR="00326167" w:rsidRPr="008D4BA9">
        <w:rPr>
          <w:rFonts w:cs="Arial"/>
          <w:sz w:val="24"/>
          <w:szCs w:val="24"/>
          <w:lang w:eastAsia="en-AU"/>
        </w:rPr>
        <w:fldChar w:fldCharType="end"/>
      </w:r>
      <w:r w:rsidR="0030391C">
        <w:rPr>
          <w:rFonts w:cs="Arial"/>
          <w:sz w:val="24"/>
          <w:szCs w:val="24"/>
          <w:lang w:eastAsia="en-AU"/>
        </w:rPr>
        <w:tab/>
      </w:r>
      <w:r>
        <w:rPr>
          <w:rFonts w:cs="Arial"/>
          <w:sz w:val="24"/>
          <w:szCs w:val="24"/>
          <w:lang w:eastAsia="en-AU"/>
        </w:rPr>
        <w:t>Name of Act</w:t>
      </w:r>
      <w:bookmarkEnd w:id="25"/>
    </w:p>
    <w:p w14:paraId="002E87C3" w14:textId="454CDD9B" w:rsidR="00702566" w:rsidRPr="008D4BA9" w:rsidRDefault="00702566" w:rsidP="00F64FC3">
      <w:pPr>
        <w:autoSpaceDE w:val="0"/>
        <w:autoSpaceDN w:val="0"/>
        <w:adjustRightInd w:val="0"/>
        <w:spacing w:before="240" w:after="120"/>
        <w:rPr>
          <w:rFonts w:cs="Arial"/>
          <w:szCs w:val="24"/>
          <w:lang w:eastAsia="en-AU"/>
        </w:rPr>
      </w:pPr>
      <w:r w:rsidRPr="008D4BA9">
        <w:rPr>
          <w:rFonts w:cs="Arial"/>
          <w:szCs w:val="24"/>
          <w:lang w:eastAsia="en-AU"/>
        </w:rPr>
        <w:t xml:space="preserve">This is a technical clause that names the short title of the Act. The name of the Act </w:t>
      </w:r>
      <w:r w:rsidR="00807087" w:rsidRPr="008D4BA9">
        <w:rPr>
          <w:rFonts w:cs="Arial"/>
          <w:szCs w:val="24"/>
          <w:lang w:eastAsia="en-AU"/>
        </w:rPr>
        <w:t>will</w:t>
      </w:r>
      <w:r w:rsidRPr="008D4BA9">
        <w:rPr>
          <w:rFonts w:cs="Arial"/>
          <w:szCs w:val="24"/>
          <w:lang w:eastAsia="en-AU"/>
        </w:rPr>
        <w:t xml:space="preserve"> be</w:t>
      </w:r>
      <w:r w:rsidR="001B7E69" w:rsidRPr="008D4BA9">
        <w:rPr>
          <w:rFonts w:cs="Arial"/>
          <w:szCs w:val="24"/>
          <w:lang w:eastAsia="en-AU"/>
        </w:rPr>
        <w:t xml:space="preserve"> </w:t>
      </w:r>
      <w:r w:rsidRPr="008D4BA9">
        <w:rPr>
          <w:rFonts w:cs="Arial"/>
          <w:szCs w:val="24"/>
          <w:lang w:eastAsia="en-AU"/>
        </w:rPr>
        <w:t xml:space="preserve">the </w:t>
      </w:r>
      <w:r w:rsidR="00D60934">
        <w:rPr>
          <w:rFonts w:cs="Arial"/>
          <w:i/>
          <w:szCs w:val="24"/>
          <w:lang w:eastAsia="en-AU"/>
        </w:rPr>
        <w:t>COVID-19 Emergency Response Legislation Amendment Act</w:t>
      </w:r>
      <w:r w:rsidR="00986922">
        <w:rPr>
          <w:rFonts w:cs="Arial"/>
          <w:i/>
          <w:szCs w:val="24"/>
          <w:lang w:eastAsia="en-AU"/>
        </w:rPr>
        <w:t> </w:t>
      </w:r>
      <w:r w:rsidR="00D60934">
        <w:rPr>
          <w:rFonts w:cs="Arial"/>
          <w:i/>
          <w:szCs w:val="24"/>
          <w:lang w:eastAsia="en-AU"/>
        </w:rPr>
        <w:t>2020</w:t>
      </w:r>
      <w:r w:rsidR="00986922">
        <w:rPr>
          <w:rFonts w:cs="Arial"/>
          <w:i/>
          <w:szCs w:val="24"/>
          <w:lang w:eastAsia="en-AU"/>
        </w:rPr>
        <w:t> </w:t>
      </w:r>
      <w:r w:rsidR="00D60934">
        <w:rPr>
          <w:rFonts w:cs="Arial"/>
          <w:i/>
          <w:szCs w:val="24"/>
          <w:lang w:eastAsia="en-AU"/>
        </w:rPr>
        <w:t>(No</w:t>
      </w:r>
      <w:r w:rsidR="00986922">
        <w:rPr>
          <w:rFonts w:cs="Arial"/>
          <w:i/>
          <w:szCs w:val="24"/>
          <w:lang w:eastAsia="en-AU"/>
        </w:rPr>
        <w:t> </w:t>
      </w:r>
      <w:r w:rsidR="00D60934">
        <w:rPr>
          <w:rFonts w:cs="Arial"/>
          <w:i/>
          <w:szCs w:val="24"/>
          <w:lang w:eastAsia="en-AU"/>
        </w:rPr>
        <w:t>3)</w:t>
      </w:r>
      <w:r w:rsidRPr="008D4BA9">
        <w:rPr>
          <w:rFonts w:cs="Arial"/>
          <w:szCs w:val="24"/>
          <w:lang w:eastAsia="en-AU"/>
        </w:rPr>
        <w:t>.</w:t>
      </w:r>
    </w:p>
    <w:p w14:paraId="4BF1A319" w14:textId="5272FF6A" w:rsidR="00D60934" w:rsidRPr="008D4BA9" w:rsidRDefault="00D60934" w:rsidP="00D60934">
      <w:pPr>
        <w:pStyle w:val="Heading1"/>
        <w:keepNext w:val="0"/>
        <w:rPr>
          <w:rFonts w:cs="Arial"/>
          <w:sz w:val="24"/>
          <w:szCs w:val="24"/>
          <w:lang w:eastAsia="en-AU"/>
        </w:rPr>
      </w:pPr>
      <w:bookmarkStart w:id="26" w:name="_Toc57197601"/>
      <w:r>
        <w:rPr>
          <w:rFonts w:cs="Arial"/>
          <w:sz w:val="24"/>
          <w:szCs w:val="24"/>
          <w:lang w:eastAsia="en-AU"/>
        </w:rPr>
        <w:t>Clause</w:t>
      </w:r>
      <w:r w:rsidRPr="008D4BA9">
        <w:rPr>
          <w:rFonts w:cs="Arial"/>
          <w:sz w:val="24"/>
          <w:szCs w:val="24"/>
          <w:lang w:eastAsia="en-AU"/>
        </w:rPr>
        <w:t xml:space="preserve"> </w:t>
      </w:r>
      <w:r w:rsidRPr="008D4BA9">
        <w:rPr>
          <w:rFonts w:cs="Arial"/>
          <w:sz w:val="24"/>
          <w:szCs w:val="24"/>
          <w:lang w:eastAsia="en-AU"/>
        </w:rPr>
        <w:fldChar w:fldCharType="begin"/>
      </w:r>
      <w:r w:rsidRPr="008D4BA9">
        <w:rPr>
          <w:rFonts w:cs="Arial"/>
          <w:sz w:val="24"/>
          <w:szCs w:val="24"/>
          <w:lang w:eastAsia="en-AU"/>
        </w:rPr>
        <w:instrText xml:space="preserve"> SEQ Part \* ARABIC </w:instrText>
      </w:r>
      <w:r w:rsidRPr="008D4BA9">
        <w:rPr>
          <w:rFonts w:cs="Arial"/>
          <w:sz w:val="24"/>
          <w:szCs w:val="24"/>
          <w:lang w:eastAsia="en-AU"/>
        </w:rPr>
        <w:fldChar w:fldCharType="separate"/>
      </w:r>
      <w:r w:rsidR="009C4E16">
        <w:rPr>
          <w:rFonts w:cs="Arial"/>
          <w:noProof/>
          <w:sz w:val="24"/>
          <w:szCs w:val="24"/>
          <w:lang w:eastAsia="en-AU"/>
        </w:rPr>
        <w:t>2</w:t>
      </w:r>
      <w:r w:rsidRPr="008D4BA9">
        <w:rPr>
          <w:rFonts w:cs="Arial"/>
          <w:sz w:val="24"/>
          <w:szCs w:val="24"/>
          <w:lang w:eastAsia="en-AU"/>
        </w:rPr>
        <w:fldChar w:fldCharType="end"/>
      </w:r>
      <w:r w:rsidR="0030391C">
        <w:rPr>
          <w:rFonts w:cs="Arial"/>
          <w:sz w:val="24"/>
          <w:szCs w:val="24"/>
          <w:lang w:eastAsia="en-AU"/>
        </w:rPr>
        <w:tab/>
      </w:r>
      <w:r>
        <w:rPr>
          <w:rFonts w:cs="Arial"/>
          <w:sz w:val="24"/>
          <w:szCs w:val="24"/>
          <w:lang w:eastAsia="en-AU"/>
        </w:rPr>
        <w:t>Commencement</w:t>
      </w:r>
      <w:bookmarkEnd w:id="26"/>
    </w:p>
    <w:p w14:paraId="6A076AAA" w14:textId="15D00FA9" w:rsidR="00A11978" w:rsidRDefault="001F7F5F" w:rsidP="00F64FC3">
      <w:pPr>
        <w:autoSpaceDE w:val="0"/>
        <w:autoSpaceDN w:val="0"/>
        <w:adjustRightInd w:val="0"/>
        <w:spacing w:before="240" w:after="120"/>
        <w:rPr>
          <w:rFonts w:cs="Arial"/>
          <w:szCs w:val="24"/>
          <w:lang w:eastAsia="en-AU"/>
        </w:rPr>
      </w:pPr>
      <w:r w:rsidRPr="008D4BA9">
        <w:rPr>
          <w:rFonts w:cs="Arial"/>
          <w:szCs w:val="24"/>
          <w:lang w:eastAsia="en-AU"/>
        </w:rPr>
        <w:t>This clause provid</w:t>
      </w:r>
      <w:r w:rsidR="00393C03" w:rsidRPr="008D4BA9">
        <w:rPr>
          <w:rFonts w:cs="Arial"/>
          <w:szCs w:val="24"/>
          <w:lang w:eastAsia="en-AU"/>
        </w:rPr>
        <w:t>es that</w:t>
      </w:r>
      <w:r w:rsidR="00E969EC">
        <w:rPr>
          <w:rFonts w:cs="Arial"/>
          <w:szCs w:val="24"/>
          <w:lang w:eastAsia="en-AU"/>
        </w:rPr>
        <w:t>, with the exception of the amendments listed below,</w:t>
      </w:r>
      <w:r w:rsidR="00393C03" w:rsidRPr="008D4BA9">
        <w:rPr>
          <w:rFonts w:cs="Arial"/>
          <w:szCs w:val="24"/>
          <w:lang w:eastAsia="en-AU"/>
        </w:rPr>
        <w:t xml:space="preserve"> the </w:t>
      </w:r>
      <w:r w:rsidR="00E969EC">
        <w:rPr>
          <w:rFonts w:cs="Arial"/>
          <w:szCs w:val="24"/>
          <w:lang w:eastAsia="en-AU"/>
        </w:rPr>
        <w:t xml:space="preserve">amendments in the </w:t>
      </w:r>
      <w:r w:rsidR="00393C03" w:rsidRPr="008D4BA9">
        <w:rPr>
          <w:rFonts w:cs="Arial"/>
          <w:szCs w:val="24"/>
          <w:lang w:eastAsia="en-AU"/>
        </w:rPr>
        <w:t>Act</w:t>
      </w:r>
      <w:r w:rsidR="00DF7319" w:rsidRPr="008D4BA9">
        <w:rPr>
          <w:rFonts w:cs="Arial"/>
          <w:szCs w:val="24"/>
          <w:lang w:eastAsia="en-AU"/>
        </w:rPr>
        <w:t xml:space="preserve"> </w:t>
      </w:r>
      <w:r w:rsidR="00393C03" w:rsidRPr="008D4BA9">
        <w:rPr>
          <w:rFonts w:cs="Arial"/>
          <w:szCs w:val="24"/>
          <w:lang w:eastAsia="en-AU"/>
        </w:rPr>
        <w:t>will commence</w:t>
      </w:r>
      <w:r w:rsidR="005D0412" w:rsidRPr="008D4BA9">
        <w:rPr>
          <w:rFonts w:cs="Arial"/>
          <w:szCs w:val="24"/>
          <w:lang w:eastAsia="en-AU"/>
        </w:rPr>
        <w:t xml:space="preserve"> </w:t>
      </w:r>
      <w:r w:rsidR="00E969EC">
        <w:rPr>
          <w:rFonts w:cs="Arial"/>
          <w:szCs w:val="24"/>
          <w:lang w:eastAsia="en-AU"/>
        </w:rPr>
        <w:t xml:space="preserve">on </w:t>
      </w:r>
      <w:r w:rsidR="00D60934">
        <w:rPr>
          <w:rFonts w:cs="Arial"/>
          <w:szCs w:val="24"/>
          <w:lang w:eastAsia="en-AU"/>
        </w:rPr>
        <w:t xml:space="preserve">the day after </w:t>
      </w:r>
      <w:r w:rsidR="004D42B9">
        <w:rPr>
          <w:rFonts w:cs="Arial"/>
          <w:szCs w:val="24"/>
          <w:lang w:eastAsia="en-AU"/>
        </w:rPr>
        <w:t xml:space="preserve">the Act </w:t>
      </w:r>
      <w:r w:rsidR="0092364C">
        <w:rPr>
          <w:rFonts w:cs="Arial"/>
          <w:szCs w:val="24"/>
          <w:lang w:eastAsia="en-AU"/>
        </w:rPr>
        <w:t xml:space="preserve">is notified </w:t>
      </w:r>
      <w:r w:rsidR="00D60934">
        <w:rPr>
          <w:rFonts w:cs="Arial"/>
          <w:szCs w:val="24"/>
          <w:lang w:eastAsia="en-AU"/>
        </w:rPr>
        <w:t>on the ACT Legislation Register</w:t>
      </w:r>
      <w:r w:rsidR="00DF7319" w:rsidRPr="008D4BA9">
        <w:rPr>
          <w:rFonts w:cs="Arial"/>
          <w:szCs w:val="24"/>
          <w:lang w:eastAsia="en-AU"/>
        </w:rPr>
        <w:t>.</w:t>
      </w:r>
    </w:p>
    <w:p w14:paraId="710569D8" w14:textId="339BD01B" w:rsidR="004D42B9" w:rsidRDefault="0041227D" w:rsidP="004D42B9">
      <w:pPr>
        <w:autoSpaceDE w:val="0"/>
        <w:autoSpaceDN w:val="0"/>
        <w:adjustRightInd w:val="0"/>
        <w:spacing w:before="240" w:after="120"/>
        <w:rPr>
          <w:rFonts w:cs="Arial"/>
          <w:szCs w:val="24"/>
        </w:rPr>
      </w:pPr>
      <w:r>
        <w:rPr>
          <w:rFonts w:cs="Arial"/>
          <w:szCs w:val="24"/>
        </w:rPr>
        <w:t>Schedule 1, amendment 1.5, substituting new s</w:t>
      </w:r>
      <w:r w:rsidR="004D42B9">
        <w:rPr>
          <w:rFonts w:cs="Arial"/>
          <w:szCs w:val="24"/>
        </w:rPr>
        <w:t xml:space="preserve">ubsection 30 (7) of the </w:t>
      </w:r>
      <w:r w:rsidR="004D42B9">
        <w:rPr>
          <w:rFonts w:cs="Arial"/>
          <w:i/>
          <w:iCs/>
          <w:szCs w:val="24"/>
        </w:rPr>
        <w:t>Corrections Management Act 2007</w:t>
      </w:r>
      <w:r>
        <w:rPr>
          <w:rFonts w:cs="Arial"/>
          <w:i/>
          <w:iCs/>
          <w:szCs w:val="24"/>
        </w:rPr>
        <w:t>,</w:t>
      </w:r>
      <w:r w:rsidR="004D42B9">
        <w:rPr>
          <w:rFonts w:cs="Arial"/>
          <w:szCs w:val="24"/>
        </w:rPr>
        <w:t xml:space="preserve"> will commence </w:t>
      </w:r>
      <w:r w:rsidR="004A1AB3">
        <w:rPr>
          <w:rFonts w:cs="Arial"/>
          <w:szCs w:val="24"/>
        </w:rPr>
        <w:t xml:space="preserve">along with subsections 30 (2A) and </w:t>
      </w:r>
      <w:r w:rsidR="00094C82">
        <w:rPr>
          <w:rFonts w:cs="Arial"/>
          <w:szCs w:val="24"/>
        </w:rPr>
        <w:t xml:space="preserve">(6) </w:t>
      </w:r>
      <w:r w:rsidR="004D42B9">
        <w:rPr>
          <w:rFonts w:cs="Arial"/>
          <w:szCs w:val="24"/>
        </w:rPr>
        <w:t xml:space="preserve">on a day fixed by the Minister </w:t>
      </w:r>
      <w:r w:rsidR="004A1AB3">
        <w:rPr>
          <w:rFonts w:cs="Arial"/>
          <w:szCs w:val="24"/>
        </w:rPr>
        <w:t xml:space="preserve">responsible for the Corrections Management Act </w:t>
      </w:r>
      <w:r w:rsidR="004D42B9">
        <w:rPr>
          <w:rFonts w:cs="Arial"/>
          <w:szCs w:val="24"/>
        </w:rPr>
        <w:t>by written notice.</w:t>
      </w:r>
    </w:p>
    <w:p w14:paraId="731D8F21" w14:textId="7B8B7831" w:rsidR="00094C82" w:rsidRPr="00E969EC" w:rsidRDefault="0041227D" w:rsidP="004D42B9">
      <w:pPr>
        <w:autoSpaceDE w:val="0"/>
        <w:autoSpaceDN w:val="0"/>
        <w:adjustRightInd w:val="0"/>
        <w:spacing w:before="240" w:after="120"/>
        <w:rPr>
          <w:rFonts w:cs="Arial"/>
          <w:szCs w:val="24"/>
        </w:rPr>
      </w:pPr>
      <w:r>
        <w:rPr>
          <w:rFonts w:cs="Arial"/>
          <w:szCs w:val="24"/>
        </w:rPr>
        <w:t>Schedule 1, amendment 1.7, amending s</w:t>
      </w:r>
      <w:r w:rsidR="00094C82">
        <w:rPr>
          <w:rFonts w:cs="Arial"/>
          <w:szCs w:val="24"/>
        </w:rPr>
        <w:t>ection 216I of the Corrections Management Act</w:t>
      </w:r>
      <w:r>
        <w:rPr>
          <w:rFonts w:cs="Arial"/>
          <w:szCs w:val="24"/>
        </w:rPr>
        <w:t>,</w:t>
      </w:r>
      <w:r w:rsidR="00094C82">
        <w:rPr>
          <w:rFonts w:cs="Arial"/>
          <w:szCs w:val="24"/>
        </w:rPr>
        <w:t xml:space="preserve"> will commence along with part 12.3 on a day fixed by the Minister</w:t>
      </w:r>
      <w:r w:rsidR="00094C82" w:rsidRPr="00094C82">
        <w:rPr>
          <w:rFonts w:cs="Arial"/>
          <w:szCs w:val="24"/>
        </w:rPr>
        <w:t xml:space="preserve"> </w:t>
      </w:r>
      <w:r w:rsidR="00094C82">
        <w:rPr>
          <w:rFonts w:cs="Arial"/>
          <w:szCs w:val="24"/>
        </w:rPr>
        <w:t>responsible for the Corrections Management Act by written notice.</w:t>
      </w:r>
    </w:p>
    <w:p w14:paraId="591A2A24" w14:textId="5F65DBA2" w:rsidR="004D42B9" w:rsidRPr="008D4BA9" w:rsidRDefault="004D42B9" w:rsidP="004D42B9">
      <w:pPr>
        <w:pStyle w:val="Heading1"/>
        <w:keepNext w:val="0"/>
        <w:rPr>
          <w:rFonts w:cs="Arial"/>
          <w:sz w:val="24"/>
          <w:szCs w:val="24"/>
          <w:lang w:eastAsia="en-AU"/>
        </w:rPr>
      </w:pPr>
      <w:bookmarkStart w:id="27" w:name="_Toc57197602"/>
      <w:r>
        <w:rPr>
          <w:rFonts w:cs="Arial"/>
          <w:sz w:val="24"/>
          <w:szCs w:val="24"/>
          <w:lang w:eastAsia="en-AU"/>
        </w:rPr>
        <w:t>Clause</w:t>
      </w:r>
      <w:r w:rsidRPr="008D4BA9">
        <w:rPr>
          <w:rFonts w:cs="Arial"/>
          <w:sz w:val="24"/>
          <w:szCs w:val="24"/>
          <w:lang w:eastAsia="en-AU"/>
        </w:rPr>
        <w:t xml:space="preserve"> </w:t>
      </w:r>
      <w:r w:rsidRPr="008D4BA9">
        <w:rPr>
          <w:rFonts w:cs="Arial"/>
          <w:sz w:val="24"/>
          <w:szCs w:val="24"/>
          <w:lang w:eastAsia="en-AU"/>
        </w:rPr>
        <w:fldChar w:fldCharType="begin"/>
      </w:r>
      <w:r w:rsidRPr="008D4BA9">
        <w:rPr>
          <w:rFonts w:cs="Arial"/>
          <w:sz w:val="24"/>
          <w:szCs w:val="24"/>
          <w:lang w:eastAsia="en-AU"/>
        </w:rPr>
        <w:instrText xml:space="preserve"> SEQ Part \* ARABIC </w:instrText>
      </w:r>
      <w:r w:rsidRPr="008D4BA9">
        <w:rPr>
          <w:rFonts w:cs="Arial"/>
          <w:sz w:val="24"/>
          <w:szCs w:val="24"/>
          <w:lang w:eastAsia="en-AU"/>
        </w:rPr>
        <w:fldChar w:fldCharType="separate"/>
      </w:r>
      <w:r w:rsidR="009C4E16">
        <w:rPr>
          <w:rFonts w:cs="Arial"/>
          <w:noProof/>
          <w:sz w:val="24"/>
          <w:szCs w:val="24"/>
          <w:lang w:eastAsia="en-AU"/>
        </w:rPr>
        <w:t>3</w:t>
      </w:r>
      <w:r w:rsidRPr="008D4BA9">
        <w:rPr>
          <w:rFonts w:cs="Arial"/>
          <w:sz w:val="24"/>
          <w:szCs w:val="24"/>
          <w:lang w:eastAsia="en-AU"/>
        </w:rPr>
        <w:fldChar w:fldCharType="end"/>
      </w:r>
      <w:r w:rsidR="0030391C">
        <w:rPr>
          <w:rFonts w:cs="Arial"/>
          <w:sz w:val="24"/>
          <w:szCs w:val="24"/>
          <w:lang w:eastAsia="en-AU"/>
        </w:rPr>
        <w:tab/>
      </w:r>
      <w:r>
        <w:rPr>
          <w:rFonts w:cs="Arial"/>
          <w:sz w:val="24"/>
          <w:szCs w:val="24"/>
          <w:lang w:eastAsia="en-AU"/>
        </w:rPr>
        <w:t>Legislation amended––sch 1</w:t>
      </w:r>
      <w:bookmarkEnd w:id="27"/>
    </w:p>
    <w:p w14:paraId="295C1776" w14:textId="2894BE7E" w:rsidR="004D42B9" w:rsidRDefault="00C87B10" w:rsidP="00F64FC3">
      <w:pPr>
        <w:spacing w:before="240" w:after="120"/>
        <w:rPr>
          <w:rFonts w:cs="Arial"/>
          <w:szCs w:val="24"/>
          <w:lang w:eastAsia="en-AU"/>
        </w:rPr>
      </w:pPr>
      <w:r w:rsidRPr="008D4BA9">
        <w:rPr>
          <w:rFonts w:cs="Arial"/>
          <w:szCs w:val="24"/>
          <w:lang w:eastAsia="en-AU"/>
        </w:rPr>
        <w:t xml:space="preserve">This clause </w:t>
      </w:r>
      <w:r w:rsidR="0030391C">
        <w:rPr>
          <w:rFonts w:cs="Arial"/>
          <w:szCs w:val="24"/>
          <w:lang w:eastAsia="en-AU"/>
        </w:rPr>
        <w:t xml:space="preserve">refers to schedule 1 of the Bill </w:t>
      </w:r>
      <w:r w:rsidR="00226D05">
        <w:rPr>
          <w:rFonts w:cs="Arial"/>
          <w:szCs w:val="24"/>
          <w:lang w:eastAsia="en-AU"/>
        </w:rPr>
        <w:t xml:space="preserve">which lists </w:t>
      </w:r>
      <w:r w:rsidR="0030391C">
        <w:rPr>
          <w:rFonts w:cs="Arial"/>
          <w:szCs w:val="24"/>
          <w:lang w:eastAsia="en-AU"/>
        </w:rPr>
        <w:t xml:space="preserve">the </w:t>
      </w:r>
      <w:r w:rsidR="00442BD2" w:rsidRPr="008D4BA9">
        <w:rPr>
          <w:rFonts w:cs="Arial"/>
          <w:szCs w:val="24"/>
          <w:lang w:eastAsia="en-AU"/>
        </w:rPr>
        <w:t>legislation amended by th</w:t>
      </w:r>
      <w:r w:rsidR="0030391C">
        <w:rPr>
          <w:rFonts w:cs="Arial"/>
          <w:szCs w:val="24"/>
          <w:lang w:eastAsia="en-AU"/>
        </w:rPr>
        <w:t>e</w:t>
      </w:r>
      <w:r w:rsidR="00442BD2" w:rsidRPr="008D4BA9">
        <w:rPr>
          <w:rFonts w:cs="Arial"/>
          <w:szCs w:val="24"/>
          <w:lang w:eastAsia="en-AU"/>
        </w:rPr>
        <w:t xml:space="preserve"> Bill. Th</w:t>
      </w:r>
      <w:r w:rsidR="0030391C">
        <w:rPr>
          <w:rFonts w:cs="Arial"/>
          <w:szCs w:val="24"/>
          <w:lang w:eastAsia="en-AU"/>
        </w:rPr>
        <w:t>e</w:t>
      </w:r>
      <w:r w:rsidR="00442BD2" w:rsidRPr="008D4BA9">
        <w:rPr>
          <w:rFonts w:cs="Arial"/>
          <w:szCs w:val="24"/>
          <w:lang w:eastAsia="en-AU"/>
        </w:rPr>
        <w:t xml:space="preserve"> Bill will amend the</w:t>
      </w:r>
      <w:r w:rsidR="004D42B9">
        <w:rPr>
          <w:rFonts w:cs="Arial"/>
          <w:szCs w:val="24"/>
          <w:lang w:eastAsia="en-AU"/>
        </w:rPr>
        <w:t>:</w:t>
      </w:r>
    </w:p>
    <w:p w14:paraId="46C20E91" w14:textId="399870CD" w:rsidR="00C87B10" w:rsidRPr="004D42B9" w:rsidRDefault="004D42B9" w:rsidP="00C057FF">
      <w:pPr>
        <w:pStyle w:val="ListParagraph"/>
        <w:numPr>
          <w:ilvl w:val="0"/>
          <w:numId w:val="8"/>
        </w:numPr>
        <w:spacing w:before="240" w:after="120"/>
        <w:rPr>
          <w:rFonts w:cs="Arial"/>
          <w:sz w:val="24"/>
          <w:szCs w:val="24"/>
        </w:rPr>
      </w:pPr>
      <w:r w:rsidRPr="004D42B9">
        <w:rPr>
          <w:rFonts w:cs="Arial"/>
          <w:i/>
          <w:sz w:val="24"/>
          <w:szCs w:val="24"/>
        </w:rPr>
        <w:t>Associations Incorporation Act 1991</w:t>
      </w:r>
      <w:r w:rsidRPr="004D42B9">
        <w:rPr>
          <w:rFonts w:cs="Arial"/>
          <w:iCs/>
          <w:sz w:val="24"/>
          <w:szCs w:val="24"/>
        </w:rPr>
        <w:t>;</w:t>
      </w:r>
    </w:p>
    <w:p w14:paraId="1A6213E7" w14:textId="006ECC86" w:rsid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Bail Act 1992</w:t>
      </w:r>
      <w:r w:rsidRPr="004D42B9">
        <w:rPr>
          <w:rFonts w:cs="Arial"/>
          <w:sz w:val="24"/>
          <w:szCs w:val="24"/>
        </w:rPr>
        <w:t>;</w:t>
      </w:r>
    </w:p>
    <w:p w14:paraId="4485CDE8" w14:textId="6C50FA2E"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Corrections Management Act 2007</w:t>
      </w:r>
      <w:r w:rsidRPr="004D42B9">
        <w:rPr>
          <w:rFonts w:cs="Arial"/>
          <w:sz w:val="24"/>
          <w:szCs w:val="24"/>
        </w:rPr>
        <w:t>;</w:t>
      </w:r>
    </w:p>
    <w:p w14:paraId="799AB962" w14:textId="657669FB"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COVID-19 Emergency Response Act 2020</w:t>
      </w:r>
      <w:r w:rsidRPr="004D42B9">
        <w:rPr>
          <w:rFonts w:cs="Arial"/>
          <w:sz w:val="24"/>
          <w:szCs w:val="24"/>
        </w:rPr>
        <w:t>;</w:t>
      </w:r>
    </w:p>
    <w:p w14:paraId="0ACC9DF9" w14:textId="321FF6DD"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Crimes Act 1900</w:t>
      </w:r>
      <w:r w:rsidRPr="004D42B9">
        <w:rPr>
          <w:rFonts w:cs="Arial"/>
          <w:sz w:val="24"/>
          <w:szCs w:val="24"/>
        </w:rPr>
        <w:t>;</w:t>
      </w:r>
    </w:p>
    <w:p w14:paraId="0F4E3A1B" w14:textId="5CA7EAAB"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Crimes (Sentence Administration) Act 2005</w:t>
      </w:r>
      <w:r w:rsidRPr="004D42B9">
        <w:rPr>
          <w:rFonts w:cs="Arial"/>
          <w:sz w:val="24"/>
          <w:szCs w:val="24"/>
        </w:rPr>
        <w:t>;</w:t>
      </w:r>
    </w:p>
    <w:p w14:paraId="30E28627" w14:textId="35C3C032"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Crimes (Sentencing) Act 2005</w:t>
      </w:r>
      <w:r w:rsidRPr="004D42B9">
        <w:rPr>
          <w:rFonts w:cs="Arial"/>
          <w:sz w:val="24"/>
          <w:szCs w:val="24"/>
        </w:rPr>
        <w:t>;</w:t>
      </w:r>
    </w:p>
    <w:p w14:paraId="31B10E6A" w14:textId="7763348D"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Drugs of Dependence Act 1989</w:t>
      </w:r>
      <w:r w:rsidRPr="004D42B9">
        <w:rPr>
          <w:rFonts w:cs="Arial"/>
          <w:sz w:val="24"/>
          <w:szCs w:val="24"/>
        </w:rPr>
        <w:t>;</w:t>
      </w:r>
    </w:p>
    <w:p w14:paraId="33E404FA" w14:textId="0F718A99"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Education Act 2004</w:t>
      </w:r>
      <w:r w:rsidRPr="004D42B9">
        <w:rPr>
          <w:rFonts w:cs="Arial"/>
          <w:sz w:val="24"/>
          <w:szCs w:val="24"/>
        </w:rPr>
        <w:t>;</w:t>
      </w:r>
    </w:p>
    <w:p w14:paraId="11DED50B" w14:textId="5591E736"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lastRenderedPageBreak/>
        <w:t>Evidence (Miscellaneous Provisions) Act 1991</w:t>
      </w:r>
      <w:r w:rsidRPr="004D42B9">
        <w:rPr>
          <w:rFonts w:cs="Arial"/>
          <w:sz w:val="24"/>
          <w:szCs w:val="24"/>
        </w:rPr>
        <w:t>;</w:t>
      </w:r>
    </w:p>
    <w:p w14:paraId="595FF256" w14:textId="60B41482"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Family Violence Act 2016</w:t>
      </w:r>
      <w:r w:rsidRPr="004D42B9">
        <w:rPr>
          <w:rFonts w:cs="Arial"/>
          <w:sz w:val="24"/>
          <w:szCs w:val="24"/>
        </w:rPr>
        <w:t>;</w:t>
      </w:r>
    </w:p>
    <w:p w14:paraId="7783A101" w14:textId="26E4E309"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Gaming Machine Regulation 2004</w:t>
      </w:r>
      <w:r w:rsidRPr="004D42B9">
        <w:rPr>
          <w:rFonts w:cs="Arial"/>
          <w:sz w:val="24"/>
          <w:szCs w:val="24"/>
        </w:rPr>
        <w:t>;</w:t>
      </w:r>
    </w:p>
    <w:p w14:paraId="35E6A876" w14:textId="648B58E3"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Personal Violence Act 2016</w:t>
      </w:r>
      <w:r w:rsidRPr="004D42B9">
        <w:rPr>
          <w:rFonts w:cs="Arial"/>
          <w:sz w:val="24"/>
          <w:szCs w:val="24"/>
        </w:rPr>
        <w:t>;</w:t>
      </w:r>
    </w:p>
    <w:p w14:paraId="50DDF732" w14:textId="7B41E980"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Retirement Villages Act 2012</w:t>
      </w:r>
      <w:r w:rsidRPr="004D42B9">
        <w:rPr>
          <w:rFonts w:cs="Arial"/>
          <w:sz w:val="24"/>
          <w:szCs w:val="24"/>
        </w:rPr>
        <w:t>;</w:t>
      </w:r>
    </w:p>
    <w:p w14:paraId="2AA7D427" w14:textId="40C3E107" w:rsidR="004D42B9" w:rsidRPr="004D42B9" w:rsidRDefault="004D42B9" w:rsidP="00C057FF">
      <w:pPr>
        <w:pStyle w:val="ListParagraph"/>
        <w:numPr>
          <w:ilvl w:val="0"/>
          <w:numId w:val="8"/>
        </w:numPr>
        <w:spacing w:before="240" w:after="120"/>
        <w:rPr>
          <w:rFonts w:cs="Arial"/>
          <w:sz w:val="24"/>
          <w:szCs w:val="24"/>
        </w:rPr>
      </w:pPr>
      <w:r w:rsidRPr="004D42B9">
        <w:rPr>
          <w:rFonts w:cs="Arial"/>
          <w:i/>
          <w:iCs/>
          <w:sz w:val="24"/>
          <w:szCs w:val="24"/>
        </w:rPr>
        <w:t>Supreme Court Act 1933</w:t>
      </w:r>
      <w:r w:rsidRPr="004D42B9">
        <w:rPr>
          <w:rFonts w:cs="Arial"/>
          <w:sz w:val="24"/>
          <w:szCs w:val="24"/>
        </w:rPr>
        <w:t>; and</w:t>
      </w:r>
    </w:p>
    <w:p w14:paraId="359C9F56" w14:textId="21CDF79A" w:rsidR="004D42B9" w:rsidRPr="004D42B9" w:rsidRDefault="004D42B9" w:rsidP="00C057FF">
      <w:pPr>
        <w:pStyle w:val="ListParagraph"/>
        <w:numPr>
          <w:ilvl w:val="0"/>
          <w:numId w:val="8"/>
        </w:numPr>
        <w:spacing w:before="240" w:after="120"/>
        <w:rPr>
          <w:rFonts w:cs="Arial"/>
          <w:szCs w:val="24"/>
        </w:rPr>
      </w:pPr>
      <w:r w:rsidRPr="004D42B9">
        <w:rPr>
          <w:rFonts w:cs="Arial"/>
          <w:i/>
          <w:iCs/>
          <w:sz w:val="24"/>
          <w:szCs w:val="24"/>
        </w:rPr>
        <w:t>Working with Vulnerable People (Background Checking) Act 2011</w:t>
      </w:r>
      <w:r w:rsidRPr="004D42B9">
        <w:rPr>
          <w:rFonts w:cs="Arial"/>
          <w:sz w:val="24"/>
          <w:szCs w:val="24"/>
        </w:rPr>
        <w:t>.</w:t>
      </w:r>
    </w:p>
    <w:p w14:paraId="169F9B4B" w14:textId="687314D5" w:rsidR="008B40CE" w:rsidRPr="008D4BA9" w:rsidRDefault="008B40CE" w:rsidP="00F64FC3">
      <w:pPr>
        <w:pStyle w:val="Heading1"/>
        <w:keepNext w:val="0"/>
        <w:rPr>
          <w:rFonts w:cs="Arial"/>
          <w:sz w:val="24"/>
          <w:szCs w:val="24"/>
          <w:lang w:eastAsia="en-AU"/>
        </w:rPr>
      </w:pPr>
      <w:bookmarkStart w:id="28" w:name="_Toc447714847"/>
      <w:bookmarkStart w:id="29" w:name="_Toc57197603"/>
      <w:r w:rsidRPr="008D4BA9">
        <w:rPr>
          <w:rFonts w:cs="Arial"/>
          <w:sz w:val="24"/>
          <w:szCs w:val="24"/>
          <w:lang w:eastAsia="en-AU"/>
        </w:rPr>
        <w:t xml:space="preserve">Schedule </w:t>
      </w:r>
      <w:r w:rsidR="00326167" w:rsidRPr="008D4BA9">
        <w:rPr>
          <w:rFonts w:cs="Arial"/>
          <w:sz w:val="24"/>
          <w:szCs w:val="24"/>
          <w:lang w:eastAsia="en-AU"/>
        </w:rPr>
        <w:fldChar w:fldCharType="begin"/>
      </w:r>
      <w:r w:rsidRPr="008D4BA9">
        <w:rPr>
          <w:rFonts w:cs="Arial"/>
          <w:sz w:val="24"/>
          <w:szCs w:val="24"/>
          <w:lang w:eastAsia="en-AU"/>
        </w:rPr>
        <w:instrText xml:space="preserve"> SEQ Schedule \* ARABIC </w:instrText>
      </w:r>
      <w:r w:rsidR="00326167" w:rsidRPr="008D4BA9">
        <w:rPr>
          <w:rFonts w:cs="Arial"/>
          <w:sz w:val="24"/>
          <w:szCs w:val="24"/>
          <w:lang w:eastAsia="en-AU"/>
        </w:rPr>
        <w:fldChar w:fldCharType="separate"/>
      </w:r>
      <w:r w:rsidR="009C4E16">
        <w:rPr>
          <w:rFonts w:cs="Arial"/>
          <w:noProof/>
          <w:sz w:val="24"/>
          <w:szCs w:val="24"/>
          <w:lang w:eastAsia="en-AU"/>
        </w:rPr>
        <w:t>1</w:t>
      </w:r>
      <w:r w:rsidR="00326167" w:rsidRPr="008D4BA9">
        <w:rPr>
          <w:rFonts w:cs="Arial"/>
          <w:sz w:val="24"/>
          <w:szCs w:val="24"/>
          <w:lang w:eastAsia="en-AU"/>
        </w:rPr>
        <w:fldChar w:fldCharType="end"/>
      </w:r>
      <w:bookmarkEnd w:id="28"/>
      <w:r w:rsidR="0030391C">
        <w:rPr>
          <w:rFonts w:cs="Arial"/>
          <w:sz w:val="24"/>
          <w:szCs w:val="24"/>
          <w:lang w:eastAsia="en-AU"/>
        </w:rPr>
        <w:tab/>
      </w:r>
      <w:r w:rsidR="00706752">
        <w:rPr>
          <w:rFonts w:cs="Arial"/>
          <w:sz w:val="24"/>
          <w:szCs w:val="24"/>
          <w:lang w:eastAsia="en-AU"/>
        </w:rPr>
        <w:t>COVID-19 emergency response––Amendments</w:t>
      </w:r>
      <w:bookmarkEnd w:id="29"/>
    </w:p>
    <w:p w14:paraId="04153BE8" w14:textId="6E34FFAD" w:rsidR="008B40CE" w:rsidRPr="008D4BA9" w:rsidRDefault="008B40CE" w:rsidP="00DF2DEE">
      <w:pPr>
        <w:pStyle w:val="Heading2"/>
      </w:pPr>
      <w:bookmarkStart w:id="30" w:name="_Toc447714848"/>
      <w:bookmarkStart w:id="31" w:name="_Toc57197604"/>
      <w:r w:rsidRPr="00063349">
        <w:t>Part 1.1</w:t>
      </w:r>
      <w:bookmarkEnd w:id="30"/>
      <w:r w:rsidR="00B93FED">
        <w:tab/>
      </w:r>
      <w:r w:rsidR="00706752" w:rsidRPr="00063349">
        <w:rPr>
          <w:lang w:eastAsia="en-AU"/>
        </w:rPr>
        <w:t>Associations Incorporation Act 1991</w:t>
      </w:r>
      <w:bookmarkEnd w:id="31"/>
    </w:p>
    <w:p w14:paraId="3DA7D47A" w14:textId="5EC3AF03" w:rsidR="008B40CE" w:rsidRPr="00DF2DEE" w:rsidRDefault="008B40CE" w:rsidP="0030391C">
      <w:pPr>
        <w:pStyle w:val="Heading3"/>
        <w:tabs>
          <w:tab w:val="left" w:pos="1134"/>
        </w:tabs>
      </w:pPr>
      <w:bookmarkStart w:id="32" w:name="_Toc57197605"/>
      <w:r w:rsidRPr="00DF2DEE">
        <w:t>[1.</w:t>
      </w:r>
      <w:r w:rsidR="00326167" w:rsidRPr="00DF2DEE">
        <w:fldChar w:fldCharType="begin"/>
      </w:r>
      <w:r w:rsidRPr="00DF2DEE">
        <w:instrText xml:space="preserve"> SEQ [2.] \* ARABIC </w:instrText>
      </w:r>
      <w:r w:rsidR="00326167" w:rsidRPr="00DF2DEE">
        <w:fldChar w:fldCharType="separate"/>
      </w:r>
      <w:r w:rsidR="009C4E16">
        <w:rPr>
          <w:noProof/>
        </w:rPr>
        <w:t>1</w:t>
      </w:r>
      <w:r w:rsidR="00326167" w:rsidRPr="00DF2DEE">
        <w:fldChar w:fldCharType="end"/>
      </w:r>
      <w:r w:rsidRPr="00DF2DEE">
        <w:t>]</w:t>
      </w:r>
      <w:r w:rsidR="00B93FED">
        <w:tab/>
      </w:r>
      <w:r w:rsidR="00DF2DEE">
        <w:t>Section 70AA (7)</w:t>
      </w:r>
      <w:bookmarkEnd w:id="32"/>
    </w:p>
    <w:p w14:paraId="6A8F11B4" w14:textId="6D5CA5D0" w:rsidR="008B40CE" w:rsidRDefault="00DF2DEE" w:rsidP="00F64FC3">
      <w:pPr>
        <w:rPr>
          <w:rFonts w:cs="Arial"/>
          <w:bCs/>
          <w:szCs w:val="24"/>
        </w:rPr>
      </w:pPr>
      <w:r w:rsidRPr="002329B7">
        <w:rPr>
          <w:rFonts w:cs="Arial"/>
          <w:bCs/>
          <w:szCs w:val="24"/>
        </w:rPr>
        <w:t>This clause</w:t>
      </w:r>
      <w:r>
        <w:rPr>
          <w:rFonts w:cs="Arial"/>
          <w:bCs/>
          <w:szCs w:val="24"/>
        </w:rPr>
        <w:t xml:space="preserve"> </w:t>
      </w:r>
      <w:r w:rsidR="00D27876">
        <w:rPr>
          <w:rFonts w:cs="Arial"/>
          <w:bCs/>
          <w:szCs w:val="24"/>
        </w:rPr>
        <w:t>substitutes a new section 70AA (7)</w:t>
      </w:r>
      <w:r w:rsidR="004249BF">
        <w:rPr>
          <w:rFonts w:cs="Arial"/>
          <w:bCs/>
          <w:szCs w:val="24"/>
        </w:rPr>
        <w:t xml:space="preserve"> of the Associations Incorporation Act</w:t>
      </w:r>
      <w:r w:rsidR="00D27876">
        <w:rPr>
          <w:rFonts w:cs="Arial"/>
          <w:bCs/>
          <w:szCs w:val="24"/>
        </w:rPr>
        <w:t xml:space="preserve"> to </w:t>
      </w:r>
      <w:r>
        <w:rPr>
          <w:rFonts w:cs="Arial"/>
          <w:bCs/>
          <w:szCs w:val="24"/>
        </w:rPr>
        <w:t>amend the expiry of section 70AA of the Associations Incorporation Act, to expire on 8 October 2021, providing a six</w:t>
      </w:r>
      <w:r w:rsidR="00AB3D8B">
        <w:rPr>
          <w:rFonts w:cs="Arial"/>
          <w:bCs/>
          <w:szCs w:val="24"/>
        </w:rPr>
        <w:t>-</w:t>
      </w:r>
      <w:r>
        <w:rPr>
          <w:rFonts w:cs="Arial"/>
          <w:bCs/>
          <w:szCs w:val="24"/>
        </w:rPr>
        <w:t>month extension to the original expiry date.</w:t>
      </w:r>
    </w:p>
    <w:p w14:paraId="50FC2D45" w14:textId="0419F11B" w:rsidR="004249BF" w:rsidRDefault="0089235D" w:rsidP="0089235D">
      <w:pPr>
        <w:rPr>
          <w:rFonts w:cs="Arial"/>
          <w:bCs/>
          <w:szCs w:val="24"/>
        </w:rPr>
      </w:pPr>
      <w:r>
        <w:rPr>
          <w:rFonts w:cs="Arial"/>
          <w:bCs/>
          <w:szCs w:val="24"/>
        </w:rPr>
        <w:t>Before the introduction of section 70AA</w:t>
      </w:r>
      <w:r w:rsidR="0041227D">
        <w:rPr>
          <w:rFonts w:cs="Arial"/>
          <w:bCs/>
          <w:szCs w:val="24"/>
        </w:rPr>
        <w:t xml:space="preserve"> </w:t>
      </w:r>
      <w:r>
        <w:rPr>
          <w:rFonts w:cs="Arial"/>
          <w:bCs/>
          <w:szCs w:val="24"/>
        </w:rPr>
        <w:t xml:space="preserve">the </w:t>
      </w:r>
      <w:r w:rsidR="00BE6CB7">
        <w:rPr>
          <w:rFonts w:cs="Arial"/>
          <w:bCs/>
          <w:szCs w:val="24"/>
        </w:rPr>
        <w:t xml:space="preserve">rules </w:t>
      </w:r>
      <w:r w:rsidR="00D27876">
        <w:rPr>
          <w:rFonts w:cs="Arial"/>
          <w:bCs/>
          <w:szCs w:val="24"/>
        </w:rPr>
        <w:t xml:space="preserve">about </w:t>
      </w:r>
      <w:r w:rsidR="00BE6CB7">
        <w:rPr>
          <w:rFonts w:cs="Arial"/>
          <w:bCs/>
          <w:szCs w:val="24"/>
        </w:rPr>
        <w:t xml:space="preserve">the </w:t>
      </w:r>
      <w:r>
        <w:rPr>
          <w:rFonts w:cs="Arial"/>
          <w:bCs/>
          <w:szCs w:val="24"/>
        </w:rPr>
        <w:t xml:space="preserve">way in which general meetings and special general meetings of </w:t>
      </w:r>
      <w:r w:rsidR="00D27876">
        <w:rPr>
          <w:rFonts w:cs="Arial"/>
          <w:bCs/>
          <w:szCs w:val="24"/>
        </w:rPr>
        <w:t>an</w:t>
      </w:r>
      <w:r>
        <w:rPr>
          <w:rFonts w:cs="Arial"/>
          <w:bCs/>
          <w:szCs w:val="24"/>
        </w:rPr>
        <w:t xml:space="preserve"> association are to be convened and whether or not members of the association are entitled to vote by proxy </w:t>
      </w:r>
      <w:r w:rsidR="00D27876">
        <w:rPr>
          <w:rFonts w:cs="Arial"/>
          <w:bCs/>
          <w:szCs w:val="24"/>
        </w:rPr>
        <w:t xml:space="preserve">were </w:t>
      </w:r>
      <w:r w:rsidR="004249BF">
        <w:rPr>
          <w:rFonts w:cs="Arial"/>
          <w:bCs/>
          <w:szCs w:val="24"/>
        </w:rPr>
        <w:t xml:space="preserve">those set out </w:t>
      </w:r>
      <w:r w:rsidR="00D27876">
        <w:rPr>
          <w:rFonts w:cs="Arial"/>
          <w:bCs/>
          <w:szCs w:val="24"/>
        </w:rPr>
        <w:t>in the relevant association’s rules</w:t>
      </w:r>
      <w:r w:rsidR="00CC3FCD">
        <w:rPr>
          <w:rFonts w:cs="Arial"/>
          <w:bCs/>
          <w:szCs w:val="24"/>
        </w:rPr>
        <w:t xml:space="preserve"> </w:t>
      </w:r>
      <w:r>
        <w:rPr>
          <w:rFonts w:cs="Arial"/>
          <w:bCs/>
          <w:szCs w:val="24"/>
        </w:rPr>
        <w:t xml:space="preserve">(see </w:t>
      </w:r>
      <w:r w:rsidR="00F435DF">
        <w:rPr>
          <w:rFonts w:cs="Arial"/>
          <w:bCs/>
          <w:szCs w:val="24"/>
        </w:rPr>
        <w:t>s</w:t>
      </w:r>
      <w:r>
        <w:rPr>
          <w:rFonts w:cs="Arial"/>
          <w:bCs/>
          <w:szCs w:val="24"/>
        </w:rPr>
        <w:t xml:space="preserve">chedule 1, item 7 of the Associations Incorporation Act). </w:t>
      </w:r>
    </w:p>
    <w:p w14:paraId="02BCA335" w14:textId="7405403D" w:rsidR="0089235D" w:rsidRPr="0089235D" w:rsidRDefault="00D27876" w:rsidP="0089235D">
      <w:pPr>
        <w:rPr>
          <w:rFonts w:cs="Arial"/>
          <w:bCs/>
          <w:szCs w:val="24"/>
        </w:rPr>
      </w:pPr>
      <w:r>
        <w:rPr>
          <w:rFonts w:cs="Arial"/>
          <w:bCs/>
          <w:szCs w:val="24"/>
        </w:rPr>
        <w:t xml:space="preserve">New section 70AA provides that during a COVID-19 emergency the committee of an association may authorise the holding of meetings </w:t>
      </w:r>
      <w:r w:rsidR="004249BF">
        <w:rPr>
          <w:rFonts w:cs="Arial"/>
          <w:bCs/>
          <w:szCs w:val="24"/>
        </w:rPr>
        <w:t>using methods of communication and proxy arrangements that make allowance for health protection measures such as social distancing and limits on sizes of gatherings.</w:t>
      </w:r>
    </w:p>
    <w:p w14:paraId="46D65139" w14:textId="60B311B7" w:rsidR="00AB3D8B" w:rsidRDefault="000E775D" w:rsidP="00F64FC3">
      <w:pPr>
        <w:rPr>
          <w:rFonts w:cs="Arial"/>
          <w:bCs/>
          <w:szCs w:val="24"/>
        </w:rPr>
      </w:pPr>
      <w:r>
        <w:rPr>
          <w:rFonts w:cs="Arial"/>
          <w:bCs/>
          <w:szCs w:val="24"/>
        </w:rPr>
        <w:t xml:space="preserve">Extending </w:t>
      </w:r>
      <w:r w:rsidR="007F7BD8">
        <w:rPr>
          <w:rFonts w:cs="Arial"/>
          <w:bCs/>
          <w:szCs w:val="24"/>
        </w:rPr>
        <w:t xml:space="preserve">the operation </w:t>
      </w:r>
      <w:r>
        <w:rPr>
          <w:rFonts w:cs="Arial"/>
          <w:bCs/>
          <w:szCs w:val="24"/>
        </w:rPr>
        <w:t xml:space="preserve">of section 70AA for a further six months ensures that </w:t>
      </w:r>
      <w:r w:rsidR="004249BF">
        <w:rPr>
          <w:rFonts w:cs="Arial"/>
          <w:bCs/>
          <w:szCs w:val="24"/>
        </w:rPr>
        <w:t>these arrangements can continue while a COVID-19 emergency exists during that time</w:t>
      </w:r>
      <w:r w:rsidR="008F1C6D">
        <w:rPr>
          <w:rFonts w:cs="Arial"/>
          <w:bCs/>
          <w:szCs w:val="24"/>
        </w:rPr>
        <w:t xml:space="preserve">, </w:t>
      </w:r>
      <w:r w:rsidR="00E70E2D">
        <w:rPr>
          <w:rFonts w:cs="Arial"/>
          <w:bCs/>
          <w:szCs w:val="24"/>
        </w:rPr>
        <w:t>and</w:t>
      </w:r>
      <w:r w:rsidR="008F1C6D">
        <w:rPr>
          <w:rFonts w:cs="Arial"/>
          <w:bCs/>
          <w:szCs w:val="24"/>
        </w:rPr>
        <w:t xml:space="preserve"> </w:t>
      </w:r>
      <w:r w:rsidR="004249BF">
        <w:rPr>
          <w:rFonts w:cs="Arial"/>
          <w:bCs/>
          <w:szCs w:val="24"/>
        </w:rPr>
        <w:t>provid</w:t>
      </w:r>
      <w:r w:rsidR="007250E7">
        <w:rPr>
          <w:rFonts w:cs="Arial"/>
          <w:bCs/>
          <w:szCs w:val="24"/>
        </w:rPr>
        <w:t>es</w:t>
      </w:r>
      <w:r w:rsidR="004249BF">
        <w:rPr>
          <w:rFonts w:cs="Arial"/>
          <w:bCs/>
          <w:szCs w:val="24"/>
        </w:rPr>
        <w:t xml:space="preserve"> </w:t>
      </w:r>
      <w:r w:rsidR="008F1C6D">
        <w:rPr>
          <w:rFonts w:cs="Arial"/>
          <w:bCs/>
          <w:szCs w:val="24"/>
        </w:rPr>
        <w:t>sufficient time</w:t>
      </w:r>
      <w:r>
        <w:rPr>
          <w:rFonts w:cs="Arial"/>
          <w:bCs/>
          <w:szCs w:val="24"/>
        </w:rPr>
        <w:t xml:space="preserve"> for associations to </w:t>
      </w:r>
      <w:r w:rsidR="00AB3D8B">
        <w:rPr>
          <w:rFonts w:cs="Arial"/>
          <w:bCs/>
          <w:szCs w:val="24"/>
        </w:rPr>
        <w:t>amend their rules</w:t>
      </w:r>
      <w:r w:rsidR="004249BF">
        <w:rPr>
          <w:rFonts w:cs="Arial"/>
          <w:bCs/>
          <w:szCs w:val="24"/>
        </w:rPr>
        <w:t xml:space="preserve"> to be able to </w:t>
      </w:r>
      <w:r w:rsidR="00E70E2D">
        <w:rPr>
          <w:rFonts w:cs="Arial"/>
          <w:bCs/>
          <w:szCs w:val="24"/>
        </w:rPr>
        <w:t>have</w:t>
      </w:r>
      <w:r w:rsidR="004249BF">
        <w:rPr>
          <w:rFonts w:cs="Arial"/>
          <w:bCs/>
          <w:szCs w:val="24"/>
        </w:rPr>
        <w:t xml:space="preserve"> these more flexible arrangements for the holding of meetings</w:t>
      </w:r>
      <w:r w:rsidR="00E70E2D">
        <w:rPr>
          <w:rFonts w:cs="Arial"/>
          <w:bCs/>
          <w:szCs w:val="24"/>
        </w:rPr>
        <w:t xml:space="preserve"> in place</w:t>
      </w:r>
      <w:r w:rsidR="004249BF">
        <w:rPr>
          <w:rFonts w:cs="Arial"/>
          <w:bCs/>
          <w:szCs w:val="24"/>
        </w:rPr>
        <w:t xml:space="preserve"> should they be needed in the future.</w:t>
      </w:r>
    </w:p>
    <w:p w14:paraId="7B1C1223" w14:textId="0CFE818F" w:rsidR="006F00E4" w:rsidRPr="00DF2DEE" w:rsidRDefault="006F00E4" w:rsidP="00F64FC3">
      <w:pPr>
        <w:rPr>
          <w:rFonts w:cs="Arial"/>
          <w:bCs/>
          <w:szCs w:val="24"/>
        </w:rPr>
      </w:pPr>
      <w:r>
        <w:rPr>
          <w:rFonts w:cs="Arial"/>
          <w:bCs/>
          <w:szCs w:val="24"/>
        </w:rPr>
        <w:t xml:space="preserve">The Explanatory Statement to the </w:t>
      </w:r>
      <w:r w:rsidRPr="006F00E4">
        <w:rPr>
          <w:rFonts w:cs="Arial"/>
          <w:bCs/>
          <w:szCs w:val="24"/>
        </w:rPr>
        <w:t xml:space="preserve">COVID-19 Emergency Response Legislation Amendment Bill 2020 </w:t>
      </w:r>
      <w:r w:rsidR="00DD17B2">
        <w:rPr>
          <w:rFonts w:cs="Arial"/>
          <w:bCs/>
          <w:szCs w:val="24"/>
        </w:rPr>
        <w:t>further details</w:t>
      </w:r>
      <w:r>
        <w:rPr>
          <w:rFonts w:cs="Arial"/>
          <w:bCs/>
          <w:szCs w:val="24"/>
        </w:rPr>
        <w:t xml:space="preserve"> this measure.</w:t>
      </w:r>
    </w:p>
    <w:p w14:paraId="756888BD" w14:textId="77777777" w:rsidR="00C4279C" w:rsidRDefault="00C4279C">
      <w:pPr>
        <w:spacing w:after="0" w:line="240" w:lineRule="auto"/>
        <w:rPr>
          <w:b/>
          <w:szCs w:val="26"/>
        </w:rPr>
      </w:pPr>
      <w:bookmarkStart w:id="33" w:name="_Toc57197606"/>
      <w:r>
        <w:br w:type="page"/>
      </w:r>
    </w:p>
    <w:p w14:paraId="0DA707E0" w14:textId="18791866" w:rsidR="008B40CE" w:rsidRDefault="008B40CE" w:rsidP="00BC64D0">
      <w:pPr>
        <w:pStyle w:val="Heading3"/>
        <w:tabs>
          <w:tab w:val="left" w:pos="1134"/>
        </w:tabs>
      </w:pPr>
      <w:r w:rsidRPr="00DF2DEE">
        <w:lastRenderedPageBreak/>
        <w:t>[1.</w:t>
      </w:r>
      <w:r w:rsidR="00326167" w:rsidRPr="00DF2DEE">
        <w:fldChar w:fldCharType="begin"/>
      </w:r>
      <w:r w:rsidRPr="00DF2DEE">
        <w:instrText xml:space="preserve"> SEQ [2.] \* ARABIC </w:instrText>
      </w:r>
      <w:r w:rsidR="00326167" w:rsidRPr="00DF2DEE">
        <w:fldChar w:fldCharType="separate"/>
      </w:r>
      <w:r w:rsidR="009C4E16">
        <w:rPr>
          <w:noProof/>
        </w:rPr>
        <w:t>2</w:t>
      </w:r>
      <w:r w:rsidR="00326167" w:rsidRPr="00DF2DEE">
        <w:fldChar w:fldCharType="end"/>
      </w:r>
      <w:r w:rsidRPr="00DF2DEE">
        <w:t>]</w:t>
      </w:r>
      <w:r w:rsidR="00B93FED">
        <w:tab/>
      </w:r>
      <w:r w:rsidR="000E775D">
        <w:t>Section 120 (6)</w:t>
      </w:r>
      <w:bookmarkEnd w:id="33"/>
    </w:p>
    <w:p w14:paraId="601BAB9B" w14:textId="08224B7F" w:rsidR="000E775D" w:rsidRDefault="000E775D" w:rsidP="000E775D">
      <w:pPr>
        <w:rPr>
          <w:rFonts w:cs="Arial"/>
          <w:bCs/>
          <w:szCs w:val="24"/>
        </w:rPr>
      </w:pPr>
      <w:r>
        <w:rPr>
          <w:rFonts w:cs="Arial"/>
          <w:bCs/>
          <w:szCs w:val="24"/>
        </w:rPr>
        <w:t xml:space="preserve">This clause </w:t>
      </w:r>
      <w:r w:rsidR="002415F0">
        <w:rPr>
          <w:rFonts w:cs="Arial"/>
          <w:bCs/>
          <w:szCs w:val="24"/>
        </w:rPr>
        <w:t xml:space="preserve">substitutes new subsection 120 (6) to </w:t>
      </w:r>
      <w:r w:rsidR="00E70E2D">
        <w:rPr>
          <w:rFonts w:cs="Arial"/>
          <w:bCs/>
          <w:szCs w:val="24"/>
        </w:rPr>
        <w:t>provide for</w:t>
      </w:r>
      <w:r>
        <w:rPr>
          <w:rFonts w:cs="Arial"/>
          <w:bCs/>
          <w:szCs w:val="24"/>
        </w:rPr>
        <w:t xml:space="preserve"> the expiry of subsections 120 (3)</w:t>
      </w:r>
      <w:r w:rsidR="003F25B3">
        <w:rPr>
          <w:rFonts w:cs="Arial"/>
          <w:bCs/>
          <w:szCs w:val="24"/>
        </w:rPr>
        <w:t xml:space="preserve"> to </w:t>
      </w:r>
      <w:r>
        <w:rPr>
          <w:rFonts w:cs="Arial"/>
          <w:bCs/>
          <w:szCs w:val="24"/>
        </w:rPr>
        <w:t>(6) of the Associations Incorporation Act on 8 October 2021</w:t>
      </w:r>
      <w:r w:rsidR="00E70E2D">
        <w:rPr>
          <w:rFonts w:cs="Arial"/>
          <w:bCs/>
          <w:szCs w:val="24"/>
        </w:rPr>
        <w:t xml:space="preserve"> -</w:t>
      </w:r>
      <w:r w:rsidR="00CC3FCD">
        <w:rPr>
          <w:rFonts w:cs="Arial"/>
          <w:bCs/>
          <w:szCs w:val="24"/>
        </w:rPr>
        <w:t xml:space="preserve"> </w:t>
      </w:r>
      <w:r>
        <w:rPr>
          <w:rFonts w:cs="Arial"/>
          <w:bCs/>
          <w:szCs w:val="24"/>
        </w:rPr>
        <w:t>a six-month extension to the original expiry date.</w:t>
      </w:r>
    </w:p>
    <w:p w14:paraId="5BE5DBEA" w14:textId="7408F9FD" w:rsidR="008B40CE" w:rsidRDefault="001F3A3A" w:rsidP="001F3A3A">
      <w:pPr>
        <w:rPr>
          <w:rFonts w:cs="Arial"/>
          <w:bCs/>
          <w:szCs w:val="24"/>
        </w:rPr>
      </w:pPr>
      <w:r>
        <w:t xml:space="preserve">Extending the </w:t>
      </w:r>
      <w:r w:rsidR="007F7BD8">
        <w:t xml:space="preserve">operation </w:t>
      </w:r>
      <w:r>
        <w:t xml:space="preserve">of </w:t>
      </w:r>
      <w:r>
        <w:rPr>
          <w:rFonts w:cs="Arial"/>
          <w:bCs/>
          <w:szCs w:val="24"/>
        </w:rPr>
        <w:t>subsections 120 (3)</w:t>
      </w:r>
      <w:r w:rsidR="003F25B3">
        <w:rPr>
          <w:rFonts w:cs="Arial"/>
          <w:bCs/>
          <w:szCs w:val="24"/>
        </w:rPr>
        <w:t xml:space="preserve"> to </w:t>
      </w:r>
      <w:r>
        <w:rPr>
          <w:rFonts w:cs="Arial"/>
          <w:bCs/>
          <w:szCs w:val="24"/>
        </w:rPr>
        <w:t xml:space="preserve">(6) for a further six months </w:t>
      </w:r>
      <w:r w:rsidR="00187E75">
        <w:rPr>
          <w:rFonts w:cs="Arial"/>
          <w:bCs/>
          <w:szCs w:val="24"/>
        </w:rPr>
        <w:t>ensure</w:t>
      </w:r>
      <w:r w:rsidR="00DD17B2">
        <w:rPr>
          <w:rFonts w:cs="Arial"/>
          <w:bCs/>
          <w:szCs w:val="24"/>
        </w:rPr>
        <w:t>s</w:t>
      </w:r>
      <w:r w:rsidR="00187E75">
        <w:rPr>
          <w:rFonts w:cs="Arial"/>
          <w:bCs/>
          <w:szCs w:val="24"/>
        </w:rPr>
        <w:t xml:space="preserve"> </w:t>
      </w:r>
      <w:r>
        <w:rPr>
          <w:rFonts w:cs="Arial"/>
          <w:bCs/>
          <w:szCs w:val="24"/>
        </w:rPr>
        <w:t xml:space="preserve">that </w:t>
      </w:r>
      <w:r w:rsidR="002329B7">
        <w:rPr>
          <w:rFonts w:cs="Arial"/>
          <w:bCs/>
          <w:szCs w:val="24"/>
        </w:rPr>
        <w:t xml:space="preserve">the registrar-general continues to be able to, where appropriate due to a COVID-19 emergency, allow extensions of prescribed periods of time for </w:t>
      </w:r>
      <w:r>
        <w:rPr>
          <w:rFonts w:cs="Arial"/>
          <w:bCs/>
          <w:szCs w:val="24"/>
        </w:rPr>
        <w:t>associations</w:t>
      </w:r>
      <w:r w:rsidR="00070FBA">
        <w:rPr>
          <w:rFonts w:cs="Arial"/>
          <w:bCs/>
          <w:szCs w:val="24"/>
        </w:rPr>
        <w:t xml:space="preserve">, </w:t>
      </w:r>
      <w:r>
        <w:rPr>
          <w:rFonts w:cs="Arial"/>
          <w:bCs/>
          <w:szCs w:val="24"/>
        </w:rPr>
        <w:t xml:space="preserve">their officers and members </w:t>
      </w:r>
      <w:r w:rsidR="002329B7">
        <w:rPr>
          <w:rFonts w:cs="Arial"/>
          <w:bCs/>
          <w:szCs w:val="24"/>
        </w:rPr>
        <w:t xml:space="preserve">to comply with certain requirements </w:t>
      </w:r>
      <w:r>
        <w:rPr>
          <w:rFonts w:cs="Arial"/>
          <w:bCs/>
          <w:szCs w:val="24"/>
        </w:rPr>
        <w:t>of the Associations Incorporation Act</w:t>
      </w:r>
      <w:r w:rsidR="002329B7">
        <w:rPr>
          <w:rFonts w:cs="Arial"/>
          <w:bCs/>
          <w:szCs w:val="24"/>
        </w:rPr>
        <w:t>.</w:t>
      </w:r>
    </w:p>
    <w:p w14:paraId="4B4D3990" w14:textId="3196F351" w:rsidR="006F00E4" w:rsidRDefault="006F00E4" w:rsidP="001F3A3A">
      <w:pPr>
        <w:rPr>
          <w:rFonts w:cs="Arial"/>
          <w:bCs/>
          <w:szCs w:val="24"/>
        </w:rPr>
      </w:pPr>
      <w:r>
        <w:rPr>
          <w:rFonts w:cs="Arial"/>
          <w:bCs/>
          <w:szCs w:val="24"/>
        </w:rPr>
        <w:t xml:space="preserve">The Explanatory Statement to the COVID-19 Emergency Response Legislation Amendment Bill </w:t>
      </w:r>
      <w:r w:rsidR="00DD17B2">
        <w:rPr>
          <w:rFonts w:cs="Arial"/>
          <w:bCs/>
          <w:szCs w:val="24"/>
        </w:rPr>
        <w:t>further details</w:t>
      </w:r>
      <w:r>
        <w:rPr>
          <w:rFonts w:cs="Arial"/>
          <w:bCs/>
          <w:szCs w:val="24"/>
        </w:rPr>
        <w:t xml:space="preserve"> this measure.</w:t>
      </w:r>
    </w:p>
    <w:p w14:paraId="4CE848B6" w14:textId="3D9BC033" w:rsidR="00706752" w:rsidRPr="008D4BA9" w:rsidRDefault="00706752" w:rsidP="000B2F77">
      <w:pPr>
        <w:pStyle w:val="Heading2"/>
      </w:pPr>
      <w:bookmarkStart w:id="34" w:name="_Toc57197607"/>
      <w:r w:rsidRPr="008D4BA9">
        <w:t>Part 1.</w:t>
      </w:r>
      <w:r>
        <w:t>2</w:t>
      </w:r>
      <w:r w:rsidR="00B93FED">
        <w:tab/>
      </w:r>
      <w:r>
        <w:rPr>
          <w:lang w:eastAsia="en-AU"/>
        </w:rPr>
        <w:t>Bail Act 1992</w:t>
      </w:r>
      <w:bookmarkEnd w:id="34"/>
    </w:p>
    <w:p w14:paraId="1C327B0C" w14:textId="708FE0B3" w:rsidR="008B40CE" w:rsidRPr="00706752" w:rsidRDefault="008B40CE" w:rsidP="00BC64D0">
      <w:pPr>
        <w:pStyle w:val="Heading3"/>
        <w:tabs>
          <w:tab w:val="left" w:pos="1134"/>
        </w:tabs>
        <w:rPr>
          <w:color w:val="000000"/>
        </w:rPr>
      </w:pPr>
      <w:bookmarkStart w:id="35" w:name="_Toc57197608"/>
      <w:r w:rsidRPr="00706752">
        <w:t>[1.</w:t>
      </w:r>
      <w:r w:rsidR="00326167" w:rsidRPr="00706752">
        <w:fldChar w:fldCharType="begin"/>
      </w:r>
      <w:r w:rsidRPr="00706752">
        <w:instrText xml:space="preserve"> SEQ [2.] \* ARABIC </w:instrText>
      </w:r>
      <w:r w:rsidR="00326167" w:rsidRPr="00706752">
        <w:fldChar w:fldCharType="separate"/>
      </w:r>
      <w:r w:rsidR="009C4E16">
        <w:rPr>
          <w:noProof/>
        </w:rPr>
        <w:t>3</w:t>
      </w:r>
      <w:r w:rsidR="00326167" w:rsidRPr="00706752">
        <w:fldChar w:fldCharType="end"/>
      </w:r>
      <w:r w:rsidRPr="00706752">
        <w:t>]</w:t>
      </w:r>
      <w:r w:rsidR="00B93FED">
        <w:tab/>
      </w:r>
      <w:r w:rsidR="00706752" w:rsidRPr="00706752">
        <w:rPr>
          <w:lang w:eastAsia="en-AU"/>
        </w:rPr>
        <w:t>Section 28 (7)</w:t>
      </w:r>
      <w:bookmarkEnd w:id="35"/>
    </w:p>
    <w:p w14:paraId="76EB83B2" w14:textId="57571E85" w:rsidR="00BC64D0" w:rsidRDefault="00706752" w:rsidP="00F64FC3">
      <w:pPr>
        <w:rPr>
          <w:rFonts w:cs="Arial"/>
          <w:bCs/>
          <w:szCs w:val="24"/>
        </w:rPr>
      </w:pPr>
      <w:r>
        <w:rPr>
          <w:rFonts w:cs="Arial"/>
          <w:bCs/>
          <w:szCs w:val="24"/>
        </w:rPr>
        <w:t>This clause</w:t>
      </w:r>
      <w:r w:rsidR="002415F0">
        <w:rPr>
          <w:rFonts w:cs="Arial"/>
          <w:bCs/>
          <w:szCs w:val="24"/>
        </w:rPr>
        <w:t xml:space="preserve"> substitutes new section 28 (7) of the Bail Act to</w:t>
      </w:r>
      <w:r>
        <w:rPr>
          <w:rFonts w:cs="Arial"/>
          <w:bCs/>
          <w:szCs w:val="24"/>
        </w:rPr>
        <w:t xml:space="preserve"> </w:t>
      </w:r>
      <w:r w:rsidR="002415F0">
        <w:rPr>
          <w:rFonts w:cs="Arial"/>
          <w:bCs/>
          <w:szCs w:val="24"/>
        </w:rPr>
        <w:t xml:space="preserve">provide for </w:t>
      </w:r>
      <w:r>
        <w:rPr>
          <w:rFonts w:cs="Arial"/>
          <w:bCs/>
          <w:szCs w:val="24"/>
        </w:rPr>
        <w:t xml:space="preserve">the expiry of subsections 28 (2A), (6) and (7) </w:t>
      </w:r>
      <w:r w:rsidR="00F275E2">
        <w:rPr>
          <w:rFonts w:cs="Arial"/>
          <w:bCs/>
          <w:szCs w:val="24"/>
        </w:rPr>
        <w:t>of the Bail Act</w:t>
      </w:r>
      <w:r w:rsidR="00CC3FCD">
        <w:rPr>
          <w:rFonts w:cs="Arial"/>
          <w:bCs/>
          <w:szCs w:val="24"/>
        </w:rPr>
        <w:t xml:space="preserve"> </w:t>
      </w:r>
      <w:r w:rsidR="0033794F">
        <w:rPr>
          <w:rFonts w:cs="Arial"/>
          <w:bCs/>
          <w:szCs w:val="24"/>
        </w:rPr>
        <w:t>on the day</w:t>
      </w:r>
      <w:r w:rsidR="00D657AB">
        <w:rPr>
          <w:rFonts w:cs="Arial"/>
          <w:bCs/>
          <w:szCs w:val="24"/>
        </w:rPr>
        <w:t xml:space="preserve"> the</w:t>
      </w:r>
      <w:r>
        <w:rPr>
          <w:rFonts w:cs="Arial"/>
          <w:bCs/>
          <w:szCs w:val="24"/>
        </w:rPr>
        <w:t xml:space="preserve"> </w:t>
      </w:r>
      <w:r w:rsidRPr="00C71FF3">
        <w:rPr>
          <w:rFonts w:cs="Arial"/>
          <w:bCs/>
          <w:szCs w:val="24"/>
        </w:rPr>
        <w:t xml:space="preserve">COVID-19 Emergency Response Act </w:t>
      </w:r>
      <w:r w:rsidR="0033794F">
        <w:rPr>
          <w:rFonts w:cs="Arial"/>
          <w:bCs/>
          <w:szCs w:val="24"/>
        </w:rPr>
        <w:t>expires, which is at the end of a 12-month period during which no COVID-19 declaration has been in force.</w:t>
      </w:r>
      <w:r w:rsidR="00810763" w:rsidRPr="00810763">
        <w:rPr>
          <w:rFonts w:cs="Arial"/>
          <w:bCs/>
          <w:szCs w:val="24"/>
        </w:rPr>
        <w:t xml:space="preserve"> </w:t>
      </w:r>
    </w:p>
    <w:p w14:paraId="31344329" w14:textId="19800E7C" w:rsidR="00D657AB" w:rsidRDefault="00BC64D0" w:rsidP="00F64FC3">
      <w:pPr>
        <w:rPr>
          <w:rFonts w:cs="Arial"/>
          <w:bCs/>
          <w:szCs w:val="24"/>
        </w:rPr>
      </w:pPr>
      <w:r>
        <w:rPr>
          <w:rFonts w:cs="Arial"/>
          <w:bCs/>
          <w:szCs w:val="24"/>
        </w:rPr>
        <w:t>The measure</w:t>
      </w:r>
      <w:r w:rsidR="00C02764">
        <w:rPr>
          <w:rFonts w:cs="Arial"/>
          <w:bCs/>
          <w:szCs w:val="24"/>
        </w:rPr>
        <w:t xml:space="preserve"> </w:t>
      </w:r>
      <w:r w:rsidR="002329B7">
        <w:rPr>
          <w:rFonts w:cs="Arial"/>
          <w:bCs/>
          <w:szCs w:val="24"/>
        </w:rPr>
        <w:t xml:space="preserve">in subsection 28 (2A) </w:t>
      </w:r>
      <w:r w:rsidR="00C02764">
        <w:rPr>
          <w:rFonts w:cs="Arial"/>
          <w:bCs/>
          <w:szCs w:val="24"/>
        </w:rPr>
        <w:t xml:space="preserve">allows a person to give an </w:t>
      </w:r>
      <w:r w:rsidR="00C02764" w:rsidRPr="002329B7">
        <w:rPr>
          <w:rFonts w:cs="Arial"/>
          <w:bCs/>
          <w:szCs w:val="24"/>
        </w:rPr>
        <w:t>undertaking to appear in court by audio-visual link and</w:t>
      </w:r>
      <w:r>
        <w:rPr>
          <w:rFonts w:cs="Arial"/>
          <w:bCs/>
          <w:szCs w:val="24"/>
        </w:rPr>
        <w:t xml:space="preserve"> </w:t>
      </w:r>
      <w:r w:rsidR="005858A7">
        <w:rPr>
          <w:rFonts w:cs="Arial"/>
          <w:bCs/>
          <w:szCs w:val="24"/>
        </w:rPr>
        <w:t xml:space="preserve">is </w:t>
      </w:r>
      <w:r>
        <w:rPr>
          <w:rFonts w:cs="Arial"/>
          <w:bCs/>
          <w:szCs w:val="24"/>
        </w:rPr>
        <w:t xml:space="preserve">due to expire on 8 April 2021. </w:t>
      </w:r>
      <w:r w:rsidR="006F00E4">
        <w:rPr>
          <w:rFonts w:cs="Arial"/>
          <w:bCs/>
          <w:szCs w:val="24"/>
        </w:rPr>
        <w:t xml:space="preserve">The </w:t>
      </w:r>
      <w:r w:rsidR="008B2366">
        <w:rPr>
          <w:rFonts w:cs="Arial"/>
          <w:bCs/>
          <w:szCs w:val="24"/>
        </w:rPr>
        <w:t xml:space="preserve">new expiry </w:t>
      </w:r>
      <w:r w:rsidR="007F7BD8">
        <w:rPr>
          <w:rFonts w:cs="Arial"/>
          <w:bCs/>
          <w:szCs w:val="24"/>
        </w:rPr>
        <w:t xml:space="preserve">provision </w:t>
      </w:r>
      <w:r w:rsidR="006F00E4">
        <w:rPr>
          <w:rFonts w:cs="Arial"/>
          <w:bCs/>
          <w:szCs w:val="24"/>
        </w:rPr>
        <w:t>allow</w:t>
      </w:r>
      <w:r w:rsidR="008B2366">
        <w:rPr>
          <w:rFonts w:cs="Arial"/>
          <w:bCs/>
          <w:szCs w:val="24"/>
        </w:rPr>
        <w:t>s</w:t>
      </w:r>
      <w:r w:rsidR="006F00E4">
        <w:rPr>
          <w:rFonts w:cs="Arial"/>
          <w:bCs/>
          <w:szCs w:val="24"/>
        </w:rPr>
        <w:t xml:space="preserve"> the measure to </w:t>
      </w:r>
      <w:r w:rsidR="00810763">
        <w:rPr>
          <w:rFonts w:cs="Arial"/>
          <w:bCs/>
          <w:szCs w:val="24"/>
        </w:rPr>
        <w:t>remain</w:t>
      </w:r>
      <w:r w:rsidR="005D1F50">
        <w:rPr>
          <w:rFonts w:cs="Arial"/>
          <w:bCs/>
          <w:szCs w:val="24"/>
        </w:rPr>
        <w:t xml:space="preserve"> in the</w:t>
      </w:r>
      <w:r w:rsidR="003F25B3">
        <w:rPr>
          <w:rFonts w:cs="Arial"/>
          <w:bCs/>
          <w:szCs w:val="24"/>
        </w:rPr>
        <w:t xml:space="preserve"> A</w:t>
      </w:r>
      <w:r w:rsidR="005D1F50">
        <w:rPr>
          <w:rFonts w:cs="Arial"/>
          <w:bCs/>
          <w:szCs w:val="24"/>
        </w:rPr>
        <w:t>ct</w:t>
      </w:r>
      <w:r w:rsidR="00810763">
        <w:rPr>
          <w:rFonts w:cs="Arial"/>
          <w:bCs/>
          <w:szCs w:val="24"/>
        </w:rPr>
        <w:t xml:space="preserve"> </w:t>
      </w:r>
      <w:r w:rsidR="005D1F50">
        <w:rPr>
          <w:rFonts w:cs="Arial"/>
          <w:bCs/>
          <w:szCs w:val="24"/>
        </w:rPr>
        <w:t xml:space="preserve">after a COVID-19 emergency declaration is no longer in force, for </w:t>
      </w:r>
      <w:r w:rsidR="0048134C">
        <w:rPr>
          <w:rFonts w:cs="Arial"/>
          <w:bCs/>
          <w:szCs w:val="24"/>
        </w:rPr>
        <w:t>a period of</w:t>
      </w:r>
      <w:r w:rsidR="005D1F50">
        <w:rPr>
          <w:rFonts w:cs="Arial"/>
          <w:bCs/>
          <w:szCs w:val="24"/>
        </w:rPr>
        <w:t xml:space="preserve"> 12 months.</w:t>
      </w:r>
      <w:r w:rsidR="00CC3FCD">
        <w:rPr>
          <w:rFonts w:cs="Arial"/>
          <w:bCs/>
          <w:szCs w:val="24"/>
        </w:rPr>
        <w:t xml:space="preserve"> </w:t>
      </w:r>
      <w:r w:rsidR="005D1F50">
        <w:rPr>
          <w:rFonts w:cs="Arial"/>
          <w:bCs/>
          <w:szCs w:val="24"/>
        </w:rPr>
        <w:t xml:space="preserve">During this period, in the event a </w:t>
      </w:r>
      <w:r w:rsidR="007F7BD8">
        <w:rPr>
          <w:rFonts w:cs="Arial"/>
          <w:bCs/>
          <w:szCs w:val="24"/>
        </w:rPr>
        <w:t xml:space="preserve">further </w:t>
      </w:r>
      <w:r w:rsidR="005D1F50">
        <w:rPr>
          <w:rFonts w:cs="Arial"/>
          <w:bCs/>
          <w:szCs w:val="24"/>
        </w:rPr>
        <w:t>COVID-19 emergency declaration is made, the measure will become operative while the declaration is in force.</w:t>
      </w:r>
      <w:r w:rsidR="00AD6656">
        <w:rPr>
          <w:rFonts w:cs="Arial"/>
          <w:bCs/>
          <w:szCs w:val="24"/>
        </w:rPr>
        <w:t xml:space="preserve"> The purpose of this rolling expiry arrangement is to ensure that emergency response measures can be available to support operational and service responses.</w:t>
      </w:r>
    </w:p>
    <w:p w14:paraId="77750F55" w14:textId="60B85947" w:rsidR="00C71FF3" w:rsidRDefault="007F7BD8" w:rsidP="001676E0">
      <w:pPr>
        <w:rPr>
          <w:rFonts w:cs="Arial"/>
          <w:bCs/>
          <w:szCs w:val="24"/>
        </w:rPr>
      </w:pPr>
      <w:r>
        <w:rPr>
          <w:rFonts w:cs="Arial"/>
          <w:bCs/>
          <w:szCs w:val="24"/>
        </w:rPr>
        <w:t xml:space="preserve">This amendment </w:t>
      </w:r>
      <w:r w:rsidR="003F25B3">
        <w:rPr>
          <w:rFonts w:cs="Arial"/>
          <w:bCs/>
          <w:szCs w:val="24"/>
        </w:rPr>
        <w:t xml:space="preserve">continues to </w:t>
      </w:r>
      <w:r w:rsidR="00C71FF3">
        <w:rPr>
          <w:rFonts w:cs="Arial"/>
          <w:bCs/>
          <w:szCs w:val="24"/>
        </w:rPr>
        <w:t xml:space="preserve">allow the court to maintain appropriate numbers of </w:t>
      </w:r>
      <w:r w:rsidR="008B2366">
        <w:rPr>
          <w:rFonts w:cs="Arial"/>
          <w:bCs/>
          <w:szCs w:val="24"/>
        </w:rPr>
        <w:t>people</w:t>
      </w:r>
      <w:r w:rsidR="00C71FF3">
        <w:rPr>
          <w:rFonts w:cs="Arial"/>
          <w:bCs/>
          <w:szCs w:val="24"/>
        </w:rPr>
        <w:t xml:space="preserve"> at the courthouse</w:t>
      </w:r>
      <w:r w:rsidR="00DB1BEA">
        <w:rPr>
          <w:rFonts w:cs="Arial"/>
          <w:bCs/>
          <w:szCs w:val="24"/>
        </w:rPr>
        <w:t>,</w:t>
      </w:r>
      <w:r w:rsidR="00C71FF3">
        <w:rPr>
          <w:rFonts w:cs="Arial"/>
          <w:bCs/>
          <w:szCs w:val="24"/>
        </w:rPr>
        <w:t xml:space="preserve"> which supports the safe and effective operation of the ACT Courts </w:t>
      </w:r>
      <w:r w:rsidR="006F00E4">
        <w:rPr>
          <w:rFonts w:cs="Arial"/>
          <w:bCs/>
          <w:szCs w:val="24"/>
        </w:rPr>
        <w:t>during</w:t>
      </w:r>
      <w:r w:rsidR="00C71FF3">
        <w:rPr>
          <w:rFonts w:cs="Arial"/>
          <w:bCs/>
          <w:szCs w:val="24"/>
        </w:rPr>
        <w:t xml:space="preserve"> a COVID-19 emergency.</w:t>
      </w:r>
      <w:r w:rsidR="006F00E4">
        <w:rPr>
          <w:rFonts w:cs="Arial"/>
          <w:bCs/>
          <w:szCs w:val="24"/>
        </w:rPr>
        <w:t xml:space="preserve"> The Explanatory Statement to the COVID-19 Emergency Response Legislation Amendment Bill</w:t>
      </w:r>
      <w:r w:rsidR="0088352A">
        <w:rPr>
          <w:rFonts w:cs="Arial"/>
          <w:bCs/>
          <w:szCs w:val="24"/>
        </w:rPr>
        <w:t xml:space="preserve"> </w:t>
      </w:r>
      <w:r w:rsidR="00B93210">
        <w:rPr>
          <w:rFonts w:cs="Arial"/>
          <w:bCs/>
          <w:szCs w:val="24"/>
        </w:rPr>
        <w:t>further details</w:t>
      </w:r>
      <w:r w:rsidR="006F00E4">
        <w:rPr>
          <w:rFonts w:cs="Arial"/>
          <w:bCs/>
          <w:szCs w:val="24"/>
        </w:rPr>
        <w:t xml:space="preserve"> this measure.</w:t>
      </w:r>
    </w:p>
    <w:p w14:paraId="0F5DB1D6" w14:textId="74677D43" w:rsidR="001676E0" w:rsidRPr="008D4BA9" w:rsidRDefault="001676E0" w:rsidP="000B2F77">
      <w:pPr>
        <w:pStyle w:val="Heading2"/>
      </w:pPr>
      <w:bookmarkStart w:id="36" w:name="_Toc57197609"/>
      <w:r w:rsidRPr="008D4BA9">
        <w:t>Part 1.</w:t>
      </w:r>
      <w:r w:rsidR="006709D3">
        <w:t>3</w:t>
      </w:r>
      <w:r w:rsidR="00B93FED">
        <w:tab/>
      </w:r>
      <w:r>
        <w:rPr>
          <w:lang w:eastAsia="en-AU"/>
        </w:rPr>
        <w:t>Corrections Management Act 2007</w:t>
      </w:r>
      <w:bookmarkEnd w:id="36"/>
    </w:p>
    <w:p w14:paraId="187C0DA6" w14:textId="71CFD55D" w:rsidR="001676E0" w:rsidRDefault="001676E0" w:rsidP="0088352A">
      <w:pPr>
        <w:pStyle w:val="Heading3"/>
        <w:tabs>
          <w:tab w:val="left" w:pos="1134"/>
        </w:tabs>
        <w:rPr>
          <w:lang w:eastAsia="en-AU"/>
        </w:rPr>
      </w:pPr>
      <w:bookmarkStart w:id="37" w:name="_Toc57197610"/>
      <w:r w:rsidRPr="00706752">
        <w:t>[1.</w:t>
      </w:r>
      <w:r w:rsidR="00F824F3">
        <w:fldChar w:fldCharType="begin"/>
      </w:r>
      <w:r w:rsidR="00F824F3">
        <w:instrText xml:space="preserve"> SEQ [2.] \* ARABIC </w:instrText>
      </w:r>
      <w:r w:rsidR="00F824F3">
        <w:fldChar w:fldCharType="separate"/>
      </w:r>
      <w:r w:rsidR="009C4E16">
        <w:rPr>
          <w:noProof/>
        </w:rPr>
        <w:t>4</w:t>
      </w:r>
      <w:r w:rsidR="00F824F3">
        <w:rPr>
          <w:noProof/>
        </w:rPr>
        <w:fldChar w:fldCharType="end"/>
      </w:r>
      <w:r w:rsidRPr="00706752">
        <w:t>]</w:t>
      </w:r>
      <w:r w:rsidR="00B93FED">
        <w:tab/>
      </w:r>
      <w:r>
        <w:rPr>
          <w:lang w:eastAsia="en-AU"/>
        </w:rPr>
        <w:t>Section 26 (7)</w:t>
      </w:r>
      <w:bookmarkEnd w:id="37"/>
    </w:p>
    <w:p w14:paraId="096C26BC" w14:textId="1BD4E041" w:rsidR="001676E0" w:rsidRDefault="001676E0" w:rsidP="001676E0">
      <w:pPr>
        <w:rPr>
          <w:rFonts w:cs="Arial"/>
          <w:bCs/>
          <w:szCs w:val="24"/>
        </w:rPr>
      </w:pPr>
      <w:r>
        <w:rPr>
          <w:rFonts w:cs="Arial"/>
          <w:bCs/>
          <w:szCs w:val="24"/>
        </w:rPr>
        <w:t>This clause amends</w:t>
      </w:r>
      <w:r w:rsidR="002415F0">
        <w:rPr>
          <w:rFonts w:cs="Arial"/>
          <w:bCs/>
          <w:szCs w:val="24"/>
        </w:rPr>
        <w:t xml:space="preserve"> subsection 26 (7) of the Corrections Management Act to provide for</w:t>
      </w:r>
      <w:r>
        <w:rPr>
          <w:rFonts w:cs="Arial"/>
          <w:bCs/>
          <w:szCs w:val="24"/>
        </w:rPr>
        <w:t xml:space="preserve"> the expiry of subsections 26 (2A), (3A)</w:t>
      </w:r>
      <w:r w:rsidR="003F25B3">
        <w:rPr>
          <w:rFonts w:cs="Arial"/>
          <w:bCs/>
          <w:szCs w:val="24"/>
        </w:rPr>
        <w:t xml:space="preserve"> to </w:t>
      </w:r>
      <w:r>
        <w:rPr>
          <w:rFonts w:cs="Arial"/>
          <w:bCs/>
          <w:szCs w:val="24"/>
        </w:rPr>
        <w:t>(3D), (6) and (7)</w:t>
      </w:r>
      <w:r w:rsidR="00F275E2">
        <w:rPr>
          <w:rFonts w:cs="Arial"/>
          <w:bCs/>
          <w:szCs w:val="24"/>
        </w:rPr>
        <w:t xml:space="preserve"> </w:t>
      </w:r>
      <w:r>
        <w:rPr>
          <w:rFonts w:cs="Arial"/>
          <w:bCs/>
          <w:szCs w:val="24"/>
        </w:rPr>
        <w:t xml:space="preserve">on the day the </w:t>
      </w:r>
      <w:r w:rsidRPr="001426A5">
        <w:rPr>
          <w:rFonts w:cs="Arial"/>
          <w:bCs/>
          <w:szCs w:val="24"/>
        </w:rPr>
        <w:t>COVID-19 Emergency Response Act</w:t>
      </w:r>
      <w:r>
        <w:rPr>
          <w:rFonts w:cs="Arial"/>
          <w:bCs/>
          <w:szCs w:val="24"/>
        </w:rPr>
        <w:t xml:space="preserve"> expires, which is at the end of a 12-month period during which no COVID-19 declaration has been in force.</w:t>
      </w:r>
    </w:p>
    <w:p w14:paraId="4E0953C6" w14:textId="1B45D568" w:rsidR="00AD6656" w:rsidRDefault="006709D3" w:rsidP="00AD6656">
      <w:pPr>
        <w:rPr>
          <w:rFonts w:cs="Arial"/>
          <w:bCs/>
          <w:szCs w:val="24"/>
        </w:rPr>
      </w:pPr>
      <w:r>
        <w:rPr>
          <w:rFonts w:cs="Arial"/>
          <w:bCs/>
          <w:szCs w:val="24"/>
        </w:rPr>
        <w:lastRenderedPageBreak/>
        <w:t>The measure</w:t>
      </w:r>
      <w:r w:rsidR="005858A7">
        <w:rPr>
          <w:rFonts w:cs="Arial"/>
          <w:bCs/>
          <w:szCs w:val="24"/>
        </w:rPr>
        <w:t xml:space="preserve"> </w:t>
      </w:r>
      <w:r w:rsidR="00AD6656">
        <w:rPr>
          <w:rFonts w:cs="Arial"/>
          <w:bCs/>
          <w:szCs w:val="24"/>
        </w:rPr>
        <w:t xml:space="preserve">in subsection 26 (2A) </w:t>
      </w:r>
      <w:r w:rsidR="00C02764" w:rsidRPr="00AD6656">
        <w:rPr>
          <w:rFonts w:cs="Arial"/>
          <w:bCs/>
          <w:szCs w:val="24"/>
        </w:rPr>
        <w:t xml:space="preserve">allows the Director-General to declare that an emergency exists in relation to the correctional centre for a period associated with a COVID-19 emergency declaration and </w:t>
      </w:r>
      <w:r w:rsidR="005858A7">
        <w:rPr>
          <w:rFonts w:cs="Arial"/>
          <w:bCs/>
          <w:szCs w:val="24"/>
        </w:rPr>
        <w:t>is</w:t>
      </w:r>
      <w:r>
        <w:rPr>
          <w:rFonts w:cs="Arial"/>
          <w:bCs/>
          <w:szCs w:val="24"/>
        </w:rPr>
        <w:t xml:space="preserve"> due to expire on 8 April 2021. </w:t>
      </w:r>
      <w:bookmarkStart w:id="38" w:name="_Hlk57122007"/>
      <w:r w:rsidR="00AD6656">
        <w:rPr>
          <w:rFonts w:cs="Arial"/>
          <w:bCs/>
          <w:szCs w:val="24"/>
        </w:rPr>
        <w:t xml:space="preserve">The new expiry </w:t>
      </w:r>
      <w:r w:rsidR="007F7BD8">
        <w:rPr>
          <w:rFonts w:cs="Arial"/>
          <w:bCs/>
          <w:szCs w:val="24"/>
        </w:rPr>
        <w:t xml:space="preserve">provision </w:t>
      </w:r>
      <w:r w:rsidR="00AD6656">
        <w:rPr>
          <w:rFonts w:cs="Arial"/>
          <w:bCs/>
          <w:szCs w:val="24"/>
        </w:rPr>
        <w:t xml:space="preserve">allows the measure to remain in the Act after a COVID-19 emergency declaration is no longer in force, for </w:t>
      </w:r>
      <w:r w:rsidR="0048134C">
        <w:rPr>
          <w:rFonts w:cs="Arial"/>
          <w:bCs/>
          <w:szCs w:val="24"/>
        </w:rPr>
        <w:t>a period of</w:t>
      </w:r>
      <w:r w:rsidR="00AD6656">
        <w:rPr>
          <w:rFonts w:cs="Arial"/>
          <w:bCs/>
          <w:szCs w:val="24"/>
        </w:rPr>
        <w:t xml:space="preserve"> 12 months.</w:t>
      </w:r>
      <w:r w:rsidR="00CC3FCD">
        <w:rPr>
          <w:rFonts w:cs="Arial"/>
          <w:bCs/>
          <w:szCs w:val="24"/>
        </w:rPr>
        <w:t xml:space="preserve"> </w:t>
      </w:r>
      <w:r w:rsidR="00AD6656">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p>
    <w:bookmarkEnd w:id="38"/>
    <w:p w14:paraId="63F028E4" w14:textId="1E574A78" w:rsidR="001676E0" w:rsidRDefault="002F52CA" w:rsidP="001676E0">
      <w:pPr>
        <w:rPr>
          <w:lang w:eastAsia="en-AU"/>
        </w:rPr>
      </w:pPr>
      <w:r>
        <w:rPr>
          <w:rFonts w:cs="Arial"/>
          <w:bCs/>
          <w:szCs w:val="24"/>
        </w:rPr>
        <w:t xml:space="preserve">This amendment </w:t>
      </w:r>
      <w:r w:rsidR="00456E3D">
        <w:rPr>
          <w:rFonts w:cs="Arial"/>
          <w:bCs/>
          <w:szCs w:val="24"/>
        </w:rPr>
        <w:t>ensur</w:t>
      </w:r>
      <w:r w:rsidR="000B2F77">
        <w:rPr>
          <w:rFonts w:cs="Arial"/>
          <w:bCs/>
          <w:szCs w:val="24"/>
        </w:rPr>
        <w:t>es</w:t>
      </w:r>
      <w:r w:rsidR="00456E3D">
        <w:rPr>
          <w:rFonts w:cs="Arial"/>
          <w:bCs/>
          <w:szCs w:val="24"/>
        </w:rPr>
        <w:t xml:space="preserve"> that </w:t>
      </w:r>
      <w:r w:rsidR="0037077E">
        <w:rPr>
          <w:rFonts w:cs="Arial"/>
          <w:bCs/>
          <w:szCs w:val="24"/>
        </w:rPr>
        <w:t xml:space="preserve">a mechanism remains in place to allow </w:t>
      </w:r>
      <w:r w:rsidR="00456E3D">
        <w:rPr>
          <w:rFonts w:cs="Arial"/>
          <w:bCs/>
          <w:szCs w:val="24"/>
        </w:rPr>
        <w:t xml:space="preserve">the director-general to declare that an emergency exists in relation to the correctional centre for the period associated with a COVID-19 emergency. </w:t>
      </w:r>
      <w:r w:rsidR="00F61568">
        <w:rPr>
          <w:rFonts w:cs="Arial"/>
          <w:bCs/>
          <w:szCs w:val="24"/>
        </w:rPr>
        <w:t xml:space="preserve">Such a declaration will allow </w:t>
      </w:r>
      <w:r w:rsidR="00456E3D">
        <w:rPr>
          <w:rFonts w:cs="Arial"/>
          <w:bCs/>
          <w:szCs w:val="24"/>
        </w:rPr>
        <w:t xml:space="preserve">the director-general to </w:t>
      </w:r>
      <w:r w:rsidR="00F61568">
        <w:rPr>
          <w:rFonts w:cs="Arial"/>
          <w:bCs/>
          <w:szCs w:val="24"/>
        </w:rPr>
        <w:t xml:space="preserve">make orders to support the continued operations of </w:t>
      </w:r>
      <w:r w:rsidR="00313641">
        <w:rPr>
          <w:rFonts w:cs="Arial"/>
          <w:bCs/>
          <w:szCs w:val="24"/>
        </w:rPr>
        <w:t>the Alexander Maconochie Centre</w:t>
      </w:r>
      <w:r w:rsidR="00F61568">
        <w:rPr>
          <w:rFonts w:cs="Arial"/>
          <w:bCs/>
          <w:szCs w:val="24"/>
        </w:rPr>
        <w:t>, both for the safety of the detainees and workers</w:t>
      </w:r>
      <w:r w:rsidR="005858A7">
        <w:rPr>
          <w:rFonts w:cs="Arial"/>
          <w:bCs/>
          <w:szCs w:val="24"/>
        </w:rPr>
        <w:t xml:space="preserve"> during</w:t>
      </w:r>
      <w:r w:rsidR="00BE0432">
        <w:rPr>
          <w:rFonts w:cs="Arial"/>
          <w:bCs/>
          <w:szCs w:val="24"/>
        </w:rPr>
        <w:t xml:space="preserve"> a COVID-19</w:t>
      </w:r>
      <w:r w:rsidR="005858A7">
        <w:rPr>
          <w:rFonts w:cs="Arial"/>
          <w:bCs/>
          <w:szCs w:val="24"/>
        </w:rPr>
        <w:t xml:space="preserve"> emergency</w:t>
      </w:r>
      <w:r w:rsidR="00F61568">
        <w:rPr>
          <w:rFonts w:cs="Arial"/>
          <w:bCs/>
          <w:szCs w:val="24"/>
        </w:rPr>
        <w:t>.</w:t>
      </w:r>
      <w:r w:rsidR="0088352A">
        <w:rPr>
          <w:rFonts w:cs="Arial"/>
          <w:bCs/>
          <w:szCs w:val="24"/>
        </w:rPr>
        <w:t xml:space="preserve"> The Explanatory Statement to the COVID-19 Emergency Response Bill 2020 </w:t>
      </w:r>
      <w:r w:rsidR="006709D3">
        <w:rPr>
          <w:rFonts w:cs="Arial"/>
          <w:bCs/>
          <w:szCs w:val="24"/>
        </w:rPr>
        <w:t>further details</w:t>
      </w:r>
      <w:r w:rsidR="0088352A">
        <w:rPr>
          <w:rFonts w:cs="Arial"/>
          <w:bCs/>
          <w:szCs w:val="24"/>
        </w:rPr>
        <w:t xml:space="preserve"> this measure.</w:t>
      </w:r>
    </w:p>
    <w:p w14:paraId="42D6F429" w14:textId="66365763" w:rsidR="001676E0" w:rsidRDefault="001676E0" w:rsidP="0088352A">
      <w:pPr>
        <w:pStyle w:val="Heading3"/>
        <w:tabs>
          <w:tab w:val="left" w:pos="1134"/>
        </w:tabs>
        <w:rPr>
          <w:i/>
          <w:lang w:eastAsia="en-AU"/>
        </w:rPr>
      </w:pPr>
      <w:bookmarkStart w:id="39" w:name="_Toc57197611"/>
      <w:r w:rsidRPr="00706752">
        <w:t>[1.</w:t>
      </w:r>
      <w:r w:rsidR="00F824F3">
        <w:fldChar w:fldCharType="begin"/>
      </w:r>
      <w:r w:rsidR="00F824F3">
        <w:instrText xml:space="preserve"> SEQ [2.] \* ARABIC </w:instrText>
      </w:r>
      <w:r w:rsidR="00F824F3">
        <w:fldChar w:fldCharType="separate"/>
      </w:r>
      <w:r w:rsidR="009C4E16">
        <w:rPr>
          <w:noProof/>
        </w:rPr>
        <w:t>5</w:t>
      </w:r>
      <w:r w:rsidR="00F824F3">
        <w:rPr>
          <w:noProof/>
        </w:rPr>
        <w:fldChar w:fldCharType="end"/>
      </w:r>
      <w:r w:rsidRPr="00706752">
        <w:t>]</w:t>
      </w:r>
      <w:r w:rsidR="00B93FED">
        <w:tab/>
      </w:r>
      <w:r>
        <w:rPr>
          <w:lang w:eastAsia="en-AU"/>
        </w:rPr>
        <w:t>Section 30 (7)</w:t>
      </w:r>
      <w:bookmarkEnd w:id="39"/>
    </w:p>
    <w:p w14:paraId="483164FC" w14:textId="4596C9C9" w:rsidR="00B343EF" w:rsidRDefault="00B343EF" w:rsidP="00B343EF">
      <w:pPr>
        <w:rPr>
          <w:rFonts w:cs="Arial"/>
          <w:bCs/>
          <w:szCs w:val="24"/>
        </w:rPr>
      </w:pPr>
      <w:r>
        <w:rPr>
          <w:rFonts w:cs="Arial"/>
          <w:bCs/>
          <w:szCs w:val="24"/>
        </w:rPr>
        <w:t xml:space="preserve">This clause </w:t>
      </w:r>
      <w:r w:rsidR="002415F0">
        <w:rPr>
          <w:rFonts w:cs="Arial"/>
          <w:bCs/>
          <w:szCs w:val="24"/>
        </w:rPr>
        <w:t>substitutes new subsection 30 (7) to provide for the</w:t>
      </w:r>
      <w:r>
        <w:rPr>
          <w:rFonts w:cs="Arial"/>
          <w:bCs/>
          <w:szCs w:val="24"/>
        </w:rPr>
        <w:t xml:space="preserve"> expiry of subsections 30 (2A), (6) and (7)</w:t>
      </w:r>
      <w:r w:rsidR="00F275E2">
        <w:rPr>
          <w:rFonts w:cs="Arial"/>
          <w:bCs/>
          <w:szCs w:val="24"/>
        </w:rPr>
        <w:t xml:space="preserve"> of the Corrections Management Ac</w:t>
      </w:r>
      <w:r w:rsidR="002415F0">
        <w:rPr>
          <w:rFonts w:cs="Arial"/>
          <w:bCs/>
          <w:szCs w:val="24"/>
        </w:rPr>
        <w:t>t</w:t>
      </w:r>
      <w:r>
        <w:rPr>
          <w:rFonts w:cs="Arial"/>
          <w:bCs/>
          <w:szCs w:val="24"/>
        </w:rPr>
        <w:t xml:space="preserve"> on the day the </w:t>
      </w:r>
      <w:r w:rsidRPr="001426A5">
        <w:rPr>
          <w:rFonts w:cs="Arial"/>
          <w:bCs/>
          <w:szCs w:val="24"/>
        </w:rPr>
        <w:t>COVID-19 Emergency Response Act</w:t>
      </w:r>
      <w:r w:rsidR="001426A5">
        <w:rPr>
          <w:rFonts w:cs="Arial"/>
          <w:bCs/>
          <w:szCs w:val="24"/>
        </w:rPr>
        <w:t xml:space="preserve"> </w:t>
      </w:r>
      <w:r>
        <w:rPr>
          <w:rFonts w:cs="Arial"/>
          <w:bCs/>
          <w:szCs w:val="24"/>
        </w:rPr>
        <w:t>expires, which is at the end of a 12-month period during which no COVID-19 declaration has been in force.</w:t>
      </w:r>
    </w:p>
    <w:p w14:paraId="71DFA1DE" w14:textId="4DBD7BEE" w:rsidR="00B51C7C" w:rsidRDefault="00F439CF" w:rsidP="00B51C7C">
      <w:pPr>
        <w:rPr>
          <w:rFonts w:cs="Arial"/>
          <w:bCs/>
          <w:szCs w:val="24"/>
        </w:rPr>
      </w:pPr>
      <w:r>
        <w:rPr>
          <w:rFonts w:cs="Arial"/>
          <w:bCs/>
          <w:szCs w:val="24"/>
        </w:rPr>
        <w:t>The measure</w:t>
      </w:r>
      <w:r w:rsidR="00C02764">
        <w:rPr>
          <w:rFonts w:cs="Arial"/>
          <w:bCs/>
          <w:szCs w:val="24"/>
        </w:rPr>
        <w:t xml:space="preserve"> </w:t>
      </w:r>
      <w:r w:rsidR="00B51C7C">
        <w:rPr>
          <w:rFonts w:cs="Arial"/>
          <w:bCs/>
          <w:szCs w:val="24"/>
        </w:rPr>
        <w:t xml:space="preserve">in subsection 30 (2A) </w:t>
      </w:r>
      <w:r w:rsidR="00C02764" w:rsidRPr="002F52CA">
        <w:rPr>
          <w:rFonts w:cs="Arial"/>
          <w:bCs/>
          <w:szCs w:val="24"/>
        </w:rPr>
        <w:t xml:space="preserve">allows a person held in police detention to be detained in a police cell for </w:t>
      </w:r>
      <w:r w:rsidR="00E1128D">
        <w:rPr>
          <w:rFonts w:cs="Arial"/>
          <w:bCs/>
          <w:szCs w:val="24"/>
        </w:rPr>
        <w:t xml:space="preserve">up to </w:t>
      </w:r>
      <w:r w:rsidR="00C02764" w:rsidRPr="002F52CA">
        <w:rPr>
          <w:rFonts w:cs="Arial"/>
          <w:bCs/>
          <w:szCs w:val="24"/>
        </w:rPr>
        <w:t>48 hours</w:t>
      </w:r>
      <w:r w:rsidR="00B51C7C">
        <w:rPr>
          <w:rFonts w:cs="Arial"/>
          <w:bCs/>
          <w:szCs w:val="24"/>
        </w:rPr>
        <w:t xml:space="preserve"> when a COVID-19 emergency declaration is in force. This is longer than the maximum period of</w:t>
      </w:r>
      <w:r w:rsidR="002F52CA">
        <w:rPr>
          <w:rFonts w:cs="Arial"/>
          <w:bCs/>
          <w:szCs w:val="24"/>
        </w:rPr>
        <w:t xml:space="preserve"> </w:t>
      </w:r>
      <w:r w:rsidR="00C02764" w:rsidRPr="002F52CA">
        <w:rPr>
          <w:rFonts w:cs="Arial"/>
          <w:bCs/>
          <w:szCs w:val="24"/>
        </w:rPr>
        <w:t>36 hours</w:t>
      </w:r>
      <w:r w:rsidR="00B51C7C">
        <w:rPr>
          <w:rFonts w:cs="Arial"/>
          <w:bCs/>
          <w:szCs w:val="24"/>
        </w:rPr>
        <w:t xml:space="preserve"> which applies at other times. This measure </w:t>
      </w:r>
      <w:r w:rsidR="002F52CA">
        <w:rPr>
          <w:rFonts w:cs="Arial"/>
          <w:bCs/>
          <w:szCs w:val="24"/>
        </w:rPr>
        <w:t xml:space="preserve">is </w:t>
      </w:r>
      <w:r>
        <w:rPr>
          <w:rFonts w:cs="Arial"/>
          <w:bCs/>
          <w:szCs w:val="24"/>
        </w:rPr>
        <w:t xml:space="preserve">due to expire on 8 April 2021. </w:t>
      </w:r>
      <w:r w:rsidR="002F52CA">
        <w:rPr>
          <w:rFonts w:cs="Arial"/>
          <w:bCs/>
          <w:szCs w:val="24"/>
        </w:rPr>
        <w:t>The new</w:t>
      </w:r>
      <w:r>
        <w:rPr>
          <w:rFonts w:cs="Arial"/>
          <w:bCs/>
          <w:szCs w:val="24"/>
        </w:rPr>
        <w:t xml:space="preserve"> expiry </w:t>
      </w:r>
      <w:r w:rsidR="002F52CA">
        <w:rPr>
          <w:rFonts w:cs="Arial"/>
          <w:bCs/>
          <w:szCs w:val="24"/>
        </w:rPr>
        <w:t>provision</w:t>
      </w:r>
      <w:r>
        <w:rPr>
          <w:rFonts w:cs="Arial"/>
          <w:bCs/>
          <w:szCs w:val="24"/>
        </w:rPr>
        <w:t xml:space="preserve"> will allow the measure to be used</w:t>
      </w:r>
      <w:r w:rsidR="002F52CA">
        <w:rPr>
          <w:rFonts w:cs="Arial"/>
          <w:bCs/>
          <w:szCs w:val="24"/>
        </w:rPr>
        <w:t xml:space="preserve"> </w:t>
      </w:r>
      <w:r w:rsidR="00B51C7C">
        <w:rPr>
          <w:rFonts w:cs="Arial"/>
          <w:bCs/>
          <w:szCs w:val="24"/>
        </w:rPr>
        <w:t xml:space="preserve">during </w:t>
      </w:r>
      <w:r>
        <w:rPr>
          <w:rFonts w:cs="Arial"/>
          <w:bCs/>
          <w:szCs w:val="24"/>
        </w:rPr>
        <w:t>a COVID-19 emergency</w:t>
      </w:r>
      <w:r w:rsidR="00B51C7C">
        <w:rPr>
          <w:rFonts w:cs="Arial"/>
          <w:bCs/>
          <w:szCs w:val="24"/>
        </w:rPr>
        <w:t>, provided that the measure is commenced by Ministerial notice.</w:t>
      </w:r>
      <w:r>
        <w:rPr>
          <w:rFonts w:cs="Arial"/>
          <w:bCs/>
          <w:szCs w:val="24"/>
        </w:rPr>
        <w:t xml:space="preserve"> </w:t>
      </w:r>
      <w:r w:rsidR="002F52CA">
        <w:rPr>
          <w:rFonts w:cs="Arial"/>
          <w:bCs/>
          <w:szCs w:val="24"/>
        </w:rPr>
        <w:t>T</w:t>
      </w:r>
      <w:r w:rsidR="00B51C7C">
        <w:rPr>
          <w:rFonts w:cs="Arial"/>
          <w:bCs/>
          <w:szCs w:val="24"/>
        </w:rPr>
        <w:t xml:space="preserve">he measure </w:t>
      </w:r>
      <w:r w:rsidR="002F52CA">
        <w:rPr>
          <w:rFonts w:cs="Arial"/>
          <w:bCs/>
          <w:szCs w:val="24"/>
        </w:rPr>
        <w:t xml:space="preserve">will </w:t>
      </w:r>
      <w:r w:rsidR="00B51C7C">
        <w:rPr>
          <w:rFonts w:cs="Arial"/>
          <w:bCs/>
          <w:szCs w:val="24"/>
        </w:rPr>
        <w:t xml:space="preserve">remain in the Act after a COVID-19 emergency declaration is no longer in force, for </w:t>
      </w:r>
      <w:r w:rsidR="0048134C">
        <w:rPr>
          <w:rFonts w:cs="Arial"/>
          <w:bCs/>
          <w:szCs w:val="24"/>
        </w:rPr>
        <w:t>a period of</w:t>
      </w:r>
      <w:r w:rsidR="00B51C7C">
        <w:rPr>
          <w:rFonts w:cs="Arial"/>
          <w:bCs/>
          <w:szCs w:val="24"/>
        </w:rPr>
        <w:t xml:space="preserve"> 12 months. 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p>
    <w:p w14:paraId="0C451D21" w14:textId="1B2DACE6" w:rsidR="002871A8" w:rsidRDefault="002F52CA" w:rsidP="00B343EF">
      <w:pPr>
        <w:rPr>
          <w:lang w:eastAsia="en-AU"/>
        </w:rPr>
      </w:pPr>
      <w:r>
        <w:rPr>
          <w:rFonts w:cs="Arial"/>
          <w:bCs/>
          <w:szCs w:val="24"/>
        </w:rPr>
        <w:t xml:space="preserve">This amendment </w:t>
      </w:r>
      <w:r w:rsidR="00313641">
        <w:rPr>
          <w:rFonts w:cs="Arial"/>
          <w:bCs/>
          <w:szCs w:val="24"/>
        </w:rPr>
        <w:t xml:space="preserve">will </w:t>
      </w:r>
      <w:r w:rsidR="002871A8">
        <w:rPr>
          <w:rFonts w:cs="Arial"/>
          <w:bCs/>
          <w:szCs w:val="24"/>
        </w:rPr>
        <w:t xml:space="preserve">support the continued operations of ACT Corrective Services </w:t>
      </w:r>
      <w:r w:rsidR="00313641">
        <w:rPr>
          <w:rFonts w:cs="Arial"/>
          <w:bCs/>
          <w:szCs w:val="24"/>
        </w:rPr>
        <w:t xml:space="preserve">during a COVID-19 emergency, </w:t>
      </w:r>
      <w:r w:rsidR="00B51C7C">
        <w:rPr>
          <w:rFonts w:cs="Arial"/>
          <w:bCs/>
          <w:szCs w:val="24"/>
        </w:rPr>
        <w:t>including by reducing the instances of contact by people</w:t>
      </w:r>
      <w:r>
        <w:rPr>
          <w:rFonts w:cs="Arial"/>
          <w:bCs/>
          <w:szCs w:val="24"/>
        </w:rPr>
        <w:t>,</w:t>
      </w:r>
      <w:r w:rsidR="00B51C7C">
        <w:rPr>
          <w:rFonts w:cs="Arial"/>
          <w:bCs/>
          <w:szCs w:val="24"/>
        </w:rPr>
        <w:t xml:space="preserve"> requir</w:t>
      </w:r>
      <w:r>
        <w:rPr>
          <w:rFonts w:cs="Arial"/>
          <w:bCs/>
          <w:szCs w:val="24"/>
        </w:rPr>
        <w:t>ed</w:t>
      </w:r>
      <w:r w:rsidR="00B51C7C">
        <w:rPr>
          <w:rFonts w:cs="Arial"/>
          <w:bCs/>
          <w:szCs w:val="24"/>
        </w:rPr>
        <w:t xml:space="preserve"> to be remanded for relatively short periods</w:t>
      </w:r>
      <w:r>
        <w:rPr>
          <w:rFonts w:cs="Arial"/>
          <w:bCs/>
          <w:szCs w:val="24"/>
        </w:rPr>
        <w:t>,</w:t>
      </w:r>
      <w:r w:rsidR="00B51C7C">
        <w:rPr>
          <w:rFonts w:cs="Arial"/>
          <w:bCs/>
          <w:szCs w:val="24"/>
        </w:rPr>
        <w:t xml:space="preserve"> with th</w:t>
      </w:r>
      <w:r w:rsidR="00EA1DCF">
        <w:rPr>
          <w:rFonts w:cs="Arial"/>
          <w:bCs/>
          <w:szCs w:val="24"/>
        </w:rPr>
        <w:t xml:space="preserve">e </w:t>
      </w:r>
      <w:r w:rsidR="00B51C7C">
        <w:rPr>
          <w:rFonts w:cs="Arial"/>
          <w:bCs/>
          <w:szCs w:val="24"/>
        </w:rPr>
        <w:t>Alexander Maconochie Centre</w:t>
      </w:r>
      <w:r w:rsidR="00EA1DCF">
        <w:rPr>
          <w:rFonts w:cs="Arial"/>
          <w:bCs/>
          <w:szCs w:val="24"/>
        </w:rPr>
        <w:t xml:space="preserve"> population – employees and detainees</w:t>
      </w:r>
      <w:r w:rsidR="00B51C7C">
        <w:rPr>
          <w:rFonts w:cs="Arial"/>
          <w:bCs/>
          <w:szCs w:val="24"/>
        </w:rPr>
        <w:t>. This will</w:t>
      </w:r>
      <w:r>
        <w:rPr>
          <w:rFonts w:cs="Arial"/>
          <w:bCs/>
          <w:szCs w:val="24"/>
        </w:rPr>
        <w:t xml:space="preserve"> </w:t>
      </w:r>
      <w:r w:rsidR="00B51C7C">
        <w:rPr>
          <w:rFonts w:cs="Arial"/>
          <w:bCs/>
          <w:szCs w:val="24"/>
        </w:rPr>
        <w:t>reduce</w:t>
      </w:r>
      <w:r w:rsidR="002871A8">
        <w:rPr>
          <w:rFonts w:cs="Arial"/>
          <w:bCs/>
          <w:szCs w:val="24"/>
        </w:rPr>
        <w:t xml:space="preserve"> the risk of </w:t>
      </w:r>
      <w:r w:rsidR="00147104">
        <w:rPr>
          <w:rFonts w:cs="Arial"/>
          <w:bCs/>
          <w:szCs w:val="24"/>
        </w:rPr>
        <w:t xml:space="preserve">a </w:t>
      </w:r>
      <w:r w:rsidR="002871A8">
        <w:rPr>
          <w:rFonts w:cs="Arial"/>
          <w:bCs/>
          <w:szCs w:val="24"/>
        </w:rPr>
        <w:t xml:space="preserve">COVID-19 </w:t>
      </w:r>
      <w:r w:rsidR="00147104">
        <w:rPr>
          <w:rFonts w:cs="Arial"/>
          <w:bCs/>
          <w:szCs w:val="24"/>
        </w:rPr>
        <w:t xml:space="preserve">outbreak </w:t>
      </w:r>
      <w:r w:rsidR="002871A8">
        <w:rPr>
          <w:rFonts w:cs="Arial"/>
          <w:bCs/>
          <w:szCs w:val="24"/>
        </w:rPr>
        <w:t xml:space="preserve">in the </w:t>
      </w:r>
      <w:bookmarkStart w:id="40" w:name="_Hlk57121422"/>
      <w:r w:rsidR="002871A8">
        <w:rPr>
          <w:rFonts w:cs="Arial"/>
          <w:bCs/>
          <w:szCs w:val="24"/>
        </w:rPr>
        <w:t>Alexander Maconochie Centre</w:t>
      </w:r>
      <w:bookmarkEnd w:id="40"/>
      <w:r w:rsidR="002871A8">
        <w:rPr>
          <w:rFonts w:cs="Arial"/>
          <w:bCs/>
          <w:szCs w:val="24"/>
        </w:rPr>
        <w:t>.</w:t>
      </w:r>
      <w:r w:rsidR="00147104">
        <w:rPr>
          <w:rFonts w:cs="Arial"/>
          <w:bCs/>
          <w:szCs w:val="24"/>
        </w:rPr>
        <w:t xml:space="preserve"> The Explanatory Statement to the COVID-19 Emergency Response Legislation Amendment Bill </w:t>
      </w:r>
      <w:r w:rsidR="00F439CF">
        <w:rPr>
          <w:rFonts w:cs="Arial"/>
          <w:bCs/>
          <w:szCs w:val="24"/>
        </w:rPr>
        <w:t>further details</w:t>
      </w:r>
      <w:r w:rsidR="00147104">
        <w:rPr>
          <w:rFonts w:cs="Arial"/>
          <w:bCs/>
          <w:szCs w:val="24"/>
        </w:rPr>
        <w:t xml:space="preserve"> this measure.</w:t>
      </w:r>
    </w:p>
    <w:p w14:paraId="1768BA73" w14:textId="43F3D60C" w:rsidR="001676E0" w:rsidRDefault="001676E0" w:rsidP="00147104">
      <w:pPr>
        <w:pStyle w:val="Heading3"/>
        <w:tabs>
          <w:tab w:val="left" w:pos="1134"/>
        </w:tabs>
        <w:rPr>
          <w:i/>
          <w:lang w:eastAsia="en-AU"/>
        </w:rPr>
      </w:pPr>
      <w:bookmarkStart w:id="41" w:name="_Toc57197612"/>
      <w:r w:rsidRPr="00706752">
        <w:t>[1.</w:t>
      </w:r>
      <w:r w:rsidR="00F824F3">
        <w:fldChar w:fldCharType="begin"/>
      </w:r>
      <w:r w:rsidR="00F824F3">
        <w:instrText xml:space="preserve"> SEQ [2.] \* ARABIC </w:instrText>
      </w:r>
      <w:r w:rsidR="00F824F3">
        <w:fldChar w:fldCharType="separate"/>
      </w:r>
      <w:r w:rsidR="009C4E16">
        <w:rPr>
          <w:noProof/>
        </w:rPr>
        <w:t>6</w:t>
      </w:r>
      <w:r w:rsidR="00F824F3">
        <w:rPr>
          <w:noProof/>
        </w:rPr>
        <w:fldChar w:fldCharType="end"/>
      </w:r>
      <w:r w:rsidRPr="00706752">
        <w:t>]</w:t>
      </w:r>
      <w:r w:rsidR="00B93FED">
        <w:tab/>
      </w:r>
      <w:r>
        <w:rPr>
          <w:lang w:eastAsia="en-AU"/>
        </w:rPr>
        <w:t>Section 205 (5)</w:t>
      </w:r>
      <w:bookmarkEnd w:id="41"/>
    </w:p>
    <w:p w14:paraId="123551DD" w14:textId="7285FD9C" w:rsidR="002871A8" w:rsidRDefault="002871A8" w:rsidP="002871A8">
      <w:pPr>
        <w:rPr>
          <w:rFonts w:cs="Arial"/>
          <w:bCs/>
          <w:szCs w:val="24"/>
        </w:rPr>
      </w:pPr>
      <w:r>
        <w:rPr>
          <w:rFonts w:cs="Arial"/>
          <w:bCs/>
          <w:szCs w:val="24"/>
        </w:rPr>
        <w:lastRenderedPageBreak/>
        <w:t xml:space="preserve">This clause amends </w:t>
      </w:r>
      <w:r w:rsidR="00EA1DCF">
        <w:rPr>
          <w:rFonts w:cs="Arial"/>
          <w:bCs/>
          <w:szCs w:val="24"/>
        </w:rPr>
        <w:t xml:space="preserve">subsection 205 (5) to provide for </w:t>
      </w:r>
      <w:r>
        <w:rPr>
          <w:rFonts w:cs="Arial"/>
          <w:bCs/>
          <w:szCs w:val="24"/>
        </w:rPr>
        <w:t>the expiry of subsections 205 (2A), (4) and (5)</w:t>
      </w:r>
      <w:r w:rsidR="00F275E2">
        <w:rPr>
          <w:rFonts w:cs="Arial"/>
          <w:bCs/>
          <w:szCs w:val="24"/>
        </w:rPr>
        <w:t xml:space="preserve"> of the Corrections Management Act</w:t>
      </w:r>
      <w:r>
        <w:rPr>
          <w:rFonts w:cs="Arial"/>
          <w:bCs/>
          <w:szCs w:val="24"/>
        </w:rPr>
        <w:t xml:space="preserve"> on the day the </w:t>
      </w:r>
      <w:r w:rsidRPr="001426A5">
        <w:rPr>
          <w:rFonts w:cs="Arial"/>
          <w:bCs/>
          <w:szCs w:val="24"/>
        </w:rPr>
        <w:t xml:space="preserve">COVID-19 Emergency Response Act </w:t>
      </w:r>
      <w:r>
        <w:rPr>
          <w:rFonts w:cs="Arial"/>
          <w:bCs/>
          <w:szCs w:val="24"/>
        </w:rPr>
        <w:t>expires, which is at the end of a 12-month period during which no COVID-19 declaration has been in force.</w:t>
      </w:r>
    </w:p>
    <w:p w14:paraId="68043A80" w14:textId="1AA9128C" w:rsidR="00EA1DCF" w:rsidRDefault="00024229" w:rsidP="00024229">
      <w:pPr>
        <w:rPr>
          <w:rFonts w:cs="Arial"/>
          <w:bCs/>
          <w:szCs w:val="24"/>
        </w:rPr>
      </w:pPr>
      <w:r>
        <w:rPr>
          <w:rFonts w:cs="Arial"/>
          <w:bCs/>
          <w:szCs w:val="24"/>
        </w:rPr>
        <w:t>The measure</w:t>
      </w:r>
      <w:r w:rsidR="00EA1DCF">
        <w:rPr>
          <w:rFonts w:cs="Arial"/>
          <w:bCs/>
          <w:szCs w:val="24"/>
        </w:rPr>
        <w:t xml:space="preserve"> at subsection 205 (2A)</w:t>
      </w:r>
      <w:r w:rsidR="005858A7">
        <w:rPr>
          <w:rFonts w:cs="Arial"/>
          <w:bCs/>
          <w:szCs w:val="24"/>
        </w:rPr>
        <w:t xml:space="preserve"> </w:t>
      </w:r>
      <w:r w:rsidR="00872EBC">
        <w:rPr>
          <w:rFonts w:cs="Arial"/>
          <w:bCs/>
          <w:szCs w:val="24"/>
        </w:rPr>
        <w:t xml:space="preserve">allows the Director-General to issue a </w:t>
      </w:r>
      <w:r w:rsidR="00872EBC" w:rsidRPr="00EA1DCF">
        <w:rPr>
          <w:rFonts w:cs="Arial"/>
          <w:bCs/>
          <w:szCs w:val="24"/>
        </w:rPr>
        <w:t>local leave permit for up to 28 days (increased from 7 days) and a local leave permit of up to 3 months for medical treatment or palliative care on the advice of a doctor</w:t>
      </w:r>
      <w:r w:rsidR="00EA1DCF">
        <w:rPr>
          <w:rFonts w:cs="Arial"/>
          <w:bCs/>
          <w:szCs w:val="24"/>
        </w:rPr>
        <w:t>.</w:t>
      </w:r>
      <w:r w:rsidR="00CC3FCD">
        <w:rPr>
          <w:rFonts w:cs="Arial"/>
          <w:bCs/>
          <w:szCs w:val="24"/>
        </w:rPr>
        <w:t xml:space="preserve"> </w:t>
      </w:r>
    </w:p>
    <w:p w14:paraId="7B7411A1" w14:textId="63393D34" w:rsidR="00EA1DCF" w:rsidRDefault="00EA1DCF" w:rsidP="00EA1DCF">
      <w:pPr>
        <w:rPr>
          <w:rFonts w:cs="Arial"/>
          <w:bCs/>
          <w:szCs w:val="24"/>
        </w:rPr>
      </w:pPr>
      <w:r>
        <w:rPr>
          <w:rFonts w:cs="Arial"/>
          <w:bCs/>
          <w:szCs w:val="24"/>
        </w:rPr>
        <w:t xml:space="preserve">This </w:t>
      </w:r>
      <w:r w:rsidR="002F52CA">
        <w:rPr>
          <w:rFonts w:cs="Arial"/>
          <w:bCs/>
          <w:szCs w:val="24"/>
        </w:rPr>
        <w:t>i</w:t>
      </w:r>
      <w:r>
        <w:rPr>
          <w:rFonts w:cs="Arial"/>
          <w:bCs/>
          <w:szCs w:val="24"/>
        </w:rPr>
        <w:t>s</w:t>
      </w:r>
      <w:r w:rsidR="00024229">
        <w:rPr>
          <w:rFonts w:cs="Arial"/>
          <w:bCs/>
          <w:szCs w:val="24"/>
        </w:rPr>
        <w:t xml:space="preserve"> due to expire on 8</w:t>
      </w:r>
      <w:r w:rsidR="00E1128D">
        <w:rPr>
          <w:rFonts w:cs="Arial"/>
          <w:bCs/>
          <w:szCs w:val="24"/>
        </w:rPr>
        <w:t> </w:t>
      </w:r>
      <w:r w:rsidR="00024229">
        <w:rPr>
          <w:rFonts w:cs="Arial"/>
          <w:bCs/>
          <w:szCs w:val="24"/>
        </w:rPr>
        <w:t>April</w:t>
      </w:r>
      <w:r w:rsidR="00E1128D">
        <w:rPr>
          <w:rFonts w:cs="Arial"/>
          <w:bCs/>
          <w:szCs w:val="24"/>
        </w:rPr>
        <w:t> </w:t>
      </w:r>
      <w:r w:rsidR="00024229">
        <w:rPr>
          <w:rFonts w:cs="Arial"/>
          <w:bCs/>
          <w:szCs w:val="24"/>
        </w:rPr>
        <w:t xml:space="preserve">2021. </w:t>
      </w:r>
      <w:r w:rsidR="002F52CA">
        <w:rPr>
          <w:rFonts w:cs="Arial"/>
          <w:bCs/>
          <w:szCs w:val="24"/>
        </w:rPr>
        <w:t>The new</w:t>
      </w:r>
      <w:r w:rsidR="003D0B28">
        <w:rPr>
          <w:rFonts w:cs="Arial"/>
          <w:bCs/>
          <w:szCs w:val="24"/>
        </w:rPr>
        <w:t xml:space="preserve"> expiry </w:t>
      </w:r>
      <w:r w:rsidR="002F52CA">
        <w:rPr>
          <w:rFonts w:cs="Arial"/>
          <w:bCs/>
          <w:szCs w:val="24"/>
        </w:rPr>
        <w:t>provision</w:t>
      </w:r>
      <w:r w:rsidR="005831D7">
        <w:rPr>
          <w:rFonts w:cs="Arial"/>
          <w:bCs/>
          <w:szCs w:val="24"/>
        </w:rPr>
        <w:t xml:space="preserve"> </w:t>
      </w:r>
      <w:r>
        <w:rPr>
          <w:rFonts w:cs="Arial"/>
          <w:bCs/>
          <w:szCs w:val="24"/>
        </w:rPr>
        <w:t xml:space="preserve">allows the measure to remain in the Act after a COVID-19 emergency declaration is no longer in force, for </w:t>
      </w:r>
      <w:r w:rsidR="0048134C">
        <w:rPr>
          <w:rFonts w:cs="Arial"/>
          <w:bCs/>
          <w:szCs w:val="24"/>
        </w:rPr>
        <w:t>a period of</w:t>
      </w:r>
      <w:r>
        <w:rPr>
          <w:rFonts w:cs="Arial"/>
          <w:bCs/>
          <w:szCs w:val="24"/>
        </w:rPr>
        <w:t xml:space="preserve"> 12 months.</w:t>
      </w:r>
      <w:r w:rsidR="00CC3FCD">
        <w:rPr>
          <w:rFonts w:cs="Arial"/>
          <w:bCs/>
          <w:szCs w:val="24"/>
        </w:rPr>
        <w:t xml:space="preserve"> </w:t>
      </w:r>
      <w:r>
        <w:rPr>
          <w:rFonts w:cs="Arial"/>
          <w:bCs/>
          <w:szCs w:val="24"/>
        </w:rPr>
        <w:t>The purpose of this rolling expiry arrangement is to ensure that emergency response measures can be available to support operational and service responses.</w:t>
      </w:r>
    </w:p>
    <w:p w14:paraId="27C30F1A" w14:textId="5E772D37" w:rsidR="00024229" w:rsidRPr="009153B6" w:rsidRDefault="00024229" w:rsidP="00024229">
      <w:pPr>
        <w:rPr>
          <w:rFonts w:cs="Arial"/>
          <w:bCs/>
          <w:szCs w:val="24"/>
        </w:rPr>
      </w:pPr>
      <w:r>
        <w:rPr>
          <w:rFonts w:cs="Arial"/>
          <w:bCs/>
          <w:szCs w:val="24"/>
        </w:rPr>
        <w:t xml:space="preserve">The </w:t>
      </w:r>
      <w:r w:rsidR="00F56587">
        <w:rPr>
          <w:rFonts w:cs="Arial"/>
          <w:bCs/>
          <w:szCs w:val="24"/>
        </w:rPr>
        <w:t>measure has been structured</w:t>
      </w:r>
      <w:r>
        <w:rPr>
          <w:rFonts w:cs="Arial"/>
          <w:bCs/>
          <w:szCs w:val="24"/>
        </w:rPr>
        <w:t xml:space="preserve"> to operate independently of</w:t>
      </w:r>
      <w:r w:rsidR="002F52CA">
        <w:rPr>
          <w:rFonts w:cs="Arial"/>
          <w:bCs/>
          <w:szCs w:val="24"/>
        </w:rPr>
        <w:t xml:space="preserve"> </w:t>
      </w:r>
      <w:r w:rsidR="00F56587">
        <w:rPr>
          <w:rFonts w:cs="Arial"/>
          <w:bCs/>
          <w:szCs w:val="24"/>
        </w:rPr>
        <w:t>a</w:t>
      </w:r>
      <w:r>
        <w:rPr>
          <w:rFonts w:cs="Arial"/>
          <w:bCs/>
          <w:szCs w:val="24"/>
        </w:rPr>
        <w:t xml:space="preserve"> COVID-19 emergency</w:t>
      </w:r>
      <w:r w:rsidR="00F56587">
        <w:rPr>
          <w:rFonts w:cs="Arial"/>
          <w:bCs/>
          <w:szCs w:val="24"/>
        </w:rPr>
        <w:t xml:space="preserve"> declaration being in force</w:t>
      </w:r>
      <w:r>
        <w:rPr>
          <w:rFonts w:cs="Arial"/>
          <w:bCs/>
          <w:szCs w:val="24"/>
        </w:rPr>
        <w:t xml:space="preserve"> to ensure that any leave granted will be unaffected by the </w:t>
      </w:r>
      <w:r w:rsidR="009153B6">
        <w:rPr>
          <w:rFonts w:cs="Arial"/>
          <w:bCs/>
          <w:szCs w:val="24"/>
        </w:rPr>
        <w:t xml:space="preserve">changing </w:t>
      </w:r>
      <w:r>
        <w:rPr>
          <w:rFonts w:cs="Arial"/>
          <w:bCs/>
          <w:szCs w:val="24"/>
        </w:rPr>
        <w:t>circumstances of the COVID-19 emergency. Any leave permits granted when section 205 (2A) is operational will remain in force according to the permit’s conditions, even after section 205 (2A) expire</w:t>
      </w:r>
      <w:r w:rsidR="009153B6">
        <w:rPr>
          <w:rFonts w:cs="Arial"/>
          <w:bCs/>
          <w:szCs w:val="24"/>
        </w:rPr>
        <w:t>s</w:t>
      </w:r>
      <w:r w:rsidR="00F84B6B">
        <w:rPr>
          <w:rFonts w:cs="Arial"/>
          <w:bCs/>
          <w:szCs w:val="24"/>
        </w:rPr>
        <w:t xml:space="preserve">, </w:t>
      </w:r>
      <w:r w:rsidR="005750EE">
        <w:rPr>
          <w:rFonts w:cs="Arial"/>
          <w:bCs/>
          <w:szCs w:val="24"/>
        </w:rPr>
        <w:t xml:space="preserve">under </w:t>
      </w:r>
      <w:r w:rsidR="009153B6">
        <w:rPr>
          <w:rFonts w:cs="Arial"/>
          <w:bCs/>
          <w:i/>
          <w:iCs/>
          <w:szCs w:val="24"/>
        </w:rPr>
        <w:t>Legislation Act 2001</w:t>
      </w:r>
      <w:r w:rsidR="005750EE">
        <w:rPr>
          <w:rFonts w:cs="Arial"/>
          <w:bCs/>
          <w:i/>
          <w:iCs/>
          <w:szCs w:val="24"/>
        </w:rPr>
        <w:t>,</w:t>
      </w:r>
      <w:r w:rsidR="00F56587">
        <w:rPr>
          <w:rFonts w:cs="Arial"/>
          <w:bCs/>
          <w:i/>
          <w:iCs/>
          <w:szCs w:val="24"/>
        </w:rPr>
        <w:t xml:space="preserve"> </w:t>
      </w:r>
      <w:r w:rsidR="005750EE">
        <w:rPr>
          <w:rFonts w:cs="Arial"/>
          <w:bCs/>
          <w:szCs w:val="24"/>
        </w:rPr>
        <w:t>section 84 (</w:t>
      </w:r>
      <w:r w:rsidR="005750EE" w:rsidRPr="005750EE">
        <w:rPr>
          <w:rFonts w:cs="Arial"/>
          <w:bCs/>
          <w:szCs w:val="24"/>
        </w:rPr>
        <w:t>Saving of operation of repealed and amended laws</w:t>
      </w:r>
      <w:r w:rsidR="005750EE">
        <w:rPr>
          <w:rFonts w:cs="Arial"/>
          <w:bCs/>
          <w:szCs w:val="24"/>
        </w:rPr>
        <w:t>)</w:t>
      </w:r>
      <w:r w:rsidR="009153B6">
        <w:rPr>
          <w:rFonts w:cs="Arial"/>
          <w:bCs/>
          <w:szCs w:val="24"/>
        </w:rPr>
        <w:t>.</w:t>
      </w:r>
      <w:r w:rsidR="00F84B6B">
        <w:rPr>
          <w:rFonts w:cs="Arial"/>
          <w:bCs/>
          <w:szCs w:val="24"/>
        </w:rPr>
        <w:t xml:space="preserve"> </w:t>
      </w:r>
      <w:r w:rsidR="005750EE">
        <w:rPr>
          <w:rFonts w:cs="Arial"/>
          <w:bCs/>
          <w:szCs w:val="24"/>
        </w:rPr>
        <w:t>S</w:t>
      </w:r>
      <w:r w:rsidR="005858A7">
        <w:rPr>
          <w:rFonts w:cs="Arial"/>
          <w:bCs/>
          <w:szCs w:val="24"/>
        </w:rPr>
        <w:t xml:space="preserve">ection 84 also saves the operation of the Director-General’s power to cancel leave that continues after the measure expires where </w:t>
      </w:r>
      <w:r w:rsidR="00F56587">
        <w:rPr>
          <w:rFonts w:cs="Arial"/>
          <w:bCs/>
          <w:szCs w:val="24"/>
        </w:rPr>
        <w:t xml:space="preserve">a </w:t>
      </w:r>
      <w:r w:rsidR="005858A7">
        <w:rPr>
          <w:rFonts w:cs="Arial"/>
          <w:bCs/>
          <w:szCs w:val="24"/>
        </w:rPr>
        <w:t>person breaches a condition of the leave.</w:t>
      </w:r>
    </w:p>
    <w:p w14:paraId="5250078E" w14:textId="04634442" w:rsidR="00FD6811" w:rsidRPr="001676E0" w:rsidRDefault="0097162B" w:rsidP="002871A8">
      <w:pPr>
        <w:rPr>
          <w:lang w:eastAsia="en-AU"/>
        </w:rPr>
      </w:pPr>
      <w:r>
        <w:rPr>
          <w:rFonts w:cs="Arial"/>
          <w:bCs/>
          <w:szCs w:val="24"/>
        </w:rPr>
        <w:t xml:space="preserve">This amendment </w:t>
      </w:r>
      <w:r w:rsidR="00793A7B">
        <w:rPr>
          <w:rFonts w:cs="Arial"/>
          <w:bCs/>
          <w:szCs w:val="24"/>
        </w:rPr>
        <w:t xml:space="preserve">will </w:t>
      </w:r>
      <w:r w:rsidR="00FD6811">
        <w:rPr>
          <w:rFonts w:cs="Arial"/>
          <w:bCs/>
          <w:szCs w:val="24"/>
        </w:rPr>
        <w:t>support the effective operation</w:t>
      </w:r>
      <w:r w:rsidR="009153B6">
        <w:rPr>
          <w:rFonts w:cs="Arial"/>
          <w:bCs/>
          <w:szCs w:val="24"/>
        </w:rPr>
        <w:t>s</w:t>
      </w:r>
      <w:r w:rsidR="00FD6811">
        <w:rPr>
          <w:rFonts w:cs="Arial"/>
          <w:bCs/>
          <w:szCs w:val="24"/>
        </w:rPr>
        <w:t xml:space="preserve"> of the Alexander Maconochie Centre during a COVID-19 emergency, anticipating that detainees may require long</w:t>
      </w:r>
      <w:r w:rsidR="009153B6">
        <w:rPr>
          <w:rFonts w:cs="Arial"/>
          <w:bCs/>
          <w:szCs w:val="24"/>
        </w:rPr>
        <w:t>-</w:t>
      </w:r>
      <w:r w:rsidR="00FD6811">
        <w:rPr>
          <w:rFonts w:cs="Arial"/>
          <w:bCs/>
          <w:szCs w:val="24"/>
        </w:rPr>
        <w:t>term medical care</w:t>
      </w:r>
      <w:r w:rsidR="0037077E">
        <w:rPr>
          <w:rFonts w:cs="Arial"/>
          <w:bCs/>
          <w:szCs w:val="24"/>
        </w:rPr>
        <w:t xml:space="preserve">, and removing the administrative burden of renewing </w:t>
      </w:r>
      <w:r w:rsidR="004C227F">
        <w:rPr>
          <w:rFonts w:cs="Arial"/>
          <w:bCs/>
          <w:szCs w:val="24"/>
        </w:rPr>
        <w:t xml:space="preserve">local leave </w:t>
      </w:r>
      <w:r w:rsidR="0037077E">
        <w:rPr>
          <w:rFonts w:cs="Arial"/>
          <w:bCs/>
          <w:szCs w:val="24"/>
        </w:rPr>
        <w:t>permits every seven days</w:t>
      </w:r>
      <w:r w:rsidR="00FD6811">
        <w:rPr>
          <w:rFonts w:cs="Arial"/>
          <w:bCs/>
          <w:szCs w:val="24"/>
        </w:rPr>
        <w:t>.</w:t>
      </w:r>
      <w:r w:rsidR="00147104">
        <w:rPr>
          <w:rFonts w:cs="Arial"/>
          <w:bCs/>
          <w:szCs w:val="24"/>
        </w:rPr>
        <w:t xml:space="preserve"> The Explanatory Statement to the COVID-19 Emergency Response Bill </w:t>
      </w:r>
      <w:r w:rsidR="009153B6">
        <w:rPr>
          <w:rFonts w:cs="Arial"/>
          <w:bCs/>
          <w:szCs w:val="24"/>
        </w:rPr>
        <w:t>further details</w:t>
      </w:r>
      <w:r w:rsidR="00147104">
        <w:rPr>
          <w:rFonts w:cs="Arial"/>
          <w:bCs/>
          <w:szCs w:val="24"/>
        </w:rPr>
        <w:t xml:space="preserve"> this measure.</w:t>
      </w:r>
    </w:p>
    <w:p w14:paraId="5BD7D32C" w14:textId="0369E64B" w:rsidR="001676E0" w:rsidRDefault="001676E0" w:rsidP="00147104">
      <w:pPr>
        <w:pStyle w:val="Heading3"/>
        <w:tabs>
          <w:tab w:val="left" w:pos="1134"/>
        </w:tabs>
        <w:rPr>
          <w:i/>
          <w:lang w:eastAsia="en-AU"/>
        </w:rPr>
      </w:pPr>
      <w:bookmarkStart w:id="42" w:name="_Toc57197613"/>
      <w:r w:rsidRPr="00706752">
        <w:t>[1.</w:t>
      </w:r>
      <w:r w:rsidR="00F824F3">
        <w:fldChar w:fldCharType="begin"/>
      </w:r>
      <w:r w:rsidR="00F824F3">
        <w:instrText xml:space="preserve"> SEQ [2.] \* ARABIC </w:instrText>
      </w:r>
      <w:r w:rsidR="00F824F3">
        <w:fldChar w:fldCharType="separate"/>
      </w:r>
      <w:r w:rsidR="009C4E16">
        <w:rPr>
          <w:noProof/>
        </w:rPr>
        <w:t>7</w:t>
      </w:r>
      <w:r w:rsidR="00F824F3">
        <w:rPr>
          <w:noProof/>
        </w:rPr>
        <w:fldChar w:fldCharType="end"/>
      </w:r>
      <w:r w:rsidRPr="00706752">
        <w:t>]</w:t>
      </w:r>
      <w:r w:rsidR="00B93FED">
        <w:tab/>
      </w:r>
      <w:r>
        <w:rPr>
          <w:lang w:eastAsia="en-AU"/>
        </w:rPr>
        <w:t>Section 216I</w:t>
      </w:r>
      <w:bookmarkEnd w:id="42"/>
    </w:p>
    <w:p w14:paraId="563A6A10" w14:textId="78EB6465" w:rsidR="00FD6811" w:rsidRDefault="00FD6811" w:rsidP="00FD6811">
      <w:pPr>
        <w:rPr>
          <w:rFonts w:cs="Arial"/>
          <w:bCs/>
          <w:szCs w:val="24"/>
        </w:rPr>
      </w:pPr>
      <w:r>
        <w:rPr>
          <w:rFonts w:cs="Arial"/>
          <w:bCs/>
          <w:szCs w:val="24"/>
        </w:rPr>
        <w:t xml:space="preserve">This clause amends </w:t>
      </w:r>
      <w:r w:rsidR="00EF02AE">
        <w:rPr>
          <w:rFonts w:cs="Arial"/>
          <w:bCs/>
          <w:szCs w:val="24"/>
        </w:rPr>
        <w:t xml:space="preserve">section 216I to provide for </w:t>
      </w:r>
      <w:r>
        <w:rPr>
          <w:rFonts w:cs="Arial"/>
          <w:bCs/>
          <w:szCs w:val="24"/>
        </w:rPr>
        <w:t xml:space="preserve">the expiry of </w:t>
      </w:r>
      <w:r w:rsidR="00F275E2">
        <w:rPr>
          <w:rFonts w:cs="Arial"/>
          <w:bCs/>
          <w:szCs w:val="24"/>
        </w:rPr>
        <w:t>part 12.3 of the Corrections Management Act</w:t>
      </w:r>
      <w:r>
        <w:rPr>
          <w:rFonts w:cs="Arial"/>
          <w:bCs/>
          <w:szCs w:val="24"/>
        </w:rPr>
        <w:t xml:space="preserve"> on the day the </w:t>
      </w:r>
      <w:r w:rsidRPr="001426A5">
        <w:rPr>
          <w:rFonts w:cs="Arial"/>
          <w:bCs/>
          <w:szCs w:val="24"/>
        </w:rPr>
        <w:t xml:space="preserve">COVID-19 Emergency Response Act </w:t>
      </w:r>
      <w:r>
        <w:rPr>
          <w:rFonts w:cs="Arial"/>
          <w:bCs/>
          <w:szCs w:val="24"/>
        </w:rPr>
        <w:t>expires, which is at the end of a 12-month period during which no COVID-19 declaration has been in force.</w:t>
      </w:r>
    </w:p>
    <w:p w14:paraId="1698D81A" w14:textId="6C6E1ADD" w:rsidR="00EF02AE" w:rsidRDefault="00C66213" w:rsidP="00C66213">
      <w:pPr>
        <w:rPr>
          <w:rFonts w:cs="Arial"/>
          <w:bCs/>
          <w:szCs w:val="24"/>
        </w:rPr>
      </w:pPr>
      <w:r>
        <w:rPr>
          <w:rFonts w:cs="Arial"/>
          <w:bCs/>
          <w:szCs w:val="24"/>
        </w:rPr>
        <w:t>The measure</w:t>
      </w:r>
      <w:r w:rsidR="00EF02AE">
        <w:rPr>
          <w:rFonts w:cs="Arial"/>
          <w:bCs/>
          <w:szCs w:val="24"/>
        </w:rPr>
        <w:t xml:space="preserve"> at part 12.3 of the Corrections Management Act</w:t>
      </w:r>
      <w:r w:rsidR="00872EBC">
        <w:rPr>
          <w:rFonts w:cs="Arial"/>
          <w:bCs/>
          <w:szCs w:val="24"/>
        </w:rPr>
        <w:t xml:space="preserve"> allows the Director-General to issue a COVID-19 </w:t>
      </w:r>
      <w:r w:rsidR="00EF02AE">
        <w:rPr>
          <w:rFonts w:cs="Arial"/>
          <w:bCs/>
          <w:szCs w:val="24"/>
        </w:rPr>
        <w:t>l</w:t>
      </w:r>
      <w:r w:rsidR="00872EBC">
        <w:rPr>
          <w:rFonts w:cs="Arial"/>
          <w:bCs/>
          <w:szCs w:val="24"/>
        </w:rPr>
        <w:t>eave</w:t>
      </w:r>
      <w:r w:rsidR="005750EE">
        <w:rPr>
          <w:rFonts w:cs="Arial"/>
          <w:bCs/>
          <w:szCs w:val="24"/>
        </w:rPr>
        <w:t xml:space="preserve"> </w:t>
      </w:r>
      <w:r w:rsidR="00872EBC">
        <w:rPr>
          <w:rFonts w:cs="Arial"/>
          <w:bCs/>
          <w:szCs w:val="24"/>
        </w:rPr>
        <w:t>permit</w:t>
      </w:r>
      <w:r w:rsidR="00EF02AE">
        <w:rPr>
          <w:rFonts w:cs="Arial"/>
          <w:bCs/>
          <w:szCs w:val="24"/>
        </w:rPr>
        <w:t>.</w:t>
      </w:r>
      <w:r w:rsidR="00CC3FCD">
        <w:rPr>
          <w:rFonts w:cs="Arial"/>
          <w:bCs/>
          <w:szCs w:val="24"/>
        </w:rPr>
        <w:t xml:space="preserve"> </w:t>
      </w:r>
    </w:p>
    <w:p w14:paraId="6EDE0C3A" w14:textId="356BB07E" w:rsidR="00C66213" w:rsidRDefault="00EF02AE" w:rsidP="00C66213">
      <w:pPr>
        <w:rPr>
          <w:rFonts w:cs="Arial"/>
          <w:bCs/>
          <w:szCs w:val="24"/>
        </w:rPr>
      </w:pPr>
      <w:r>
        <w:rPr>
          <w:rFonts w:cs="Arial"/>
          <w:bCs/>
          <w:szCs w:val="24"/>
        </w:rPr>
        <w:t xml:space="preserve">This </w:t>
      </w:r>
      <w:r w:rsidR="005750EE">
        <w:rPr>
          <w:rFonts w:cs="Arial"/>
          <w:bCs/>
          <w:szCs w:val="24"/>
        </w:rPr>
        <w:t>is</w:t>
      </w:r>
      <w:r w:rsidR="00C66213">
        <w:rPr>
          <w:rFonts w:cs="Arial"/>
          <w:bCs/>
          <w:szCs w:val="24"/>
        </w:rPr>
        <w:t xml:space="preserve"> due to expire on 8 April 2021. </w:t>
      </w:r>
      <w:bookmarkStart w:id="43" w:name="_Hlk57123863"/>
      <w:r w:rsidR="002F52CA">
        <w:rPr>
          <w:rFonts w:cs="Arial"/>
          <w:bCs/>
          <w:szCs w:val="24"/>
        </w:rPr>
        <w:t>The new</w:t>
      </w:r>
      <w:r>
        <w:rPr>
          <w:rFonts w:cs="Arial"/>
          <w:bCs/>
          <w:szCs w:val="24"/>
        </w:rPr>
        <w:t xml:space="preserve"> expiry </w:t>
      </w:r>
      <w:r w:rsidR="002F52CA">
        <w:rPr>
          <w:rFonts w:cs="Arial"/>
          <w:bCs/>
          <w:szCs w:val="24"/>
        </w:rPr>
        <w:t>provision</w:t>
      </w:r>
      <w:r>
        <w:rPr>
          <w:rFonts w:cs="Arial"/>
          <w:bCs/>
          <w:szCs w:val="24"/>
        </w:rPr>
        <w:t xml:space="preserve"> will allow the measure to be used during a COVID-19 emergency</w:t>
      </w:r>
      <w:bookmarkEnd w:id="43"/>
      <w:r>
        <w:rPr>
          <w:rFonts w:cs="Arial"/>
          <w:bCs/>
          <w:szCs w:val="24"/>
        </w:rPr>
        <w:t xml:space="preserve">, provided that the measure is commenced by Ministerial notice. </w:t>
      </w:r>
      <w:r w:rsidR="002F52CA">
        <w:rPr>
          <w:rFonts w:cs="Arial"/>
          <w:bCs/>
          <w:szCs w:val="24"/>
        </w:rPr>
        <w:t>It also means that</w:t>
      </w:r>
      <w:r w:rsidR="00CC3FCD">
        <w:rPr>
          <w:rFonts w:cs="Arial"/>
          <w:bCs/>
          <w:szCs w:val="24"/>
        </w:rPr>
        <w:t xml:space="preserve"> </w:t>
      </w:r>
      <w:r>
        <w:rPr>
          <w:rFonts w:cs="Arial"/>
          <w:bCs/>
          <w:szCs w:val="24"/>
        </w:rPr>
        <w:t xml:space="preserve">the measure </w:t>
      </w:r>
      <w:r w:rsidR="002F52CA">
        <w:rPr>
          <w:rFonts w:cs="Arial"/>
          <w:bCs/>
          <w:szCs w:val="24"/>
        </w:rPr>
        <w:t>will</w:t>
      </w:r>
      <w:r>
        <w:rPr>
          <w:rFonts w:cs="Arial"/>
          <w:bCs/>
          <w:szCs w:val="24"/>
        </w:rPr>
        <w:t xml:space="preserve"> remain in the Act after a COVID-19 emergency declaration is no longer in force, for </w:t>
      </w:r>
      <w:r w:rsidR="0048134C">
        <w:rPr>
          <w:rFonts w:cs="Arial"/>
          <w:bCs/>
          <w:szCs w:val="24"/>
        </w:rPr>
        <w:t>a period of</w:t>
      </w:r>
      <w:r>
        <w:rPr>
          <w:rFonts w:cs="Arial"/>
          <w:bCs/>
          <w:szCs w:val="24"/>
        </w:rPr>
        <w:t xml:space="preserve"> 12 months.</w:t>
      </w:r>
      <w:r w:rsidR="00CC3FCD">
        <w:rPr>
          <w:rFonts w:cs="Arial"/>
          <w:bCs/>
          <w:szCs w:val="24"/>
        </w:rPr>
        <w:t xml:space="preserve"> </w:t>
      </w:r>
      <w:r>
        <w:rPr>
          <w:rFonts w:cs="Arial"/>
          <w:bCs/>
          <w:szCs w:val="24"/>
        </w:rPr>
        <w:t xml:space="preserve">During this period, in the event a COVID-19 emergency declaration is made, </w:t>
      </w:r>
      <w:r>
        <w:rPr>
          <w:rFonts w:cs="Arial"/>
          <w:bCs/>
          <w:szCs w:val="24"/>
        </w:rPr>
        <w:lastRenderedPageBreak/>
        <w:t>the measure will become operative while the declaration is in force. The purpose of this rolling expiry arrangement is to ensure that emergency response measures can be available to support operational and service responses.</w:t>
      </w:r>
      <w:r w:rsidDel="00EF02AE">
        <w:rPr>
          <w:rFonts w:cs="Arial"/>
          <w:bCs/>
          <w:szCs w:val="24"/>
        </w:rPr>
        <w:t xml:space="preserve"> </w:t>
      </w:r>
    </w:p>
    <w:p w14:paraId="408312E4" w14:textId="4AD3F732" w:rsidR="00F275E2" w:rsidRDefault="0048134C" w:rsidP="004C227F">
      <w:pPr>
        <w:rPr>
          <w:rFonts w:cs="Arial"/>
          <w:bCs/>
          <w:szCs w:val="24"/>
        </w:rPr>
      </w:pPr>
      <w:r>
        <w:rPr>
          <w:rFonts w:cs="Arial"/>
          <w:bCs/>
          <w:szCs w:val="24"/>
        </w:rPr>
        <w:t xml:space="preserve">This amendment </w:t>
      </w:r>
      <w:r w:rsidR="004C227F">
        <w:rPr>
          <w:rFonts w:cs="Arial"/>
          <w:bCs/>
          <w:szCs w:val="24"/>
        </w:rPr>
        <w:t xml:space="preserve">will support the continued operations of ACT Corrective Services during a COVID-19 emergency, by </w:t>
      </w:r>
      <w:r w:rsidR="00D858EC">
        <w:rPr>
          <w:rFonts w:cs="Arial"/>
          <w:bCs/>
          <w:szCs w:val="24"/>
        </w:rPr>
        <w:t xml:space="preserve">reducing the number of detainees </w:t>
      </w:r>
      <w:r w:rsidR="004C227F">
        <w:rPr>
          <w:rFonts w:cs="Arial"/>
          <w:bCs/>
          <w:szCs w:val="24"/>
        </w:rPr>
        <w:t>in the Alexander Maconochie Centre, in turn</w:t>
      </w:r>
      <w:r w:rsidR="003C1A4F">
        <w:rPr>
          <w:rFonts w:cs="Arial"/>
          <w:bCs/>
          <w:szCs w:val="24"/>
        </w:rPr>
        <w:t xml:space="preserve"> </w:t>
      </w:r>
      <w:r w:rsidR="00F275E2">
        <w:rPr>
          <w:rFonts w:cs="Arial"/>
          <w:bCs/>
          <w:szCs w:val="24"/>
        </w:rPr>
        <w:t>reduc</w:t>
      </w:r>
      <w:r w:rsidR="003C1A4F">
        <w:rPr>
          <w:rFonts w:cs="Arial"/>
          <w:bCs/>
          <w:szCs w:val="24"/>
        </w:rPr>
        <w:t>ing</w:t>
      </w:r>
      <w:r w:rsidR="00F275E2">
        <w:rPr>
          <w:rFonts w:cs="Arial"/>
          <w:bCs/>
          <w:szCs w:val="24"/>
        </w:rPr>
        <w:t xml:space="preserve"> the likelihood of </w:t>
      </w:r>
      <w:r w:rsidR="004C227F">
        <w:rPr>
          <w:rFonts w:cs="Arial"/>
          <w:bCs/>
          <w:szCs w:val="24"/>
        </w:rPr>
        <w:t xml:space="preserve">an </w:t>
      </w:r>
      <w:r w:rsidR="00F275E2">
        <w:rPr>
          <w:rFonts w:cs="Arial"/>
          <w:bCs/>
          <w:szCs w:val="24"/>
        </w:rPr>
        <w:t xml:space="preserve">outbreak of COVID-19 </w:t>
      </w:r>
      <w:r w:rsidR="004C227F">
        <w:rPr>
          <w:rFonts w:cs="Arial"/>
          <w:bCs/>
          <w:szCs w:val="24"/>
        </w:rPr>
        <w:t xml:space="preserve">cases </w:t>
      </w:r>
      <w:r w:rsidR="00F275E2">
        <w:rPr>
          <w:rFonts w:cs="Arial"/>
          <w:bCs/>
          <w:szCs w:val="24"/>
        </w:rPr>
        <w:t>within the facility.</w:t>
      </w:r>
      <w:r w:rsidR="00147104">
        <w:rPr>
          <w:rFonts w:cs="Arial"/>
          <w:bCs/>
          <w:szCs w:val="24"/>
        </w:rPr>
        <w:t xml:space="preserve"> The Explanatory Statement to the COVID-19 Emergency Response Legislation Amendment Bill </w:t>
      </w:r>
      <w:r w:rsidR="00C66213">
        <w:rPr>
          <w:rFonts w:cs="Arial"/>
          <w:bCs/>
          <w:szCs w:val="24"/>
        </w:rPr>
        <w:t>further details</w:t>
      </w:r>
      <w:r w:rsidR="00147104">
        <w:rPr>
          <w:rFonts w:cs="Arial"/>
          <w:bCs/>
          <w:szCs w:val="24"/>
        </w:rPr>
        <w:t xml:space="preserve"> this measure.</w:t>
      </w:r>
    </w:p>
    <w:p w14:paraId="5B08B80E" w14:textId="53726832" w:rsidR="00783FA5" w:rsidRPr="00A92751" w:rsidRDefault="00783FA5" w:rsidP="00A92751">
      <w:pPr>
        <w:pStyle w:val="Heading2"/>
      </w:pPr>
      <w:bookmarkStart w:id="44" w:name="_Toc57197614"/>
      <w:r w:rsidRPr="00A92751">
        <w:t>Part 1.</w:t>
      </w:r>
      <w:r w:rsidR="00C66213">
        <w:t>4</w:t>
      </w:r>
      <w:r w:rsidR="00B93FED">
        <w:tab/>
      </w:r>
      <w:r w:rsidRPr="00A92751">
        <w:t>COVID-19 Emergency Response Act 2020</w:t>
      </w:r>
      <w:bookmarkEnd w:id="44"/>
    </w:p>
    <w:p w14:paraId="7889CF0B" w14:textId="0FA6A390" w:rsidR="00783FA5" w:rsidRDefault="00783FA5" w:rsidP="00464BAB">
      <w:pPr>
        <w:pStyle w:val="Heading3"/>
        <w:tabs>
          <w:tab w:val="left" w:pos="1134"/>
        </w:tabs>
        <w:rPr>
          <w:i/>
          <w:lang w:eastAsia="en-AU"/>
        </w:rPr>
      </w:pPr>
      <w:bookmarkStart w:id="45" w:name="_Toc57197615"/>
      <w:r w:rsidRPr="00706752">
        <w:t>[1.</w:t>
      </w:r>
      <w:r w:rsidR="00F824F3">
        <w:fldChar w:fldCharType="begin"/>
      </w:r>
      <w:r w:rsidR="00F824F3">
        <w:instrText xml:space="preserve"> SEQ [2.] \* ARABIC </w:instrText>
      </w:r>
      <w:r w:rsidR="00F824F3">
        <w:fldChar w:fldCharType="separate"/>
      </w:r>
      <w:r w:rsidR="009C4E16">
        <w:rPr>
          <w:noProof/>
        </w:rPr>
        <w:t>8</w:t>
      </w:r>
      <w:r w:rsidR="00F824F3">
        <w:rPr>
          <w:noProof/>
        </w:rPr>
        <w:fldChar w:fldCharType="end"/>
      </w:r>
      <w:r w:rsidRPr="00706752">
        <w:t>]</w:t>
      </w:r>
      <w:r w:rsidR="00B93FED">
        <w:tab/>
      </w:r>
      <w:r>
        <w:rPr>
          <w:lang w:eastAsia="en-AU"/>
        </w:rPr>
        <w:t>Section 3 (1)</w:t>
      </w:r>
      <w:bookmarkEnd w:id="45"/>
    </w:p>
    <w:p w14:paraId="55167EBB" w14:textId="7014EC4E" w:rsidR="00783FA5" w:rsidRDefault="00783FA5" w:rsidP="00F64FC3">
      <w:pPr>
        <w:rPr>
          <w:rFonts w:cs="Arial"/>
          <w:bCs/>
          <w:szCs w:val="24"/>
        </w:rPr>
      </w:pPr>
      <w:r>
        <w:rPr>
          <w:rFonts w:cs="Arial"/>
          <w:bCs/>
          <w:szCs w:val="24"/>
        </w:rPr>
        <w:t xml:space="preserve">This clause amends the </w:t>
      </w:r>
      <w:r w:rsidR="00A50465">
        <w:rPr>
          <w:rFonts w:cs="Arial"/>
          <w:bCs/>
          <w:szCs w:val="24"/>
        </w:rPr>
        <w:t>operation</w:t>
      </w:r>
      <w:r w:rsidR="00366F37">
        <w:rPr>
          <w:rFonts w:cs="Arial"/>
          <w:bCs/>
          <w:szCs w:val="24"/>
        </w:rPr>
        <w:t xml:space="preserve"> of section 3 of the </w:t>
      </w:r>
      <w:r w:rsidR="00366F37" w:rsidRPr="00366F37">
        <w:rPr>
          <w:rFonts w:cs="Arial"/>
          <w:bCs/>
          <w:szCs w:val="24"/>
        </w:rPr>
        <w:t>COVID-19 Emergency Response Act</w:t>
      </w:r>
      <w:r w:rsidR="00C905A2">
        <w:rPr>
          <w:rFonts w:cs="Arial"/>
          <w:bCs/>
          <w:szCs w:val="24"/>
        </w:rPr>
        <w:t xml:space="preserve">. </w:t>
      </w:r>
      <w:r w:rsidR="00EF02AE">
        <w:rPr>
          <w:rFonts w:cs="Arial"/>
          <w:bCs/>
          <w:szCs w:val="24"/>
        </w:rPr>
        <w:t xml:space="preserve">It </w:t>
      </w:r>
      <w:r w:rsidR="00C905A2">
        <w:rPr>
          <w:rFonts w:cs="Arial"/>
          <w:bCs/>
          <w:szCs w:val="24"/>
        </w:rPr>
        <w:t xml:space="preserve">changes the </w:t>
      </w:r>
      <w:r w:rsidR="009E6D07">
        <w:rPr>
          <w:rFonts w:cs="Arial"/>
          <w:bCs/>
          <w:szCs w:val="24"/>
        </w:rPr>
        <w:t xml:space="preserve">reporting </w:t>
      </w:r>
      <w:r w:rsidR="00C905A2">
        <w:rPr>
          <w:rFonts w:cs="Arial"/>
          <w:bCs/>
          <w:szCs w:val="24"/>
        </w:rPr>
        <w:t xml:space="preserve">requirements </w:t>
      </w:r>
      <w:r w:rsidR="009E6D07">
        <w:rPr>
          <w:rFonts w:cs="Arial"/>
          <w:bCs/>
          <w:szCs w:val="24"/>
        </w:rPr>
        <w:t xml:space="preserve">for </w:t>
      </w:r>
      <w:r w:rsidR="00C905A2">
        <w:rPr>
          <w:rFonts w:cs="Arial"/>
          <w:bCs/>
          <w:szCs w:val="24"/>
        </w:rPr>
        <w:t>COVID-19 measure</w:t>
      </w:r>
      <w:r w:rsidR="009E6D07">
        <w:rPr>
          <w:rFonts w:cs="Arial"/>
          <w:bCs/>
          <w:szCs w:val="24"/>
        </w:rPr>
        <w:t>s</w:t>
      </w:r>
      <w:r>
        <w:rPr>
          <w:rFonts w:cs="Arial"/>
          <w:bCs/>
          <w:szCs w:val="24"/>
        </w:rPr>
        <w:t xml:space="preserve"> made under the </w:t>
      </w:r>
      <w:r w:rsidR="00C905A2" w:rsidRPr="00366F37">
        <w:rPr>
          <w:rFonts w:cs="Arial"/>
          <w:bCs/>
          <w:szCs w:val="24"/>
        </w:rPr>
        <w:t>COVID-19 Emergency Response Act</w:t>
      </w:r>
      <w:r w:rsidR="00C905A2">
        <w:rPr>
          <w:rFonts w:cs="Arial"/>
          <w:bCs/>
          <w:szCs w:val="24"/>
        </w:rPr>
        <w:t xml:space="preserve"> </w:t>
      </w:r>
      <w:r>
        <w:rPr>
          <w:rFonts w:cs="Arial"/>
          <w:bCs/>
          <w:szCs w:val="24"/>
        </w:rPr>
        <w:t xml:space="preserve">and the </w:t>
      </w:r>
      <w:r w:rsidRPr="00464BAB">
        <w:rPr>
          <w:rFonts w:cs="Arial"/>
          <w:bCs/>
          <w:i/>
          <w:iCs/>
          <w:szCs w:val="24"/>
        </w:rPr>
        <w:t>COVID-19 Emergency Response Legislation Amendment Ac</w:t>
      </w:r>
      <w:r w:rsidR="00464BAB">
        <w:rPr>
          <w:rFonts w:cs="Arial"/>
          <w:bCs/>
          <w:i/>
          <w:iCs/>
          <w:szCs w:val="24"/>
        </w:rPr>
        <w:t>t 2020</w:t>
      </w:r>
      <w:r w:rsidR="00C905A2">
        <w:rPr>
          <w:rFonts w:cs="Arial"/>
          <w:bCs/>
          <w:szCs w:val="24"/>
        </w:rPr>
        <w:t>, from monthly</w:t>
      </w:r>
      <w:r w:rsidRPr="00366F37">
        <w:rPr>
          <w:rFonts w:cs="Arial"/>
          <w:bCs/>
          <w:szCs w:val="24"/>
        </w:rPr>
        <w:t xml:space="preserve"> </w:t>
      </w:r>
      <w:r>
        <w:rPr>
          <w:rFonts w:cs="Arial"/>
          <w:bCs/>
          <w:szCs w:val="24"/>
        </w:rPr>
        <w:t xml:space="preserve">to </w:t>
      </w:r>
      <w:r w:rsidR="00B2548C">
        <w:rPr>
          <w:rFonts w:cs="Arial"/>
          <w:bCs/>
          <w:szCs w:val="24"/>
        </w:rPr>
        <w:t>quarterly</w:t>
      </w:r>
      <w:r w:rsidR="00EF02AE">
        <w:rPr>
          <w:rFonts w:cs="Arial"/>
          <w:bCs/>
          <w:szCs w:val="24"/>
        </w:rPr>
        <w:t>.</w:t>
      </w:r>
    </w:p>
    <w:p w14:paraId="2EB5BFE4" w14:textId="6BA60FC2" w:rsidR="00B2548C" w:rsidRDefault="00B2548C" w:rsidP="00F64FC3">
      <w:pPr>
        <w:rPr>
          <w:rFonts w:cs="Arial"/>
          <w:bCs/>
          <w:szCs w:val="24"/>
        </w:rPr>
      </w:pPr>
      <w:r>
        <w:rPr>
          <w:rFonts w:cs="Arial"/>
          <w:bCs/>
          <w:szCs w:val="24"/>
        </w:rPr>
        <w:t xml:space="preserve">This amendment </w:t>
      </w:r>
      <w:r w:rsidR="005750EE">
        <w:rPr>
          <w:rFonts w:cs="Arial"/>
          <w:bCs/>
          <w:szCs w:val="24"/>
        </w:rPr>
        <w:t xml:space="preserve">supports continuing </w:t>
      </w:r>
      <w:r w:rsidR="00854DF3">
        <w:rPr>
          <w:rFonts w:cs="Arial"/>
          <w:bCs/>
          <w:szCs w:val="24"/>
        </w:rPr>
        <w:t xml:space="preserve">scrutiny </w:t>
      </w:r>
      <w:r w:rsidR="005750EE">
        <w:rPr>
          <w:rFonts w:cs="Arial"/>
          <w:bCs/>
          <w:szCs w:val="24"/>
        </w:rPr>
        <w:t xml:space="preserve">by the Legislative Assembly </w:t>
      </w:r>
      <w:r w:rsidR="00854DF3">
        <w:rPr>
          <w:rFonts w:cs="Arial"/>
          <w:bCs/>
          <w:szCs w:val="24"/>
        </w:rPr>
        <w:t xml:space="preserve">of </w:t>
      </w:r>
      <w:r w:rsidR="005750EE">
        <w:rPr>
          <w:rFonts w:cs="Arial"/>
          <w:bCs/>
          <w:szCs w:val="24"/>
        </w:rPr>
        <w:t xml:space="preserve">COVID-19 emergency response </w:t>
      </w:r>
      <w:r w:rsidR="00854DF3">
        <w:rPr>
          <w:rFonts w:cs="Arial"/>
          <w:bCs/>
          <w:szCs w:val="24"/>
        </w:rPr>
        <w:t xml:space="preserve">measures </w:t>
      </w:r>
      <w:r w:rsidR="005750EE">
        <w:rPr>
          <w:rFonts w:cs="Arial"/>
          <w:bCs/>
          <w:szCs w:val="24"/>
        </w:rPr>
        <w:t>by changing the reporting frequency without affecting the substa</w:t>
      </w:r>
      <w:r w:rsidR="00880B77">
        <w:rPr>
          <w:rFonts w:cs="Arial"/>
          <w:bCs/>
          <w:szCs w:val="24"/>
        </w:rPr>
        <w:t>n</w:t>
      </w:r>
      <w:r w:rsidR="005750EE">
        <w:rPr>
          <w:rFonts w:cs="Arial"/>
          <w:bCs/>
          <w:szCs w:val="24"/>
        </w:rPr>
        <w:t>tive reporting requirement</w:t>
      </w:r>
      <w:r>
        <w:rPr>
          <w:rFonts w:cs="Arial"/>
          <w:bCs/>
          <w:szCs w:val="24"/>
        </w:rPr>
        <w:t>.</w:t>
      </w:r>
    </w:p>
    <w:p w14:paraId="02464FDE" w14:textId="2EB406E6" w:rsidR="00783FA5" w:rsidRDefault="00783FA5" w:rsidP="00464BAB">
      <w:pPr>
        <w:pStyle w:val="Heading3"/>
        <w:tabs>
          <w:tab w:val="left" w:pos="1134"/>
        </w:tabs>
        <w:rPr>
          <w:i/>
          <w:lang w:eastAsia="en-AU"/>
        </w:rPr>
      </w:pPr>
      <w:bookmarkStart w:id="46" w:name="_Toc57197616"/>
      <w:r w:rsidRPr="00706752">
        <w:t>[1.</w:t>
      </w:r>
      <w:r w:rsidR="00F824F3">
        <w:fldChar w:fldCharType="begin"/>
      </w:r>
      <w:r w:rsidR="00F824F3">
        <w:instrText xml:space="preserve"> SEQ [2.] \* ARABIC </w:instrText>
      </w:r>
      <w:r w:rsidR="00F824F3">
        <w:fldChar w:fldCharType="separate"/>
      </w:r>
      <w:r w:rsidR="009C4E16">
        <w:rPr>
          <w:noProof/>
        </w:rPr>
        <w:t>9</w:t>
      </w:r>
      <w:r w:rsidR="00F824F3">
        <w:rPr>
          <w:noProof/>
        </w:rPr>
        <w:fldChar w:fldCharType="end"/>
      </w:r>
      <w:r w:rsidRPr="00706752">
        <w:t>]</w:t>
      </w:r>
      <w:r w:rsidR="00FA0853">
        <w:tab/>
      </w:r>
      <w:r>
        <w:rPr>
          <w:lang w:eastAsia="en-AU"/>
        </w:rPr>
        <w:t>Section 3 (2) (a)</w:t>
      </w:r>
      <w:bookmarkEnd w:id="46"/>
    </w:p>
    <w:p w14:paraId="0745B99B" w14:textId="3EC06DD4" w:rsidR="00783FA5" w:rsidRDefault="00783FA5" w:rsidP="00F64FC3">
      <w:pPr>
        <w:rPr>
          <w:rFonts w:cs="Arial"/>
          <w:bCs/>
          <w:szCs w:val="24"/>
        </w:rPr>
      </w:pPr>
      <w:r>
        <w:rPr>
          <w:rFonts w:cs="Arial"/>
          <w:bCs/>
          <w:szCs w:val="24"/>
        </w:rPr>
        <w:t>This clause</w:t>
      </w:r>
      <w:r w:rsidR="00B2548C">
        <w:rPr>
          <w:rFonts w:cs="Arial"/>
          <w:bCs/>
          <w:szCs w:val="24"/>
        </w:rPr>
        <w:t xml:space="preserve"> </w:t>
      </w:r>
      <w:r w:rsidR="00095BAA">
        <w:rPr>
          <w:rFonts w:cs="Arial"/>
          <w:bCs/>
          <w:szCs w:val="24"/>
        </w:rPr>
        <w:t xml:space="preserve">makes </w:t>
      </w:r>
      <w:r w:rsidR="00B2548C">
        <w:rPr>
          <w:rFonts w:cs="Arial"/>
          <w:bCs/>
          <w:szCs w:val="24"/>
        </w:rPr>
        <w:t>a consequential amendment resulting from the change of reporting period. This clause</w:t>
      </w:r>
      <w:r>
        <w:rPr>
          <w:rFonts w:cs="Arial"/>
          <w:bCs/>
          <w:szCs w:val="24"/>
        </w:rPr>
        <w:t xml:space="preserve"> </w:t>
      </w:r>
      <w:r w:rsidR="00095BAA">
        <w:rPr>
          <w:rFonts w:cs="Arial"/>
          <w:bCs/>
          <w:szCs w:val="24"/>
        </w:rPr>
        <w:t>changes</w:t>
      </w:r>
      <w:r>
        <w:rPr>
          <w:rFonts w:cs="Arial"/>
          <w:bCs/>
          <w:szCs w:val="24"/>
        </w:rPr>
        <w:t xml:space="preserve"> </w:t>
      </w:r>
      <w:r w:rsidR="00066D0C">
        <w:rPr>
          <w:rFonts w:cs="Arial"/>
          <w:bCs/>
          <w:szCs w:val="24"/>
        </w:rPr>
        <w:t xml:space="preserve">the time </w:t>
      </w:r>
      <w:r w:rsidR="0097162B">
        <w:rPr>
          <w:rFonts w:cs="Arial"/>
          <w:bCs/>
          <w:szCs w:val="24"/>
        </w:rPr>
        <w:t xml:space="preserve">by </w:t>
      </w:r>
      <w:r w:rsidR="00066D0C">
        <w:rPr>
          <w:rFonts w:cs="Arial"/>
          <w:bCs/>
          <w:szCs w:val="24"/>
        </w:rPr>
        <w:t>which Ministers are required to present</w:t>
      </w:r>
      <w:r w:rsidR="00B2548C">
        <w:rPr>
          <w:rFonts w:cs="Arial"/>
          <w:bCs/>
          <w:szCs w:val="24"/>
        </w:rPr>
        <w:t xml:space="preserve"> </w:t>
      </w:r>
      <w:r w:rsidR="00FA0853">
        <w:rPr>
          <w:rFonts w:cs="Arial"/>
          <w:bCs/>
          <w:szCs w:val="24"/>
        </w:rPr>
        <w:t xml:space="preserve">their </w:t>
      </w:r>
      <w:r w:rsidR="00066D0C">
        <w:rPr>
          <w:rFonts w:cs="Arial"/>
          <w:bCs/>
          <w:szCs w:val="24"/>
        </w:rPr>
        <w:t>report</w:t>
      </w:r>
      <w:r w:rsidR="00B2548C">
        <w:rPr>
          <w:rFonts w:cs="Arial"/>
          <w:bCs/>
          <w:szCs w:val="24"/>
        </w:rPr>
        <w:t xml:space="preserve">s </w:t>
      </w:r>
      <w:r w:rsidR="00FA0853">
        <w:rPr>
          <w:rFonts w:cs="Arial"/>
          <w:bCs/>
          <w:szCs w:val="24"/>
        </w:rPr>
        <w:t xml:space="preserve">to </w:t>
      </w:r>
      <w:r w:rsidR="00066D0C">
        <w:rPr>
          <w:rFonts w:cs="Arial"/>
          <w:bCs/>
          <w:szCs w:val="24"/>
        </w:rPr>
        <w:t xml:space="preserve">the Legislative Assembly, from one month after the end of the </w:t>
      </w:r>
      <w:r w:rsidR="00B2548C">
        <w:rPr>
          <w:rFonts w:cs="Arial"/>
          <w:bCs/>
          <w:szCs w:val="24"/>
        </w:rPr>
        <w:t>month</w:t>
      </w:r>
      <w:r w:rsidR="00066D0C">
        <w:rPr>
          <w:rFonts w:cs="Arial"/>
          <w:bCs/>
          <w:szCs w:val="24"/>
        </w:rPr>
        <w:t xml:space="preserve">, to one month after the end of the </w:t>
      </w:r>
      <w:r w:rsidR="00B2548C">
        <w:rPr>
          <w:rFonts w:cs="Arial"/>
          <w:bCs/>
          <w:szCs w:val="24"/>
        </w:rPr>
        <w:t>quarter</w:t>
      </w:r>
      <w:r w:rsidR="004D44F8">
        <w:rPr>
          <w:rFonts w:cs="Arial"/>
          <w:bCs/>
          <w:szCs w:val="24"/>
        </w:rPr>
        <w:t>.</w:t>
      </w:r>
    </w:p>
    <w:p w14:paraId="68E2ABB5" w14:textId="4EA2ED89" w:rsidR="00E65A23" w:rsidRPr="004D44F8" w:rsidRDefault="00E65A23" w:rsidP="00464BAB">
      <w:pPr>
        <w:pStyle w:val="Heading3"/>
        <w:tabs>
          <w:tab w:val="left" w:pos="1134"/>
        </w:tabs>
        <w:rPr>
          <w:lang w:eastAsia="en-AU"/>
        </w:rPr>
      </w:pPr>
      <w:bookmarkStart w:id="47" w:name="_Toc57197617"/>
      <w:r w:rsidRPr="00706752">
        <w:t>[1.</w:t>
      </w:r>
      <w:r w:rsidR="00F824F3">
        <w:fldChar w:fldCharType="begin"/>
      </w:r>
      <w:r w:rsidR="00F824F3">
        <w:instrText xml:space="preserve"> SEQ [2.] \* ARABIC </w:instrText>
      </w:r>
      <w:r w:rsidR="00F824F3">
        <w:fldChar w:fldCharType="separate"/>
      </w:r>
      <w:r w:rsidR="009C4E16">
        <w:rPr>
          <w:noProof/>
        </w:rPr>
        <w:t>10</w:t>
      </w:r>
      <w:r w:rsidR="00F824F3">
        <w:rPr>
          <w:noProof/>
        </w:rPr>
        <w:fldChar w:fldCharType="end"/>
      </w:r>
      <w:r w:rsidRPr="00706752">
        <w:t>]</w:t>
      </w:r>
      <w:r w:rsidR="00FA0853">
        <w:tab/>
      </w:r>
      <w:r>
        <w:rPr>
          <w:lang w:eastAsia="en-AU"/>
        </w:rPr>
        <w:t>Section 3 (</w:t>
      </w:r>
      <w:r w:rsidR="004D44F8">
        <w:rPr>
          <w:lang w:eastAsia="en-AU"/>
        </w:rPr>
        <w:t>4</w:t>
      </w:r>
      <w:r>
        <w:rPr>
          <w:lang w:eastAsia="en-AU"/>
        </w:rPr>
        <w:t>)</w:t>
      </w:r>
      <w:r w:rsidR="004D44F8">
        <w:rPr>
          <w:lang w:eastAsia="en-AU"/>
        </w:rPr>
        <w:t xml:space="preserve">, new definition of </w:t>
      </w:r>
      <w:r w:rsidR="004D44F8" w:rsidRPr="00ED79A3">
        <w:rPr>
          <w:i/>
          <w:iCs/>
          <w:lang w:eastAsia="en-AU"/>
        </w:rPr>
        <w:t>reporting period</w:t>
      </w:r>
      <w:bookmarkEnd w:id="47"/>
    </w:p>
    <w:p w14:paraId="49014325" w14:textId="7AA1F07A" w:rsidR="00E65A23" w:rsidRDefault="00E65A23" w:rsidP="00F64FC3">
      <w:pPr>
        <w:rPr>
          <w:rFonts w:cs="Arial"/>
          <w:bCs/>
          <w:szCs w:val="24"/>
        </w:rPr>
      </w:pPr>
      <w:r>
        <w:rPr>
          <w:rFonts w:cs="Arial"/>
          <w:bCs/>
          <w:szCs w:val="24"/>
        </w:rPr>
        <w:t xml:space="preserve">This clause </w:t>
      </w:r>
      <w:r w:rsidR="004D44F8">
        <w:rPr>
          <w:rFonts w:cs="Arial"/>
          <w:bCs/>
          <w:szCs w:val="24"/>
        </w:rPr>
        <w:t>inserts a definition for</w:t>
      </w:r>
      <w:r>
        <w:rPr>
          <w:rFonts w:cs="Arial"/>
          <w:bCs/>
          <w:szCs w:val="24"/>
        </w:rPr>
        <w:t xml:space="preserve"> ‘reporting period’</w:t>
      </w:r>
      <w:r w:rsidR="00EF02AE">
        <w:rPr>
          <w:rFonts w:cs="Arial"/>
          <w:bCs/>
          <w:szCs w:val="24"/>
        </w:rPr>
        <w:t xml:space="preserve"> consequential on the amendment made by clause [1.8].</w:t>
      </w:r>
      <w:r w:rsidR="00CC3FCD">
        <w:rPr>
          <w:rFonts w:cs="Arial"/>
          <w:bCs/>
          <w:szCs w:val="24"/>
        </w:rPr>
        <w:t xml:space="preserve"> </w:t>
      </w:r>
      <w:r w:rsidR="00EF02AE">
        <w:rPr>
          <w:rFonts w:cs="Arial"/>
          <w:bCs/>
          <w:szCs w:val="24"/>
        </w:rPr>
        <w:t>A</w:t>
      </w:r>
      <w:r w:rsidR="004D44F8" w:rsidRPr="00E9579F">
        <w:rPr>
          <w:rFonts w:cs="Arial"/>
          <w:bCs/>
          <w:szCs w:val="24"/>
        </w:rPr>
        <w:t xml:space="preserve"> reporting period in 2020 remains one month. From </w:t>
      </w:r>
      <w:r w:rsidR="00F84AB7" w:rsidRPr="00E9579F">
        <w:rPr>
          <w:rFonts w:cs="Arial"/>
          <w:bCs/>
          <w:szCs w:val="24"/>
        </w:rPr>
        <w:t xml:space="preserve">1 January </w:t>
      </w:r>
      <w:r w:rsidR="004D44F8" w:rsidRPr="00E9579F">
        <w:rPr>
          <w:rFonts w:cs="Arial"/>
          <w:bCs/>
          <w:szCs w:val="24"/>
        </w:rPr>
        <w:t>2021, a reporting period is</w:t>
      </w:r>
      <w:r w:rsidR="00CC3FCD">
        <w:rPr>
          <w:rFonts w:cs="Arial"/>
          <w:bCs/>
          <w:szCs w:val="24"/>
        </w:rPr>
        <w:t xml:space="preserve"> </w:t>
      </w:r>
      <w:r w:rsidR="004D44F8" w:rsidRPr="00E9579F">
        <w:rPr>
          <w:rFonts w:cs="Arial"/>
          <w:bCs/>
          <w:szCs w:val="24"/>
        </w:rPr>
        <w:t>one quarter.</w:t>
      </w:r>
    </w:p>
    <w:p w14:paraId="6C5A8535" w14:textId="2C495329" w:rsidR="00E65A23" w:rsidRDefault="00E65A23" w:rsidP="00464BAB">
      <w:pPr>
        <w:pStyle w:val="Heading3"/>
        <w:tabs>
          <w:tab w:val="left" w:pos="1134"/>
        </w:tabs>
        <w:rPr>
          <w:i/>
          <w:lang w:eastAsia="en-AU"/>
        </w:rPr>
      </w:pPr>
      <w:bookmarkStart w:id="48" w:name="_Toc57197618"/>
      <w:r w:rsidRPr="00706752">
        <w:t>[1.</w:t>
      </w:r>
      <w:r w:rsidR="00F824F3">
        <w:fldChar w:fldCharType="begin"/>
      </w:r>
      <w:r w:rsidR="00F824F3">
        <w:instrText xml:space="preserve"> SEQ [2.] \* ARABIC </w:instrText>
      </w:r>
      <w:r w:rsidR="00F824F3">
        <w:fldChar w:fldCharType="separate"/>
      </w:r>
      <w:r w:rsidR="009C4E16">
        <w:rPr>
          <w:noProof/>
        </w:rPr>
        <w:t>11</w:t>
      </w:r>
      <w:r w:rsidR="00F824F3">
        <w:rPr>
          <w:noProof/>
        </w:rPr>
        <w:fldChar w:fldCharType="end"/>
      </w:r>
      <w:r w:rsidRPr="00706752">
        <w:t>]</w:t>
      </w:r>
      <w:r w:rsidR="00FA0853">
        <w:tab/>
      </w:r>
      <w:r>
        <w:rPr>
          <w:lang w:eastAsia="en-AU"/>
        </w:rPr>
        <w:t>Section 3A (2)</w:t>
      </w:r>
      <w:bookmarkEnd w:id="48"/>
    </w:p>
    <w:p w14:paraId="3E30C9A3" w14:textId="6F3E45AE" w:rsidR="00F05B4B" w:rsidRDefault="00E65A23" w:rsidP="00F64FC3">
      <w:pPr>
        <w:rPr>
          <w:rFonts w:cs="Arial"/>
          <w:bCs/>
          <w:szCs w:val="24"/>
        </w:rPr>
      </w:pPr>
      <w:r>
        <w:rPr>
          <w:rFonts w:cs="Arial"/>
          <w:bCs/>
          <w:szCs w:val="24"/>
        </w:rPr>
        <w:t xml:space="preserve">This clause amends </w:t>
      </w:r>
      <w:r w:rsidR="00095BAA">
        <w:rPr>
          <w:rFonts w:cs="Arial"/>
          <w:bCs/>
          <w:szCs w:val="24"/>
        </w:rPr>
        <w:t xml:space="preserve">section 3A relating to </w:t>
      </w:r>
      <w:r w:rsidR="004D44F8">
        <w:rPr>
          <w:rFonts w:cs="Arial"/>
          <w:bCs/>
          <w:szCs w:val="24"/>
        </w:rPr>
        <w:t>the requirement</w:t>
      </w:r>
      <w:r w:rsidR="00F05B4B">
        <w:rPr>
          <w:rFonts w:cs="Arial"/>
          <w:bCs/>
          <w:szCs w:val="24"/>
        </w:rPr>
        <w:t xml:space="preserve"> for </w:t>
      </w:r>
      <w:r w:rsidR="00095BAA">
        <w:rPr>
          <w:rFonts w:cs="Arial"/>
          <w:bCs/>
          <w:szCs w:val="24"/>
        </w:rPr>
        <w:t xml:space="preserve">presentation of </w:t>
      </w:r>
      <w:r w:rsidR="00F05B4B">
        <w:rPr>
          <w:rFonts w:cs="Arial"/>
          <w:bCs/>
          <w:szCs w:val="24"/>
        </w:rPr>
        <w:t xml:space="preserve">a subordinate law or disallowable instrument made under a power given under </w:t>
      </w:r>
      <w:r>
        <w:rPr>
          <w:rFonts w:cs="Arial"/>
          <w:bCs/>
          <w:szCs w:val="24"/>
        </w:rPr>
        <w:t xml:space="preserve">the </w:t>
      </w:r>
      <w:r w:rsidR="00F05B4B">
        <w:rPr>
          <w:rFonts w:cs="Arial"/>
          <w:bCs/>
          <w:szCs w:val="24"/>
        </w:rPr>
        <w:t xml:space="preserve">COVID-19 Emergency Response Act or </w:t>
      </w:r>
      <w:r>
        <w:rPr>
          <w:rFonts w:cs="Arial"/>
          <w:bCs/>
          <w:szCs w:val="24"/>
        </w:rPr>
        <w:t xml:space="preserve">COVID-19 Emergency Response </w:t>
      </w:r>
      <w:r w:rsidR="00F05B4B">
        <w:rPr>
          <w:rFonts w:cs="Arial"/>
          <w:bCs/>
          <w:szCs w:val="24"/>
        </w:rPr>
        <w:t xml:space="preserve">Legislation Amendment </w:t>
      </w:r>
      <w:r>
        <w:rPr>
          <w:rFonts w:cs="Arial"/>
          <w:bCs/>
          <w:szCs w:val="24"/>
        </w:rPr>
        <w:t>Act</w:t>
      </w:r>
      <w:r w:rsidR="00F05B4B">
        <w:rPr>
          <w:rFonts w:cs="Arial"/>
          <w:bCs/>
          <w:szCs w:val="24"/>
        </w:rPr>
        <w:t xml:space="preserve">. </w:t>
      </w:r>
      <w:r w:rsidR="007A35AE">
        <w:rPr>
          <w:rFonts w:cs="Arial"/>
          <w:bCs/>
          <w:szCs w:val="24"/>
        </w:rPr>
        <w:t xml:space="preserve">The effect of the amendment </w:t>
      </w:r>
      <w:r w:rsidR="00095BAA">
        <w:rPr>
          <w:rFonts w:cs="Arial"/>
          <w:bCs/>
          <w:szCs w:val="24"/>
        </w:rPr>
        <w:t xml:space="preserve">is to </w:t>
      </w:r>
      <w:r w:rsidR="007A35AE">
        <w:rPr>
          <w:rFonts w:cs="Arial"/>
          <w:bCs/>
          <w:szCs w:val="24"/>
        </w:rPr>
        <w:t>give the Minister two sitting days</w:t>
      </w:r>
      <w:r w:rsidR="00650B5C">
        <w:rPr>
          <w:rFonts w:cs="Arial"/>
          <w:bCs/>
          <w:szCs w:val="24"/>
        </w:rPr>
        <w:t>, increased from one sitting day,</w:t>
      </w:r>
      <w:r w:rsidR="007A35AE">
        <w:rPr>
          <w:rFonts w:cs="Arial"/>
          <w:bCs/>
          <w:szCs w:val="24"/>
        </w:rPr>
        <w:t xml:space="preserve"> within which to present </w:t>
      </w:r>
      <w:r w:rsidR="00FA0853">
        <w:rPr>
          <w:rFonts w:cs="Arial"/>
          <w:bCs/>
          <w:szCs w:val="24"/>
        </w:rPr>
        <w:t xml:space="preserve">such </w:t>
      </w:r>
      <w:r w:rsidR="007A35AE">
        <w:rPr>
          <w:rFonts w:cs="Arial"/>
          <w:bCs/>
          <w:szCs w:val="24"/>
        </w:rPr>
        <w:t>subordinate law</w:t>
      </w:r>
      <w:r w:rsidR="00095BAA">
        <w:rPr>
          <w:rFonts w:cs="Arial"/>
          <w:bCs/>
          <w:szCs w:val="24"/>
        </w:rPr>
        <w:t>s</w:t>
      </w:r>
      <w:r w:rsidR="007A35AE">
        <w:rPr>
          <w:rFonts w:cs="Arial"/>
          <w:bCs/>
          <w:szCs w:val="24"/>
        </w:rPr>
        <w:t xml:space="preserve"> or disallowable instrument</w:t>
      </w:r>
      <w:r w:rsidR="00095BAA">
        <w:rPr>
          <w:rFonts w:cs="Arial"/>
          <w:bCs/>
          <w:szCs w:val="24"/>
        </w:rPr>
        <w:t>s</w:t>
      </w:r>
      <w:r w:rsidR="007A35AE">
        <w:rPr>
          <w:rFonts w:cs="Arial"/>
          <w:bCs/>
          <w:szCs w:val="24"/>
        </w:rPr>
        <w:t xml:space="preserve"> after</w:t>
      </w:r>
      <w:r w:rsidR="00F05B4B">
        <w:rPr>
          <w:rFonts w:cs="Arial"/>
          <w:bCs/>
          <w:szCs w:val="24"/>
        </w:rPr>
        <w:t xml:space="preserve"> the instrument has been notified on the ACT Legislation Register.</w:t>
      </w:r>
    </w:p>
    <w:p w14:paraId="1D7ED33C" w14:textId="4FA9DA5F" w:rsidR="00F05B4B" w:rsidRPr="00F05B4B" w:rsidRDefault="00095BAA" w:rsidP="00F64FC3">
      <w:pPr>
        <w:rPr>
          <w:rFonts w:cs="Arial"/>
          <w:bCs/>
          <w:szCs w:val="24"/>
        </w:rPr>
      </w:pPr>
      <w:r>
        <w:rPr>
          <w:rFonts w:cs="Arial"/>
          <w:bCs/>
          <w:szCs w:val="24"/>
        </w:rPr>
        <w:t>F</w:t>
      </w:r>
      <w:r w:rsidR="00F05B4B">
        <w:rPr>
          <w:rFonts w:cs="Arial"/>
          <w:bCs/>
          <w:szCs w:val="24"/>
        </w:rPr>
        <w:t xml:space="preserve">ailure to present the </w:t>
      </w:r>
      <w:r w:rsidR="007A35AE">
        <w:rPr>
          <w:rFonts w:cs="Arial"/>
          <w:bCs/>
          <w:szCs w:val="24"/>
        </w:rPr>
        <w:t xml:space="preserve">subordinate law or disallowable </w:t>
      </w:r>
      <w:r w:rsidR="00F05B4B">
        <w:rPr>
          <w:rFonts w:cs="Arial"/>
          <w:bCs/>
          <w:szCs w:val="24"/>
        </w:rPr>
        <w:t>instrument within the time required</w:t>
      </w:r>
      <w:r w:rsidR="007A35AE">
        <w:rPr>
          <w:rFonts w:cs="Arial"/>
          <w:bCs/>
          <w:szCs w:val="24"/>
        </w:rPr>
        <w:t xml:space="preserve"> will result in its </w:t>
      </w:r>
      <w:r w:rsidR="00F05B4B">
        <w:rPr>
          <w:rFonts w:cs="Arial"/>
          <w:bCs/>
          <w:szCs w:val="24"/>
        </w:rPr>
        <w:t xml:space="preserve">repeal under section 64 (2) of the </w:t>
      </w:r>
      <w:r w:rsidR="00F05B4B" w:rsidRPr="00F84AB7">
        <w:rPr>
          <w:rFonts w:cs="Arial"/>
          <w:bCs/>
          <w:szCs w:val="24"/>
        </w:rPr>
        <w:t>Legislation Act</w:t>
      </w:r>
      <w:r w:rsidR="00F05B4B">
        <w:rPr>
          <w:rFonts w:cs="Arial"/>
          <w:bCs/>
          <w:szCs w:val="24"/>
        </w:rPr>
        <w:t>.</w:t>
      </w:r>
      <w:r w:rsidR="00446DA9" w:rsidRPr="00446DA9">
        <w:rPr>
          <w:rFonts w:cs="Arial"/>
          <w:bCs/>
          <w:szCs w:val="24"/>
        </w:rPr>
        <w:t xml:space="preserve"> </w:t>
      </w:r>
      <w:r w:rsidR="00446DA9">
        <w:rPr>
          <w:rFonts w:cs="Arial"/>
          <w:bCs/>
          <w:szCs w:val="24"/>
        </w:rPr>
        <w:t xml:space="preserve">This </w:t>
      </w:r>
      <w:r w:rsidR="00446DA9">
        <w:rPr>
          <w:rFonts w:cs="Arial"/>
          <w:bCs/>
          <w:szCs w:val="24"/>
        </w:rPr>
        <w:lastRenderedPageBreak/>
        <w:t xml:space="preserve">amendment reduces the risk of repeal of the </w:t>
      </w:r>
      <w:r w:rsidR="00A50465">
        <w:rPr>
          <w:rFonts w:cs="Arial"/>
          <w:bCs/>
          <w:szCs w:val="24"/>
        </w:rPr>
        <w:t xml:space="preserve">subordinate law or </w:t>
      </w:r>
      <w:r w:rsidR="0022554F">
        <w:rPr>
          <w:rFonts w:cs="Arial"/>
          <w:bCs/>
          <w:szCs w:val="24"/>
        </w:rPr>
        <w:t xml:space="preserve">disallowable </w:t>
      </w:r>
      <w:r w:rsidR="00446DA9">
        <w:rPr>
          <w:rFonts w:cs="Arial"/>
          <w:bCs/>
          <w:szCs w:val="24"/>
        </w:rPr>
        <w:t xml:space="preserve">instrument due to administrative oversight as a result of a </w:t>
      </w:r>
      <w:r>
        <w:rPr>
          <w:rFonts w:cs="Arial"/>
          <w:bCs/>
          <w:szCs w:val="24"/>
        </w:rPr>
        <w:t xml:space="preserve">highly </w:t>
      </w:r>
      <w:r w:rsidR="00446DA9">
        <w:rPr>
          <w:rFonts w:cs="Arial"/>
          <w:bCs/>
          <w:szCs w:val="24"/>
        </w:rPr>
        <w:t>restricted timeframe.</w:t>
      </w:r>
    </w:p>
    <w:p w14:paraId="4E5B0D5C" w14:textId="74631108" w:rsidR="0022554F" w:rsidRPr="008D4BA9" w:rsidRDefault="0022554F" w:rsidP="0022554F">
      <w:pPr>
        <w:pStyle w:val="Heading2"/>
        <w:rPr>
          <w:rFonts w:cs="Arial"/>
          <w:b w:val="0"/>
          <w:szCs w:val="24"/>
        </w:rPr>
      </w:pPr>
      <w:bookmarkStart w:id="49" w:name="_Toc57197619"/>
      <w:r w:rsidRPr="008D4BA9">
        <w:rPr>
          <w:rFonts w:cs="Arial"/>
          <w:szCs w:val="24"/>
        </w:rPr>
        <w:t>Part 1.</w:t>
      </w:r>
      <w:r w:rsidR="00D83176">
        <w:rPr>
          <w:rFonts w:cs="Arial"/>
          <w:szCs w:val="24"/>
        </w:rPr>
        <w:t>5</w:t>
      </w:r>
      <w:r w:rsidR="002B423A">
        <w:rPr>
          <w:rFonts w:cs="Arial"/>
          <w:szCs w:val="24"/>
        </w:rPr>
        <w:tab/>
      </w:r>
      <w:r>
        <w:rPr>
          <w:rFonts w:cs="Arial"/>
          <w:szCs w:val="24"/>
          <w:lang w:eastAsia="en-AU"/>
        </w:rPr>
        <w:t>Crimes Act 1900</w:t>
      </w:r>
      <w:bookmarkEnd w:id="49"/>
    </w:p>
    <w:p w14:paraId="161C5299" w14:textId="27066270" w:rsidR="0022554F" w:rsidRDefault="0022554F" w:rsidP="00464BAB">
      <w:pPr>
        <w:pStyle w:val="Heading3"/>
        <w:tabs>
          <w:tab w:val="left" w:pos="1134"/>
        </w:tabs>
        <w:rPr>
          <w:rFonts w:cs="Arial"/>
          <w:i/>
          <w:iCs/>
          <w:lang w:eastAsia="en-AU"/>
        </w:rPr>
      </w:pPr>
      <w:bookmarkStart w:id="50" w:name="_Toc57197620"/>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12</w:t>
      </w:r>
      <w:r w:rsidRPr="00706752">
        <w:rPr>
          <w:rFonts w:cs="Arial"/>
          <w:i/>
          <w:iCs/>
        </w:rPr>
        <w:fldChar w:fldCharType="end"/>
      </w:r>
      <w:r w:rsidRPr="00706752">
        <w:rPr>
          <w:rFonts w:cs="Arial"/>
          <w:iCs/>
        </w:rPr>
        <w:t>]</w:t>
      </w:r>
      <w:r w:rsidR="002B423A">
        <w:rPr>
          <w:rFonts w:cs="Arial"/>
          <w:iCs/>
        </w:rPr>
        <w:tab/>
      </w:r>
      <w:r>
        <w:rPr>
          <w:rFonts w:cs="Arial"/>
          <w:iCs/>
          <w:lang w:eastAsia="en-AU"/>
        </w:rPr>
        <w:t>Section 194A (7)</w:t>
      </w:r>
      <w:bookmarkEnd w:id="50"/>
    </w:p>
    <w:p w14:paraId="579978B2" w14:textId="30CC028B" w:rsidR="0022554F" w:rsidRDefault="0022554F" w:rsidP="0022554F">
      <w:pPr>
        <w:rPr>
          <w:rFonts w:cs="Arial"/>
          <w:bCs/>
          <w:szCs w:val="24"/>
        </w:rPr>
      </w:pPr>
      <w:r>
        <w:rPr>
          <w:rFonts w:cs="Arial"/>
          <w:bCs/>
          <w:szCs w:val="24"/>
        </w:rPr>
        <w:t xml:space="preserve">This clause </w:t>
      </w:r>
      <w:r w:rsidR="00095BAA">
        <w:rPr>
          <w:rFonts w:cs="Arial"/>
          <w:bCs/>
          <w:szCs w:val="24"/>
        </w:rPr>
        <w:t xml:space="preserve">substitutes a new subsection 194A (7) to </w:t>
      </w:r>
      <w:r>
        <w:rPr>
          <w:rFonts w:cs="Arial"/>
          <w:bCs/>
          <w:szCs w:val="24"/>
        </w:rPr>
        <w:t xml:space="preserve">amend the expiry of section 194A of the Crimes Act to the day the </w:t>
      </w:r>
      <w:r w:rsidRPr="001426A5">
        <w:rPr>
          <w:rFonts w:cs="Arial"/>
          <w:bCs/>
          <w:szCs w:val="24"/>
        </w:rPr>
        <w:t xml:space="preserve">COVID-19 Emergency Response Act </w:t>
      </w:r>
      <w:r>
        <w:rPr>
          <w:rFonts w:cs="Arial"/>
          <w:bCs/>
          <w:szCs w:val="24"/>
        </w:rPr>
        <w:t>expires, which is at the end of a 12-month period during which no COVID-19 declaration has been in force.</w:t>
      </w:r>
    </w:p>
    <w:p w14:paraId="2A570243" w14:textId="31936A5D" w:rsidR="00095BAA" w:rsidRDefault="00D83176" w:rsidP="00095BAA">
      <w:pPr>
        <w:rPr>
          <w:rFonts w:cs="Arial"/>
          <w:bCs/>
          <w:szCs w:val="24"/>
        </w:rPr>
      </w:pPr>
      <w:r>
        <w:rPr>
          <w:rFonts w:cs="Arial"/>
          <w:bCs/>
          <w:szCs w:val="24"/>
        </w:rPr>
        <w:t>The measure</w:t>
      </w:r>
      <w:r w:rsidR="00095BAA">
        <w:rPr>
          <w:rFonts w:cs="Arial"/>
          <w:bCs/>
          <w:szCs w:val="24"/>
        </w:rPr>
        <w:t xml:space="preserve"> in section 194A</w:t>
      </w:r>
      <w:r>
        <w:rPr>
          <w:rFonts w:cs="Arial"/>
          <w:bCs/>
          <w:szCs w:val="24"/>
        </w:rPr>
        <w:t xml:space="preserve"> </w:t>
      </w:r>
      <w:r w:rsidR="00C02764" w:rsidRPr="00095BAA">
        <w:rPr>
          <w:rFonts w:cs="Arial"/>
          <w:bCs/>
          <w:szCs w:val="24"/>
        </w:rPr>
        <w:t xml:space="preserve">allows sworn warrants to be applied for and transmitted electronically and </w:t>
      </w:r>
      <w:r w:rsidR="00E70CE8">
        <w:rPr>
          <w:rFonts w:cs="Arial"/>
          <w:bCs/>
          <w:szCs w:val="24"/>
        </w:rPr>
        <w:t>is</w:t>
      </w:r>
      <w:r>
        <w:rPr>
          <w:rFonts w:cs="Arial"/>
          <w:bCs/>
          <w:szCs w:val="24"/>
        </w:rPr>
        <w:t xml:space="preserve"> due to expire </w:t>
      </w:r>
      <w:r w:rsidR="00C02764">
        <w:rPr>
          <w:rFonts w:cs="Arial"/>
          <w:bCs/>
          <w:szCs w:val="24"/>
        </w:rPr>
        <w:t>the first day no COVID-19 emergency is in force</w:t>
      </w:r>
      <w:r>
        <w:rPr>
          <w:rFonts w:cs="Arial"/>
          <w:bCs/>
          <w:szCs w:val="24"/>
        </w:rPr>
        <w:t xml:space="preserve">. </w:t>
      </w:r>
      <w:bookmarkStart w:id="51" w:name="_Hlk57133305"/>
      <w:r w:rsidR="0048134C">
        <w:rPr>
          <w:rFonts w:cs="Arial"/>
          <w:bCs/>
          <w:szCs w:val="24"/>
        </w:rPr>
        <w:t>T</w:t>
      </w:r>
      <w:r w:rsidR="00095BAA">
        <w:rPr>
          <w:rFonts w:cs="Arial"/>
          <w:bCs/>
          <w:szCs w:val="24"/>
        </w:rPr>
        <w:t xml:space="preserve">he </w:t>
      </w:r>
      <w:r w:rsidR="0048134C">
        <w:rPr>
          <w:rFonts w:cs="Arial"/>
          <w:bCs/>
          <w:szCs w:val="24"/>
        </w:rPr>
        <w:t xml:space="preserve">new </w:t>
      </w:r>
      <w:r w:rsidR="00095BAA">
        <w:rPr>
          <w:rFonts w:cs="Arial"/>
          <w:bCs/>
          <w:szCs w:val="24"/>
        </w:rPr>
        <w:t xml:space="preserve">expiry </w:t>
      </w:r>
      <w:r w:rsidR="0048134C">
        <w:rPr>
          <w:rFonts w:cs="Arial"/>
          <w:bCs/>
          <w:szCs w:val="24"/>
        </w:rPr>
        <w:t xml:space="preserve">provision </w:t>
      </w:r>
      <w:r w:rsidR="00095BAA">
        <w:rPr>
          <w:rFonts w:cs="Arial"/>
          <w:bCs/>
          <w:szCs w:val="24"/>
        </w:rPr>
        <w:t xml:space="preserve">allows the measure to remain in the Act after a COVID-19 emergency declaration is no longer in force, for </w:t>
      </w:r>
      <w:r w:rsidR="0048134C">
        <w:rPr>
          <w:rFonts w:cs="Arial"/>
          <w:bCs/>
          <w:szCs w:val="24"/>
        </w:rPr>
        <w:t>a period of</w:t>
      </w:r>
      <w:r w:rsidR="00095BAA">
        <w:rPr>
          <w:rFonts w:cs="Arial"/>
          <w:bCs/>
          <w:szCs w:val="24"/>
        </w:rPr>
        <w:t xml:space="preserve"> 12 months.</w:t>
      </w:r>
      <w:r w:rsidR="00CC3FCD">
        <w:rPr>
          <w:rFonts w:cs="Arial"/>
          <w:bCs/>
          <w:szCs w:val="24"/>
        </w:rPr>
        <w:t xml:space="preserve"> </w:t>
      </w:r>
      <w:r w:rsidR="00095BAA">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bookmarkEnd w:id="51"/>
    </w:p>
    <w:p w14:paraId="1015980D" w14:textId="13667292" w:rsidR="00293A21" w:rsidRDefault="0048134C" w:rsidP="00293A21">
      <w:pPr>
        <w:rPr>
          <w:rFonts w:cs="Arial"/>
          <w:bCs/>
          <w:szCs w:val="24"/>
        </w:rPr>
      </w:pPr>
      <w:r>
        <w:rPr>
          <w:rFonts w:cs="Arial"/>
          <w:bCs/>
          <w:szCs w:val="24"/>
        </w:rPr>
        <w:t xml:space="preserve">This amendment </w:t>
      </w:r>
      <w:r w:rsidR="00293A21">
        <w:rPr>
          <w:rFonts w:cs="Arial"/>
          <w:bCs/>
          <w:szCs w:val="24"/>
        </w:rPr>
        <w:t>will allow</w:t>
      </w:r>
      <w:r w:rsidR="0022554F">
        <w:t xml:space="preserve"> for alternative, COVID-19</w:t>
      </w:r>
      <w:r w:rsidR="00053C27">
        <w:t xml:space="preserve"> safe</w:t>
      </w:r>
      <w:r w:rsidR="0022554F">
        <w:t xml:space="preserve"> procedures for the application for and issuing of search warrants </w:t>
      </w:r>
      <w:r w:rsidR="00B4333D">
        <w:rPr>
          <w:rFonts w:cs="Arial"/>
          <w:szCs w:val="24"/>
        </w:rPr>
        <w:t xml:space="preserve">during </w:t>
      </w:r>
      <w:r w:rsidR="0022554F" w:rsidRPr="00C62635">
        <w:rPr>
          <w:rFonts w:cs="Arial"/>
          <w:szCs w:val="24"/>
        </w:rPr>
        <w:t>a COVID-19 emergency.</w:t>
      </w:r>
      <w:r w:rsidR="00293A21">
        <w:rPr>
          <w:rFonts w:cs="Arial"/>
          <w:szCs w:val="24"/>
        </w:rPr>
        <w:t xml:space="preserve"> </w:t>
      </w:r>
      <w:r w:rsidR="00293A21">
        <w:rPr>
          <w:rFonts w:cs="Arial"/>
          <w:bCs/>
          <w:szCs w:val="24"/>
        </w:rPr>
        <w:t xml:space="preserve">The Explanatory Statement to the COVID-19 Emergency Response Legislation Amendment Bill </w:t>
      </w:r>
      <w:r w:rsidR="00053C27">
        <w:rPr>
          <w:rFonts w:cs="Arial"/>
          <w:bCs/>
          <w:szCs w:val="24"/>
        </w:rPr>
        <w:t>further details</w:t>
      </w:r>
      <w:r w:rsidR="00293A21">
        <w:rPr>
          <w:rFonts w:cs="Arial"/>
          <w:bCs/>
          <w:szCs w:val="24"/>
        </w:rPr>
        <w:t xml:space="preserve"> this measure.</w:t>
      </w:r>
    </w:p>
    <w:p w14:paraId="1AD8B90A" w14:textId="19938F3E" w:rsidR="007F629B" w:rsidRPr="008D4BA9" w:rsidRDefault="007F629B" w:rsidP="00B93FED">
      <w:pPr>
        <w:pStyle w:val="Heading2"/>
        <w:rPr>
          <w:rFonts w:cs="Arial"/>
          <w:b w:val="0"/>
          <w:szCs w:val="24"/>
        </w:rPr>
      </w:pPr>
      <w:bookmarkStart w:id="52" w:name="_Toc57197621"/>
      <w:r w:rsidRPr="008D4BA9">
        <w:rPr>
          <w:rFonts w:cs="Arial"/>
          <w:szCs w:val="24"/>
        </w:rPr>
        <w:t>Part 1.</w:t>
      </w:r>
      <w:r w:rsidR="00CB6DAE">
        <w:rPr>
          <w:rFonts w:cs="Arial"/>
          <w:szCs w:val="24"/>
        </w:rPr>
        <w:t>6</w:t>
      </w:r>
      <w:r w:rsidR="00772935">
        <w:rPr>
          <w:rFonts w:cs="Arial"/>
          <w:szCs w:val="24"/>
        </w:rPr>
        <w:tab/>
      </w:r>
      <w:r>
        <w:rPr>
          <w:rFonts w:cs="Arial"/>
          <w:szCs w:val="24"/>
          <w:lang w:eastAsia="en-AU"/>
        </w:rPr>
        <w:t>Crimes (Sentence Administration) Act 2005</w:t>
      </w:r>
      <w:bookmarkEnd w:id="52"/>
    </w:p>
    <w:p w14:paraId="215530F9" w14:textId="69C4BE73" w:rsidR="00E7006B" w:rsidRDefault="00E7006B" w:rsidP="00E7006B">
      <w:pPr>
        <w:pStyle w:val="Heading3"/>
        <w:tabs>
          <w:tab w:val="left" w:pos="1134"/>
        </w:tabs>
        <w:rPr>
          <w:rFonts w:cs="Arial"/>
          <w:iCs/>
          <w:lang w:eastAsia="en-AU"/>
        </w:rPr>
      </w:pPr>
      <w:bookmarkStart w:id="53" w:name="_Toc57197622"/>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13</w:t>
      </w:r>
      <w:r w:rsidRPr="00706752">
        <w:rPr>
          <w:rFonts w:cs="Arial"/>
          <w:i/>
          <w:iCs/>
        </w:rPr>
        <w:fldChar w:fldCharType="end"/>
      </w:r>
      <w:r w:rsidRPr="00706752">
        <w:rPr>
          <w:rFonts w:cs="Arial"/>
          <w:iCs/>
        </w:rPr>
        <w:t>]</w:t>
      </w:r>
      <w:r>
        <w:rPr>
          <w:rFonts w:cs="Arial"/>
          <w:iCs/>
        </w:rPr>
        <w:tab/>
      </w:r>
      <w:r>
        <w:rPr>
          <w:rFonts w:cs="Arial"/>
          <w:iCs/>
          <w:lang w:eastAsia="en-AU"/>
        </w:rPr>
        <w:t>Section 182 (2A) and (2B)</w:t>
      </w:r>
      <w:bookmarkEnd w:id="53"/>
    </w:p>
    <w:p w14:paraId="30E51ADD" w14:textId="387C7F0A" w:rsidR="00E7006B" w:rsidRDefault="007215B8" w:rsidP="00E7006B">
      <w:pPr>
        <w:rPr>
          <w:lang w:eastAsia="en-AU"/>
        </w:rPr>
      </w:pPr>
      <w:r>
        <w:rPr>
          <w:lang w:eastAsia="en-AU"/>
        </w:rPr>
        <w:t>This clause repeals subsections 182 (2A) and (2B) of the Crimes (Sentence Administration) Act. Th</w:t>
      </w:r>
      <w:r w:rsidR="00B4333D">
        <w:rPr>
          <w:lang w:eastAsia="en-AU"/>
        </w:rPr>
        <w:t xml:space="preserve">e </w:t>
      </w:r>
      <w:r>
        <w:rPr>
          <w:lang w:eastAsia="en-AU"/>
        </w:rPr>
        <w:t>measure</w:t>
      </w:r>
      <w:r w:rsidR="00B4333D">
        <w:rPr>
          <w:lang w:eastAsia="en-AU"/>
        </w:rPr>
        <w:t xml:space="preserve"> established by these provisions</w:t>
      </w:r>
      <w:r w:rsidR="00E9579F">
        <w:rPr>
          <w:lang w:eastAsia="en-AU"/>
        </w:rPr>
        <w:t xml:space="preserve"> </w:t>
      </w:r>
      <w:r>
        <w:rPr>
          <w:lang w:eastAsia="en-AU"/>
        </w:rPr>
        <w:t>permit</w:t>
      </w:r>
      <w:r w:rsidR="00E9579F">
        <w:rPr>
          <w:lang w:eastAsia="en-AU"/>
        </w:rPr>
        <w:t xml:space="preserve">s </w:t>
      </w:r>
      <w:r>
        <w:rPr>
          <w:lang w:eastAsia="en-AU"/>
        </w:rPr>
        <w:t>a single judicial officer to exercise a supervisory function</w:t>
      </w:r>
      <w:r w:rsidR="00B4333D">
        <w:rPr>
          <w:lang w:eastAsia="en-AU"/>
        </w:rPr>
        <w:t xml:space="preserve"> of the Sentence Administration Board</w:t>
      </w:r>
      <w:r>
        <w:rPr>
          <w:lang w:eastAsia="en-AU"/>
        </w:rPr>
        <w:t xml:space="preserve"> </w:t>
      </w:r>
      <w:r w:rsidR="0022073A">
        <w:rPr>
          <w:lang w:eastAsia="en-AU"/>
        </w:rPr>
        <w:t>in relation to intensive correction orders or parole</w:t>
      </w:r>
      <w:r w:rsidR="00E10517">
        <w:rPr>
          <w:lang w:eastAsia="en-AU"/>
        </w:rPr>
        <w:t>,</w:t>
      </w:r>
      <w:r w:rsidR="0022073A">
        <w:rPr>
          <w:lang w:eastAsia="en-AU"/>
        </w:rPr>
        <w:t xml:space="preserve"> during a COVID-19 emergency</w:t>
      </w:r>
      <w:r w:rsidR="00E9579F">
        <w:rPr>
          <w:lang w:eastAsia="en-AU"/>
        </w:rPr>
        <w:t xml:space="preserve">. The measure </w:t>
      </w:r>
      <w:r>
        <w:rPr>
          <w:lang w:eastAsia="en-AU"/>
        </w:rPr>
        <w:t xml:space="preserve">is no longer </w:t>
      </w:r>
      <w:r w:rsidR="0022073A">
        <w:rPr>
          <w:lang w:eastAsia="en-AU"/>
        </w:rPr>
        <w:t>required</w:t>
      </w:r>
      <w:r>
        <w:rPr>
          <w:lang w:eastAsia="en-AU"/>
        </w:rPr>
        <w:t xml:space="preserve"> </w:t>
      </w:r>
      <w:r w:rsidR="00E9579F">
        <w:rPr>
          <w:lang w:eastAsia="en-AU"/>
        </w:rPr>
        <w:t xml:space="preserve">as </w:t>
      </w:r>
      <w:r>
        <w:rPr>
          <w:lang w:eastAsia="en-AU"/>
        </w:rPr>
        <w:t xml:space="preserve">the Sentence Administration Board </w:t>
      </w:r>
      <w:r w:rsidR="00E9579F">
        <w:rPr>
          <w:lang w:eastAsia="en-AU"/>
        </w:rPr>
        <w:t xml:space="preserve">has adopted arrangements </w:t>
      </w:r>
      <w:r>
        <w:rPr>
          <w:lang w:eastAsia="en-AU"/>
        </w:rPr>
        <w:t xml:space="preserve">to meet by audiovisual link </w:t>
      </w:r>
      <w:r w:rsidR="00E9579F">
        <w:rPr>
          <w:lang w:eastAsia="en-AU"/>
        </w:rPr>
        <w:t xml:space="preserve">if required in order to continue </w:t>
      </w:r>
      <w:r>
        <w:rPr>
          <w:lang w:eastAsia="en-AU"/>
        </w:rPr>
        <w:t xml:space="preserve">to carry out </w:t>
      </w:r>
      <w:r w:rsidR="0022073A">
        <w:rPr>
          <w:lang w:eastAsia="en-AU"/>
        </w:rPr>
        <w:t xml:space="preserve">its </w:t>
      </w:r>
      <w:r>
        <w:rPr>
          <w:lang w:eastAsia="en-AU"/>
        </w:rPr>
        <w:t>functions.</w:t>
      </w:r>
    </w:p>
    <w:p w14:paraId="13375A21" w14:textId="54F4F35C" w:rsidR="007215B8" w:rsidRDefault="007215B8" w:rsidP="007215B8">
      <w:pPr>
        <w:pStyle w:val="Heading3"/>
        <w:tabs>
          <w:tab w:val="left" w:pos="1134"/>
        </w:tabs>
        <w:rPr>
          <w:rFonts w:cs="Arial"/>
          <w:i/>
          <w:iCs/>
          <w:lang w:eastAsia="en-AU"/>
        </w:rPr>
      </w:pPr>
      <w:bookmarkStart w:id="54" w:name="_Toc57197623"/>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14</w:t>
      </w:r>
      <w:r w:rsidRPr="00706752">
        <w:rPr>
          <w:rFonts w:cs="Arial"/>
          <w:i/>
          <w:iCs/>
        </w:rPr>
        <w:fldChar w:fldCharType="end"/>
      </w:r>
      <w:r w:rsidRPr="00706752">
        <w:rPr>
          <w:rFonts w:cs="Arial"/>
          <w:iCs/>
        </w:rPr>
        <w:t>]</w:t>
      </w:r>
      <w:r>
        <w:rPr>
          <w:rFonts w:cs="Arial"/>
          <w:iCs/>
        </w:rPr>
        <w:tab/>
      </w:r>
      <w:r>
        <w:rPr>
          <w:rFonts w:cs="Arial"/>
          <w:iCs/>
          <w:lang w:eastAsia="en-AU"/>
        </w:rPr>
        <w:t>Section 185 (1A) and note</w:t>
      </w:r>
      <w:bookmarkEnd w:id="54"/>
    </w:p>
    <w:p w14:paraId="72C8EDBC" w14:textId="1A627B9B" w:rsidR="00E7006B" w:rsidRPr="00E7006B" w:rsidRDefault="007215B8" w:rsidP="00C34236">
      <w:r>
        <w:rPr>
          <w:lang w:eastAsia="en-AU"/>
        </w:rPr>
        <w:t>This clause repeals subsection 185 (1A) and note of the Crimes (Sentence Administration) Act. Th</w:t>
      </w:r>
      <w:r w:rsidR="00C34236">
        <w:rPr>
          <w:lang w:eastAsia="en-AU"/>
        </w:rPr>
        <w:t>e</w:t>
      </w:r>
      <w:r>
        <w:rPr>
          <w:lang w:eastAsia="en-AU"/>
        </w:rPr>
        <w:t xml:space="preserve"> measure</w:t>
      </w:r>
      <w:r w:rsidR="00C34236">
        <w:rPr>
          <w:lang w:eastAsia="en-AU"/>
        </w:rPr>
        <w:t xml:space="preserve"> established by this provision</w:t>
      </w:r>
      <w:r w:rsidR="00E9579F">
        <w:rPr>
          <w:lang w:eastAsia="en-AU"/>
        </w:rPr>
        <w:t xml:space="preserve"> </w:t>
      </w:r>
      <w:r>
        <w:rPr>
          <w:lang w:eastAsia="en-AU"/>
        </w:rPr>
        <w:t>permit</w:t>
      </w:r>
      <w:r w:rsidR="00E9579F">
        <w:rPr>
          <w:lang w:eastAsia="en-AU"/>
        </w:rPr>
        <w:t>s</w:t>
      </w:r>
      <w:r>
        <w:rPr>
          <w:lang w:eastAsia="en-AU"/>
        </w:rPr>
        <w:t xml:space="preserve"> a single judicial officer to </w:t>
      </w:r>
      <w:r w:rsidR="00C34236">
        <w:rPr>
          <w:lang w:eastAsia="en-AU"/>
        </w:rPr>
        <w:t xml:space="preserve">constitute a </w:t>
      </w:r>
      <w:r w:rsidR="0022073A">
        <w:rPr>
          <w:lang w:eastAsia="en-AU"/>
        </w:rPr>
        <w:t xml:space="preserve">quorum at </w:t>
      </w:r>
      <w:r w:rsidR="00C34236">
        <w:rPr>
          <w:lang w:eastAsia="en-AU"/>
        </w:rPr>
        <w:t>meetings of the Sentence Administration B</w:t>
      </w:r>
      <w:r w:rsidR="0022073A">
        <w:rPr>
          <w:lang w:eastAsia="en-AU"/>
        </w:rPr>
        <w:t>oard</w:t>
      </w:r>
      <w:r w:rsidR="00C34236">
        <w:rPr>
          <w:lang w:eastAsia="en-AU"/>
        </w:rPr>
        <w:t xml:space="preserve"> during a COVID-19 emergency</w:t>
      </w:r>
      <w:r w:rsidR="00E9579F">
        <w:rPr>
          <w:lang w:eastAsia="en-AU"/>
        </w:rPr>
        <w:t>. The measure is no longer required as the Sentence Administration Board has adopted arrangements to meet by audiovisual link if required in order to continue to carry out its functions.</w:t>
      </w:r>
    </w:p>
    <w:p w14:paraId="073F6EEE" w14:textId="7047B6DE" w:rsidR="007F629B" w:rsidRDefault="007F629B" w:rsidP="00293A21">
      <w:pPr>
        <w:pStyle w:val="Heading3"/>
        <w:tabs>
          <w:tab w:val="left" w:pos="1134"/>
        </w:tabs>
        <w:rPr>
          <w:rFonts w:cs="Arial"/>
          <w:i/>
          <w:iCs/>
          <w:lang w:eastAsia="en-AU"/>
        </w:rPr>
      </w:pPr>
      <w:bookmarkStart w:id="55" w:name="_Toc57197624"/>
      <w:r w:rsidRPr="00706752">
        <w:rPr>
          <w:rFonts w:cs="Arial"/>
          <w:iCs/>
        </w:rPr>
        <w:lastRenderedPageBreak/>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15</w:t>
      </w:r>
      <w:r w:rsidRPr="00706752">
        <w:rPr>
          <w:rFonts w:cs="Arial"/>
          <w:i/>
          <w:iCs/>
        </w:rPr>
        <w:fldChar w:fldCharType="end"/>
      </w:r>
      <w:r w:rsidRPr="00706752">
        <w:rPr>
          <w:rFonts w:cs="Arial"/>
          <w:iCs/>
        </w:rPr>
        <w:t>]</w:t>
      </w:r>
      <w:r w:rsidR="00772935">
        <w:rPr>
          <w:rFonts w:cs="Arial"/>
          <w:iCs/>
        </w:rPr>
        <w:tab/>
      </w:r>
      <w:r>
        <w:rPr>
          <w:rFonts w:cs="Arial"/>
          <w:iCs/>
          <w:lang w:eastAsia="en-AU"/>
        </w:rPr>
        <w:t>Section 322A</w:t>
      </w:r>
      <w:bookmarkEnd w:id="55"/>
    </w:p>
    <w:p w14:paraId="368FCB01" w14:textId="19100A78" w:rsidR="00772935" w:rsidRDefault="007F629B" w:rsidP="00772935">
      <w:pPr>
        <w:rPr>
          <w:rFonts w:cs="Arial"/>
          <w:bCs/>
          <w:szCs w:val="24"/>
        </w:rPr>
      </w:pPr>
      <w:r>
        <w:rPr>
          <w:rFonts w:cs="Arial"/>
          <w:bCs/>
          <w:szCs w:val="24"/>
        </w:rPr>
        <w:t>This clause amends</w:t>
      </w:r>
      <w:r w:rsidR="00C34236">
        <w:rPr>
          <w:rFonts w:cs="Arial"/>
          <w:bCs/>
          <w:szCs w:val="24"/>
        </w:rPr>
        <w:t xml:space="preserve"> section 322A to provide for</w:t>
      </w:r>
      <w:r>
        <w:rPr>
          <w:rFonts w:cs="Arial"/>
          <w:bCs/>
          <w:szCs w:val="24"/>
        </w:rPr>
        <w:t xml:space="preserve"> the expiry of </w:t>
      </w:r>
      <w:r w:rsidRPr="00536698">
        <w:rPr>
          <w:rFonts w:cs="Arial"/>
          <w:bCs/>
          <w:szCs w:val="24"/>
        </w:rPr>
        <w:t xml:space="preserve">sections 47A, </w:t>
      </w:r>
      <w:r w:rsidRPr="00772935">
        <w:rPr>
          <w:rFonts w:cs="Arial"/>
          <w:bCs/>
          <w:szCs w:val="24"/>
        </w:rPr>
        <w:t>59A, 62 (2) (d), 64 (3A), 92A, 102A,</w:t>
      </w:r>
      <w:r w:rsidR="00970A3F">
        <w:rPr>
          <w:rFonts w:cs="Arial"/>
          <w:bCs/>
          <w:szCs w:val="24"/>
        </w:rPr>
        <w:t xml:space="preserve"> </w:t>
      </w:r>
      <w:r w:rsidRPr="00880B77">
        <w:rPr>
          <w:rFonts w:cs="Arial"/>
          <w:bCs/>
          <w:szCs w:val="24"/>
        </w:rPr>
        <w:t>126 (2A)</w:t>
      </w:r>
      <w:r w:rsidR="00970A3F" w:rsidRPr="00880B77">
        <w:rPr>
          <w:rFonts w:cs="Arial"/>
          <w:bCs/>
          <w:szCs w:val="24"/>
        </w:rPr>
        <w:t xml:space="preserve"> and</w:t>
      </w:r>
      <w:r w:rsidR="00293A21" w:rsidRPr="00880B77">
        <w:rPr>
          <w:rFonts w:cs="Arial"/>
          <w:bCs/>
          <w:szCs w:val="24"/>
        </w:rPr>
        <w:t xml:space="preserve"> </w:t>
      </w:r>
      <w:r w:rsidRPr="00880B77">
        <w:rPr>
          <w:rFonts w:cs="Arial"/>
          <w:bCs/>
          <w:szCs w:val="24"/>
        </w:rPr>
        <w:t>(2B), 127 (2A),</w:t>
      </w:r>
      <w:r w:rsidRPr="00772935">
        <w:rPr>
          <w:rFonts w:cs="Arial"/>
          <w:bCs/>
          <w:szCs w:val="24"/>
        </w:rPr>
        <w:t xml:space="preserve"> 143A, 322AA, </w:t>
      </w:r>
      <w:r w:rsidR="00772935" w:rsidRPr="00772935">
        <w:rPr>
          <w:rFonts w:cs="Arial"/>
          <w:bCs/>
          <w:szCs w:val="24"/>
        </w:rPr>
        <w:t xml:space="preserve">322A, </w:t>
      </w:r>
      <w:r w:rsidRPr="00772935">
        <w:rPr>
          <w:rFonts w:cs="Arial"/>
          <w:bCs/>
          <w:szCs w:val="24"/>
        </w:rPr>
        <w:t xml:space="preserve">and the dictionary definition of </w:t>
      </w:r>
      <w:r w:rsidR="00293A21">
        <w:rPr>
          <w:rFonts w:cs="Arial"/>
          <w:bCs/>
          <w:szCs w:val="24"/>
        </w:rPr>
        <w:t>‘</w:t>
      </w:r>
      <w:r w:rsidRPr="00772935">
        <w:rPr>
          <w:rFonts w:cs="Arial"/>
          <w:bCs/>
          <w:szCs w:val="24"/>
        </w:rPr>
        <w:t>COVID-19 emergency</w:t>
      </w:r>
      <w:r w:rsidR="00293A21">
        <w:rPr>
          <w:rFonts w:cs="Arial"/>
          <w:bCs/>
          <w:szCs w:val="24"/>
        </w:rPr>
        <w:t>’</w:t>
      </w:r>
      <w:r w:rsidR="00E10517">
        <w:rPr>
          <w:rFonts w:cs="Arial"/>
          <w:bCs/>
          <w:szCs w:val="24"/>
        </w:rPr>
        <w:t xml:space="preserve"> of the Crimes (Sentence Administration) Act</w:t>
      </w:r>
      <w:r w:rsidR="0048134C">
        <w:rPr>
          <w:rFonts w:cs="Arial"/>
          <w:bCs/>
          <w:szCs w:val="24"/>
        </w:rPr>
        <w:t xml:space="preserve"> </w:t>
      </w:r>
      <w:r w:rsidR="00772935" w:rsidRPr="00772935">
        <w:rPr>
          <w:rFonts w:cs="Arial"/>
          <w:bCs/>
          <w:szCs w:val="24"/>
        </w:rPr>
        <w:t>on the day the COVID-19 Emergency Response</w:t>
      </w:r>
      <w:r w:rsidR="00772935" w:rsidRPr="001426A5">
        <w:rPr>
          <w:rFonts w:cs="Arial"/>
          <w:bCs/>
          <w:szCs w:val="24"/>
        </w:rPr>
        <w:t xml:space="preserve"> Act </w:t>
      </w:r>
      <w:r w:rsidR="00772935">
        <w:rPr>
          <w:rFonts w:cs="Arial"/>
          <w:bCs/>
          <w:szCs w:val="24"/>
        </w:rPr>
        <w:t>expires, which is at the end of a 12-month period during which no COVID-19 declaration has been in force.</w:t>
      </w:r>
    </w:p>
    <w:p w14:paraId="6704D4E5" w14:textId="5C460A5A" w:rsidR="00872EBC" w:rsidRDefault="00872EBC" w:rsidP="00772935">
      <w:pPr>
        <w:rPr>
          <w:rFonts w:cs="Arial"/>
          <w:bCs/>
          <w:szCs w:val="24"/>
        </w:rPr>
      </w:pPr>
      <w:r>
        <w:rPr>
          <w:rFonts w:cs="Arial"/>
          <w:bCs/>
          <w:szCs w:val="24"/>
        </w:rPr>
        <w:t xml:space="preserve">The measures </w:t>
      </w:r>
      <w:r w:rsidR="00C34236">
        <w:rPr>
          <w:rFonts w:cs="Arial"/>
          <w:bCs/>
          <w:szCs w:val="24"/>
        </w:rPr>
        <w:t>concerned provide for</w:t>
      </w:r>
      <w:r>
        <w:rPr>
          <w:rFonts w:cs="Arial"/>
          <w:bCs/>
          <w:szCs w:val="24"/>
        </w:rPr>
        <w:t>:</w:t>
      </w:r>
    </w:p>
    <w:p w14:paraId="47681CAC" w14:textId="773A8012" w:rsidR="00B92A47" w:rsidRDefault="00872EBC" w:rsidP="00711B6E">
      <w:pPr>
        <w:pStyle w:val="ListParagraph"/>
        <w:numPr>
          <w:ilvl w:val="0"/>
          <w:numId w:val="25"/>
        </w:numPr>
        <w:rPr>
          <w:rFonts w:cs="Arial"/>
          <w:bCs/>
          <w:sz w:val="24"/>
          <w:szCs w:val="24"/>
        </w:rPr>
      </w:pPr>
      <w:r w:rsidRPr="00C34236">
        <w:rPr>
          <w:rFonts w:cs="Arial"/>
          <w:bCs/>
          <w:sz w:val="24"/>
          <w:szCs w:val="24"/>
        </w:rPr>
        <w:t xml:space="preserve">the Director-General to take an offender to have </w:t>
      </w:r>
      <w:r w:rsidR="00CD56B4">
        <w:rPr>
          <w:rFonts w:cs="Arial"/>
          <w:bCs/>
          <w:sz w:val="24"/>
          <w:szCs w:val="24"/>
        </w:rPr>
        <w:t xml:space="preserve">reported to </w:t>
      </w:r>
      <w:r w:rsidRPr="00C34236">
        <w:rPr>
          <w:rFonts w:cs="Arial"/>
          <w:bCs/>
          <w:sz w:val="24"/>
          <w:szCs w:val="24"/>
        </w:rPr>
        <w:t>perform</w:t>
      </w:r>
      <w:r w:rsidR="0048134C">
        <w:rPr>
          <w:rFonts w:cs="Arial"/>
          <w:bCs/>
          <w:sz w:val="24"/>
          <w:szCs w:val="24"/>
        </w:rPr>
        <w:t>,</w:t>
      </w:r>
      <w:r w:rsidR="00CD56B4">
        <w:rPr>
          <w:rFonts w:cs="Arial"/>
          <w:bCs/>
          <w:sz w:val="24"/>
          <w:szCs w:val="24"/>
        </w:rPr>
        <w:t xml:space="preserve"> and</w:t>
      </w:r>
      <w:r w:rsidR="0048134C">
        <w:rPr>
          <w:rFonts w:cs="Arial"/>
          <w:bCs/>
          <w:sz w:val="24"/>
          <w:szCs w:val="24"/>
        </w:rPr>
        <w:t xml:space="preserve"> have</w:t>
      </w:r>
      <w:r w:rsidR="00CD56B4">
        <w:rPr>
          <w:rFonts w:cs="Arial"/>
          <w:bCs/>
          <w:sz w:val="24"/>
          <w:szCs w:val="24"/>
        </w:rPr>
        <w:t xml:space="preserve"> performed</w:t>
      </w:r>
      <w:r w:rsidR="0048134C">
        <w:rPr>
          <w:rFonts w:cs="Arial"/>
          <w:bCs/>
          <w:sz w:val="24"/>
          <w:szCs w:val="24"/>
        </w:rPr>
        <w:t>,</w:t>
      </w:r>
      <w:r w:rsidRPr="00C34236">
        <w:rPr>
          <w:rFonts w:cs="Arial"/>
          <w:bCs/>
          <w:sz w:val="24"/>
          <w:szCs w:val="24"/>
        </w:rPr>
        <w:t xml:space="preserve"> community service work in accordance with a direction </w:t>
      </w:r>
      <w:r w:rsidR="00C34236">
        <w:rPr>
          <w:rFonts w:cs="Arial"/>
          <w:bCs/>
          <w:sz w:val="24"/>
          <w:szCs w:val="24"/>
        </w:rPr>
        <w:t xml:space="preserve">where the offender has failed to </w:t>
      </w:r>
      <w:r w:rsidR="00CD56B4">
        <w:rPr>
          <w:rFonts w:cs="Arial"/>
          <w:bCs/>
          <w:sz w:val="24"/>
          <w:szCs w:val="24"/>
        </w:rPr>
        <w:t>report to perform the work and the</w:t>
      </w:r>
      <w:r w:rsidR="00C34236">
        <w:rPr>
          <w:rFonts w:cs="Arial"/>
          <w:bCs/>
          <w:sz w:val="24"/>
          <w:szCs w:val="24"/>
        </w:rPr>
        <w:t xml:space="preserve"> Director-General is satisfied that </w:t>
      </w:r>
      <w:r w:rsidR="00CD56B4">
        <w:rPr>
          <w:rFonts w:cs="Arial"/>
          <w:bCs/>
          <w:sz w:val="24"/>
          <w:szCs w:val="24"/>
        </w:rPr>
        <w:t>this was due to the COVID-19 emergency</w:t>
      </w:r>
      <w:r w:rsidRPr="00C34236">
        <w:rPr>
          <w:rFonts w:cs="Arial"/>
          <w:bCs/>
          <w:sz w:val="24"/>
          <w:szCs w:val="24"/>
        </w:rPr>
        <w:t xml:space="preserve"> (section</w:t>
      </w:r>
      <w:r w:rsidR="0048134C">
        <w:rPr>
          <w:rFonts w:cs="Arial"/>
          <w:bCs/>
          <w:sz w:val="24"/>
          <w:szCs w:val="24"/>
        </w:rPr>
        <w:t xml:space="preserve"> </w:t>
      </w:r>
      <w:r w:rsidRPr="00C34236">
        <w:rPr>
          <w:rFonts w:cs="Arial"/>
          <w:bCs/>
          <w:sz w:val="24"/>
          <w:szCs w:val="24"/>
        </w:rPr>
        <w:t>47A and 9</w:t>
      </w:r>
      <w:r w:rsidR="00B92A47" w:rsidRPr="00B92A47">
        <w:rPr>
          <w:rFonts w:cs="Arial"/>
          <w:bCs/>
          <w:sz w:val="24"/>
          <w:szCs w:val="24"/>
        </w:rPr>
        <w:t>2</w:t>
      </w:r>
      <w:r w:rsidRPr="00C34236">
        <w:rPr>
          <w:rFonts w:cs="Arial"/>
          <w:bCs/>
          <w:sz w:val="24"/>
          <w:szCs w:val="24"/>
        </w:rPr>
        <w:t>A);</w:t>
      </w:r>
    </w:p>
    <w:p w14:paraId="517EDD36" w14:textId="3660DCBA" w:rsidR="0010019C" w:rsidRDefault="00CD56B4" w:rsidP="00711B6E">
      <w:pPr>
        <w:pStyle w:val="ListParagraph"/>
        <w:numPr>
          <w:ilvl w:val="0"/>
          <w:numId w:val="25"/>
        </w:numPr>
        <w:rPr>
          <w:rFonts w:cs="Arial"/>
          <w:bCs/>
          <w:sz w:val="24"/>
          <w:szCs w:val="24"/>
        </w:rPr>
      </w:pPr>
      <w:r>
        <w:rPr>
          <w:rFonts w:cs="Arial"/>
          <w:bCs/>
          <w:sz w:val="24"/>
          <w:szCs w:val="24"/>
        </w:rPr>
        <w:t>a corrections officer to take action to make a record or make a report to the Sentence Administration Board, during a COVID-19 emergency, where the officer believes the offender has breached an intensive correction order</w:t>
      </w:r>
      <w:r w:rsidR="0010019C">
        <w:rPr>
          <w:rFonts w:cs="Arial"/>
          <w:bCs/>
          <w:sz w:val="24"/>
          <w:szCs w:val="24"/>
        </w:rPr>
        <w:t>, a good behaviour obligation, or a parole obligation</w:t>
      </w:r>
      <w:r>
        <w:rPr>
          <w:rFonts w:cs="Arial"/>
          <w:bCs/>
          <w:sz w:val="24"/>
          <w:szCs w:val="24"/>
        </w:rPr>
        <w:t xml:space="preserve"> (section</w:t>
      </w:r>
      <w:r w:rsidR="0010019C">
        <w:rPr>
          <w:rFonts w:cs="Arial"/>
          <w:bCs/>
          <w:sz w:val="24"/>
          <w:szCs w:val="24"/>
        </w:rPr>
        <w:t>s</w:t>
      </w:r>
      <w:r>
        <w:rPr>
          <w:rFonts w:cs="Arial"/>
          <w:bCs/>
          <w:sz w:val="24"/>
          <w:szCs w:val="24"/>
        </w:rPr>
        <w:t xml:space="preserve"> 59A</w:t>
      </w:r>
      <w:r w:rsidR="0010019C">
        <w:rPr>
          <w:rFonts w:cs="Arial"/>
          <w:bCs/>
          <w:sz w:val="24"/>
          <w:szCs w:val="24"/>
        </w:rPr>
        <w:t>, 102A and 143A</w:t>
      </w:r>
      <w:r>
        <w:rPr>
          <w:rFonts w:cs="Arial"/>
          <w:bCs/>
          <w:sz w:val="24"/>
          <w:szCs w:val="24"/>
        </w:rPr>
        <w:t>)</w:t>
      </w:r>
      <w:r w:rsidR="0010019C">
        <w:rPr>
          <w:rFonts w:cs="Arial"/>
          <w:bCs/>
          <w:sz w:val="24"/>
          <w:szCs w:val="24"/>
        </w:rPr>
        <w:t>;</w:t>
      </w:r>
    </w:p>
    <w:p w14:paraId="6F531AE6" w14:textId="7F6436F1" w:rsidR="00CD56B4" w:rsidRDefault="00CD56B4" w:rsidP="00711B6E">
      <w:pPr>
        <w:pStyle w:val="ListParagraph"/>
        <w:numPr>
          <w:ilvl w:val="0"/>
          <w:numId w:val="25"/>
        </w:numPr>
        <w:rPr>
          <w:rFonts w:cs="Arial"/>
          <w:bCs/>
          <w:sz w:val="24"/>
          <w:szCs w:val="24"/>
        </w:rPr>
      </w:pPr>
      <w:r>
        <w:rPr>
          <w:rFonts w:cs="Arial"/>
          <w:bCs/>
          <w:sz w:val="24"/>
          <w:szCs w:val="24"/>
        </w:rPr>
        <w:t>the Sentence Administration Board to, hold an inquiry</w:t>
      </w:r>
      <w:r w:rsidR="0010019C">
        <w:rPr>
          <w:rFonts w:cs="Arial"/>
          <w:bCs/>
          <w:sz w:val="24"/>
          <w:szCs w:val="24"/>
        </w:rPr>
        <w:t xml:space="preserve"> in response to a correction officer report under section 59A </w:t>
      </w:r>
      <w:r>
        <w:rPr>
          <w:rFonts w:cs="Arial"/>
          <w:bCs/>
          <w:sz w:val="24"/>
          <w:szCs w:val="24"/>
        </w:rPr>
        <w:t xml:space="preserve">(section </w:t>
      </w:r>
      <w:r w:rsidR="0010019C">
        <w:rPr>
          <w:rFonts w:cs="Arial"/>
          <w:bCs/>
          <w:sz w:val="24"/>
          <w:szCs w:val="24"/>
        </w:rPr>
        <w:t>62 (2)(d)</w:t>
      </w:r>
      <w:r w:rsidR="0097162B">
        <w:rPr>
          <w:rFonts w:cs="Arial"/>
          <w:bCs/>
          <w:sz w:val="24"/>
          <w:szCs w:val="24"/>
        </w:rPr>
        <w:t>)</w:t>
      </w:r>
      <w:r>
        <w:rPr>
          <w:rFonts w:cs="Arial"/>
          <w:bCs/>
          <w:sz w:val="24"/>
          <w:szCs w:val="24"/>
        </w:rPr>
        <w:t>;</w:t>
      </w:r>
    </w:p>
    <w:p w14:paraId="3B4954CB" w14:textId="0FDEE3D4" w:rsidR="00B92A47" w:rsidRDefault="00B92A47" w:rsidP="00711B6E">
      <w:pPr>
        <w:pStyle w:val="ListParagraph"/>
        <w:numPr>
          <w:ilvl w:val="0"/>
          <w:numId w:val="25"/>
        </w:numPr>
        <w:rPr>
          <w:rFonts w:cs="Arial"/>
          <w:bCs/>
          <w:sz w:val="24"/>
          <w:szCs w:val="24"/>
        </w:rPr>
      </w:pPr>
      <w:r>
        <w:rPr>
          <w:rFonts w:cs="Arial"/>
          <w:bCs/>
          <w:sz w:val="24"/>
          <w:szCs w:val="24"/>
        </w:rPr>
        <w:t xml:space="preserve">the Sentence Administration Board to issue </w:t>
      </w:r>
      <w:r w:rsidRPr="00C34236">
        <w:rPr>
          <w:rFonts w:cs="Arial"/>
          <w:bCs/>
          <w:sz w:val="24"/>
          <w:szCs w:val="24"/>
        </w:rPr>
        <w:t>more than three warnings</w:t>
      </w:r>
      <w:r w:rsidR="0010019C">
        <w:rPr>
          <w:rFonts w:cs="Arial"/>
          <w:bCs/>
          <w:sz w:val="24"/>
          <w:szCs w:val="24"/>
        </w:rPr>
        <w:t xml:space="preserve"> for breach of an intensive correction order</w:t>
      </w:r>
      <w:r w:rsidRPr="00C34236">
        <w:rPr>
          <w:rFonts w:cs="Arial"/>
          <w:bCs/>
          <w:sz w:val="24"/>
          <w:szCs w:val="24"/>
        </w:rPr>
        <w:t xml:space="preserve"> in a 12-month period during </w:t>
      </w:r>
      <w:r w:rsidR="0097162B">
        <w:rPr>
          <w:rFonts w:cs="Arial"/>
          <w:bCs/>
          <w:sz w:val="24"/>
          <w:szCs w:val="24"/>
        </w:rPr>
        <w:t xml:space="preserve">a </w:t>
      </w:r>
      <w:r w:rsidRPr="00C34236">
        <w:rPr>
          <w:rFonts w:cs="Arial"/>
          <w:bCs/>
          <w:sz w:val="24"/>
          <w:szCs w:val="24"/>
        </w:rPr>
        <w:t>public health emergen</w:t>
      </w:r>
      <w:r>
        <w:rPr>
          <w:rFonts w:cs="Arial"/>
          <w:bCs/>
          <w:sz w:val="24"/>
          <w:szCs w:val="24"/>
        </w:rPr>
        <w:t>cy (section 64(3A);</w:t>
      </w:r>
    </w:p>
    <w:p w14:paraId="38496C69" w14:textId="77777777" w:rsidR="00B84AA8" w:rsidRPr="002E5B19" w:rsidRDefault="00B92A47" w:rsidP="00C34236">
      <w:pPr>
        <w:pStyle w:val="ListParagraph"/>
        <w:numPr>
          <w:ilvl w:val="0"/>
          <w:numId w:val="25"/>
        </w:numPr>
        <w:rPr>
          <w:rFonts w:cs="Arial"/>
          <w:bCs/>
          <w:szCs w:val="24"/>
        </w:rPr>
      </w:pPr>
      <w:r w:rsidRPr="00C34236">
        <w:rPr>
          <w:rFonts w:cs="Arial"/>
          <w:bCs/>
          <w:sz w:val="24"/>
          <w:szCs w:val="24"/>
        </w:rPr>
        <w:t>the Sentence Administration Board to refuse a parole order without a full hearing (section 126</w:t>
      </w:r>
      <w:r w:rsidR="00711B6E">
        <w:rPr>
          <w:rFonts w:cs="Arial"/>
          <w:bCs/>
          <w:sz w:val="24"/>
          <w:szCs w:val="24"/>
        </w:rPr>
        <w:t>(2A) and (2B)</w:t>
      </w:r>
      <w:r w:rsidRPr="00C34236">
        <w:rPr>
          <w:rFonts w:cs="Arial"/>
          <w:bCs/>
          <w:sz w:val="24"/>
          <w:szCs w:val="24"/>
        </w:rPr>
        <w:t>) and to give an offender a shorter period to respond to a hearing notice, during public health emergency (section 127</w:t>
      </w:r>
      <w:r w:rsidR="00711B6E">
        <w:rPr>
          <w:rFonts w:cs="Arial"/>
          <w:bCs/>
          <w:sz w:val="24"/>
          <w:szCs w:val="24"/>
        </w:rPr>
        <w:t>(2A)</w:t>
      </w:r>
      <w:r w:rsidRPr="00C34236">
        <w:rPr>
          <w:rFonts w:cs="Arial"/>
          <w:bCs/>
          <w:sz w:val="24"/>
          <w:szCs w:val="24"/>
        </w:rPr>
        <w:t>)</w:t>
      </w:r>
      <w:r w:rsidR="00B84AA8">
        <w:rPr>
          <w:rFonts w:cs="Arial"/>
          <w:bCs/>
          <w:sz w:val="24"/>
          <w:szCs w:val="24"/>
        </w:rPr>
        <w:t>;</w:t>
      </w:r>
    </w:p>
    <w:p w14:paraId="7D153BB2" w14:textId="017BE35C" w:rsidR="00872EBC" w:rsidRPr="00B71C12" w:rsidRDefault="00B84AA8" w:rsidP="00C34236">
      <w:pPr>
        <w:pStyle w:val="ListParagraph"/>
        <w:numPr>
          <w:ilvl w:val="0"/>
          <w:numId w:val="25"/>
        </w:numPr>
        <w:rPr>
          <w:rFonts w:cs="Arial"/>
          <w:bCs/>
          <w:szCs w:val="24"/>
        </w:rPr>
      </w:pPr>
      <w:r>
        <w:rPr>
          <w:rFonts w:cs="Arial"/>
          <w:bCs/>
          <w:sz w:val="24"/>
          <w:szCs w:val="24"/>
        </w:rPr>
        <w:t xml:space="preserve"> the Director-General to make guidelines in relation to the operation of sections 59A, 102A and 143A (322AA)</w:t>
      </w:r>
      <w:r w:rsidR="00B92A47" w:rsidRPr="00C34236">
        <w:rPr>
          <w:rFonts w:cs="Arial"/>
          <w:bCs/>
          <w:sz w:val="24"/>
          <w:szCs w:val="24"/>
        </w:rPr>
        <w:t>.</w:t>
      </w:r>
    </w:p>
    <w:p w14:paraId="4D00807F" w14:textId="7E906BD8" w:rsidR="00053C27" w:rsidRDefault="00053C27" w:rsidP="00053C27">
      <w:pPr>
        <w:rPr>
          <w:rFonts w:cs="Arial"/>
          <w:bCs/>
          <w:szCs w:val="24"/>
        </w:rPr>
      </w:pPr>
      <w:r>
        <w:rPr>
          <w:rFonts w:cs="Arial"/>
          <w:bCs/>
          <w:szCs w:val="24"/>
        </w:rPr>
        <w:t>The measure</w:t>
      </w:r>
      <w:r w:rsidR="00D301D0">
        <w:rPr>
          <w:rFonts w:cs="Arial"/>
          <w:bCs/>
          <w:szCs w:val="24"/>
        </w:rPr>
        <w:t>s</w:t>
      </w:r>
      <w:r>
        <w:rPr>
          <w:rFonts w:cs="Arial"/>
          <w:bCs/>
          <w:szCs w:val="24"/>
        </w:rPr>
        <w:t xml:space="preserve"> </w:t>
      </w:r>
      <w:r w:rsidR="00D301D0">
        <w:rPr>
          <w:rFonts w:cs="Arial"/>
          <w:bCs/>
          <w:szCs w:val="24"/>
        </w:rPr>
        <w:t>are</w:t>
      </w:r>
      <w:r w:rsidR="00E70CE8">
        <w:rPr>
          <w:rFonts w:cs="Arial"/>
          <w:bCs/>
          <w:szCs w:val="24"/>
        </w:rPr>
        <w:t xml:space="preserve"> </w:t>
      </w:r>
      <w:r>
        <w:rPr>
          <w:rFonts w:cs="Arial"/>
          <w:bCs/>
          <w:szCs w:val="24"/>
        </w:rPr>
        <w:t>due to expire on 8 April 2021</w:t>
      </w:r>
      <w:r w:rsidR="0097162B">
        <w:rPr>
          <w:rFonts w:cs="Arial"/>
          <w:bCs/>
          <w:szCs w:val="24"/>
        </w:rPr>
        <w:t>.</w:t>
      </w:r>
      <w:r w:rsidR="00B84AA8" w:rsidRPr="00B84AA8">
        <w:rPr>
          <w:rFonts w:cs="Arial"/>
          <w:bCs/>
          <w:szCs w:val="24"/>
        </w:rPr>
        <w:t xml:space="preserve"> </w:t>
      </w:r>
      <w:r w:rsidR="0048134C">
        <w:rPr>
          <w:rFonts w:cs="Arial"/>
          <w:bCs/>
          <w:szCs w:val="24"/>
        </w:rPr>
        <w:t>The new</w:t>
      </w:r>
      <w:r w:rsidR="00B84AA8">
        <w:rPr>
          <w:rFonts w:cs="Arial"/>
          <w:bCs/>
          <w:szCs w:val="24"/>
        </w:rPr>
        <w:t xml:space="preserve"> expiry </w:t>
      </w:r>
      <w:r w:rsidR="0048134C">
        <w:rPr>
          <w:rFonts w:cs="Arial"/>
          <w:bCs/>
          <w:szCs w:val="24"/>
        </w:rPr>
        <w:t>provision for these</w:t>
      </w:r>
      <w:r w:rsidR="00B84AA8">
        <w:rPr>
          <w:rFonts w:cs="Arial"/>
          <w:bCs/>
          <w:szCs w:val="24"/>
        </w:rPr>
        <w:t xml:space="preserve"> measures will allow them</w:t>
      </w:r>
      <w:r w:rsidR="0048134C">
        <w:rPr>
          <w:rFonts w:cs="Arial"/>
          <w:bCs/>
          <w:szCs w:val="24"/>
        </w:rPr>
        <w:t xml:space="preserve"> </w:t>
      </w:r>
      <w:r w:rsidR="00B84AA8">
        <w:rPr>
          <w:rFonts w:cs="Arial"/>
          <w:bCs/>
          <w:szCs w:val="24"/>
        </w:rPr>
        <w:t xml:space="preserve">to remain in the Act after a COVID-19 emergency declaration is no longer in force, for </w:t>
      </w:r>
      <w:r w:rsidR="0048134C">
        <w:rPr>
          <w:rFonts w:cs="Arial"/>
          <w:bCs/>
          <w:szCs w:val="24"/>
        </w:rPr>
        <w:t>a period of</w:t>
      </w:r>
      <w:r w:rsidR="00B84AA8">
        <w:rPr>
          <w:rFonts w:cs="Arial"/>
          <w:bCs/>
          <w:szCs w:val="24"/>
        </w:rPr>
        <w:t xml:space="preserve"> 12 months.</w:t>
      </w:r>
      <w:r w:rsidR="00CC3FCD">
        <w:rPr>
          <w:rFonts w:cs="Arial"/>
          <w:bCs/>
          <w:szCs w:val="24"/>
        </w:rPr>
        <w:t xml:space="preserve"> </w:t>
      </w:r>
      <w:r w:rsidR="00B84AA8">
        <w:rPr>
          <w:rFonts w:cs="Arial"/>
          <w:bCs/>
          <w:szCs w:val="24"/>
        </w:rPr>
        <w:t>During this period, in the event a COVID-19 emergency declaration is made, the measures will become operative while the declaration is in force. The purpose of this rolling expiry arrangement is to ensure that emergency response measures can be available to support operational and service responses.</w:t>
      </w:r>
      <w:r>
        <w:rPr>
          <w:rFonts w:cs="Arial"/>
          <w:bCs/>
          <w:szCs w:val="24"/>
        </w:rPr>
        <w:t xml:space="preserve"> </w:t>
      </w:r>
    </w:p>
    <w:p w14:paraId="233B19E5" w14:textId="28027D1D" w:rsidR="00293A21" w:rsidRDefault="00293A21" w:rsidP="00293A21">
      <w:pPr>
        <w:rPr>
          <w:rFonts w:cs="Arial"/>
          <w:bCs/>
          <w:szCs w:val="24"/>
        </w:rPr>
      </w:pPr>
      <w:r>
        <w:rPr>
          <w:rFonts w:cs="Arial"/>
          <w:bCs/>
          <w:szCs w:val="24"/>
        </w:rPr>
        <w:lastRenderedPageBreak/>
        <w:t>The Explanatory Statements to the COVID-19 Emergency Response Bill and COVID-19 Emergency Response Legislation Amendment Bill contain details specific to these measures.</w:t>
      </w:r>
    </w:p>
    <w:p w14:paraId="7E594FF4" w14:textId="79C22715" w:rsidR="00E50ACC" w:rsidRPr="008D4BA9" w:rsidRDefault="00E50ACC" w:rsidP="00B93FED">
      <w:pPr>
        <w:pStyle w:val="Heading2"/>
        <w:rPr>
          <w:rFonts w:cs="Arial"/>
          <w:b w:val="0"/>
          <w:szCs w:val="24"/>
        </w:rPr>
      </w:pPr>
      <w:bookmarkStart w:id="56" w:name="_Toc57197625"/>
      <w:r w:rsidRPr="008D4BA9">
        <w:rPr>
          <w:rFonts w:cs="Arial"/>
          <w:szCs w:val="24"/>
        </w:rPr>
        <w:t>Part 1.</w:t>
      </w:r>
      <w:r w:rsidR="00CB6DAE">
        <w:rPr>
          <w:rFonts w:cs="Arial"/>
          <w:szCs w:val="24"/>
        </w:rPr>
        <w:t>7</w:t>
      </w:r>
      <w:r w:rsidR="00BC0F63">
        <w:rPr>
          <w:rFonts w:cs="Arial"/>
          <w:szCs w:val="24"/>
        </w:rPr>
        <w:tab/>
      </w:r>
      <w:r>
        <w:rPr>
          <w:rFonts w:cs="Arial"/>
          <w:szCs w:val="24"/>
          <w:lang w:eastAsia="en-AU"/>
        </w:rPr>
        <w:t xml:space="preserve">Crimes (Sentencing) Act </w:t>
      </w:r>
      <w:r w:rsidR="005E0BD9">
        <w:rPr>
          <w:rFonts w:cs="Arial"/>
          <w:szCs w:val="24"/>
          <w:lang w:eastAsia="en-AU"/>
        </w:rPr>
        <w:t>2005</w:t>
      </w:r>
      <w:bookmarkEnd w:id="56"/>
    </w:p>
    <w:p w14:paraId="435D39BB" w14:textId="370074F2" w:rsidR="00E50ACC" w:rsidRDefault="00E50ACC" w:rsidP="00970A3F">
      <w:pPr>
        <w:pStyle w:val="Heading3"/>
        <w:tabs>
          <w:tab w:val="left" w:pos="1134"/>
        </w:tabs>
        <w:rPr>
          <w:rFonts w:cs="Arial"/>
          <w:i/>
          <w:iCs/>
          <w:lang w:eastAsia="en-AU"/>
        </w:rPr>
      </w:pPr>
      <w:bookmarkStart w:id="57" w:name="_Toc57197626"/>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16</w:t>
      </w:r>
      <w:r w:rsidRPr="00706752">
        <w:rPr>
          <w:rFonts w:cs="Arial"/>
          <w:i/>
          <w:iCs/>
        </w:rPr>
        <w:fldChar w:fldCharType="end"/>
      </w:r>
      <w:r w:rsidRPr="00706752">
        <w:rPr>
          <w:rFonts w:cs="Arial"/>
          <w:iCs/>
        </w:rPr>
        <w:t>]</w:t>
      </w:r>
      <w:r w:rsidR="00BC0F63">
        <w:rPr>
          <w:rFonts w:cs="Arial"/>
          <w:iCs/>
        </w:rPr>
        <w:tab/>
      </w:r>
      <w:r>
        <w:rPr>
          <w:rFonts w:cs="Arial"/>
          <w:iCs/>
          <w:lang w:eastAsia="en-AU"/>
        </w:rPr>
        <w:t xml:space="preserve">Section </w:t>
      </w:r>
      <w:r w:rsidR="005E0BD9">
        <w:rPr>
          <w:rFonts w:cs="Arial"/>
          <w:iCs/>
          <w:lang w:eastAsia="en-AU"/>
        </w:rPr>
        <w:t>13 (10)</w:t>
      </w:r>
      <w:bookmarkEnd w:id="57"/>
    </w:p>
    <w:p w14:paraId="1E913823" w14:textId="507C131A" w:rsidR="00BC0F63" w:rsidRDefault="00BC0F63" w:rsidP="00BC0F63">
      <w:pPr>
        <w:rPr>
          <w:rFonts w:cs="Arial"/>
          <w:bCs/>
          <w:szCs w:val="24"/>
        </w:rPr>
      </w:pPr>
      <w:r>
        <w:rPr>
          <w:rFonts w:cs="Arial"/>
          <w:bCs/>
          <w:szCs w:val="24"/>
        </w:rPr>
        <w:t>This clause amends</w:t>
      </w:r>
      <w:r w:rsidR="00B84AA8">
        <w:rPr>
          <w:rFonts w:cs="Arial"/>
          <w:bCs/>
          <w:szCs w:val="24"/>
        </w:rPr>
        <w:t xml:space="preserve"> subsection 13(10) to provide that</w:t>
      </w:r>
      <w:r>
        <w:rPr>
          <w:rFonts w:cs="Arial"/>
          <w:bCs/>
          <w:szCs w:val="24"/>
        </w:rPr>
        <w:t xml:space="preserve"> subsections 13 (2A), (9) and (10) of the Crimes (Sentencing) Act expire on the day the </w:t>
      </w:r>
      <w:r w:rsidRPr="001426A5">
        <w:rPr>
          <w:rFonts w:cs="Arial"/>
          <w:bCs/>
          <w:szCs w:val="24"/>
        </w:rPr>
        <w:t>COVID-19 Emergency Response Act</w:t>
      </w:r>
      <w:r>
        <w:rPr>
          <w:rFonts w:cs="Arial"/>
          <w:bCs/>
          <w:szCs w:val="24"/>
        </w:rPr>
        <w:t xml:space="preserve"> expires, which is at the end of a 12-month period during which no COVID-19 declaration has been in force.</w:t>
      </w:r>
    </w:p>
    <w:p w14:paraId="6766759D" w14:textId="5336CA1E" w:rsidR="00CB6DAE" w:rsidRDefault="00CB6DAE" w:rsidP="00CB6DAE">
      <w:pPr>
        <w:rPr>
          <w:color w:val="000000" w:themeColor="text1"/>
          <w:lang w:eastAsia="en-AU"/>
        </w:rPr>
      </w:pPr>
      <w:r>
        <w:rPr>
          <w:rFonts w:cs="Arial"/>
          <w:bCs/>
          <w:szCs w:val="24"/>
        </w:rPr>
        <w:t>The measure</w:t>
      </w:r>
      <w:r w:rsidR="00BF7387">
        <w:rPr>
          <w:rFonts w:cs="Arial"/>
          <w:bCs/>
          <w:szCs w:val="24"/>
        </w:rPr>
        <w:t xml:space="preserve"> </w:t>
      </w:r>
      <w:r w:rsidR="00B84AA8">
        <w:rPr>
          <w:rFonts w:cs="Arial"/>
          <w:bCs/>
          <w:szCs w:val="24"/>
        </w:rPr>
        <w:t xml:space="preserve">in subsection 13 (2A) </w:t>
      </w:r>
      <w:r w:rsidR="00BF7387">
        <w:rPr>
          <w:rFonts w:cs="Arial"/>
          <w:bCs/>
          <w:szCs w:val="24"/>
        </w:rPr>
        <w:t xml:space="preserve">allows an </w:t>
      </w:r>
      <w:r w:rsidR="00BF7387" w:rsidRPr="00B84AA8">
        <w:rPr>
          <w:rFonts w:cs="Arial"/>
          <w:bCs/>
          <w:szCs w:val="24"/>
        </w:rPr>
        <w:t>offender to give an undertaking before the court</w:t>
      </w:r>
      <w:r w:rsidR="00BF7387">
        <w:rPr>
          <w:rFonts w:cs="Arial"/>
          <w:bCs/>
          <w:szCs w:val="24"/>
        </w:rPr>
        <w:t xml:space="preserve"> as an alternative to</w:t>
      </w:r>
      <w:r w:rsidR="00BF7387" w:rsidRPr="00B84AA8">
        <w:rPr>
          <w:rFonts w:cs="Arial"/>
          <w:bCs/>
          <w:szCs w:val="24"/>
        </w:rPr>
        <w:t xml:space="preserve"> sign</w:t>
      </w:r>
      <w:r w:rsidR="00BF7387">
        <w:rPr>
          <w:rFonts w:cs="Arial"/>
          <w:bCs/>
          <w:szCs w:val="24"/>
        </w:rPr>
        <w:t>ing</w:t>
      </w:r>
      <w:r w:rsidR="00BF7387" w:rsidRPr="00B84AA8">
        <w:rPr>
          <w:rFonts w:cs="Arial"/>
          <w:bCs/>
          <w:szCs w:val="24"/>
        </w:rPr>
        <w:t xml:space="preserve"> an undertaking to comply with the offender's good behaviour obligations</w:t>
      </w:r>
      <w:r w:rsidR="00BF7387">
        <w:rPr>
          <w:rFonts w:cs="Arial"/>
          <w:bCs/>
          <w:szCs w:val="24"/>
        </w:rPr>
        <w:t xml:space="preserve"> and</w:t>
      </w:r>
      <w:r>
        <w:rPr>
          <w:rFonts w:cs="Arial"/>
          <w:bCs/>
          <w:szCs w:val="24"/>
        </w:rPr>
        <w:t xml:space="preserve"> </w:t>
      </w:r>
      <w:r w:rsidR="00E70CE8">
        <w:rPr>
          <w:rFonts w:cs="Arial"/>
          <w:bCs/>
          <w:szCs w:val="24"/>
        </w:rPr>
        <w:t>is</w:t>
      </w:r>
      <w:r>
        <w:rPr>
          <w:rFonts w:cs="Arial"/>
          <w:bCs/>
          <w:szCs w:val="24"/>
        </w:rPr>
        <w:t xml:space="preserve"> due to expire on 8 April 2021. </w:t>
      </w:r>
      <w:r w:rsidR="0048134C">
        <w:rPr>
          <w:rFonts w:cs="Arial"/>
          <w:bCs/>
          <w:szCs w:val="24"/>
        </w:rPr>
        <w:t>The new</w:t>
      </w:r>
      <w:r w:rsidR="00B84AA8">
        <w:rPr>
          <w:rFonts w:cs="Arial"/>
          <w:bCs/>
          <w:szCs w:val="24"/>
        </w:rPr>
        <w:t xml:space="preserve"> expiry </w:t>
      </w:r>
      <w:r w:rsidR="0048134C">
        <w:rPr>
          <w:rFonts w:cs="Arial"/>
          <w:bCs/>
          <w:szCs w:val="24"/>
        </w:rPr>
        <w:t>provision for</w:t>
      </w:r>
      <w:r w:rsidR="00B84AA8">
        <w:rPr>
          <w:rFonts w:cs="Arial"/>
          <w:bCs/>
          <w:szCs w:val="24"/>
        </w:rPr>
        <w:t xml:space="preserve"> the measure allows the measure to remain in the Act after a COVID-19 emergency declaration is no longer in force, for </w:t>
      </w:r>
      <w:r w:rsidR="0048134C">
        <w:rPr>
          <w:rFonts w:cs="Arial"/>
          <w:bCs/>
          <w:szCs w:val="24"/>
        </w:rPr>
        <w:t>a period of</w:t>
      </w:r>
      <w:r w:rsidR="00B84AA8">
        <w:rPr>
          <w:rFonts w:cs="Arial"/>
          <w:bCs/>
          <w:szCs w:val="24"/>
        </w:rPr>
        <w:t xml:space="preserve"> 12 months.</w:t>
      </w:r>
      <w:r w:rsidR="00CC3FCD">
        <w:rPr>
          <w:rFonts w:cs="Arial"/>
          <w:bCs/>
          <w:szCs w:val="24"/>
        </w:rPr>
        <w:t xml:space="preserve"> </w:t>
      </w:r>
      <w:r w:rsidR="00B84AA8">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p>
    <w:p w14:paraId="7C8F82D4" w14:textId="77F4BAE2" w:rsidR="00CB6DAE" w:rsidRDefault="0048134C" w:rsidP="00CB6DAE">
      <w:pPr>
        <w:rPr>
          <w:rFonts w:cs="Arial"/>
          <w:bCs/>
          <w:szCs w:val="24"/>
        </w:rPr>
      </w:pPr>
      <w:r>
        <w:rPr>
          <w:rFonts w:cs="Arial"/>
          <w:bCs/>
          <w:szCs w:val="24"/>
        </w:rPr>
        <w:t xml:space="preserve">This amendment </w:t>
      </w:r>
      <w:r w:rsidR="00CB6DAE">
        <w:rPr>
          <w:rFonts w:cs="Arial"/>
          <w:bCs/>
          <w:szCs w:val="24"/>
        </w:rPr>
        <w:t>allows the court to maintain appropriate numbers of people at the courthouse, which supports the safe and effective operation of the ACT Courts for the duration of a COVID-19 emergency. The Explanatory Statements to the COVID-19 Emergency Response Bill and COVID-19 Emergency Response Legislation Amendment Bill further detail this measure.</w:t>
      </w:r>
    </w:p>
    <w:p w14:paraId="06994E9B" w14:textId="563A57E0" w:rsidR="005E0BD9" w:rsidRDefault="005E0BD9" w:rsidP="00EE5F12">
      <w:pPr>
        <w:pStyle w:val="Heading3"/>
        <w:tabs>
          <w:tab w:val="left" w:pos="1134"/>
        </w:tabs>
        <w:rPr>
          <w:rFonts w:cs="Arial"/>
          <w:i/>
          <w:iCs/>
          <w:lang w:eastAsia="en-AU"/>
        </w:rPr>
      </w:pPr>
      <w:bookmarkStart w:id="58" w:name="_Toc57197627"/>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17</w:t>
      </w:r>
      <w:r w:rsidRPr="00706752">
        <w:rPr>
          <w:rFonts w:cs="Arial"/>
          <w:i/>
          <w:iCs/>
        </w:rPr>
        <w:fldChar w:fldCharType="end"/>
      </w:r>
      <w:r w:rsidRPr="00706752">
        <w:rPr>
          <w:rFonts w:cs="Arial"/>
          <w:iCs/>
        </w:rPr>
        <w:t>]</w:t>
      </w:r>
      <w:r w:rsidR="00BC0F63">
        <w:rPr>
          <w:rFonts w:cs="Arial"/>
          <w:iCs/>
        </w:rPr>
        <w:tab/>
      </w:r>
      <w:r>
        <w:rPr>
          <w:rFonts w:cs="Arial"/>
          <w:iCs/>
          <w:lang w:eastAsia="en-AU"/>
        </w:rPr>
        <w:t>Section 46C (9)</w:t>
      </w:r>
      <w:bookmarkEnd w:id="58"/>
    </w:p>
    <w:p w14:paraId="327587D8" w14:textId="5422FB0B" w:rsidR="00BC0F63" w:rsidRDefault="00BC0F63" w:rsidP="00BC0F63">
      <w:pPr>
        <w:rPr>
          <w:rFonts w:cs="Arial"/>
          <w:bCs/>
          <w:szCs w:val="24"/>
        </w:rPr>
      </w:pPr>
      <w:r>
        <w:rPr>
          <w:rFonts w:cs="Arial"/>
          <w:bCs/>
          <w:szCs w:val="24"/>
        </w:rPr>
        <w:t xml:space="preserve">This clause amends </w:t>
      </w:r>
      <w:r w:rsidR="00B84AA8">
        <w:rPr>
          <w:rFonts w:cs="Arial"/>
          <w:bCs/>
          <w:szCs w:val="24"/>
        </w:rPr>
        <w:t xml:space="preserve">subsection 46C(9) to provide that </w:t>
      </w:r>
      <w:r>
        <w:rPr>
          <w:rFonts w:cs="Arial"/>
          <w:bCs/>
          <w:szCs w:val="24"/>
        </w:rPr>
        <w:t xml:space="preserve">subsections </w:t>
      </w:r>
      <w:r w:rsidR="00934880">
        <w:rPr>
          <w:rFonts w:cs="Arial"/>
          <w:bCs/>
          <w:szCs w:val="24"/>
        </w:rPr>
        <w:t>46C (7)</w:t>
      </w:r>
      <w:r w:rsidR="00B84AA8">
        <w:rPr>
          <w:rFonts w:cs="Arial"/>
          <w:bCs/>
          <w:szCs w:val="24"/>
        </w:rPr>
        <w:t xml:space="preserve"> to </w:t>
      </w:r>
      <w:r w:rsidR="00934880">
        <w:rPr>
          <w:rFonts w:cs="Arial"/>
          <w:bCs/>
          <w:szCs w:val="24"/>
        </w:rPr>
        <w:t>(9) and 78 (1), note 2</w:t>
      </w:r>
      <w:r>
        <w:rPr>
          <w:rFonts w:cs="Arial"/>
          <w:bCs/>
          <w:szCs w:val="24"/>
        </w:rPr>
        <w:t xml:space="preserve"> of the Crimes (Sentencing) Act expire on the day the </w:t>
      </w:r>
      <w:r w:rsidRPr="001426A5">
        <w:rPr>
          <w:rFonts w:cs="Arial"/>
          <w:bCs/>
          <w:szCs w:val="24"/>
        </w:rPr>
        <w:t>COVID-19 Emergency Response Act</w:t>
      </w:r>
      <w:r>
        <w:rPr>
          <w:rFonts w:cs="Arial"/>
          <w:bCs/>
          <w:szCs w:val="24"/>
        </w:rPr>
        <w:t xml:space="preserve"> expires, which is at the end of a 12-month period during which no COVID-19 declaration has been in force.</w:t>
      </w:r>
    </w:p>
    <w:p w14:paraId="1FFD7F05" w14:textId="47B79DDE" w:rsidR="00B84AA8" w:rsidRDefault="009B06D6" w:rsidP="009B06D6">
      <w:pPr>
        <w:rPr>
          <w:rFonts w:cs="Arial"/>
          <w:bCs/>
          <w:szCs w:val="24"/>
        </w:rPr>
      </w:pPr>
      <w:r>
        <w:rPr>
          <w:rFonts w:cs="Arial"/>
          <w:bCs/>
          <w:szCs w:val="24"/>
        </w:rPr>
        <w:t>The measure</w:t>
      </w:r>
      <w:r w:rsidR="00B84AA8">
        <w:rPr>
          <w:rFonts w:cs="Arial"/>
          <w:bCs/>
          <w:szCs w:val="24"/>
        </w:rPr>
        <w:t xml:space="preserve"> in subsection 46C (7) </w:t>
      </w:r>
      <w:r w:rsidR="00BF7387">
        <w:rPr>
          <w:rFonts w:cs="Arial"/>
          <w:bCs/>
          <w:szCs w:val="24"/>
        </w:rPr>
        <w:t>allows the court</w:t>
      </w:r>
      <w:r w:rsidR="00B84AA8">
        <w:rPr>
          <w:rFonts w:cs="Arial"/>
          <w:bCs/>
          <w:szCs w:val="24"/>
        </w:rPr>
        <w:t>, during a COVID-19 emergency,</w:t>
      </w:r>
      <w:r w:rsidR="00BF7387">
        <w:rPr>
          <w:rFonts w:cs="Arial"/>
          <w:bCs/>
          <w:szCs w:val="24"/>
        </w:rPr>
        <w:t xml:space="preserve"> to request an</w:t>
      </w:r>
      <w:r w:rsidR="0048134C">
        <w:rPr>
          <w:rFonts w:cs="Arial"/>
          <w:bCs/>
          <w:szCs w:val="24"/>
        </w:rPr>
        <w:t xml:space="preserve"> </w:t>
      </w:r>
      <w:r w:rsidR="00B84AA8">
        <w:rPr>
          <w:rFonts w:cs="Arial"/>
          <w:bCs/>
          <w:szCs w:val="24"/>
        </w:rPr>
        <w:t>i</w:t>
      </w:r>
      <w:r w:rsidR="00BF7387" w:rsidRPr="00B84AA8">
        <w:rPr>
          <w:rFonts w:cs="Arial"/>
          <w:bCs/>
          <w:szCs w:val="24"/>
        </w:rPr>
        <w:t xml:space="preserve">ntensive </w:t>
      </w:r>
      <w:r w:rsidR="00B84AA8">
        <w:rPr>
          <w:rFonts w:cs="Arial"/>
          <w:bCs/>
          <w:szCs w:val="24"/>
        </w:rPr>
        <w:t>c</w:t>
      </w:r>
      <w:r w:rsidR="00BF7387" w:rsidRPr="00B84AA8">
        <w:rPr>
          <w:rFonts w:cs="Arial"/>
          <w:bCs/>
          <w:szCs w:val="24"/>
        </w:rPr>
        <w:t xml:space="preserve">orrection </w:t>
      </w:r>
      <w:r w:rsidR="00B84AA8">
        <w:rPr>
          <w:rFonts w:cs="Arial"/>
          <w:bCs/>
          <w:szCs w:val="24"/>
        </w:rPr>
        <w:t>o</w:t>
      </w:r>
      <w:r w:rsidR="00BF7387" w:rsidRPr="00B84AA8">
        <w:rPr>
          <w:rFonts w:cs="Arial"/>
          <w:bCs/>
          <w:szCs w:val="24"/>
        </w:rPr>
        <w:t>rder assessment report as part of</w:t>
      </w:r>
      <w:r w:rsidR="00B84AA8">
        <w:rPr>
          <w:rFonts w:cs="Arial"/>
          <w:bCs/>
          <w:szCs w:val="24"/>
        </w:rPr>
        <w:t xml:space="preserve"> a</w:t>
      </w:r>
      <w:r w:rsidR="00BF7387" w:rsidRPr="00B84AA8">
        <w:rPr>
          <w:rFonts w:cs="Arial"/>
          <w:bCs/>
          <w:szCs w:val="24"/>
        </w:rPr>
        <w:t xml:space="preserve"> pre-sentence report</w:t>
      </w:r>
      <w:r w:rsidR="00B84AA8">
        <w:rPr>
          <w:rFonts w:cs="Arial"/>
          <w:bCs/>
          <w:szCs w:val="24"/>
        </w:rPr>
        <w:t>.</w:t>
      </w:r>
      <w:r w:rsidR="00CC3FCD">
        <w:rPr>
          <w:rFonts w:cs="Arial"/>
          <w:bCs/>
          <w:szCs w:val="24"/>
        </w:rPr>
        <w:t xml:space="preserve"> </w:t>
      </w:r>
      <w:r w:rsidR="00B84AA8">
        <w:rPr>
          <w:rFonts w:cs="Arial"/>
          <w:bCs/>
          <w:szCs w:val="24"/>
        </w:rPr>
        <w:t xml:space="preserve">This measure </w:t>
      </w:r>
      <w:r w:rsidR="00E70CE8">
        <w:rPr>
          <w:rFonts w:cs="Arial"/>
          <w:bCs/>
          <w:szCs w:val="24"/>
        </w:rPr>
        <w:t xml:space="preserve">is </w:t>
      </w:r>
      <w:r>
        <w:rPr>
          <w:rFonts w:cs="Arial"/>
          <w:bCs/>
          <w:szCs w:val="24"/>
        </w:rPr>
        <w:t>due to expire on 8 April 2021.</w:t>
      </w:r>
      <w:r w:rsidR="00B84AA8" w:rsidRPr="00B84AA8">
        <w:rPr>
          <w:rFonts w:cs="Arial"/>
          <w:bCs/>
          <w:szCs w:val="24"/>
        </w:rPr>
        <w:t xml:space="preserve"> </w:t>
      </w:r>
      <w:r w:rsidR="00AA0031">
        <w:rPr>
          <w:rFonts w:cs="Arial"/>
          <w:bCs/>
          <w:szCs w:val="24"/>
        </w:rPr>
        <w:t>The new</w:t>
      </w:r>
      <w:r w:rsidR="00B84AA8">
        <w:rPr>
          <w:rFonts w:cs="Arial"/>
          <w:bCs/>
          <w:szCs w:val="24"/>
        </w:rPr>
        <w:t xml:space="preserve"> expiry </w:t>
      </w:r>
      <w:r w:rsidR="00AA0031">
        <w:rPr>
          <w:rFonts w:cs="Arial"/>
          <w:bCs/>
          <w:szCs w:val="24"/>
        </w:rPr>
        <w:t xml:space="preserve">provision </w:t>
      </w:r>
      <w:r w:rsidR="00B84AA8">
        <w:rPr>
          <w:rFonts w:cs="Arial"/>
          <w:bCs/>
          <w:szCs w:val="24"/>
        </w:rPr>
        <w:t xml:space="preserve">for the measure allows the measure to remain in the Act after a COVID-19 emergency declaration is no longer in force, for </w:t>
      </w:r>
      <w:r w:rsidR="00AA0031">
        <w:rPr>
          <w:rFonts w:cs="Arial"/>
          <w:bCs/>
          <w:szCs w:val="24"/>
        </w:rPr>
        <w:t>a period of</w:t>
      </w:r>
      <w:r w:rsidR="00B84AA8">
        <w:rPr>
          <w:rFonts w:cs="Arial"/>
          <w:bCs/>
          <w:szCs w:val="24"/>
        </w:rPr>
        <w:t xml:space="preserve"> 12 months.</w:t>
      </w:r>
      <w:r w:rsidR="00CC3FCD">
        <w:rPr>
          <w:rFonts w:cs="Arial"/>
          <w:bCs/>
          <w:szCs w:val="24"/>
        </w:rPr>
        <w:t xml:space="preserve"> </w:t>
      </w:r>
      <w:r w:rsidR="00B84AA8">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r>
        <w:rPr>
          <w:rFonts w:cs="Arial"/>
          <w:bCs/>
          <w:szCs w:val="24"/>
        </w:rPr>
        <w:t xml:space="preserve"> </w:t>
      </w:r>
    </w:p>
    <w:p w14:paraId="0C9D131B" w14:textId="74269D15" w:rsidR="00FC642F" w:rsidRPr="00FC642F" w:rsidRDefault="00AA0031" w:rsidP="00BC0F63">
      <w:pPr>
        <w:rPr>
          <w:rFonts w:cs="Arial"/>
          <w:bCs/>
          <w:szCs w:val="24"/>
        </w:rPr>
      </w:pPr>
      <w:r>
        <w:rPr>
          <w:rFonts w:cs="Arial"/>
          <w:bCs/>
          <w:szCs w:val="24"/>
        </w:rPr>
        <w:lastRenderedPageBreak/>
        <w:t xml:space="preserve">This amendment </w:t>
      </w:r>
      <w:r w:rsidR="009B06D6">
        <w:rPr>
          <w:rFonts w:cs="Arial"/>
          <w:bCs/>
          <w:szCs w:val="24"/>
        </w:rPr>
        <w:t>will support the safe</w:t>
      </w:r>
      <w:r w:rsidR="00FC642F">
        <w:rPr>
          <w:rFonts w:cs="Arial"/>
          <w:bCs/>
          <w:szCs w:val="24"/>
        </w:rPr>
        <w:t xml:space="preserve"> operation</w:t>
      </w:r>
      <w:r w:rsidR="009B06D6">
        <w:rPr>
          <w:rFonts w:cs="Arial"/>
          <w:bCs/>
          <w:szCs w:val="24"/>
        </w:rPr>
        <w:t>s</w:t>
      </w:r>
      <w:r w:rsidR="00FC642F">
        <w:rPr>
          <w:rFonts w:cs="Arial"/>
          <w:bCs/>
          <w:szCs w:val="24"/>
        </w:rPr>
        <w:t xml:space="preserve"> of ACT Corrective Services </w:t>
      </w:r>
      <w:r w:rsidR="007556F7">
        <w:rPr>
          <w:rFonts w:cs="Arial"/>
          <w:bCs/>
          <w:szCs w:val="24"/>
        </w:rPr>
        <w:t xml:space="preserve">and ACT Courts </w:t>
      </w:r>
      <w:r w:rsidR="00EF0095">
        <w:rPr>
          <w:rFonts w:cs="Arial"/>
          <w:bCs/>
          <w:szCs w:val="24"/>
        </w:rPr>
        <w:t>for the duration of</w:t>
      </w:r>
      <w:r w:rsidR="007556F7">
        <w:rPr>
          <w:rFonts w:cs="Arial"/>
          <w:bCs/>
          <w:szCs w:val="24"/>
        </w:rPr>
        <w:t xml:space="preserve"> a COVID-19 emergency, </w:t>
      </w:r>
      <w:r w:rsidR="009B06D6">
        <w:rPr>
          <w:rFonts w:cs="Arial"/>
          <w:bCs/>
          <w:szCs w:val="24"/>
        </w:rPr>
        <w:t>through</w:t>
      </w:r>
      <w:r w:rsidR="007556F7">
        <w:rPr>
          <w:rFonts w:cs="Arial"/>
          <w:bCs/>
          <w:szCs w:val="24"/>
        </w:rPr>
        <w:t xml:space="preserve"> fewer court and corrections contacts for offenders.</w:t>
      </w:r>
      <w:r w:rsidR="009B06D6">
        <w:rPr>
          <w:rFonts w:cs="Arial"/>
          <w:bCs/>
          <w:szCs w:val="24"/>
        </w:rPr>
        <w:t xml:space="preserve"> The Explanatory Statement to the COVID-19 Emergency Response Legislation Amendment Bill contains details specific to this measure.</w:t>
      </w:r>
    </w:p>
    <w:p w14:paraId="6D672327" w14:textId="0C5E5E0B" w:rsidR="00CA7577" w:rsidRPr="008D4BA9" w:rsidRDefault="00CA7577" w:rsidP="00B93FED">
      <w:pPr>
        <w:pStyle w:val="Heading2"/>
        <w:rPr>
          <w:rFonts w:cs="Arial"/>
          <w:b w:val="0"/>
          <w:szCs w:val="24"/>
        </w:rPr>
      </w:pPr>
      <w:bookmarkStart w:id="59" w:name="_Toc57197628"/>
      <w:bookmarkStart w:id="60" w:name="_Hlk55571189"/>
      <w:r w:rsidRPr="008D4BA9">
        <w:rPr>
          <w:rFonts w:cs="Arial"/>
          <w:szCs w:val="24"/>
        </w:rPr>
        <w:t>Part 1.</w:t>
      </w:r>
      <w:r w:rsidR="003B2C57">
        <w:rPr>
          <w:rFonts w:cs="Arial"/>
          <w:szCs w:val="24"/>
        </w:rPr>
        <w:t>8</w:t>
      </w:r>
      <w:r w:rsidR="002B423A">
        <w:rPr>
          <w:rFonts w:cs="Arial"/>
          <w:szCs w:val="24"/>
        </w:rPr>
        <w:tab/>
      </w:r>
      <w:r>
        <w:rPr>
          <w:rFonts w:cs="Arial"/>
          <w:szCs w:val="24"/>
          <w:lang w:eastAsia="en-AU"/>
        </w:rPr>
        <w:t>Drugs of Dependence Act 1989</w:t>
      </w:r>
      <w:bookmarkEnd w:id="59"/>
    </w:p>
    <w:p w14:paraId="28BC6F01" w14:textId="74452F7A" w:rsidR="00CA7577" w:rsidRDefault="00CA7577" w:rsidP="00EE5F12">
      <w:pPr>
        <w:pStyle w:val="Heading3"/>
        <w:tabs>
          <w:tab w:val="left" w:pos="1134"/>
        </w:tabs>
        <w:rPr>
          <w:rFonts w:cs="Arial"/>
          <w:i/>
          <w:iCs/>
          <w:lang w:eastAsia="en-AU"/>
        </w:rPr>
      </w:pPr>
      <w:bookmarkStart w:id="61" w:name="_Toc57197629"/>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18</w:t>
      </w:r>
      <w:r w:rsidRPr="00706752">
        <w:rPr>
          <w:rFonts w:cs="Arial"/>
          <w:i/>
          <w:iCs/>
        </w:rPr>
        <w:fldChar w:fldCharType="end"/>
      </w:r>
      <w:r w:rsidRPr="00706752">
        <w:rPr>
          <w:rFonts w:cs="Arial"/>
          <w:iCs/>
        </w:rPr>
        <w:t>]</w:t>
      </w:r>
      <w:r w:rsidR="00EC4CFE">
        <w:rPr>
          <w:rFonts w:cs="Arial"/>
          <w:iCs/>
        </w:rPr>
        <w:tab/>
      </w:r>
      <w:r>
        <w:rPr>
          <w:rFonts w:cs="Arial"/>
          <w:iCs/>
          <w:lang w:eastAsia="en-AU"/>
        </w:rPr>
        <w:t>Section 187A (5)</w:t>
      </w:r>
      <w:bookmarkEnd w:id="61"/>
    </w:p>
    <w:p w14:paraId="61CA5F54" w14:textId="794503E0" w:rsidR="0083789A" w:rsidRDefault="0083789A" w:rsidP="0083789A">
      <w:pPr>
        <w:rPr>
          <w:rFonts w:cs="Arial"/>
          <w:bCs/>
          <w:szCs w:val="24"/>
        </w:rPr>
      </w:pPr>
      <w:r>
        <w:rPr>
          <w:rFonts w:cs="Arial"/>
          <w:bCs/>
          <w:szCs w:val="24"/>
        </w:rPr>
        <w:t xml:space="preserve">This clause </w:t>
      </w:r>
      <w:r w:rsidR="006B1592">
        <w:rPr>
          <w:rFonts w:cs="Arial"/>
          <w:bCs/>
          <w:szCs w:val="24"/>
        </w:rPr>
        <w:t>substitutes new subsection 187A(5) to provide for</w:t>
      </w:r>
      <w:r>
        <w:rPr>
          <w:rFonts w:cs="Arial"/>
          <w:bCs/>
          <w:szCs w:val="24"/>
        </w:rPr>
        <w:t xml:space="preserve"> the expiry of section 187A of the Drugs of Dependence Ac</w:t>
      </w:r>
      <w:r w:rsidR="006B1592">
        <w:rPr>
          <w:rFonts w:cs="Arial"/>
          <w:bCs/>
          <w:szCs w:val="24"/>
        </w:rPr>
        <w:t>t</w:t>
      </w:r>
      <w:r>
        <w:rPr>
          <w:rFonts w:cs="Arial"/>
          <w:bCs/>
          <w:szCs w:val="24"/>
        </w:rPr>
        <w:t xml:space="preserve"> on the day the </w:t>
      </w:r>
      <w:r w:rsidRPr="001426A5">
        <w:rPr>
          <w:rFonts w:cs="Arial"/>
          <w:bCs/>
          <w:szCs w:val="24"/>
        </w:rPr>
        <w:t>COVID-19 Emergency Response Act</w:t>
      </w:r>
      <w:r>
        <w:rPr>
          <w:rFonts w:cs="Arial"/>
          <w:bCs/>
          <w:szCs w:val="24"/>
        </w:rPr>
        <w:t xml:space="preserve"> expires, which is at the end of a 12-month period during which no COVID-19 declaration has been in force.</w:t>
      </w:r>
    </w:p>
    <w:bookmarkEnd w:id="60"/>
    <w:p w14:paraId="4B1D0786" w14:textId="0748C22A" w:rsidR="003B2C57" w:rsidRDefault="003B2C57" w:rsidP="003B2C57">
      <w:pPr>
        <w:rPr>
          <w:rFonts w:cs="Arial"/>
          <w:bCs/>
          <w:szCs w:val="24"/>
        </w:rPr>
      </w:pPr>
      <w:r>
        <w:rPr>
          <w:rFonts w:cs="Arial"/>
          <w:bCs/>
          <w:szCs w:val="24"/>
        </w:rPr>
        <w:t>The measure</w:t>
      </w:r>
      <w:r w:rsidR="006B1592">
        <w:rPr>
          <w:rFonts w:cs="Arial"/>
          <w:bCs/>
          <w:szCs w:val="24"/>
        </w:rPr>
        <w:t xml:space="preserve"> established by section 187A</w:t>
      </w:r>
      <w:r>
        <w:rPr>
          <w:rFonts w:cs="Arial"/>
          <w:bCs/>
          <w:szCs w:val="24"/>
        </w:rPr>
        <w:t xml:space="preserve"> </w:t>
      </w:r>
      <w:r w:rsidR="00BF7387">
        <w:rPr>
          <w:rFonts w:cs="Arial"/>
          <w:bCs/>
          <w:szCs w:val="24"/>
        </w:rPr>
        <w:t>a</w:t>
      </w:r>
      <w:r w:rsidR="00BF7387" w:rsidRPr="006B1592">
        <w:rPr>
          <w:rFonts w:cs="Arial"/>
          <w:bCs/>
          <w:szCs w:val="24"/>
        </w:rPr>
        <w:t>llows sworn warrants to be applied for and transmitted electronically</w:t>
      </w:r>
      <w:r w:rsidR="006B1592">
        <w:rPr>
          <w:rFonts w:cs="Arial"/>
          <w:bCs/>
          <w:szCs w:val="24"/>
        </w:rPr>
        <w:t>, during a COVID-19 emergency.</w:t>
      </w:r>
      <w:r w:rsidR="00CC3FCD">
        <w:rPr>
          <w:rFonts w:cs="Arial"/>
          <w:bCs/>
          <w:szCs w:val="24"/>
        </w:rPr>
        <w:t xml:space="preserve"> </w:t>
      </w:r>
      <w:r w:rsidR="006B1592">
        <w:rPr>
          <w:rFonts w:cs="Arial"/>
          <w:bCs/>
          <w:szCs w:val="24"/>
        </w:rPr>
        <w:t>It</w:t>
      </w:r>
      <w:r w:rsidR="00BF7387">
        <w:rPr>
          <w:rFonts w:cs="Arial"/>
          <w:bCs/>
          <w:szCs w:val="24"/>
        </w:rPr>
        <w:t xml:space="preserve"> </w:t>
      </w:r>
      <w:r w:rsidR="00E70CE8">
        <w:rPr>
          <w:rFonts w:cs="Arial"/>
          <w:bCs/>
          <w:szCs w:val="24"/>
        </w:rPr>
        <w:t>is</w:t>
      </w:r>
      <w:r>
        <w:rPr>
          <w:rFonts w:cs="Arial"/>
          <w:bCs/>
          <w:szCs w:val="24"/>
        </w:rPr>
        <w:t xml:space="preserve"> due to expire </w:t>
      </w:r>
      <w:r w:rsidR="00BF7387">
        <w:rPr>
          <w:rFonts w:cs="Arial"/>
          <w:bCs/>
          <w:szCs w:val="24"/>
        </w:rPr>
        <w:t>the first day no COVID-19 emergency is in force</w:t>
      </w:r>
      <w:r>
        <w:rPr>
          <w:rFonts w:cs="Arial"/>
          <w:bCs/>
          <w:szCs w:val="24"/>
        </w:rPr>
        <w:t xml:space="preserve">. </w:t>
      </w:r>
      <w:r w:rsidR="00AA0031">
        <w:rPr>
          <w:rFonts w:cs="Arial"/>
          <w:bCs/>
          <w:szCs w:val="24"/>
        </w:rPr>
        <w:t>The new</w:t>
      </w:r>
      <w:r w:rsidR="006B1592">
        <w:rPr>
          <w:rFonts w:cs="Arial"/>
          <w:bCs/>
          <w:szCs w:val="24"/>
        </w:rPr>
        <w:t xml:space="preserve"> expiry </w:t>
      </w:r>
      <w:r w:rsidR="00AA0031">
        <w:rPr>
          <w:rFonts w:cs="Arial"/>
          <w:bCs/>
          <w:szCs w:val="24"/>
        </w:rPr>
        <w:t>provision for</w:t>
      </w:r>
      <w:r w:rsidR="006B1592">
        <w:rPr>
          <w:rFonts w:cs="Arial"/>
          <w:bCs/>
          <w:szCs w:val="24"/>
        </w:rPr>
        <w:t xml:space="preserve"> the measure allows the measure to remain in the Act after a COVID-19 emergency declaration is no longer in force, for </w:t>
      </w:r>
      <w:r w:rsidR="00AA0031">
        <w:rPr>
          <w:rFonts w:cs="Arial"/>
          <w:bCs/>
          <w:szCs w:val="24"/>
        </w:rPr>
        <w:t>a period of</w:t>
      </w:r>
      <w:r w:rsidR="006B1592">
        <w:rPr>
          <w:rFonts w:cs="Arial"/>
          <w:bCs/>
          <w:szCs w:val="24"/>
        </w:rPr>
        <w:t xml:space="preserve"> 12 months.</w:t>
      </w:r>
      <w:r w:rsidR="00CC3FCD">
        <w:rPr>
          <w:rFonts w:cs="Arial"/>
          <w:bCs/>
          <w:szCs w:val="24"/>
        </w:rPr>
        <w:t xml:space="preserve"> </w:t>
      </w:r>
      <w:r w:rsidR="006B1592">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p>
    <w:p w14:paraId="069E819D" w14:textId="0D4D71C5" w:rsidR="00053C27" w:rsidRDefault="00AA0031" w:rsidP="003B2C57">
      <w:pPr>
        <w:rPr>
          <w:rFonts w:cs="Arial"/>
          <w:bCs/>
          <w:szCs w:val="24"/>
        </w:rPr>
      </w:pPr>
      <w:r>
        <w:rPr>
          <w:rFonts w:cs="Arial"/>
          <w:bCs/>
          <w:szCs w:val="24"/>
        </w:rPr>
        <w:t>This amendment</w:t>
      </w:r>
      <w:r w:rsidR="003B2C57">
        <w:rPr>
          <w:rFonts w:cs="Arial"/>
          <w:bCs/>
          <w:szCs w:val="24"/>
        </w:rPr>
        <w:t xml:space="preserve"> will allow</w:t>
      </w:r>
      <w:r w:rsidR="003B2C57">
        <w:t xml:space="preserve"> for alternative, COVID-19 safe procedures for the application for and issuing of search warrants </w:t>
      </w:r>
      <w:r w:rsidR="006B1592">
        <w:rPr>
          <w:rFonts w:cs="Arial"/>
          <w:szCs w:val="24"/>
        </w:rPr>
        <w:t>during</w:t>
      </w:r>
      <w:r w:rsidR="003B2C57" w:rsidRPr="00C62635">
        <w:rPr>
          <w:rFonts w:cs="Arial"/>
          <w:szCs w:val="24"/>
        </w:rPr>
        <w:t xml:space="preserve"> a COVID-19 emergency.</w:t>
      </w:r>
      <w:r w:rsidR="003B2C57">
        <w:rPr>
          <w:rFonts w:cs="Arial"/>
          <w:szCs w:val="24"/>
        </w:rPr>
        <w:t xml:space="preserve"> </w:t>
      </w:r>
      <w:r w:rsidR="003B2C57">
        <w:rPr>
          <w:rFonts w:cs="Arial"/>
          <w:bCs/>
          <w:szCs w:val="24"/>
        </w:rPr>
        <w:t>The Explanatory Statement to the COVID-19 Emergency Response Legislation Amendment Bill further details this measure.</w:t>
      </w:r>
    </w:p>
    <w:p w14:paraId="3E9E62FE" w14:textId="2FDE2157" w:rsidR="00230853" w:rsidRPr="008D4BA9" w:rsidRDefault="00230853" w:rsidP="00B93FED">
      <w:pPr>
        <w:pStyle w:val="Heading2"/>
        <w:rPr>
          <w:rFonts w:cs="Arial"/>
          <w:b w:val="0"/>
          <w:szCs w:val="24"/>
        </w:rPr>
      </w:pPr>
      <w:bookmarkStart w:id="62" w:name="_Toc57197630"/>
      <w:r w:rsidRPr="008D4BA9">
        <w:rPr>
          <w:rFonts w:cs="Arial"/>
          <w:szCs w:val="24"/>
        </w:rPr>
        <w:t>Part 1.</w:t>
      </w:r>
      <w:r w:rsidR="003B2C57">
        <w:rPr>
          <w:rFonts w:cs="Arial"/>
          <w:szCs w:val="24"/>
        </w:rPr>
        <w:t>9</w:t>
      </w:r>
      <w:r w:rsidR="002B423A">
        <w:rPr>
          <w:rFonts w:cs="Arial"/>
          <w:szCs w:val="24"/>
        </w:rPr>
        <w:tab/>
      </w:r>
      <w:r>
        <w:rPr>
          <w:rFonts w:cs="Arial"/>
          <w:szCs w:val="24"/>
          <w:lang w:eastAsia="en-AU"/>
        </w:rPr>
        <w:t>Education Act 2004</w:t>
      </w:r>
      <w:bookmarkEnd w:id="62"/>
    </w:p>
    <w:p w14:paraId="5D486D1C" w14:textId="197DA9E9" w:rsidR="00230853" w:rsidRDefault="00230853" w:rsidP="002A20A5">
      <w:pPr>
        <w:pStyle w:val="Heading3"/>
        <w:tabs>
          <w:tab w:val="left" w:pos="1134"/>
        </w:tabs>
        <w:rPr>
          <w:rFonts w:cs="Arial"/>
          <w:i/>
          <w:iCs/>
          <w:lang w:eastAsia="en-AU"/>
        </w:rPr>
      </w:pPr>
      <w:bookmarkStart w:id="63" w:name="_Toc57197631"/>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19</w:t>
      </w:r>
      <w:r w:rsidRPr="00706752">
        <w:rPr>
          <w:rFonts w:cs="Arial"/>
          <w:i/>
          <w:iCs/>
        </w:rPr>
        <w:fldChar w:fldCharType="end"/>
      </w:r>
      <w:r w:rsidRPr="00706752">
        <w:rPr>
          <w:rFonts w:cs="Arial"/>
          <w:iCs/>
        </w:rPr>
        <w:t>]</w:t>
      </w:r>
      <w:r w:rsidR="00EC4CFE">
        <w:rPr>
          <w:rFonts w:cs="Arial"/>
          <w:iCs/>
        </w:rPr>
        <w:tab/>
      </w:r>
      <w:r w:rsidRPr="00706752">
        <w:rPr>
          <w:rFonts w:cs="Arial"/>
          <w:iCs/>
          <w:lang w:eastAsia="en-AU"/>
        </w:rPr>
        <w:t>Section</w:t>
      </w:r>
      <w:r>
        <w:rPr>
          <w:rFonts w:cs="Arial"/>
          <w:iCs/>
          <w:lang w:eastAsia="en-AU"/>
        </w:rPr>
        <w:t>s</w:t>
      </w:r>
      <w:r w:rsidRPr="00706752">
        <w:rPr>
          <w:rFonts w:cs="Arial"/>
          <w:iCs/>
          <w:lang w:eastAsia="en-AU"/>
        </w:rPr>
        <w:t xml:space="preserve"> </w:t>
      </w:r>
      <w:r>
        <w:rPr>
          <w:rFonts w:cs="Arial"/>
          <w:iCs/>
          <w:lang w:eastAsia="en-AU"/>
        </w:rPr>
        <w:t>84A (3), 88AA (3) and 153B (7)</w:t>
      </w:r>
      <w:bookmarkEnd w:id="63"/>
    </w:p>
    <w:p w14:paraId="76D3AE35" w14:textId="2345B54D" w:rsidR="00EC4CFE" w:rsidRDefault="00EC4CFE" w:rsidP="00EC4CFE">
      <w:pPr>
        <w:rPr>
          <w:rFonts w:cs="Arial"/>
          <w:bCs/>
          <w:szCs w:val="24"/>
        </w:rPr>
      </w:pPr>
      <w:r w:rsidRPr="00EC4CFE">
        <w:rPr>
          <w:rFonts w:cs="Arial"/>
          <w:bCs/>
          <w:szCs w:val="24"/>
        </w:rPr>
        <w:t>This clause amends</w:t>
      </w:r>
      <w:r w:rsidR="006B1592">
        <w:rPr>
          <w:rFonts w:cs="Arial"/>
          <w:bCs/>
          <w:szCs w:val="24"/>
        </w:rPr>
        <w:t xml:space="preserve"> sections 84A (3), 88AA (3) and 153B (7) to provide for</w:t>
      </w:r>
      <w:r w:rsidRPr="00EC4CFE">
        <w:rPr>
          <w:rFonts w:cs="Arial"/>
          <w:bCs/>
          <w:szCs w:val="24"/>
        </w:rPr>
        <w:t xml:space="preserve"> the expiry of</w:t>
      </w:r>
      <w:r w:rsidR="006B1592">
        <w:rPr>
          <w:rFonts w:cs="Arial"/>
          <w:bCs/>
          <w:szCs w:val="24"/>
        </w:rPr>
        <w:t>, respectively,</w:t>
      </w:r>
      <w:r w:rsidRPr="00EC4CFE">
        <w:rPr>
          <w:rFonts w:cs="Arial"/>
          <w:bCs/>
          <w:szCs w:val="24"/>
        </w:rPr>
        <w:t xml:space="preserve"> section</w:t>
      </w:r>
      <w:r>
        <w:rPr>
          <w:rFonts w:cs="Arial"/>
          <w:bCs/>
          <w:szCs w:val="24"/>
        </w:rPr>
        <w:t>s</w:t>
      </w:r>
      <w:r w:rsidRPr="00EC4CFE">
        <w:rPr>
          <w:rFonts w:cs="Arial"/>
          <w:bCs/>
          <w:szCs w:val="24"/>
        </w:rPr>
        <w:t xml:space="preserve"> </w:t>
      </w:r>
      <w:r>
        <w:rPr>
          <w:rFonts w:cs="Arial"/>
          <w:bCs/>
          <w:szCs w:val="24"/>
        </w:rPr>
        <w:t>84A, 88A</w:t>
      </w:r>
      <w:r w:rsidR="00FB7252">
        <w:rPr>
          <w:rFonts w:cs="Arial"/>
          <w:bCs/>
          <w:szCs w:val="24"/>
        </w:rPr>
        <w:t>A</w:t>
      </w:r>
      <w:r>
        <w:rPr>
          <w:rFonts w:cs="Arial"/>
          <w:bCs/>
          <w:szCs w:val="24"/>
        </w:rPr>
        <w:t xml:space="preserve"> and 153B</w:t>
      </w:r>
      <w:r w:rsidRPr="00EC4CFE">
        <w:rPr>
          <w:rFonts w:cs="Arial"/>
          <w:bCs/>
          <w:szCs w:val="24"/>
        </w:rPr>
        <w:t xml:space="preserve"> of the </w:t>
      </w:r>
      <w:r>
        <w:rPr>
          <w:rFonts w:cs="Arial"/>
          <w:bCs/>
          <w:szCs w:val="24"/>
        </w:rPr>
        <w:t xml:space="preserve">Education </w:t>
      </w:r>
      <w:r w:rsidRPr="00EC4CFE">
        <w:rPr>
          <w:rFonts w:cs="Arial"/>
          <w:bCs/>
          <w:szCs w:val="24"/>
        </w:rPr>
        <w:t>Act on the day the COVID-19 Emergency Response Act expires, which is at the end of a 12-month period during which no COVID-19 declaration has been in force.</w:t>
      </w:r>
    </w:p>
    <w:p w14:paraId="5813D064" w14:textId="66CFCDB2" w:rsidR="002A20A5" w:rsidRDefault="003B2C57" w:rsidP="002A20A5">
      <w:pPr>
        <w:rPr>
          <w:color w:val="000000" w:themeColor="text1"/>
          <w:lang w:eastAsia="en-AU"/>
        </w:rPr>
      </w:pPr>
      <w:r>
        <w:rPr>
          <w:rFonts w:cs="Arial"/>
          <w:bCs/>
          <w:szCs w:val="24"/>
        </w:rPr>
        <w:t xml:space="preserve">The measures </w:t>
      </w:r>
      <w:r w:rsidR="00BF7387">
        <w:rPr>
          <w:rFonts w:cs="Arial"/>
          <w:bCs/>
          <w:szCs w:val="24"/>
        </w:rPr>
        <w:t>are</w:t>
      </w:r>
      <w:r w:rsidR="006F602E">
        <w:rPr>
          <w:rFonts w:cs="Arial"/>
          <w:bCs/>
          <w:szCs w:val="24"/>
        </w:rPr>
        <w:t xml:space="preserve"> </w:t>
      </w:r>
      <w:r>
        <w:rPr>
          <w:rFonts w:cs="Arial"/>
          <w:bCs/>
          <w:szCs w:val="24"/>
        </w:rPr>
        <w:t xml:space="preserve">due to expire on 8 April 2021. </w:t>
      </w:r>
      <w:r w:rsidR="00AA0031">
        <w:rPr>
          <w:rFonts w:cs="Arial"/>
          <w:bCs/>
          <w:szCs w:val="24"/>
        </w:rPr>
        <w:t xml:space="preserve">The new </w:t>
      </w:r>
      <w:r w:rsidR="006B1592">
        <w:rPr>
          <w:rFonts w:cs="Arial"/>
          <w:bCs/>
          <w:szCs w:val="24"/>
        </w:rPr>
        <w:t xml:space="preserve">expiry </w:t>
      </w:r>
      <w:r w:rsidR="00AA0031">
        <w:rPr>
          <w:rFonts w:cs="Arial"/>
          <w:bCs/>
          <w:szCs w:val="24"/>
        </w:rPr>
        <w:t>provisions</w:t>
      </w:r>
      <w:r w:rsidR="006B1592">
        <w:rPr>
          <w:rFonts w:cs="Arial"/>
          <w:bCs/>
          <w:szCs w:val="24"/>
        </w:rPr>
        <w:t xml:space="preserve"> allow the measure</w:t>
      </w:r>
      <w:r w:rsidR="00AA0031">
        <w:rPr>
          <w:rFonts w:cs="Arial"/>
          <w:bCs/>
          <w:szCs w:val="24"/>
        </w:rPr>
        <w:t>s</w:t>
      </w:r>
      <w:r w:rsidR="006B1592">
        <w:rPr>
          <w:rFonts w:cs="Arial"/>
          <w:bCs/>
          <w:szCs w:val="24"/>
        </w:rPr>
        <w:t xml:space="preserve"> to remain in the Act after a COVID-19 emergency declaration is no longer in force, for </w:t>
      </w:r>
      <w:r w:rsidR="00AA0031">
        <w:rPr>
          <w:rFonts w:cs="Arial"/>
          <w:bCs/>
          <w:szCs w:val="24"/>
        </w:rPr>
        <w:t>a period of</w:t>
      </w:r>
      <w:r w:rsidR="006B1592">
        <w:rPr>
          <w:rFonts w:cs="Arial"/>
          <w:bCs/>
          <w:szCs w:val="24"/>
        </w:rPr>
        <w:t xml:space="preserve"> 12 months.</w:t>
      </w:r>
      <w:r w:rsidR="00CC3FCD">
        <w:rPr>
          <w:rFonts w:cs="Arial"/>
          <w:bCs/>
          <w:szCs w:val="24"/>
        </w:rPr>
        <w:t xml:space="preserve"> </w:t>
      </w:r>
      <w:r w:rsidR="006B1592">
        <w:rPr>
          <w:rFonts w:cs="Arial"/>
          <w:bCs/>
          <w:szCs w:val="24"/>
        </w:rPr>
        <w:t>During this period, in the event a COVID-19 emergency declaration is made, the measure</w:t>
      </w:r>
      <w:r w:rsidR="00AA0031">
        <w:rPr>
          <w:rFonts w:cs="Arial"/>
          <w:bCs/>
          <w:szCs w:val="24"/>
        </w:rPr>
        <w:t>s</w:t>
      </w:r>
      <w:r w:rsidR="006B1592">
        <w:rPr>
          <w:rFonts w:cs="Arial"/>
          <w:bCs/>
          <w:szCs w:val="24"/>
        </w:rPr>
        <w:t xml:space="preserve"> will become operative while the declaration is in force. The purpose of this rolling expiry arrangement is to ensure that emergency response measures can be available to support operational and service responses.</w:t>
      </w:r>
    </w:p>
    <w:p w14:paraId="1D993AE8" w14:textId="22B194C9" w:rsidR="00BF7387" w:rsidRDefault="00BF7387" w:rsidP="002A20A5">
      <w:pPr>
        <w:rPr>
          <w:color w:val="000000" w:themeColor="text1"/>
          <w:lang w:eastAsia="en-AU"/>
        </w:rPr>
      </w:pPr>
      <w:r>
        <w:rPr>
          <w:color w:val="000000" w:themeColor="text1"/>
          <w:lang w:eastAsia="en-AU"/>
        </w:rPr>
        <w:lastRenderedPageBreak/>
        <w:t>The measures:</w:t>
      </w:r>
    </w:p>
    <w:p w14:paraId="11A5B884" w14:textId="236B4B47" w:rsidR="00BF7387" w:rsidRPr="006B1592" w:rsidRDefault="00BF7387" w:rsidP="006B1592">
      <w:pPr>
        <w:pStyle w:val="ListParagraph"/>
        <w:numPr>
          <w:ilvl w:val="0"/>
          <w:numId w:val="29"/>
        </w:numPr>
        <w:rPr>
          <w:rFonts w:cs="Arial"/>
          <w:bCs/>
          <w:szCs w:val="24"/>
        </w:rPr>
      </w:pPr>
      <w:r>
        <w:rPr>
          <w:rFonts w:cs="Arial"/>
          <w:bCs/>
          <w:sz w:val="24"/>
          <w:szCs w:val="24"/>
        </w:rPr>
        <w:t>a</w:t>
      </w:r>
      <w:r w:rsidRPr="006B1592">
        <w:rPr>
          <w:rFonts w:cs="Arial"/>
          <w:bCs/>
          <w:sz w:val="24"/>
          <w:szCs w:val="24"/>
        </w:rPr>
        <w:t>llow the Minister to extend the period of in-principle approval for provisional registration</w:t>
      </w:r>
      <w:r w:rsidR="006B1592">
        <w:rPr>
          <w:rFonts w:cs="Arial"/>
          <w:bCs/>
          <w:sz w:val="24"/>
          <w:szCs w:val="24"/>
        </w:rPr>
        <w:t xml:space="preserve"> and</w:t>
      </w:r>
      <w:r w:rsidRPr="006B1592">
        <w:rPr>
          <w:rFonts w:cs="Arial"/>
          <w:bCs/>
          <w:sz w:val="24"/>
          <w:szCs w:val="24"/>
        </w:rPr>
        <w:t xml:space="preserve"> provisional registration of a school at an additional campus and provisional registration of a school at an additional educational level, if the approval will, or is likely to lapse while a section 153B declaration of the Education Minister is in force (section 84A).</w:t>
      </w:r>
    </w:p>
    <w:p w14:paraId="1A4361EA" w14:textId="2FF89A90" w:rsidR="00BF7387" w:rsidRPr="006B1592" w:rsidRDefault="00BF7387" w:rsidP="006B1592">
      <w:pPr>
        <w:pStyle w:val="ListParagraph"/>
        <w:numPr>
          <w:ilvl w:val="0"/>
          <w:numId w:val="29"/>
        </w:numPr>
        <w:rPr>
          <w:rFonts w:cs="Arial"/>
          <w:bCs/>
          <w:szCs w:val="24"/>
        </w:rPr>
      </w:pPr>
      <w:r>
        <w:rPr>
          <w:rFonts w:cs="Arial"/>
          <w:bCs/>
          <w:sz w:val="24"/>
          <w:szCs w:val="24"/>
        </w:rPr>
        <w:t>e</w:t>
      </w:r>
      <w:r w:rsidRPr="006B1592">
        <w:rPr>
          <w:rFonts w:cs="Arial"/>
          <w:bCs/>
          <w:sz w:val="24"/>
          <w:szCs w:val="24"/>
        </w:rPr>
        <w:t>xtend the period of registration of a non-government school for up to 12</w:t>
      </w:r>
      <w:r w:rsidR="00171139">
        <w:rPr>
          <w:rFonts w:cs="Arial"/>
          <w:bCs/>
          <w:sz w:val="24"/>
          <w:szCs w:val="24"/>
        </w:rPr>
        <w:t> </w:t>
      </w:r>
      <w:r w:rsidRPr="006B1592">
        <w:rPr>
          <w:rFonts w:cs="Arial"/>
          <w:bCs/>
          <w:sz w:val="24"/>
          <w:szCs w:val="24"/>
        </w:rPr>
        <w:t xml:space="preserve">months if it becomes evident that the school is unable to meet registration obligations under the Education Act </w:t>
      </w:r>
      <w:r w:rsidR="00E0176B">
        <w:rPr>
          <w:rFonts w:cs="Arial"/>
          <w:bCs/>
          <w:sz w:val="24"/>
          <w:szCs w:val="24"/>
        </w:rPr>
        <w:t>while a</w:t>
      </w:r>
      <w:r w:rsidRPr="006B1592">
        <w:rPr>
          <w:rFonts w:cs="Arial"/>
          <w:bCs/>
          <w:sz w:val="24"/>
          <w:szCs w:val="24"/>
        </w:rPr>
        <w:t xml:space="preserve"> COVID-19 </w:t>
      </w:r>
      <w:r w:rsidR="00E0176B">
        <w:rPr>
          <w:rFonts w:cs="Arial"/>
          <w:bCs/>
          <w:sz w:val="24"/>
          <w:szCs w:val="24"/>
        </w:rPr>
        <w:t>emergency is in place</w:t>
      </w:r>
      <w:r w:rsidRPr="006B1592">
        <w:rPr>
          <w:rFonts w:cs="Arial"/>
          <w:bCs/>
          <w:sz w:val="24"/>
          <w:szCs w:val="24"/>
        </w:rPr>
        <w:t xml:space="preserve"> (section 88AA); and</w:t>
      </w:r>
    </w:p>
    <w:p w14:paraId="319E3E7E" w14:textId="5A983324" w:rsidR="00BF7387" w:rsidRPr="00B13AFF" w:rsidRDefault="00171139" w:rsidP="006B1592">
      <w:pPr>
        <w:pStyle w:val="ListParagraph"/>
        <w:numPr>
          <w:ilvl w:val="0"/>
          <w:numId w:val="29"/>
        </w:numPr>
        <w:rPr>
          <w:rFonts w:cs="Arial"/>
          <w:bCs/>
          <w:szCs w:val="24"/>
        </w:rPr>
      </w:pPr>
      <w:r>
        <w:rPr>
          <w:rFonts w:cs="Arial"/>
          <w:bCs/>
          <w:sz w:val="24"/>
          <w:szCs w:val="24"/>
        </w:rPr>
        <w:t xml:space="preserve">allow the </w:t>
      </w:r>
      <w:r w:rsidR="00BF7387" w:rsidRPr="006B1592">
        <w:rPr>
          <w:rFonts w:cs="Arial"/>
          <w:bCs/>
          <w:sz w:val="24"/>
          <w:szCs w:val="24"/>
        </w:rPr>
        <w:t>Minister to make a declaration</w:t>
      </w:r>
      <w:r w:rsidR="00E0176B">
        <w:rPr>
          <w:rFonts w:cs="Arial"/>
          <w:bCs/>
          <w:sz w:val="24"/>
          <w:szCs w:val="24"/>
        </w:rPr>
        <w:t xml:space="preserve"> during a COVID-19 emergency</w:t>
      </w:r>
      <w:r w:rsidR="00BF7387" w:rsidRPr="006B1592">
        <w:rPr>
          <w:rFonts w:cs="Arial"/>
          <w:bCs/>
          <w:sz w:val="24"/>
          <w:szCs w:val="24"/>
        </w:rPr>
        <w:t xml:space="preserve"> in relation to compulsory education requirements (section 153B).</w:t>
      </w:r>
    </w:p>
    <w:p w14:paraId="3F23AFED" w14:textId="75CCCA30" w:rsidR="00230853" w:rsidRPr="00230853" w:rsidRDefault="00AA0031" w:rsidP="00230853">
      <w:pPr>
        <w:rPr>
          <w:lang w:eastAsia="en-AU"/>
        </w:rPr>
      </w:pPr>
      <w:r>
        <w:rPr>
          <w:rFonts w:cs="Arial"/>
          <w:bCs/>
          <w:szCs w:val="24"/>
        </w:rPr>
        <w:t xml:space="preserve">These amendments </w:t>
      </w:r>
      <w:r w:rsidR="00DD2562">
        <w:rPr>
          <w:rFonts w:cs="Arial"/>
          <w:bCs/>
          <w:szCs w:val="24"/>
        </w:rPr>
        <w:t>provid</w:t>
      </w:r>
      <w:r w:rsidR="001426A5">
        <w:rPr>
          <w:rFonts w:cs="Arial"/>
          <w:bCs/>
          <w:szCs w:val="24"/>
        </w:rPr>
        <w:t>e</w:t>
      </w:r>
      <w:r w:rsidR="00DD2562">
        <w:rPr>
          <w:rFonts w:cs="Arial"/>
          <w:bCs/>
          <w:szCs w:val="24"/>
        </w:rPr>
        <w:t xml:space="preserve"> flexibility </w:t>
      </w:r>
      <w:r w:rsidR="002F44CB">
        <w:rPr>
          <w:rFonts w:cs="Arial"/>
          <w:bCs/>
          <w:szCs w:val="24"/>
        </w:rPr>
        <w:t xml:space="preserve">for </w:t>
      </w:r>
      <w:r w:rsidR="00FB7252">
        <w:rPr>
          <w:rFonts w:cs="Arial"/>
          <w:bCs/>
          <w:szCs w:val="24"/>
        </w:rPr>
        <w:t xml:space="preserve">government and non-government </w:t>
      </w:r>
      <w:r w:rsidR="002F44CB">
        <w:rPr>
          <w:rFonts w:cs="Arial"/>
          <w:bCs/>
          <w:szCs w:val="24"/>
        </w:rPr>
        <w:t xml:space="preserve">schools in the ACT </w:t>
      </w:r>
      <w:r w:rsidR="00DD2562">
        <w:rPr>
          <w:rFonts w:cs="Arial"/>
          <w:bCs/>
          <w:szCs w:val="24"/>
        </w:rPr>
        <w:t xml:space="preserve">to continue </w:t>
      </w:r>
      <w:r w:rsidR="002F44CB">
        <w:rPr>
          <w:rFonts w:cs="Arial"/>
          <w:bCs/>
          <w:szCs w:val="24"/>
        </w:rPr>
        <w:t xml:space="preserve">to provide education to children </w:t>
      </w:r>
      <w:r w:rsidR="00DD2562">
        <w:rPr>
          <w:rFonts w:cs="Arial"/>
          <w:bCs/>
          <w:szCs w:val="24"/>
        </w:rPr>
        <w:t xml:space="preserve">in the event </w:t>
      </w:r>
      <w:r w:rsidR="002F44CB">
        <w:rPr>
          <w:rFonts w:cs="Arial"/>
          <w:bCs/>
          <w:szCs w:val="24"/>
        </w:rPr>
        <w:t xml:space="preserve">that </w:t>
      </w:r>
      <w:r w:rsidR="00945486">
        <w:rPr>
          <w:rFonts w:cs="Arial"/>
          <w:bCs/>
          <w:szCs w:val="24"/>
        </w:rPr>
        <w:t xml:space="preserve">further </w:t>
      </w:r>
      <w:r w:rsidR="009D5DB7">
        <w:rPr>
          <w:rFonts w:cs="Arial"/>
          <w:bCs/>
          <w:szCs w:val="24"/>
        </w:rPr>
        <w:t xml:space="preserve">COVID-19 </w:t>
      </w:r>
      <w:r w:rsidR="00212694">
        <w:rPr>
          <w:rFonts w:cs="Arial"/>
          <w:bCs/>
          <w:szCs w:val="24"/>
        </w:rPr>
        <w:t>public health restrictions</w:t>
      </w:r>
      <w:r w:rsidR="002F44CB">
        <w:rPr>
          <w:rFonts w:cs="Arial"/>
          <w:bCs/>
          <w:szCs w:val="24"/>
        </w:rPr>
        <w:t xml:space="preserve"> are imposed in the ACT</w:t>
      </w:r>
      <w:r w:rsidR="00DD2562">
        <w:rPr>
          <w:rFonts w:cs="Arial"/>
          <w:bCs/>
          <w:szCs w:val="24"/>
        </w:rPr>
        <w:t>.</w:t>
      </w:r>
      <w:r w:rsidR="001426A5">
        <w:rPr>
          <w:rFonts w:cs="Arial"/>
          <w:bCs/>
          <w:szCs w:val="24"/>
        </w:rPr>
        <w:t xml:space="preserve"> The </w:t>
      </w:r>
      <w:r w:rsidR="00457769">
        <w:rPr>
          <w:rFonts w:cs="Arial"/>
          <w:bCs/>
          <w:szCs w:val="24"/>
        </w:rPr>
        <w:t>measure</w:t>
      </w:r>
      <w:r w:rsidR="001426A5">
        <w:rPr>
          <w:rFonts w:cs="Arial"/>
          <w:bCs/>
          <w:szCs w:val="24"/>
        </w:rPr>
        <w:t>s operate to ensure that schools in the ACT will not contravene statutory requirements as a result of chang</w:t>
      </w:r>
      <w:r w:rsidR="00457769">
        <w:rPr>
          <w:rFonts w:cs="Arial"/>
          <w:bCs/>
          <w:szCs w:val="24"/>
        </w:rPr>
        <w:t>ing</w:t>
      </w:r>
      <w:r w:rsidR="001426A5">
        <w:rPr>
          <w:rFonts w:cs="Arial"/>
          <w:bCs/>
          <w:szCs w:val="24"/>
        </w:rPr>
        <w:t xml:space="preserve"> </w:t>
      </w:r>
      <w:r w:rsidR="00457769">
        <w:rPr>
          <w:rFonts w:cs="Arial"/>
          <w:bCs/>
          <w:szCs w:val="24"/>
        </w:rPr>
        <w:t>their</w:t>
      </w:r>
      <w:r w:rsidR="001426A5">
        <w:rPr>
          <w:rFonts w:cs="Arial"/>
          <w:bCs/>
          <w:szCs w:val="24"/>
        </w:rPr>
        <w:t xml:space="preserve"> operat</w:t>
      </w:r>
      <w:r w:rsidR="00457769">
        <w:rPr>
          <w:rFonts w:cs="Arial"/>
          <w:bCs/>
          <w:szCs w:val="24"/>
        </w:rPr>
        <w:t>ions</w:t>
      </w:r>
      <w:r w:rsidR="001426A5">
        <w:rPr>
          <w:rFonts w:cs="Arial"/>
          <w:bCs/>
          <w:szCs w:val="24"/>
        </w:rPr>
        <w:t xml:space="preserve"> in response to </w:t>
      </w:r>
      <w:r w:rsidR="00457769">
        <w:rPr>
          <w:rFonts w:cs="Arial"/>
          <w:bCs/>
          <w:szCs w:val="24"/>
        </w:rPr>
        <w:t>COVID-19 public health restrictions</w:t>
      </w:r>
      <w:r w:rsidR="001426A5">
        <w:rPr>
          <w:rFonts w:cs="Arial"/>
          <w:bCs/>
          <w:szCs w:val="24"/>
        </w:rPr>
        <w:t>.</w:t>
      </w:r>
      <w:r w:rsidR="00E51466">
        <w:rPr>
          <w:rFonts w:cs="Arial"/>
          <w:bCs/>
          <w:szCs w:val="24"/>
        </w:rPr>
        <w:t xml:space="preserve"> The Explanatory Statement to the COVID-19 Emergency Response Legislation Amendment Bill </w:t>
      </w:r>
      <w:r w:rsidR="00457769">
        <w:rPr>
          <w:rFonts w:cs="Arial"/>
          <w:bCs/>
          <w:szCs w:val="24"/>
        </w:rPr>
        <w:t>further details</w:t>
      </w:r>
      <w:r w:rsidR="00E51466">
        <w:rPr>
          <w:rFonts w:cs="Arial"/>
          <w:bCs/>
          <w:szCs w:val="24"/>
        </w:rPr>
        <w:t xml:space="preserve"> th</w:t>
      </w:r>
      <w:r w:rsidR="00540DC2">
        <w:rPr>
          <w:rFonts w:cs="Arial"/>
          <w:bCs/>
          <w:szCs w:val="24"/>
        </w:rPr>
        <w:t>ese</w:t>
      </w:r>
      <w:r w:rsidR="00E51466">
        <w:rPr>
          <w:rFonts w:cs="Arial"/>
          <w:bCs/>
          <w:szCs w:val="24"/>
        </w:rPr>
        <w:t xml:space="preserve"> measure</w:t>
      </w:r>
      <w:r w:rsidR="00540DC2">
        <w:rPr>
          <w:rFonts w:cs="Arial"/>
          <w:bCs/>
          <w:szCs w:val="24"/>
        </w:rPr>
        <w:t>s</w:t>
      </w:r>
      <w:r w:rsidR="00E51466">
        <w:rPr>
          <w:rFonts w:cs="Arial"/>
          <w:bCs/>
          <w:szCs w:val="24"/>
        </w:rPr>
        <w:t>.</w:t>
      </w:r>
    </w:p>
    <w:p w14:paraId="1C50C608" w14:textId="216184E6" w:rsidR="00B86D47" w:rsidRPr="008D4BA9" w:rsidRDefault="00B86D47" w:rsidP="00B93FED">
      <w:pPr>
        <w:pStyle w:val="Heading2"/>
        <w:rPr>
          <w:rFonts w:cs="Arial"/>
          <w:b w:val="0"/>
          <w:szCs w:val="24"/>
        </w:rPr>
      </w:pPr>
      <w:bookmarkStart w:id="64" w:name="_Toc57197632"/>
      <w:r w:rsidRPr="008D4BA9">
        <w:rPr>
          <w:rFonts w:cs="Arial"/>
          <w:szCs w:val="24"/>
        </w:rPr>
        <w:t>Part 1.</w:t>
      </w:r>
      <w:r>
        <w:rPr>
          <w:rFonts w:cs="Arial"/>
          <w:szCs w:val="24"/>
        </w:rPr>
        <w:t>1</w:t>
      </w:r>
      <w:r w:rsidR="00457769">
        <w:rPr>
          <w:rFonts w:cs="Arial"/>
          <w:szCs w:val="24"/>
        </w:rPr>
        <w:t>0</w:t>
      </w:r>
      <w:r w:rsidR="008244AC">
        <w:rPr>
          <w:rFonts w:cs="Arial"/>
          <w:szCs w:val="24"/>
        </w:rPr>
        <w:tab/>
      </w:r>
      <w:r>
        <w:rPr>
          <w:rFonts w:cs="Arial"/>
          <w:szCs w:val="24"/>
          <w:lang w:eastAsia="en-AU"/>
        </w:rPr>
        <w:t>Evidence (Miscellaneous Provisions) Act 1991</w:t>
      </w:r>
      <w:bookmarkEnd w:id="64"/>
    </w:p>
    <w:p w14:paraId="61C9D50E" w14:textId="4B5577F3" w:rsidR="00B86D47" w:rsidRDefault="00B86D47" w:rsidP="00A96BDA">
      <w:pPr>
        <w:pStyle w:val="Heading3"/>
        <w:tabs>
          <w:tab w:val="left" w:pos="1134"/>
        </w:tabs>
        <w:rPr>
          <w:rFonts w:cs="Arial"/>
          <w:i/>
          <w:iCs/>
          <w:lang w:eastAsia="en-AU"/>
        </w:rPr>
      </w:pPr>
      <w:bookmarkStart w:id="65" w:name="_Toc57197633"/>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20</w:t>
      </w:r>
      <w:r w:rsidRPr="00706752">
        <w:rPr>
          <w:rFonts w:cs="Arial"/>
          <w:i/>
          <w:iCs/>
        </w:rPr>
        <w:fldChar w:fldCharType="end"/>
      </w:r>
      <w:r w:rsidRPr="00706752">
        <w:rPr>
          <w:rFonts w:cs="Arial"/>
          <w:iCs/>
        </w:rPr>
        <w:t>]</w:t>
      </w:r>
      <w:r w:rsidR="00F45576">
        <w:rPr>
          <w:rFonts w:cs="Arial"/>
          <w:iCs/>
        </w:rPr>
        <w:tab/>
      </w:r>
      <w:r>
        <w:rPr>
          <w:rFonts w:cs="Arial"/>
          <w:iCs/>
          <w:lang w:eastAsia="en-AU"/>
        </w:rPr>
        <w:t>Section 164 (2)</w:t>
      </w:r>
      <w:bookmarkEnd w:id="65"/>
    </w:p>
    <w:p w14:paraId="11B2F49D" w14:textId="342A7138" w:rsidR="00ED247F" w:rsidRDefault="00ED247F" w:rsidP="00ED247F">
      <w:pPr>
        <w:rPr>
          <w:rFonts w:cs="Arial"/>
          <w:bCs/>
          <w:szCs w:val="24"/>
        </w:rPr>
      </w:pPr>
      <w:r w:rsidRPr="00EC4CFE">
        <w:rPr>
          <w:rFonts w:cs="Arial"/>
          <w:bCs/>
          <w:szCs w:val="24"/>
        </w:rPr>
        <w:t xml:space="preserve">This clause </w:t>
      </w:r>
      <w:r w:rsidR="00E0176B">
        <w:rPr>
          <w:rFonts w:cs="Arial"/>
          <w:bCs/>
          <w:szCs w:val="24"/>
        </w:rPr>
        <w:t>substitutes new subsection 164 (2) to provide that</w:t>
      </w:r>
      <w:r w:rsidRPr="00EC4CFE">
        <w:rPr>
          <w:rFonts w:cs="Arial"/>
          <w:bCs/>
          <w:szCs w:val="24"/>
        </w:rPr>
        <w:t xml:space="preserve"> section</w:t>
      </w:r>
      <w:r>
        <w:rPr>
          <w:rFonts w:cs="Arial"/>
          <w:bCs/>
          <w:szCs w:val="24"/>
        </w:rPr>
        <w:t xml:space="preserve"> 164</w:t>
      </w:r>
      <w:r w:rsidRPr="00EC4CFE">
        <w:rPr>
          <w:rFonts w:cs="Arial"/>
          <w:bCs/>
          <w:szCs w:val="24"/>
        </w:rPr>
        <w:t xml:space="preserve"> of the </w:t>
      </w:r>
      <w:r>
        <w:rPr>
          <w:rFonts w:cs="Arial"/>
          <w:bCs/>
          <w:szCs w:val="24"/>
        </w:rPr>
        <w:t xml:space="preserve">Evidence (Miscellaneous Provisions) </w:t>
      </w:r>
      <w:r w:rsidRPr="00EC4CFE">
        <w:rPr>
          <w:rFonts w:cs="Arial"/>
          <w:bCs/>
          <w:szCs w:val="24"/>
        </w:rPr>
        <w:t>Act expire</w:t>
      </w:r>
      <w:r w:rsidR="00E0176B">
        <w:rPr>
          <w:rFonts w:cs="Arial"/>
          <w:bCs/>
          <w:szCs w:val="24"/>
        </w:rPr>
        <w:t>s</w:t>
      </w:r>
      <w:r w:rsidRPr="00EC4CFE">
        <w:rPr>
          <w:rFonts w:cs="Arial"/>
          <w:bCs/>
          <w:szCs w:val="24"/>
        </w:rPr>
        <w:t xml:space="preserve"> on the day the COVID-19 Emergency Response Act</w:t>
      </w:r>
      <w:r w:rsidR="00A96BDA">
        <w:rPr>
          <w:rFonts w:cs="Arial"/>
          <w:bCs/>
          <w:szCs w:val="24"/>
        </w:rPr>
        <w:t xml:space="preserve"> </w:t>
      </w:r>
      <w:r w:rsidRPr="00EC4CFE">
        <w:rPr>
          <w:rFonts w:cs="Arial"/>
          <w:bCs/>
          <w:szCs w:val="24"/>
        </w:rPr>
        <w:t>expires, which is at the end of a 12-month period during which no COVID-19 declaration has been in force.</w:t>
      </w:r>
    </w:p>
    <w:p w14:paraId="06A763F4" w14:textId="0783F5AE" w:rsidR="00A96BDA" w:rsidRDefault="00457769" w:rsidP="00BE787E">
      <w:pPr>
        <w:rPr>
          <w:rFonts w:cs="Arial"/>
          <w:bCs/>
          <w:szCs w:val="24"/>
        </w:rPr>
      </w:pPr>
      <w:r>
        <w:rPr>
          <w:rFonts w:cs="Arial"/>
          <w:bCs/>
          <w:szCs w:val="24"/>
        </w:rPr>
        <w:t>The measure</w:t>
      </w:r>
      <w:r w:rsidR="00E0176B">
        <w:rPr>
          <w:rFonts w:cs="Arial"/>
          <w:bCs/>
          <w:szCs w:val="24"/>
        </w:rPr>
        <w:t xml:space="preserve"> established by section 164</w:t>
      </w:r>
      <w:r w:rsidR="00171139" w:rsidRPr="00F171B8">
        <w:rPr>
          <w:rFonts w:cs="Arial"/>
          <w:bCs/>
          <w:szCs w:val="24"/>
        </w:rPr>
        <w:t xml:space="preserve"> </w:t>
      </w:r>
      <w:r w:rsidR="00171139" w:rsidRPr="00E0176B">
        <w:rPr>
          <w:rFonts w:cs="Arial"/>
          <w:bCs/>
          <w:szCs w:val="24"/>
        </w:rPr>
        <w:t>allow</w:t>
      </w:r>
      <w:r w:rsidR="00171139">
        <w:rPr>
          <w:rFonts w:cs="Arial"/>
          <w:bCs/>
          <w:szCs w:val="24"/>
        </w:rPr>
        <w:t>s</w:t>
      </w:r>
      <w:r w:rsidR="00171139" w:rsidRPr="00E0176B">
        <w:rPr>
          <w:rFonts w:cs="Arial"/>
          <w:bCs/>
          <w:szCs w:val="24"/>
        </w:rPr>
        <w:t xml:space="preserve"> the Executive to make a regulation to permit the use of pre-recorded evidence for all witnesses</w:t>
      </w:r>
      <w:r w:rsidR="009A7169">
        <w:rPr>
          <w:rFonts w:cs="Arial"/>
          <w:bCs/>
          <w:szCs w:val="24"/>
        </w:rPr>
        <w:t>, including complainants,</w:t>
      </w:r>
      <w:r w:rsidR="00171139" w:rsidRPr="00E0176B">
        <w:rPr>
          <w:rFonts w:cs="Arial"/>
          <w:bCs/>
          <w:szCs w:val="24"/>
        </w:rPr>
        <w:t xml:space="preserve"> for the</w:t>
      </w:r>
      <w:r w:rsidR="00E0176B">
        <w:rPr>
          <w:rFonts w:cs="Arial"/>
          <w:bCs/>
          <w:szCs w:val="24"/>
        </w:rPr>
        <w:t xml:space="preserve"> purpose of responding to the public health emergency caused by</w:t>
      </w:r>
      <w:r w:rsidR="00171139" w:rsidRPr="00E0176B">
        <w:rPr>
          <w:rFonts w:cs="Arial"/>
          <w:bCs/>
          <w:szCs w:val="24"/>
        </w:rPr>
        <w:t xml:space="preserve"> the COVID-19 pandemic</w:t>
      </w:r>
      <w:r w:rsidR="00E0176B">
        <w:rPr>
          <w:rFonts w:cs="Arial"/>
          <w:bCs/>
          <w:szCs w:val="24"/>
        </w:rPr>
        <w:t>.</w:t>
      </w:r>
      <w:r w:rsidR="00CC3FCD">
        <w:rPr>
          <w:rFonts w:cs="Arial"/>
          <w:bCs/>
          <w:szCs w:val="24"/>
        </w:rPr>
        <w:t xml:space="preserve"> </w:t>
      </w:r>
      <w:r w:rsidR="00E0176B">
        <w:rPr>
          <w:rFonts w:cs="Arial"/>
          <w:bCs/>
          <w:szCs w:val="24"/>
        </w:rPr>
        <w:t xml:space="preserve">It </w:t>
      </w:r>
      <w:r w:rsidR="009A7169">
        <w:rPr>
          <w:rFonts w:cs="Arial"/>
          <w:bCs/>
          <w:szCs w:val="24"/>
        </w:rPr>
        <w:t>is due to</w:t>
      </w:r>
      <w:r w:rsidR="00BE787E">
        <w:rPr>
          <w:rFonts w:cs="Arial"/>
          <w:bCs/>
          <w:szCs w:val="24"/>
        </w:rPr>
        <w:t xml:space="preserve"> expire </w:t>
      </w:r>
      <w:r w:rsidR="00BE787E" w:rsidRPr="00BE787E">
        <w:rPr>
          <w:rFonts w:cs="Arial"/>
          <w:bCs/>
          <w:szCs w:val="24"/>
        </w:rPr>
        <w:t>on the first da</w:t>
      </w:r>
      <w:r w:rsidR="00BE787E">
        <w:rPr>
          <w:rFonts w:cs="Arial"/>
          <w:bCs/>
          <w:szCs w:val="24"/>
        </w:rPr>
        <w:t xml:space="preserve">y </w:t>
      </w:r>
      <w:r w:rsidR="00BE787E" w:rsidRPr="00BE787E">
        <w:rPr>
          <w:rFonts w:cs="Arial"/>
          <w:bCs/>
          <w:szCs w:val="24"/>
        </w:rPr>
        <w:t>no COVID-19 emergency is in force</w:t>
      </w:r>
      <w:r>
        <w:rPr>
          <w:rFonts w:cs="Arial"/>
          <w:bCs/>
          <w:szCs w:val="24"/>
        </w:rPr>
        <w:t>.</w:t>
      </w:r>
      <w:r w:rsidR="00E0176B">
        <w:rPr>
          <w:rFonts w:cs="Arial"/>
          <w:bCs/>
          <w:szCs w:val="24"/>
        </w:rPr>
        <w:t xml:space="preserve"> The new expiry </w:t>
      </w:r>
      <w:r w:rsidR="00AA0031">
        <w:rPr>
          <w:rFonts w:cs="Arial"/>
          <w:bCs/>
          <w:szCs w:val="24"/>
        </w:rPr>
        <w:t>provision</w:t>
      </w:r>
      <w:r w:rsidR="00E0176B">
        <w:rPr>
          <w:rFonts w:cs="Arial"/>
          <w:bCs/>
          <w:szCs w:val="24"/>
        </w:rPr>
        <w:t xml:space="preserve"> for the measure allows the measure to remain in the Act after a COVID-19 emergency declaration is no longer in force, for </w:t>
      </w:r>
      <w:r w:rsidR="00AA0031">
        <w:rPr>
          <w:rFonts w:cs="Arial"/>
          <w:bCs/>
          <w:szCs w:val="24"/>
        </w:rPr>
        <w:t>a period of</w:t>
      </w:r>
      <w:r w:rsidR="00E0176B">
        <w:rPr>
          <w:rFonts w:cs="Arial"/>
          <w:bCs/>
          <w:szCs w:val="24"/>
        </w:rPr>
        <w:t xml:space="preserve"> 12 months.</w:t>
      </w:r>
      <w:r w:rsidR="00CC3FCD">
        <w:rPr>
          <w:rFonts w:cs="Arial"/>
          <w:bCs/>
          <w:szCs w:val="24"/>
        </w:rPr>
        <w:t xml:space="preserve"> </w:t>
      </w:r>
      <w:r w:rsidR="00E0176B">
        <w:rPr>
          <w:rFonts w:cs="Arial"/>
          <w:bCs/>
          <w:szCs w:val="24"/>
        </w:rPr>
        <w:t>During this period, in the event a COVID-19 emergency declaration is made, the measure will become operative while the declaration is in force. The purpose of this rolling expiry arrangement is to ensure that emergency response measures can be available to support operational and service responses.</w:t>
      </w:r>
    </w:p>
    <w:p w14:paraId="195EED20" w14:textId="03AA9685" w:rsidR="00ED247F" w:rsidRPr="00230853" w:rsidRDefault="00AA0031" w:rsidP="00ED247F">
      <w:pPr>
        <w:rPr>
          <w:lang w:eastAsia="en-AU"/>
        </w:rPr>
      </w:pPr>
      <w:r>
        <w:rPr>
          <w:rFonts w:cs="Arial"/>
          <w:bCs/>
          <w:szCs w:val="24"/>
        </w:rPr>
        <w:t xml:space="preserve">This amendment </w:t>
      </w:r>
      <w:r w:rsidR="00A96BDA">
        <w:rPr>
          <w:rFonts w:cs="Arial"/>
          <w:bCs/>
          <w:szCs w:val="24"/>
        </w:rPr>
        <w:t xml:space="preserve">will </w:t>
      </w:r>
      <w:r w:rsidR="006F602E">
        <w:rPr>
          <w:rFonts w:cs="Arial"/>
          <w:bCs/>
          <w:szCs w:val="24"/>
        </w:rPr>
        <w:t>allow the Executive to make a regulation relating to the pre-recording of witness evidence</w:t>
      </w:r>
      <w:r w:rsidR="009A7169">
        <w:rPr>
          <w:rFonts w:cs="Arial"/>
          <w:bCs/>
          <w:szCs w:val="24"/>
        </w:rPr>
        <w:t xml:space="preserve"> and related matters</w:t>
      </w:r>
      <w:r w:rsidR="006F602E">
        <w:rPr>
          <w:rFonts w:cs="Arial"/>
          <w:bCs/>
          <w:szCs w:val="24"/>
        </w:rPr>
        <w:t xml:space="preserve"> to </w:t>
      </w:r>
      <w:r w:rsidR="00443E5B">
        <w:rPr>
          <w:rFonts w:cs="Arial"/>
          <w:bCs/>
          <w:szCs w:val="24"/>
        </w:rPr>
        <w:t>support court operations in the event of</w:t>
      </w:r>
      <w:r w:rsidR="006F602E">
        <w:rPr>
          <w:rFonts w:cs="Arial"/>
          <w:bCs/>
          <w:szCs w:val="24"/>
        </w:rPr>
        <w:t xml:space="preserve"> significant</w:t>
      </w:r>
      <w:r w:rsidR="00CC3FCD">
        <w:rPr>
          <w:rFonts w:cs="Arial"/>
          <w:bCs/>
          <w:szCs w:val="24"/>
        </w:rPr>
        <w:t xml:space="preserve"> </w:t>
      </w:r>
      <w:r w:rsidR="00443E5B">
        <w:rPr>
          <w:rFonts w:cs="Arial"/>
          <w:bCs/>
          <w:szCs w:val="24"/>
        </w:rPr>
        <w:t xml:space="preserve">disruption to court </w:t>
      </w:r>
      <w:r w:rsidR="006F602E">
        <w:rPr>
          <w:rFonts w:cs="Arial"/>
          <w:bCs/>
          <w:szCs w:val="24"/>
        </w:rPr>
        <w:t xml:space="preserve">operations </w:t>
      </w:r>
      <w:r w:rsidR="00443E5B">
        <w:rPr>
          <w:rFonts w:cs="Arial"/>
          <w:bCs/>
          <w:szCs w:val="24"/>
        </w:rPr>
        <w:t xml:space="preserve">as a result of a COVID-19 </w:t>
      </w:r>
      <w:r w:rsidR="00443E5B">
        <w:rPr>
          <w:rFonts w:cs="Arial"/>
          <w:bCs/>
          <w:szCs w:val="24"/>
        </w:rPr>
        <w:lastRenderedPageBreak/>
        <w:t>emergency</w:t>
      </w:r>
      <w:r w:rsidR="00ED247F">
        <w:rPr>
          <w:rFonts w:cs="Arial"/>
          <w:bCs/>
          <w:szCs w:val="24"/>
        </w:rPr>
        <w:t>.</w:t>
      </w:r>
      <w:r w:rsidR="008244AC">
        <w:rPr>
          <w:rFonts w:cs="Arial"/>
          <w:bCs/>
          <w:szCs w:val="24"/>
        </w:rPr>
        <w:t xml:space="preserve"> </w:t>
      </w:r>
      <w:r w:rsidR="00A96BDA">
        <w:rPr>
          <w:rFonts w:cs="Arial"/>
          <w:bCs/>
          <w:szCs w:val="24"/>
        </w:rPr>
        <w:t xml:space="preserve">The Explanatory Statement to the COVID-19 Emergency Response Bill </w:t>
      </w:r>
      <w:r w:rsidR="00457769">
        <w:rPr>
          <w:rFonts w:cs="Arial"/>
          <w:bCs/>
          <w:szCs w:val="24"/>
        </w:rPr>
        <w:t>further details</w:t>
      </w:r>
      <w:r w:rsidR="00A96BDA">
        <w:rPr>
          <w:rFonts w:cs="Arial"/>
          <w:bCs/>
          <w:szCs w:val="24"/>
        </w:rPr>
        <w:t xml:space="preserve"> this measure.</w:t>
      </w:r>
      <w:r w:rsidR="00457769">
        <w:rPr>
          <w:rFonts w:cs="Arial"/>
          <w:bCs/>
          <w:szCs w:val="24"/>
        </w:rPr>
        <w:t xml:space="preserve"> </w:t>
      </w:r>
    </w:p>
    <w:p w14:paraId="1CB07A29" w14:textId="7933DD5A" w:rsidR="000F0040" w:rsidRPr="008D4BA9" w:rsidRDefault="000F0040" w:rsidP="00B93FED">
      <w:pPr>
        <w:pStyle w:val="Heading2"/>
        <w:rPr>
          <w:rFonts w:cs="Arial"/>
          <w:b w:val="0"/>
          <w:szCs w:val="24"/>
        </w:rPr>
      </w:pPr>
      <w:bookmarkStart w:id="66" w:name="_Toc57197634"/>
      <w:r w:rsidRPr="008D4BA9">
        <w:rPr>
          <w:rFonts w:cs="Arial"/>
          <w:szCs w:val="24"/>
        </w:rPr>
        <w:t>Part 1.</w:t>
      </w:r>
      <w:r>
        <w:rPr>
          <w:rFonts w:cs="Arial"/>
          <w:szCs w:val="24"/>
        </w:rPr>
        <w:t>1</w:t>
      </w:r>
      <w:r w:rsidR="00E003BC">
        <w:rPr>
          <w:rFonts w:cs="Arial"/>
          <w:szCs w:val="24"/>
        </w:rPr>
        <w:t>1</w:t>
      </w:r>
      <w:r w:rsidR="001F717F">
        <w:rPr>
          <w:rFonts w:cs="Arial"/>
          <w:szCs w:val="24"/>
        </w:rPr>
        <w:tab/>
      </w:r>
      <w:r>
        <w:rPr>
          <w:rFonts w:cs="Arial"/>
          <w:szCs w:val="24"/>
          <w:lang w:eastAsia="en-AU"/>
        </w:rPr>
        <w:t>Family Violence Act 2016</w:t>
      </w:r>
      <w:bookmarkEnd w:id="66"/>
    </w:p>
    <w:p w14:paraId="394B433F" w14:textId="3E137CE0" w:rsidR="000F0040" w:rsidRDefault="000F0040" w:rsidP="00F10DCC">
      <w:pPr>
        <w:pStyle w:val="Heading3"/>
        <w:tabs>
          <w:tab w:val="left" w:pos="1134"/>
        </w:tabs>
        <w:rPr>
          <w:rFonts w:cs="Arial"/>
          <w:i/>
          <w:iCs/>
          <w:color w:val="000000"/>
        </w:rPr>
      </w:pPr>
      <w:bookmarkStart w:id="67" w:name="_Toc57197635"/>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21</w:t>
      </w:r>
      <w:r w:rsidRPr="00706752">
        <w:rPr>
          <w:rFonts w:cs="Arial"/>
          <w:i/>
          <w:iCs/>
        </w:rPr>
        <w:fldChar w:fldCharType="end"/>
      </w:r>
      <w:r w:rsidRPr="00706752">
        <w:rPr>
          <w:rFonts w:cs="Arial"/>
          <w:iCs/>
        </w:rPr>
        <w:t>]</w:t>
      </w:r>
      <w:r w:rsidR="00F45576">
        <w:rPr>
          <w:rFonts w:cs="Arial"/>
          <w:iCs/>
        </w:rPr>
        <w:tab/>
      </w:r>
      <w:r>
        <w:rPr>
          <w:rFonts w:cs="Arial"/>
          <w:iCs/>
          <w:color w:val="000000"/>
        </w:rPr>
        <w:t>Section 210</w:t>
      </w:r>
      <w:bookmarkEnd w:id="67"/>
    </w:p>
    <w:p w14:paraId="7F11159E" w14:textId="24810EA7" w:rsidR="00F45576" w:rsidRDefault="00F45576" w:rsidP="00F45576">
      <w:pPr>
        <w:rPr>
          <w:rFonts w:cs="Arial"/>
          <w:bCs/>
          <w:szCs w:val="24"/>
        </w:rPr>
      </w:pPr>
      <w:r w:rsidRPr="00EC4CFE">
        <w:rPr>
          <w:rFonts w:cs="Arial"/>
          <w:bCs/>
          <w:szCs w:val="24"/>
        </w:rPr>
        <w:t xml:space="preserve">This clause </w:t>
      </w:r>
      <w:r w:rsidR="00E0176B">
        <w:rPr>
          <w:rFonts w:cs="Arial"/>
          <w:bCs/>
          <w:szCs w:val="24"/>
        </w:rPr>
        <w:t xml:space="preserve">substitutes new section 210 to provide for </w:t>
      </w:r>
      <w:r w:rsidRPr="00EC4CFE">
        <w:rPr>
          <w:rFonts w:cs="Arial"/>
          <w:bCs/>
          <w:szCs w:val="24"/>
        </w:rPr>
        <w:t xml:space="preserve">the expiry of </w:t>
      </w:r>
      <w:r w:rsidR="00F02DBA">
        <w:rPr>
          <w:rFonts w:cs="Arial"/>
          <w:bCs/>
          <w:szCs w:val="24"/>
        </w:rPr>
        <w:t>part 22</w:t>
      </w:r>
      <w:r w:rsidRPr="00EC4CFE">
        <w:rPr>
          <w:rFonts w:cs="Arial"/>
          <w:bCs/>
          <w:szCs w:val="24"/>
        </w:rPr>
        <w:t xml:space="preserve"> of the</w:t>
      </w:r>
      <w:r>
        <w:rPr>
          <w:rFonts w:cs="Arial"/>
          <w:bCs/>
          <w:szCs w:val="24"/>
        </w:rPr>
        <w:t xml:space="preserve"> Family Violence </w:t>
      </w:r>
      <w:r w:rsidRPr="00EC4CFE">
        <w:rPr>
          <w:rFonts w:cs="Arial"/>
          <w:bCs/>
          <w:szCs w:val="24"/>
        </w:rPr>
        <w:t>Act on the day the COVID-19 Emergency Response Act expires, which is at the end of a 12-month period during which no COVID-19 declaration has been in force.</w:t>
      </w:r>
    </w:p>
    <w:p w14:paraId="33929848" w14:textId="6739D0C6" w:rsidR="00E003BC" w:rsidRDefault="00E003BC" w:rsidP="00F45576">
      <w:pPr>
        <w:rPr>
          <w:color w:val="000000" w:themeColor="text1"/>
          <w:lang w:eastAsia="en-AU"/>
        </w:rPr>
      </w:pPr>
      <w:r>
        <w:rPr>
          <w:rFonts w:cs="Arial"/>
          <w:bCs/>
          <w:szCs w:val="24"/>
        </w:rPr>
        <w:t>The measures</w:t>
      </w:r>
      <w:r w:rsidR="00B90E74">
        <w:rPr>
          <w:rFonts w:cs="Arial"/>
          <w:bCs/>
          <w:szCs w:val="24"/>
        </w:rPr>
        <w:t xml:space="preserve"> in part 22</w:t>
      </w:r>
      <w:r w:rsidR="006F602E">
        <w:rPr>
          <w:rFonts w:cs="Arial"/>
          <w:bCs/>
          <w:szCs w:val="24"/>
        </w:rPr>
        <w:t xml:space="preserve"> are</w:t>
      </w:r>
      <w:r>
        <w:rPr>
          <w:rFonts w:cs="Arial"/>
          <w:bCs/>
          <w:szCs w:val="24"/>
        </w:rPr>
        <w:t xml:space="preserve"> due to expire on 8 April 2021. </w:t>
      </w:r>
      <w:r w:rsidR="00AA0031">
        <w:rPr>
          <w:rFonts w:cs="Arial"/>
          <w:bCs/>
          <w:szCs w:val="24"/>
        </w:rPr>
        <w:t>The new</w:t>
      </w:r>
      <w:r w:rsidR="00B90E74">
        <w:rPr>
          <w:rFonts w:cs="Arial"/>
          <w:bCs/>
          <w:szCs w:val="24"/>
        </w:rPr>
        <w:t xml:space="preserve"> expiry </w:t>
      </w:r>
      <w:r w:rsidR="00AA0031">
        <w:rPr>
          <w:rFonts w:cs="Arial"/>
          <w:bCs/>
          <w:szCs w:val="24"/>
        </w:rPr>
        <w:t>provision</w:t>
      </w:r>
      <w:r w:rsidR="0017128C">
        <w:rPr>
          <w:rFonts w:cs="Arial"/>
          <w:bCs/>
          <w:szCs w:val="24"/>
        </w:rPr>
        <w:t xml:space="preserve"> </w:t>
      </w:r>
      <w:r w:rsidR="00AA0031">
        <w:rPr>
          <w:rFonts w:cs="Arial"/>
          <w:bCs/>
          <w:szCs w:val="24"/>
        </w:rPr>
        <w:t>will</w:t>
      </w:r>
      <w:r w:rsidR="00B90E74">
        <w:rPr>
          <w:rFonts w:cs="Arial"/>
          <w:bCs/>
          <w:szCs w:val="24"/>
        </w:rPr>
        <w:t xml:space="preserve"> allow the measure</w:t>
      </w:r>
      <w:r w:rsidR="00F171B8">
        <w:rPr>
          <w:rFonts w:cs="Arial"/>
          <w:bCs/>
          <w:szCs w:val="24"/>
        </w:rPr>
        <w:t>s</w:t>
      </w:r>
      <w:r w:rsidR="00B90E74">
        <w:rPr>
          <w:rFonts w:cs="Arial"/>
          <w:bCs/>
          <w:szCs w:val="24"/>
        </w:rPr>
        <w:t xml:space="preserve"> to remain in the Act after a COVID-19 emergency declaration is no longer in force, for </w:t>
      </w:r>
      <w:r w:rsidR="00AA0031">
        <w:rPr>
          <w:rFonts w:cs="Arial"/>
          <w:bCs/>
          <w:szCs w:val="24"/>
        </w:rPr>
        <w:t>a period of</w:t>
      </w:r>
      <w:r w:rsidR="00B90E74">
        <w:rPr>
          <w:rFonts w:cs="Arial"/>
          <w:bCs/>
          <w:szCs w:val="24"/>
        </w:rPr>
        <w:t xml:space="preserve"> 12 months.</w:t>
      </w:r>
      <w:r w:rsidR="00CC3FCD">
        <w:rPr>
          <w:rFonts w:cs="Arial"/>
          <w:bCs/>
          <w:szCs w:val="24"/>
        </w:rPr>
        <w:t xml:space="preserve"> </w:t>
      </w:r>
      <w:r w:rsidR="00B90E74">
        <w:rPr>
          <w:rFonts w:cs="Arial"/>
          <w:bCs/>
          <w:szCs w:val="24"/>
        </w:rPr>
        <w:t>During this period, in the event a COVID-19 emergency declaration is made, the measures will become operative while the declaration is in force. The purpose of this rolling expiry arrangement is to ensure that emergency response measures can be available to support operational and service responses.</w:t>
      </w:r>
    </w:p>
    <w:p w14:paraId="4B4A522B" w14:textId="76C3BC7E" w:rsidR="00171139" w:rsidRDefault="00171139" w:rsidP="00F45576">
      <w:pPr>
        <w:rPr>
          <w:color w:val="000000" w:themeColor="text1"/>
          <w:lang w:eastAsia="en-AU"/>
        </w:rPr>
      </w:pPr>
      <w:r>
        <w:rPr>
          <w:color w:val="000000" w:themeColor="text1"/>
          <w:lang w:eastAsia="en-AU"/>
        </w:rPr>
        <w:t xml:space="preserve">The measures </w:t>
      </w:r>
      <w:r w:rsidR="00B90E74">
        <w:rPr>
          <w:color w:val="000000" w:themeColor="text1"/>
          <w:lang w:eastAsia="en-AU"/>
        </w:rPr>
        <w:t>provide</w:t>
      </w:r>
      <w:r>
        <w:rPr>
          <w:color w:val="000000" w:themeColor="text1"/>
          <w:lang w:eastAsia="en-AU"/>
        </w:rPr>
        <w:t>:</w:t>
      </w:r>
    </w:p>
    <w:p w14:paraId="4EE5F017" w14:textId="00920D55" w:rsidR="00171139" w:rsidRPr="00AA0031" w:rsidRDefault="00171139" w:rsidP="00AA0031">
      <w:pPr>
        <w:pStyle w:val="ListParagraph"/>
        <w:numPr>
          <w:ilvl w:val="0"/>
          <w:numId w:val="29"/>
        </w:numPr>
        <w:rPr>
          <w:rFonts w:cs="Arial"/>
          <w:bCs/>
          <w:szCs w:val="24"/>
        </w:rPr>
      </w:pPr>
      <w:r w:rsidRPr="00AA0031">
        <w:rPr>
          <w:rFonts w:cs="Arial"/>
          <w:bCs/>
          <w:sz w:val="24"/>
          <w:szCs w:val="24"/>
        </w:rPr>
        <w:t>general interim orders that are due</w:t>
      </w:r>
      <w:r w:rsidR="00B90E74">
        <w:rPr>
          <w:rFonts w:cs="Arial"/>
          <w:bCs/>
          <w:sz w:val="24"/>
          <w:szCs w:val="24"/>
        </w:rPr>
        <w:t>, or likely,</w:t>
      </w:r>
      <w:r w:rsidRPr="00AA0031">
        <w:rPr>
          <w:rFonts w:cs="Arial"/>
          <w:bCs/>
          <w:sz w:val="24"/>
          <w:szCs w:val="24"/>
        </w:rPr>
        <w:t xml:space="preserve"> to expire during the COVID-19 emergency </w:t>
      </w:r>
      <w:r w:rsidR="00B90E74">
        <w:rPr>
          <w:rFonts w:cs="Arial"/>
          <w:bCs/>
          <w:sz w:val="24"/>
          <w:szCs w:val="24"/>
        </w:rPr>
        <w:t>may be</w:t>
      </w:r>
      <w:r w:rsidRPr="00AA0031">
        <w:rPr>
          <w:rFonts w:cs="Arial"/>
          <w:bCs/>
          <w:sz w:val="24"/>
          <w:szCs w:val="24"/>
        </w:rPr>
        <w:t xml:space="preserve"> exten</w:t>
      </w:r>
      <w:r>
        <w:rPr>
          <w:rFonts w:cs="Arial"/>
          <w:bCs/>
          <w:sz w:val="24"/>
          <w:szCs w:val="24"/>
        </w:rPr>
        <w:t>d</w:t>
      </w:r>
      <w:r w:rsidRPr="00AA0031">
        <w:rPr>
          <w:rFonts w:cs="Arial"/>
          <w:bCs/>
          <w:sz w:val="24"/>
          <w:szCs w:val="24"/>
        </w:rPr>
        <w:t xml:space="preserve">ed </w:t>
      </w:r>
      <w:r>
        <w:rPr>
          <w:rFonts w:cs="Arial"/>
          <w:bCs/>
          <w:sz w:val="24"/>
          <w:szCs w:val="24"/>
        </w:rPr>
        <w:t xml:space="preserve">by </w:t>
      </w:r>
      <w:r w:rsidRPr="00AA0031">
        <w:rPr>
          <w:rFonts w:cs="Arial"/>
          <w:bCs/>
          <w:sz w:val="24"/>
          <w:szCs w:val="24"/>
        </w:rPr>
        <w:t>up to six months</w:t>
      </w:r>
      <w:r>
        <w:rPr>
          <w:rFonts w:cs="Arial"/>
          <w:bCs/>
          <w:sz w:val="24"/>
          <w:szCs w:val="24"/>
        </w:rPr>
        <w:t xml:space="preserve"> (section 206)</w:t>
      </w:r>
      <w:r w:rsidRPr="00AA0031">
        <w:rPr>
          <w:rFonts w:cs="Arial"/>
          <w:bCs/>
          <w:sz w:val="24"/>
          <w:szCs w:val="24"/>
        </w:rPr>
        <w:t>;</w:t>
      </w:r>
    </w:p>
    <w:p w14:paraId="750F4DA4" w14:textId="7101C3BA" w:rsidR="00171139" w:rsidRDefault="00171139" w:rsidP="00171139">
      <w:pPr>
        <w:pStyle w:val="ListParagraph"/>
        <w:numPr>
          <w:ilvl w:val="0"/>
          <w:numId w:val="29"/>
        </w:numPr>
        <w:rPr>
          <w:rFonts w:cs="Arial"/>
          <w:bCs/>
          <w:sz w:val="24"/>
          <w:szCs w:val="24"/>
        </w:rPr>
      </w:pPr>
      <w:r w:rsidRPr="00AA0031">
        <w:rPr>
          <w:rFonts w:cs="Arial"/>
          <w:bCs/>
          <w:sz w:val="24"/>
          <w:szCs w:val="24"/>
        </w:rPr>
        <w:t>appearances at a proceeding to be undertaken by audio visual means during the COVID-19 emergency</w:t>
      </w:r>
      <w:r>
        <w:rPr>
          <w:rFonts w:cs="Arial"/>
          <w:bCs/>
          <w:sz w:val="24"/>
          <w:szCs w:val="24"/>
        </w:rPr>
        <w:t xml:space="preserve"> (section 207);</w:t>
      </w:r>
    </w:p>
    <w:p w14:paraId="2505038D" w14:textId="127E6264" w:rsidR="00171139" w:rsidRDefault="00171139" w:rsidP="00F171B8">
      <w:pPr>
        <w:pStyle w:val="ListParagraph"/>
        <w:numPr>
          <w:ilvl w:val="0"/>
          <w:numId w:val="29"/>
        </w:numPr>
        <w:spacing w:before="240"/>
        <w:rPr>
          <w:rFonts w:cs="Arial"/>
          <w:bCs/>
          <w:sz w:val="24"/>
          <w:szCs w:val="24"/>
        </w:rPr>
      </w:pPr>
      <w:r w:rsidRPr="002E5B19">
        <w:rPr>
          <w:rFonts w:cs="Arial"/>
          <w:bCs/>
          <w:sz w:val="24"/>
          <w:szCs w:val="24"/>
        </w:rPr>
        <w:t>consent to be given by audio visual means during the COVID-19 emergency</w:t>
      </w:r>
      <w:r>
        <w:rPr>
          <w:rFonts w:cs="Arial"/>
          <w:bCs/>
          <w:sz w:val="24"/>
          <w:szCs w:val="24"/>
        </w:rPr>
        <w:t xml:space="preserve"> (section 208);</w:t>
      </w:r>
      <w:r w:rsidRPr="00F171B8">
        <w:rPr>
          <w:rFonts w:cs="Arial"/>
          <w:bCs/>
          <w:sz w:val="24"/>
          <w:szCs w:val="24"/>
        </w:rPr>
        <w:t xml:space="preserve"> and</w:t>
      </w:r>
    </w:p>
    <w:p w14:paraId="091B064D" w14:textId="63D611B0" w:rsidR="00171139" w:rsidRPr="00B90E74" w:rsidRDefault="00171139" w:rsidP="00B90E74">
      <w:pPr>
        <w:pStyle w:val="ListParagraph"/>
        <w:numPr>
          <w:ilvl w:val="0"/>
          <w:numId w:val="29"/>
        </w:numPr>
        <w:rPr>
          <w:rFonts w:cs="Arial"/>
          <w:bCs/>
          <w:szCs w:val="24"/>
        </w:rPr>
      </w:pPr>
      <w:r w:rsidRPr="00B90E74">
        <w:rPr>
          <w:rFonts w:cs="Arial"/>
          <w:bCs/>
          <w:sz w:val="24"/>
          <w:szCs w:val="24"/>
        </w:rPr>
        <w:t>an acknowledgement to be given 'in writing or before the court' and to be 'recorded by the court' during the COVID-19 emergency</w:t>
      </w:r>
      <w:r>
        <w:rPr>
          <w:rFonts w:cs="Arial"/>
          <w:bCs/>
          <w:sz w:val="24"/>
          <w:szCs w:val="24"/>
        </w:rPr>
        <w:t xml:space="preserve"> (section 209).</w:t>
      </w:r>
    </w:p>
    <w:p w14:paraId="4D77495B" w14:textId="24D5BBEB" w:rsidR="00F45576" w:rsidRPr="00A4272F" w:rsidRDefault="00A9586E" w:rsidP="00F45576">
      <w:pPr>
        <w:rPr>
          <w:rFonts w:cs="Arial"/>
          <w:bCs/>
          <w:szCs w:val="24"/>
        </w:rPr>
      </w:pPr>
      <w:r>
        <w:rPr>
          <w:rFonts w:cs="Arial"/>
          <w:bCs/>
          <w:szCs w:val="24"/>
        </w:rPr>
        <w:t>Th</w:t>
      </w:r>
      <w:r w:rsidR="00F171B8">
        <w:rPr>
          <w:rFonts w:cs="Arial"/>
          <w:bCs/>
          <w:szCs w:val="24"/>
        </w:rPr>
        <w:t xml:space="preserve">is </w:t>
      </w:r>
      <w:r>
        <w:rPr>
          <w:rFonts w:cs="Arial"/>
          <w:bCs/>
          <w:szCs w:val="24"/>
        </w:rPr>
        <w:t xml:space="preserve">amendment </w:t>
      </w:r>
      <w:r w:rsidR="00E003BC">
        <w:rPr>
          <w:rFonts w:cs="Arial"/>
          <w:bCs/>
          <w:szCs w:val="24"/>
        </w:rPr>
        <w:t>allow</w:t>
      </w:r>
      <w:r w:rsidR="00F171B8">
        <w:rPr>
          <w:rFonts w:cs="Arial"/>
          <w:bCs/>
          <w:szCs w:val="24"/>
        </w:rPr>
        <w:t>s</w:t>
      </w:r>
      <w:r w:rsidR="00E003BC">
        <w:rPr>
          <w:rFonts w:cs="Arial"/>
          <w:bCs/>
          <w:szCs w:val="24"/>
        </w:rPr>
        <w:t xml:space="preserve"> the court to maintain appropriate numbers of people at the courthouse, which supports the safe and effective operation of the ACT Courts during a COVID-19 emergency. </w:t>
      </w:r>
      <w:r w:rsidR="00F85744">
        <w:rPr>
          <w:rFonts w:cs="Arial"/>
          <w:bCs/>
          <w:szCs w:val="24"/>
        </w:rPr>
        <w:t xml:space="preserve">The Explanatory Statement to the COVID-19 Emergency Response Bill </w:t>
      </w:r>
      <w:r w:rsidR="00A2575E">
        <w:rPr>
          <w:rFonts w:cs="Arial"/>
          <w:bCs/>
          <w:szCs w:val="24"/>
        </w:rPr>
        <w:t xml:space="preserve">further details </w:t>
      </w:r>
      <w:r w:rsidR="00F85744">
        <w:rPr>
          <w:rFonts w:cs="Arial"/>
          <w:bCs/>
          <w:szCs w:val="24"/>
        </w:rPr>
        <w:t>th</w:t>
      </w:r>
      <w:r w:rsidR="00540DC2">
        <w:rPr>
          <w:rFonts w:cs="Arial"/>
          <w:bCs/>
          <w:szCs w:val="24"/>
        </w:rPr>
        <w:t>ese</w:t>
      </w:r>
      <w:r w:rsidR="00F85744">
        <w:rPr>
          <w:rFonts w:cs="Arial"/>
          <w:bCs/>
          <w:szCs w:val="24"/>
        </w:rPr>
        <w:t xml:space="preserve"> measure</w:t>
      </w:r>
      <w:r w:rsidR="00540DC2">
        <w:rPr>
          <w:rFonts w:cs="Arial"/>
          <w:bCs/>
          <w:szCs w:val="24"/>
        </w:rPr>
        <w:t>s</w:t>
      </w:r>
      <w:r w:rsidR="00F85744">
        <w:rPr>
          <w:rFonts w:cs="Arial"/>
          <w:bCs/>
          <w:szCs w:val="24"/>
        </w:rPr>
        <w:t>.</w:t>
      </w:r>
    </w:p>
    <w:p w14:paraId="5F125F18" w14:textId="27510E72" w:rsidR="008D7800" w:rsidRPr="008D4BA9" w:rsidRDefault="008D7800" w:rsidP="00B93FED">
      <w:pPr>
        <w:pStyle w:val="Heading2"/>
        <w:rPr>
          <w:rFonts w:cs="Arial"/>
          <w:b w:val="0"/>
          <w:szCs w:val="24"/>
        </w:rPr>
      </w:pPr>
      <w:bookmarkStart w:id="68" w:name="_Toc57197636"/>
      <w:r w:rsidRPr="008D4BA9">
        <w:rPr>
          <w:rFonts w:cs="Arial"/>
          <w:szCs w:val="24"/>
        </w:rPr>
        <w:t>Part 1.</w:t>
      </w:r>
      <w:r>
        <w:rPr>
          <w:rFonts w:cs="Arial"/>
          <w:szCs w:val="24"/>
        </w:rPr>
        <w:t>1</w:t>
      </w:r>
      <w:r w:rsidR="003843D2">
        <w:rPr>
          <w:rFonts w:cs="Arial"/>
          <w:szCs w:val="24"/>
        </w:rPr>
        <w:t>2</w:t>
      </w:r>
      <w:r w:rsidR="00F10DCC">
        <w:rPr>
          <w:rFonts w:cs="Arial"/>
          <w:szCs w:val="24"/>
        </w:rPr>
        <w:tab/>
      </w:r>
      <w:r>
        <w:rPr>
          <w:rFonts w:cs="Arial"/>
          <w:szCs w:val="24"/>
          <w:lang w:eastAsia="en-AU"/>
        </w:rPr>
        <w:t>Gaming Machine Regulation 2004</w:t>
      </w:r>
      <w:bookmarkEnd w:id="68"/>
    </w:p>
    <w:p w14:paraId="5ED711F4" w14:textId="1395A3D5" w:rsidR="008D7800" w:rsidRDefault="008D7800" w:rsidP="00F10DCC">
      <w:pPr>
        <w:pStyle w:val="Heading3"/>
        <w:tabs>
          <w:tab w:val="left" w:pos="1134"/>
        </w:tabs>
        <w:rPr>
          <w:rFonts w:cs="Arial"/>
          <w:i/>
          <w:iCs/>
          <w:color w:val="000000"/>
        </w:rPr>
      </w:pPr>
      <w:bookmarkStart w:id="69" w:name="_Toc57197637"/>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22</w:t>
      </w:r>
      <w:r w:rsidRPr="00706752">
        <w:rPr>
          <w:rFonts w:cs="Arial"/>
          <w:i/>
          <w:iCs/>
        </w:rPr>
        <w:fldChar w:fldCharType="end"/>
      </w:r>
      <w:r w:rsidRPr="00706752">
        <w:rPr>
          <w:rFonts w:cs="Arial"/>
          <w:iCs/>
        </w:rPr>
        <w:t>]</w:t>
      </w:r>
      <w:r w:rsidR="007E6CA3">
        <w:rPr>
          <w:rFonts w:cs="Arial"/>
          <w:iCs/>
        </w:rPr>
        <w:tab/>
      </w:r>
      <w:r>
        <w:rPr>
          <w:rFonts w:cs="Arial"/>
          <w:iCs/>
          <w:color w:val="000000"/>
        </w:rPr>
        <w:t>New section 69 (3)</w:t>
      </w:r>
      <w:bookmarkEnd w:id="69"/>
    </w:p>
    <w:p w14:paraId="53BEF3F1" w14:textId="588E5932" w:rsidR="008D7800" w:rsidRDefault="007E6CA3" w:rsidP="00B93FED">
      <w:pPr>
        <w:autoSpaceDE w:val="0"/>
        <w:autoSpaceDN w:val="0"/>
        <w:adjustRightInd w:val="0"/>
        <w:spacing w:before="240" w:after="120"/>
        <w:rPr>
          <w:rFonts w:cs="Arial"/>
          <w:bCs/>
          <w:szCs w:val="24"/>
        </w:rPr>
      </w:pPr>
      <w:r>
        <w:rPr>
          <w:rFonts w:cs="Arial"/>
          <w:bCs/>
          <w:szCs w:val="24"/>
        </w:rPr>
        <w:t xml:space="preserve">This clause </w:t>
      </w:r>
      <w:r w:rsidR="00B90E74">
        <w:rPr>
          <w:rFonts w:cs="Arial"/>
          <w:bCs/>
          <w:szCs w:val="24"/>
        </w:rPr>
        <w:t>inserts new section 69 (3)</w:t>
      </w:r>
      <w:r w:rsidR="00CC3FCD">
        <w:rPr>
          <w:rFonts w:cs="Arial"/>
          <w:bCs/>
          <w:szCs w:val="24"/>
        </w:rPr>
        <w:t xml:space="preserve"> </w:t>
      </w:r>
      <w:r>
        <w:rPr>
          <w:rFonts w:cs="Arial"/>
          <w:bCs/>
          <w:szCs w:val="24"/>
        </w:rPr>
        <w:t xml:space="preserve">to align the expiry of </w:t>
      </w:r>
      <w:r w:rsidR="00320645">
        <w:rPr>
          <w:rFonts w:cs="Arial"/>
          <w:bCs/>
          <w:szCs w:val="24"/>
        </w:rPr>
        <w:t xml:space="preserve">the note at </w:t>
      </w:r>
      <w:r>
        <w:rPr>
          <w:rFonts w:cs="Arial"/>
          <w:bCs/>
          <w:szCs w:val="24"/>
        </w:rPr>
        <w:t xml:space="preserve">subsection 69 (1) </w:t>
      </w:r>
      <w:r w:rsidR="00B57EA2">
        <w:rPr>
          <w:rFonts w:cs="Arial"/>
          <w:bCs/>
          <w:szCs w:val="24"/>
        </w:rPr>
        <w:t>(c),</w:t>
      </w:r>
      <w:r>
        <w:rPr>
          <w:rFonts w:cs="Arial"/>
          <w:bCs/>
          <w:szCs w:val="24"/>
        </w:rPr>
        <w:t xml:space="preserve"> </w:t>
      </w:r>
      <w:r w:rsidR="00B57EA2">
        <w:rPr>
          <w:rFonts w:cs="Arial"/>
          <w:bCs/>
          <w:szCs w:val="24"/>
        </w:rPr>
        <w:t xml:space="preserve">to expire when section 166A of the </w:t>
      </w:r>
      <w:r w:rsidR="00B57EA2">
        <w:rPr>
          <w:rFonts w:cs="Arial"/>
          <w:bCs/>
          <w:i/>
          <w:iCs/>
          <w:szCs w:val="24"/>
        </w:rPr>
        <w:t>Gaming Machine Act 2004</w:t>
      </w:r>
      <w:r w:rsidR="00B57EA2">
        <w:rPr>
          <w:rFonts w:cs="Arial"/>
          <w:bCs/>
          <w:szCs w:val="24"/>
        </w:rPr>
        <w:t xml:space="preserve"> expires, which is at the end of a two-year period during which no COVID-19 emergency has been in force.</w:t>
      </w:r>
    </w:p>
    <w:p w14:paraId="75DD909B" w14:textId="4999A568" w:rsidR="00B57EA2" w:rsidRDefault="00B57EA2" w:rsidP="00B93FED">
      <w:pPr>
        <w:autoSpaceDE w:val="0"/>
        <w:autoSpaceDN w:val="0"/>
        <w:adjustRightInd w:val="0"/>
        <w:spacing w:before="240" w:after="120"/>
        <w:rPr>
          <w:rFonts w:cs="Arial"/>
          <w:bCs/>
          <w:szCs w:val="24"/>
        </w:rPr>
      </w:pPr>
      <w:r>
        <w:rPr>
          <w:rFonts w:cs="Arial"/>
          <w:bCs/>
          <w:szCs w:val="24"/>
        </w:rPr>
        <w:lastRenderedPageBreak/>
        <w:t xml:space="preserve">Section 166A of the Gaming Machine Act </w:t>
      </w:r>
      <w:r w:rsidR="00B77BB8">
        <w:rPr>
          <w:rFonts w:cs="Arial"/>
          <w:bCs/>
          <w:szCs w:val="24"/>
        </w:rPr>
        <w:t>a</w:t>
      </w:r>
      <w:r w:rsidR="00270107">
        <w:rPr>
          <w:rFonts w:cs="Arial"/>
          <w:bCs/>
          <w:szCs w:val="24"/>
        </w:rPr>
        <w:t>llows the</w:t>
      </w:r>
      <w:r w:rsidR="00CB458D">
        <w:rPr>
          <w:rFonts w:cs="Arial"/>
          <w:bCs/>
          <w:szCs w:val="24"/>
        </w:rPr>
        <w:t xml:space="preserve"> Minister </w:t>
      </w:r>
      <w:r w:rsidR="00B77BB8">
        <w:rPr>
          <w:rFonts w:cs="Arial"/>
          <w:bCs/>
          <w:szCs w:val="24"/>
        </w:rPr>
        <w:t>to make a declaration in relation to emergency community purpose contributions</w:t>
      </w:r>
      <w:r w:rsidR="00CB458D">
        <w:rPr>
          <w:rFonts w:cs="Arial"/>
          <w:bCs/>
          <w:szCs w:val="24"/>
        </w:rPr>
        <w:t xml:space="preserve"> during a COVID-19 emergency. S</w:t>
      </w:r>
      <w:r w:rsidR="00B77BB8">
        <w:rPr>
          <w:rFonts w:cs="Arial"/>
          <w:bCs/>
          <w:szCs w:val="24"/>
        </w:rPr>
        <w:t>ubsection 69 (1) (c)</w:t>
      </w:r>
      <w:r w:rsidR="00CB458D">
        <w:rPr>
          <w:rFonts w:cs="Arial"/>
          <w:bCs/>
          <w:szCs w:val="24"/>
        </w:rPr>
        <w:t xml:space="preserve"> of the Gaming Machine Regulation</w:t>
      </w:r>
      <w:r w:rsidR="002A1D2E">
        <w:rPr>
          <w:rFonts w:cs="Arial"/>
          <w:bCs/>
          <w:szCs w:val="24"/>
        </w:rPr>
        <w:t xml:space="preserve"> supports this provision by</w:t>
      </w:r>
      <w:r w:rsidR="00B77BB8">
        <w:rPr>
          <w:rFonts w:cs="Arial"/>
          <w:bCs/>
          <w:szCs w:val="24"/>
        </w:rPr>
        <w:t xml:space="preserve"> provid</w:t>
      </w:r>
      <w:r w:rsidR="002A1D2E">
        <w:rPr>
          <w:rFonts w:cs="Arial"/>
          <w:bCs/>
          <w:szCs w:val="24"/>
        </w:rPr>
        <w:t>ing</w:t>
      </w:r>
      <w:r w:rsidR="00B77BB8">
        <w:rPr>
          <w:rFonts w:cs="Arial"/>
          <w:bCs/>
          <w:szCs w:val="24"/>
        </w:rPr>
        <w:t xml:space="preserve"> examples of what can be considered an emergency community purpose contribution. For this reason, the expiry of </w:t>
      </w:r>
      <w:r w:rsidR="00320645">
        <w:rPr>
          <w:rFonts w:cs="Arial"/>
          <w:bCs/>
          <w:szCs w:val="24"/>
        </w:rPr>
        <w:t xml:space="preserve">the note at </w:t>
      </w:r>
      <w:r w:rsidR="00B77BB8">
        <w:rPr>
          <w:rFonts w:cs="Arial"/>
          <w:bCs/>
          <w:szCs w:val="24"/>
        </w:rPr>
        <w:t>subsection 69 (1) (c), was amended to operate in</w:t>
      </w:r>
      <w:r w:rsidR="002A1D2E">
        <w:rPr>
          <w:rFonts w:cs="Arial"/>
          <w:bCs/>
          <w:szCs w:val="24"/>
        </w:rPr>
        <w:t>-</w:t>
      </w:r>
      <w:r w:rsidR="00B77BB8">
        <w:rPr>
          <w:rFonts w:cs="Arial"/>
          <w:bCs/>
          <w:szCs w:val="24"/>
        </w:rPr>
        <w:t>line with section 166A</w:t>
      </w:r>
      <w:r w:rsidR="00320645">
        <w:rPr>
          <w:rFonts w:cs="Arial"/>
          <w:bCs/>
          <w:szCs w:val="24"/>
        </w:rPr>
        <w:t xml:space="preserve"> and ensure legislative consistency</w:t>
      </w:r>
      <w:r w:rsidR="00B77BB8">
        <w:rPr>
          <w:rFonts w:cs="Arial"/>
          <w:bCs/>
          <w:szCs w:val="24"/>
        </w:rPr>
        <w:t>.</w:t>
      </w:r>
    </w:p>
    <w:p w14:paraId="555B54CF" w14:textId="6800B4B8" w:rsidR="00320645" w:rsidRDefault="00DB4BAC" w:rsidP="00B90E74">
      <w:pPr>
        <w:autoSpaceDE w:val="0"/>
        <w:autoSpaceDN w:val="0"/>
        <w:adjustRightInd w:val="0"/>
        <w:spacing w:before="240" w:after="120"/>
        <w:rPr>
          <w:rFonts w:cs="Arial"/>
          <w:b/>
          <w:iCs/>
          <w:szCs w:val="26"/>
        </w:rPr>
      </w:pPr>
      <w:r>
        <w:rPr>
          <w:rFonts w:cs="Arial"/>
          <w:bCs/>
          <w:szCs w:val="24"/>
        </w:rPr>
        <w:t xml:space="preserve">The expiry </w:t>
      </w:r>
      <w:r w:rsidR="00A9586E">
        <w:rPr>
          <w:rFonts w:cs="Arial"/>
          <w:bCs/>
          <w:szCs w:val="24"/>
        </w:rPr>
        <w:t xml:space="preserve">provision </w:t>
      </w:r>
      <w:r>
        <w:rPr>
          <w:rFonts w:cs="Arial"/>
          <w:bCs/>
          <w:szCs w:val="24"/>
        </w:rPr>
        <w:t xml:space="preserve">will support </w:t>
      </w:r>
      <w:r w:rsidR="000B7B68">
        <w:rPr>
          <w:rFonts w:cs="Arial"/>
          <w:bCs/>
          <w:szCs w:val="24"/>
        </w:rPr>
        <w:t xml:space="preserve">both </w:t>
      </w:r>
      <w:r>
        <w:rPr>
          <w:rFonts w:cs="Arial"/>
          <w:bCs/>
          <w:szCs w:val="24"/>
        </w:rPr>
        <w:t>the ACT community and clubs during a COVID-19 emergency and in the recovery phase following the emergency.</w:t>
      </w:r>
    </w:p>
    <w:p w14:paraId="7D29D26F" w14:textId="26ED1343" w:rsidR="008D7800" w:rsidRDefault="008D7800" w:rsidP="00F10DCC">
      <w:pPr>
        <w:pStyle w:val="Heading3"/>
        <w:tabs>
          <w:tab w:val="left" w:pos="1134"/>
        </w:tabs>
        <w:rPr>
          <w:rFonts w:cs="Arial"/>
          <w:i/>
          <w:iCs/>
          <w:color w:val="000000"/>
        </w:rPr>
      </w:pPr>
      <w:bookmarkStart w:id="70" w:name="_Toc57197638"/>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23</w:t>
      </w:r>
      <w:r w:rsidRPr="00706752">
        <w:rPr>
          <w:rFonts w:cs="Arial"/>
          <w:i/>
          <w:iCs/>
        </w:rPr>
        <w:fldChar w:fldCharType="end"/>
      </w:r>
      <w:r w:rsidRPr="00706752">
        <w:rPr>
          <w:rFonts w:cs="Arial"/>
          <w:iCs/>
        </w:rPr>
        <w:t>]</w:t>
      </w:r>
      <w:r w:rsidR="00B77BB8">
        <w:rPr>
          <w:rFonts w:cs="Arial"/>
          <w:iCs/>
        </w:rPr>
        <w:tab/>
      </w:r>
      <w:r>
        <w:rPr>
          <w:rFonts w:cs="Arial"/>
          <w:iCs/>
          <w:color w:val="000000"/>
        </w:rPr>
        <w:t>Section 69L</w:t>
      </w:r>
      <w:bookmarkEnd w:id="70"/>
    </w:p>
    <w:p w14:paraId="170D8812" w14:textId="5CE0A981" w:rsidR="008D7800" w:rsidRPr="008D7800" w:rsidRDefault="00B77BB8" w:rsidP="008D7800">
      <w:pPr>
        <w:autoSpaceDE w:val="0"/>
        <w:autoSpaceDN w:val="0"/>
        <w:adjustRightInd w:val="0"/>
        <w:spacing w:before="240" w:after="120"/>
        <w:rPr>
          <w:rFonts w:cs="Arial"/>
          <w:bCs/>
          <w:szCs w:val="24"/>
        </w:rPr>
      </w:pPr>
      <w:r>
        <w:rPr>
          <w:rFonts w:cs="Arial"/>
          <w:bCs/>
          <w:szCs w:val="24"/>
        </w:rPr>
        <w:t xml:space="preserve">This clause </w:t>
      </w:r>
      <w:r w:rsidR="00B90E74">
        <w:rPr>
          <w:rFonts w:cs="Arial"/>
          <w:bCs/>
          <w:szCs w:val="24"/>
        </w:rPr>
        <w:t xml:space="preserve">substitutes new section 69L to the effect that </w:t>
      </w:r>
      <w:r>
        <w:rPr>
          <w:rFonts w:cs="Arial"/>
          <w:bCs/>
          <w:szCs w:val="24"/>
        </w:rPr>
        <w:t xml:space="preserve">expiry </w:t>
      </w:r>
      <w:r w:rsidR="00297A8F">
        <w:rPr>
          <w:rFonts w:cs="Arial"/>
          <w:bCs/>
          <w:szCs w:val="24"/>
        </w:rPr>
        <w:t>12</w:t>
      </w:r>
      <w:r w:rsidR="00FC25D3">
        <w:rPr>
          <w:rFonts w:cs="Arial"/>
          <w:bCs/>
          <w:szCs w:val="24"/>
        </w:rPr>
        <w:t xml:space="preserve"> </w:t>
      </w:r>
      <w:r w:rsidR="00297A8F">
        <w:rPr>
          <w:rFonts w:cs="Arial"/>
          <w:bCs/>
          <w:szCs w:val="24"/>
        </w:rPr>
        <w:t>month</w:t>
      </w:r>
      <w:r w:rsidR="00FC25D3">
        <w:rPr>
          <w:rFonts w:cs="Arial"/>
          <w:bCs/>
          <w:szCs w:val="24"/>
        </w:rPr>
        <w:t>s</w:t>
      </w:r>
      <w:r w:rsidR="00297A8F">
        <w:rPr>
          <w:rFonts w:cs="Arial"/>
          <w:bCs/>
          <w:szCs w:val="24"/>
        </w:rPr>
        <w:t xml:space="preserve"> </w:t>
      </w:r>
      <w:r w:rsidR="00FC25D3">
        <w:rPr>
          <w:rFonts w:cs="Arial"/>
          <w:bCs/>
          <w:szCs w:val="24"/>
        </w:rPr>
        <w:t>after a</w:t>
      </w:r>
      <w:r w:rsidR="00297A8F">
        <w:rPr>
          <w:rFonts w:cs="Arial"/>
          <w:bCs/>
          <w:szCs w:val="24"/>
        </w:rPr>
        <w:t xml:space="preserve"> COVID-19 emergency</w:t>
      </w:r>
      <w:r w:rsidR="00B90E74">
        <w:rPr>
          <w:rFonts w:cs="Arial"/>
          <w:bCs/>
          <w:szCs w:val="24"/>
        </w:rPr>
        <w:t xml:space="preserve"> does not apply</w:t>
      </w:r>
      <w:r w:rsidR="00A9586E">
        <w:rPr>
          <w:rFonts w:cs="Arial"/>
          <w:bCs/>
          <w:szCs w:val="24"/>
        </w:rPr>
        <w:t xml:space="preserve"> </w:t>
      </w:r>
      <w:r>
        <w:rPr>
          <w:rFonts w:cs="Arial"/>
          <w:bCs/>
          <w:szCs w:val="24"/>
        </w:rPr>
        <w:t>to 69 (1) (c), note.</w:t>
      </w:r>
    </w:p>
    <w:p w14:paraId="15447552" w14:textId="09CCF571" w:rsidR="006A0055" w:rsidRPr="008D4BA9" w:rsidRDefault="006A0055" w:rsidP="00B93FED">
      <w:pPr>
        <w:pStyle w:val="Heading2"/>
        <w:rPr>
          <w:rFonts w:cs="Arial"/>
          <w:b w:val="0"/>
          <w:szCs w:val="24"/>
        </w:rPr>
      </w:pPr>
      <w:bookmarkStart w:id="71" w:name="_Toc57197639"/>
      <w:r w:rsidRPr="008D4BA9">
        <w:rPr>
          <w:rFonts w:cs="Arial"/>
          <w:szCs w:val="24"/>
        </w:rPr>
        <w:t>Part 1.</w:t>
      </w:r>
      <w:r>
        <w:rPr>
          <w:rFonts w:cs="Arial"/>
          <w:szCs w:val="24"/>
        </w:rPr>
        <w:t>1</w:t>
      </w:r>
      <w:r w:rsidR="003843D2">
        <w:rPr>
          <w:rFonts w:cs="Arial"/>
          <w:szCs w:val="24"/>
        </w:rPr>
        <w:t>3</w:t>
      </w:r>
      <w:r w:rsidR="00FC25D3">
        <w:rPr>
          <w:rFonts w:cs="Arial"/>
          <w:szCs w:val="24"/>
        </w:rPr>
        <w:tab/>
      </w:r>
      <w:r>
        <w:rPr>
          <w:rFonts w:cs="Arial"/>
          <w:szCs w:val="24"/>
          <w:lang w:eastAsia="en-AU"/>
        </w:rPr>
        <w:t>Personal Violence Act 2016</w:t>
      </w:r>
      <w:bookmarkEnd w:id="71"/>
    </w:p>
    <w:p w14:paraId="7E55854E" w14:textId="033D54EB" w:rsidR="006A0055" w:rsidRDefault="006A0055" w:rsidP="00FC25D3">
      <w:pPr>
        <w:pStyle w:val="Heading3"/>
        <w:tabs>
          <w:tab w:val="left" w:pos="1134"/>
        </w:tabs>
        <w:rPr>
          <w:rFonts w:cs="Arial"/>
          <w:i/>
          <w:iCs/>
          <w:color w:val="000000"/>
        </w:rPr>
      </w:pPr>
      <w:bookmarkStart w:id="72" w:name="_Toc57197640"/>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24</w:t>
      </w:r>
      <w:r w:rsidRPr="00706752">
        <w:rPr>
          <w:rFonts w:cs="Arial"/>
          <w:i/>
          <w:iCs/>
        </w:rPr>
        <w:fldChar w:fldCharType="end"/>
      </w:r>
      <w:r w:rsidRPr="00706752">
        <w:rPr>
          <w:rFonts w:cs="Arial"/>
          <w:iCs/>
        </w:rPr>
        <w:t>]</w:t>
      </w:r>
      <w:r w:rsidR="00A4272F">
        <w:rPr>
          <w:rFonts w:cs="Arial"/>
          <w:iCs/>
        </w:rPr>
        <w:tab/>
      </w:r>
      <w:r w:rsidR="00896B1A">
        <w:rPr>
          <w:rFonts w:cs="Arial"/>
          <w:iCs/>
          <w:color w:val="000000"/>
        </w:rPr>
        <w:t>Section 209</w:t>
      </w:r>
      <w:bookmarkEnd w:id="72"/>
    </w:p>
    <w:p w14:paraId="7F1CE21C" w14:textId="4F35779B" w:rsidR="002B4C8D" w:rsidRPr="00EC4CFE" w:rsidRDefault="002B4C8D" w:rsidP="002B4C8D">
      <w:pPr>
        <w:rPr>
          <w:rFonts w:cs="Arial"/>
          <w:bCs/>
          <w:szCs w:val="24"/>
        </w:rPr>
      </w:pPr>
      <w:r w:rsidRPr="00EC4CFE">
        <w:rPr>
          <w:rFonts w:cs="Arial"/>
          <w:bCs/>
          <w:szCs w:val="24"/>
        </w:rPr>
        <w:t xml:space="preserve">This clause </w:t>
      </w:r>
      <w:r w:rsidR="0012669A">
        <w:rPr>
          <w:rFonts w:cs="Arial"/>
          <w:bCs/>
          <w:szCs w:val="24"/>
        </w:rPr>
        <w:t>substitutes new section 209 to provide that</w:t>
      </w:r>
      <w:r w:rsidRPr="00EC4CFE">
        <w:rPr>
          <w:rFonts w:cs="Arial"/>
          <w:bCs/>
          <w:szCs w:val="24"/>
        </w:rPr>
        <w:t xml:space="preserve"> </w:t>
      </w:r>
      <w:r>
        <w:rPr>
          <w:rFonts w:cs="Arial"/>
          <w:bCs/>
          <w:szCs w:val="24"/>
        </w:rPr>
        <w:t>part 22</w:t>
      </w:r>
      <w:r w:rsidRPr="00EC4CFE">
        <w:rPr>
          <w:rFonts w:cs="Arial"/>
          <w:bCs/>
          <w:szCs w:val="24"/>
        </w:rPr>
        <w:t xml:space="preserve"> of the</w:t>
      </w:r>
      <w:r>
        <w:rPr>
          <w:rFonts w:cs="Arial"/>
          <w:bCs/>
          <w:szCs w:val="24"/>
        </w:rPr>
        <w:t xml:space="preserve"> Personal Violence </w:t>
      </w:r>
      <w:r w:rsidRPr="00EC4CFE">
        <w:rPr>
          <w:rFonts w:cs="Arial"/>
          <w:bCs/>
          <w:szCs w:val="24"/>
        </w:rPr>
        <w:t>Act expire</w:t>
      </w:r>
      <w:r w:rsidR="0012669A">
        <w:rPr>
          <w:rFonts w:cs="Arial"/>
          <w:bCs/>
          <w:szCs w:val="24"/>
        </w:rPr>
        <w:t>s</w:t>
      </w:r>
      <w:r w:rsidRPr="00EC4CFE">
        <w:rPr>
          <w:rFonts w:cs="Arial"/>
          <w:bCs/>
          <w:szCs w:val="24"/>
        </w:rPr>
        <w:t xml:space="preserve"> on the day the COVID-19 Emergency Response Act expires, which is at the end of a 12-month period during which no COVID-19 declaration has been in force.</w:t>
      </w:r>
    </w:p>
    <w:p w14:paraId="05E88AD7" w14:textId="7BCBF9A6" w:rsidR="003843D2" w:rsidRDefault="003843D2" w:rsidP="003843D2">
      <w:pPr>
        <w:rPr>
          <w:color w:val="000000" w:themeColor="text1"/>
          <w:lang w:eastAsia="en-AU"/>
        </w:rPr>
      </w:pPr>
      <w:r>
        <w:rPr>
          <w:rFonts w:cs="Arial"/>
          <w:bCs/>
          <w:szCs w:val="24"/>
        </w:rPr>
        <w:t>The measures</w:t>
      </w:r>
      <w:r w:rsidR="0012669A">
        <w:rPr>
          <w:rFonts w:cs="Arial"/>
          <w:bCs/>
          <w:szCs w:val="24"/>
        </w:rPr>
        <w:t xml:space="preserve"> in part 22</w:t>
      </w:r>
      <w:r>
        <w:rPr>
          <w:rFonts w:cs="Arial"/>
          <w:bCs/>
          <w:szCs w:val="24"/>
        </w:rPr>
        <w:t xml:space="preserve"> </w:t>
      </w:r>
      <w:r w:rsidR="000B7B68">
        <w:rPr>
          <w:rFonts w:cs="Arial"/>
          <w:bCs/>
          <w:szCs w:val="24"/>
        </w:rPr>
        <w:t xml:space="preserve">are </w:t>
      </w:r>
      <w:r>
        <w:rPr>
          <w:rFonts w:cs="Arial"/>
          <w:bCs/>
          <w:szCs w:val="24"/>
        </w:rPr>
        <w:t xml:space="preserve">due to expire on 8 April 2021. </w:t>
      </w:r>
      <w:r w:rsidR="00A9586E">
        <w:rPr>
          <w:rFonts w:cs="Arial"/>
          <w:bCs/>
          <w:szCs w:val="24"/>
        </w:rPr>
        <w:t>The new</w:t>
      </w:r>
      <w:r w:rsidR="00CC3FCD">
        <w:rPr>
          <w:rFonts w:cs="Arial"/>
          <w:bCs/>
          <w:szCs w:val="24"/>
        </w:rPr>
        <w:t xml:space="preserve"> </w:t>
      </w:r>
      <w:r w:rsidR="0012669A">
        <w:rPr>
          <w:rFonts w:cs="Arial"/>
          <w:bCs/>
          <w:szCs w:val="24"/>
        </w:rPr>
        <w:t xml:space="preserve">expiry </w:t>
      </w:r>
      <w:r w:rsidR="00A9586E">
        <w:rPr>
          <w:rFonts w:cs="Arial"/>
          <w:bCs/>
          <w:szCs w:val="24"/>
        </w:rPr>
        <w:t>provision</w:t>
      </w:r>
      <w:r w:rsidR="0017128C">
        <w:rPr>
          <w:rFonts w:cs="Arial"/>
          <w:bCs/>
          <w:szCs w:val="24"/>
        </w:rPr>
        <w:t xml:space="preserve"> </w:t>
      </w:r>
      <w:r w:rsidR="0012669A">
        <w:rPr>
          <w:rFonts w:cs="Arial"/>
          <w:bCs/>
          <w:szCs w:val="24"/>
        </w:rPr>
        <w:t>for the measures allows them to remain in the Act after a COVID-19 emergency declaration is no longer in force, for up to 12 months.</w:t>
      </w:r>
      <w:r w:rsidR="00CC3FCD">
        <w:rPr>
          <w:rFonts w:cs="Arial"/>
          <w:bCs/>
          <w:szCs w:val="24"/>
        </w:rPr>
        <w:t xml:space="preserve"> </w:t>
      </w:r>
      <w:r w:rsidR="0012669A">
        <w:rPr>
          <w:rFonts w:cs="Arial"/>
          <w:bCs/>
          <w:szCs w:val="24"/>
        </w:rPr>
        <w:t>During this period, in the event a COVID-19 emergency declaration is made, the measures will become operative while the declaration is in force. The purpose of this rolling expiry arrangement is to ensure that emergency response measures can be available to support operational and service responses.</w:t>
      </w:r>
    </w:p>
    <w:p w14:paraId="3227242F" w14:textId="275FFFBA" w:rsidR="00F62CE7" w:rsidRDefault="00F62CE7" w:rsidP="003843D2">
      <w:pPr>
        <w:rPr>
          <w:color w:val="000000" w:themeColor="text1"/>
          <w:lang w:eastAsia="en-AU"/>
        </w:rPr>
      </w:pPr>
      <w:r>
        <w:rPr>
          <w:color w:val="000000" w:themeColor="text1"/>
          <w:lang w:eastAsia="en-AU"/>
        </w:rPr>
        <w:t>The measures</w:t>
      </w:r>
      <w:r w:rsidR="00A9586E">
        <w:rPr>
          <w:color w:val="000000" w:themeColor="text1"/>
          <w:lang w:eastAsia="en-AU"/>
        </w:rPr>
        <w:t xml:space="preserve"> </w:t>
      </w:r>
      <w:r w:rsidR="0012669A">
        <w:rPr>
          <w:color w:val="000000" w:themeColor="text1"/>
          <w:lang w:eastAsia="en-AU"/>
        </w:rPr>
        <w:t>provide for</w:t>
      </w:r>
      <w:r>
        <w:rPr>
          <w:color w:val="000000" w:themeColor="text1"/>
          <w:lang w:eastAsia="en-AU"/>
        </w:rPr>
        <w:t>:</w:t>
      </w:r>
    </w:p>
    <w:p w14:paraId="119D97FC" w14:textId="2E87E6D1" w:rsidR="00F62CE7" w:rsidRDefault="00F62CE7" w:rsidP="00F62CE7">
      <w:pPr>
        <w:pStyle w:val="ListParagraph"/>
        <w:numPr>
          <w:ilvl w:val="0"/>
          <w:numId w:val="29"/>
        </w:numPr>
        <w:rPr>
          <w:rFonts w:cs="Arial"/>
          <w:bCs/>
          <w:sz w:val="24"/>
          <w:szCs w:val="24"/>
        </w:rPr>
      </w:pPr>
      <w:r w:rsidRPr="0012669A">
        <w:rPr>
          <w:rFonts w:cs="Arial"/>
          <w:bCs/>
          <w:sz w:val="24"/>
          <w:szCs w:val="24"/>
        </w:rPr>
        <w:t>general interim orders that are due</w:t>
      </w:r>
      <w:r w:rsidR="0012669A">
        <w:rPr>
          <w:rFonts w:cs="Arial"/>
          <w:bCs/>
          <w:sz w:val="24"/>
          <w:szCs w:val="24"/>
        </w:rPr>
        <w:t>, or likely,</w:t>
      </w:r>
      <w:r w:rsidRPr="0012669A">
        <w:rPr>
          <w:rFonts w:cs="Arial"/>
          <w:bCs/>
          <w:sz w:val="24"/>
          <w:szCs w:val="24"/>
        </w:rPr>
        <w:t xml:space="preserve"> to expire during the COVID-19 emergency</w:t>
      </w:r>
      <w:r>
        <w:rPr>
          <w:rFonts w:cs="Arial"/>
          <w:bCs/>
          <w:sz w:val="24"/>
          <w:szCs w:val="24"/>
        </w:rPr>
        <w:t xml:space="preserve"> to be extended for up to six months</w:t>
      </w:r>
      <w:r w:rsidRPr="0012669A">
        <w:rPr>
          <w:rFonts w:cs="Arial"/>
          <w:bCs/>
          <w:sz w:val="24"/>
          <w:szCs w:val="24"/>
        </w:rPr>
        <w:t>,</w:t>
      </w:r>
    </w:p>
    <w:p w14:paraId="52DFC79C" w14:textId="2F70F543" w:rsidR="00F62CE7" w:rsidRDefault="00F62CE7" w:rsidP="00F62CE7">
      <w:pPr>
        <w:pStyle w:val="ListParagraph"/>
        <w:numPr>
          <w:ilvl w:val="0"/>
          <w:numId w:val="29"/>
        </w:numPr>
        <w:rPr>
          <w:rFonts w:cs="Arial"/>
          <w:bCs/>
          <w:sz w:val="24"/>
          <w:szCs w:val="24"/>
        </w:rPr>
      </w:pPr>
      <w:r w:rsidRPr="0012669A">
        <w:rPr>
          <w:rFonts w:cs="Arial"/>
          <w:bCs/>
          <w:sz w:val="24"/>
          <w:szCs w:val="24"/>
        </w:rPr>
        <w:t xml:space="preserve">appearances at a proceeding to be undertaken by audio visual means during </w:t>
      </w:r>
      <w:r w:rsidR="0012669A">
        <w:rPr>
          <w:rFonts w:cs="Arial"/>
          <w:bCs/>
          <w:sz w:val="24"/>
          <w:szCs w:val="24"/>
        </w:rPr>
        <w:t>a</w:t>
      </w:r>
      <w:r w:rsidRPr="0012669A">
        <w:rPr>
          <w:rFonts w:cs="Arial"/>
          <w:bCs/>
          <w:sz w:val="24"/>
          <w:szCs w:val="24"/>
        </w:rPr>
        <w:t xml:space="preserve"> COVID-19 emergency</w:t>
      </w:r>
      <w:r>
        <w:rPr>
          <w:rFonts w:cs="Arial"/>
          <w:bCs/>
          <w:sz w:val="24"/>
          <w:szCs w:val="24"/>
        </w:rPr>
        <w:t>;</w:t>
      </w:r>
    </w:p>
    <w:p w14:paraId="5F77BE93" w14:textId="1B7DC544" w:rsidR="00F62CE7" w:rsidRDefault="00F62CE7" w:rsidP="00F62CE7">
      <w:pPr>
        <w:pStyle w:val="ListParagraph"/>
        <w:numPr>
          <w:ilvl w:val="0"/>
          <w:numId w:val="29"/>
        </w:numPr>
        <w:rPr>
          <w:rFonts w:cs="Arial"/>
          <w:bCs/>
          <w:sz w:val="24"/>
          <w:szCs w:val="24"/>
        </w:rPr>
      </w:pPr>
      <w:r w:rsidRPr="0012669A">
        <w:rPr>
          <w:rFonts w:cs="Arial"/>
          <w:bCs/>
          <w:sz w:val="24"/>
          <w:szCs w:val="24"/>
        </w:rPr>
        <w:t xml:space="preserve">consent to be given by audio visual means during </w:t>
      </w:r>
      <w:r w:rsidR="0012669A">
        <w:rPr>
          <w:rFonts w:cs="Arial"/>
          <w:bCs/>
          <w:sz w:val="24"/>
          <w:szCs w:val="24"/>
        </w:rPr>
        <w:t>a</w:t>
      </w:r>
      <w:r w:rsidRPr="0012669A">
        <w:rPr>
          <w:rFonts w:cs="Arial"/>
          <w:bCs/>
          <w:sz w:val="24"/>
          <w:szCs w:val="24"/>
        </w:rPr>
        <w:t xml:space="preserve"> COVID-19 emergency</w:t>
      </w:r>
      <w:r>
        <w:rPr>
          <w:rFonts w:cs="Arial"/>
          <w:bCs/>
          <w:sz w:val="24"/>
          <w:szCs w:val="24"/>
        </w:rPr>
        <w:t>;</w:t>
      </w:r>
      <w:r w:rsidRPr="0012669A">
        <w:rPr>
          <w:rFonts w:cs="Arial"/>
          <w:bCs/>
          <w:sz w:val="24"/>
          <w:szCs w:val="24"/>
        </w:rPr>
        <w:t xml:space="preserve"> and</w:t>
      </w:r>
    </w:p>
    <w:p w14:paraId="412665E1" w14:textId="4305757B" w:rsidR="00F62CE7" w:rsidRPr="0012669A" w:rsidRDefault="00F62CE7" w:rsidP="0012669A">
      <w:pPr>
        <w:pStyle w:val="ListParagraph"/>
        <w:numPr>
          <w:ilvl w:val="0"/>
          <w:numId w:val="29"/>
        </w:numPr>
        <w:rPr>
          <w:rFonts w:cs="Arial"/>
          <w:bCs/>
          <w:szCs w:val="24"/>
        </w:rPr>
      </w:pPr>
      <w:r w:rsidRPr="0012669A">
        <w:rPr>
          <w:rFonts w:cs="Arial"/>
          <w:bCs/>
          <w:sz w:val="24"/>
          <w:szCs w:val="24"/>
        </w:rPr>
        <w:t xml:space="preserve">an acknowledgement to be given 'in writing or before the court' and to be 'recorded by the court' during </w:t>
      </w:r>
      <w:r w:rsidR="0012669A">
        <w:rPr>
          <w:rFonts w:cs="Arial"/>
          <w:bCs/>
          <w:sz w:val="24"/>
          <w:szCs w:val="24"/>
        </w:rPr>
        <w:t>a</w:t>
      </w:r>
      <w:r w:rsidRPr="0012669A">
        <w:rPr>
          <w:rFonts w:cs="Arial"/>
          <w:bCs/>
          <w:sz w:val="24"/>
          <w:szCs w:val="24"/>
        </w:rPr>
        <w:t xml:space="preserve"> COVID-19 emergency.</w:t>
      </w:r>
    </w:p>
    <w:p w14:paraId="5F8DF2EA" w14:textId="58A384D6" w:rsidR="00FC25D3" w:rsidRPr="00A4272F" w:rsidRDefault="00A9586E" w:rsidP="00FC25D3">
      <w:pPr>
        <w:rPr>
          <w:rFonts w:cs="Arial"/>
          <w:bCs/>
          <w:szCs w:val="24"/>
        </w:rPr>
      </w:pPr>
      <w:r>
        <w:rPr>
          <w:rFonts w:cs="Arial"/>
          <w:bCs/>
          <w:szCs w:val="24"/>
        </w:rPr>
        <w:lastRenderedPageBreak/>
        <w:t>Th</w:t>
      </w:r>
      <w:r w:rsidR="00F171B8">
        <w:rPr>
          <w:rFonts w:cs="Arial"/>
          <w:bCs/>
          <w:szCs w:val="24"/>
        </w:rPr>
        <w:t>is</w:t>
      </w:r>
      <w:r>
        <w:rPr>
          <w:rFonts w:cs="Arial"/>
          <w:bCs/>
          <w:szCs w:val="24"/>
        </w:rPr>
        <w:t xml:space="preserve"> amendment </w:t>
      </w:r>
      <w:r w:rsidR="003843D2">
        <w:rPr>
          <w:rFonts w:cs="Arial"/>
          <w:bCs/>
          <w:szCs w:val="24"/>
        </w:rPr>
        <w:t>allow</w:t>
      </w:r>
      <w:r w:rsidR="00F171B8">
        <w:rPr>
          <w:rFonts w:cs="Arial"/>
          <w:bCs/>
          <w:szCs w:val="24"/>
        </w:rPr>
        <w:t>s</w:t>
      </w:r>
      <w:r w:rsidR="003843D2">
        <w:rPr>
          <w:rFonts w:cs="Arial"/>
          <w:bCs/>
          <w:szCs w:val="24"/>
        </w:rPr>
        <w:t xml:space="preserve"> the court to maintain appropriate numbers of people at the courthouse, which supports the safe and effective operation of the ACT Courts during a COVID-19 emergency. The Explanatory Statement to the COVID-19 Emergency Response Bill </w:t>
      </w:r>
      <w:r w:rsidR="00933954">
        <w:rPr>
          <w:rFonts w:cs="Arial"/>
          <w:bCs/>
          <w:szCs w:val="24"/>
        </w:rPr>
        <w:t>further details</w:t>
      </w:r>
      <w:r w:rsidR="003843D2">
        <w:rPr>
          <w:rFonts w:cs="Arial"/>
          <w:bCs/>
          <w:szCs w:val="24"/>
        </w:rPr>
        <w:t xml:space="preserve"> these measures.</w:t>
      </w:r>
    </w:p>
    <w:p w14:paraId="433F1B25" w14:textId="298D3A68" w:rsidR="009B013B" w:rsidRPr="008D4BA9" w:rsidRDefault="009B013B" w:rsidP="00B93FED">
      <w:pPr>
        <w:pStyle w:val="Heading2"/>
        <w:rPr>
          <w:rFonts w:cs="Arial"/>
          <w:b w:val="0"/>
          <w:szCs w:val="24"/>
        </w:rPr>
      </w:pPr>
      <w:bookmarkStart w:id="73" w:name="_Toc57197641"/>
      <w:r w:rsidRPr="00540DC2">
        <w:rPr>
          <w:rFonts w:cs="Arial"/>
          <w:szCs w:val="24"/>
        </w:rPr>
        <w:t>Part 1.1</w:t>
      </w:r>
      <w:r w:rsidR="003843D2">
        <w:rPr>
          <w:rFonts w:cs="Arial"/>
          <w:szCs w:val="24"/>
        </w:rPr>
        <w:t>4</w:t>
      </w:r>
      <w:r w:rsidR="005146A0" w:rsidRPr="00540DC2">
        <w:rPr>
          <w:rFonts w:cs="Arial"/>
          <w:szCs w:val="24"/>
        </w:rPr>
        <w:tab/>
      </w:r>
      <w:r w:rsidRPr="00540DC2">
        <w:rPr>
          <w:rFonts w:cs="Arial"/>
          <w:szCs w:val="24"/>
          <w:lang w:eastAsia="en-AU"/>
        </w:rPr>
        <w:t>Retirement Villages Act 2012</w:t>
      </w:r>
      <w:bookmarkEnd w:id="73"/>
    </w:p>
    <w:p w14:paraId="67013DA5" w14:textId="54A22FDE" w:rsidR="009B013B" w:rsidRDefault="009B013B" w:rsidP="00FC25D3">
      <w:pPr>
        <w:pStyle w:val="Heading3"/>
        <w:tabs>
          <w:tab w:val="left" w:pos="1134"/>
        </w:tabs>
        <w:rPr>
          <w:rFonts w:cs="Arial"/>
          <w:i/>
          <w:iCs/>
          <w:color w:val="000000"/>
        </w:rPr>
      </w:pPr>
      <w:bookmarkStart w:id="74" w:name="_Toc57197642"/>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25</w:t>
      </w:r>
      <w:r w:rsidRPr="00706752">
        <w:rPr>
          <w:rFonts w:cs="Arial"/>
          <w:i/>
          <w:iCs/>
        </w:rPr>
        <w:fldChar w:fldCharType="end"/>
      </w:r>
      <w:r w:rsidRPr="00706752">
        <w:rPr>
          <w:rFonts w:cs="Arial"/>
          <w:iCs/>
        </w:rPr>
        <w:t>]</w:t>
      </w:r>
      <w:r w:rsidR="005146A0">
        <w:rPr>
          <w:rFonts w:cs="Arial"/>
          <w:iCs/>
        </w:rPr>
        <w:tab/>
      </w:r>
      <w:r>
        <w:rPr>
          <w:rFonts w:cs="Arial"/>
          <w:iCs/>
          <w:color w:val="000000"/>
        </w:rPr>
        <w:t>Section 265</w:t>
      </w:r>
      <w:bookmarkEnd w:id="74"/>
    </w:p>
    <w:p w14:paraId="015D2645" w14:textId="71DCAC6B" w:rsidR="00BB112E" w:rsidRDefault="009B013B" w:rsidP="001630E1">
      <w:pPr>
        <w:rPr>
          <w:szCs w:val="24"/>
        </w:rPr>
      </w:pPr>
      <w:r>
        <w:t>This clause</w:t>
      </w:r>
      <w:r w:rsidR="0012669A">
        <w:t xml:space="preserve"> substitutes new section 265 to provide for</w:t>
      </w:r>
      <w:r w:rsidR="00A9586E">
        <w:t xml:space="preserve"> </w:t>
      </w:r>
      <w:r>
        <w:t xml:space="preserve">the expiry of </w:t>
      </w:r>
      <w:r w:rsidR="00417669">
        <w:rPr>
          <w:szCs w:val="24"/>
        </w:rPr>
        <w:t>sections 112A, 117 (1A) and (1B), 261A and 265, and dictionary, definition of ‘COVID-19 emergency’ at the end of a 12-month period during which no COVID-19 emergency has been in force.</w:t>
      </w:r>
      <w:r w:rsidR="00947557">
        <w:rPr>
          <w:szCs w:val="24"/>
        </w:rPr>
        <w:t xml:space="preserve"> </w:t>
      </w:r>
      <w:r w:rsidR="001630E1">
        <w:rPr>
          <w:szCs w:val="24"/>
        </w:rPr>
        <w:t xml:space="preserve">The </w:t>
      </w:r>
      <w:r w:rsidR="00417669">
        <w:rPr>
          <w:szCs w:val="24"/>
        </w:rPr>
        <w:t>measures</w:t>
      </w:r>
      <w:r w:rsidR="0012669A">
        <w:rPr>
          <w:szCs w:val="24"/>
        </w:rPr>
        <w:t xml:space="preserve"> established by these provisions</w:t>
      </w:r>
      <w:r w:rsidR="001E2B1C">
        <w:rPr>
          <w:szCs w:val="24"/>
        </w:rPr>
        <w:t xml:space="preserve"> are</w:t>
      </w:r>
      <w:r w:rsidR="00417669">
        <w:rPr>
          <w:szCs w:val="24"/>
        </w:rPr>
        <w:t xml:space="preserve"> due to expire on 8 April 2021. </w:t>
      </w:r>
      <w:r w:rsidR="00A9586E">
        <w:rPr>
          <w:szCs w:val="24"/>
        </w:rPr>
        <w:t xml:space="preserve">The new </w:t>
      </w:r>
      <w:r w:rsidR="00417669">
        <w:rPr>
          <w:szCs w:val="24"/>
        </w:rPr>
        <w:t xml:space="preserve">expiry </w:t>
      </w:r>
      <w:r w:rsidR="00A9586E">
        <w:rPr>
          <w:szCs w:val="24"/>
        </w:rPr>
        <w:t>provision</w:t>
      </w:r>
      <w:r w:rsidR="00417669">
        <w:rPr>
          <w:szCs w:val="24"/>
        </w:rPr>
        <w:t xml:space="preserve"> </w:t>
      </w:r>
      <w:r w:rsidR="001630E1">
        <w:rPr>
          <w:szCs w:val="24"/>
        </w:rPr>
        <w:t>ensure</w:t>
      </w:r>
      <w:r w:rsidR="00417669">
        <w:rPr>
          <w:szCs w:val="24"/>
        </w:rPr>
        <w:t>s</w:t>
      </w:r>
      <w:r w:rsidR="001630E1">
        <w:rPr>
          <w:szCs w:val="24"/>
        </w:rPr>
        <w:t xml:space="preserve"> that meetings of residents of retirement villages and meetings with retirement village operators can continue to be held in the ACT</w:t>
      </w:r>
      <w:r w:rsidR="00417669">
        <w:rPr>
          <w:szCs w:val="24"/>
        </w:rPr>
        <w:t xml:space="preserve"> during a COVID-19 emergency</w:t>
      </w:r>
      <w:r w:rsidR="001630E1">
        <w:rPr>
          <w:szCs w:val="24"/>
        </w:rPr>
        <w:t>.</w:t>
      </w:r>
    </w:p>
    <w:p w14:paraId="2E5D1017" w14:textId="7732D390" w:rsidR="009B013B" w:rsidRDefault="001630E1" w:rsidP="001630E1">
      <w:pPr>
        <w:rPr>
          <w:szCs w:val="24"/>
        </w:rPr>
      </w:pPr>
      <w:r>
        <w:rPr>
          <w:szCs w:val="24"/>
        </w:rPr>
        <w:t>The expiry of s</w:t>
      </w:r>
      <w:r w:rsidRPr="00947557">
        <w:rPr>
          <w:szCs w:val="24"/>
        </w:rPr>
        <w:t>ubsections 107 (3A) and 159 (2A) and (2B)</w:t>
      </w:r>
      <w:r>
        <w:rPr>
          <w:szCs w:val="24"/>
        </w:rPr>
        <w:t xml:space="preserve"> </w:t>
      </w:r>
      <w:r w:rsidR="00A9586E">
        <w:rPr>
          <w:szCs w:val="24"/>
        </w:rPr>
        <w:t>is</w:t>
      </w:r>
      <w:r w:rsidR="0012669A">
        <w:rPr>
          <w:szCs w:val="24"/>
        </w:rPr>
        <w:t xml:space="preserve"> unchanged, </w:t>
      </w:r>
      <w:r w:rsidR="00417669">
        <w:rPr>
          <w:szCs w:val="24"/>
        </w:rPr>
        <w:t xml:space="preserve">at </w:t>
      </w:r>
      <w:r>
        <w:rPr>
          <w:szCs w:val="24"/>
        </w:rPr>
        <w:t>8 April 2021</w:t>
      </w:r>
      <w:r w:rsidR="00417669">
        <w:rPr>
          <w:szCs w:val="24"/>
        </w:rPr>
        <w:t xml:space="preserve"> </w:t>
      </w:r>
      <w:r>
        <w:rPr>
          <w:szCs w:val="24"/>
        </w:rPr>
        <w:t>because operators can now hold meetings using alternat</w:t>
      </w:r>
      <w:r w:rsidR="003843D2">
        <w:rPr>
          <w:szCs w:val="24"/>
        </w:rPr>
        <w:t>ive</w:t>
      </w:r>
      <w:r>
        <w:rPr>
          <w:szCs w:val="24"/>
        </w:rPr>
        <w:t xml:space="preserve"> forms of communication and will have been given sufficient time (close to one year) to plan and prepare for an alternative way of conducting of annual management meetings and seeking residents</w:t>
      </w:r>
      <w:r w:rsidR="001B5CC2">
        <w:rPr>
          <w:szCs w:val="24"/>
        </w:rPr>
        <w:t>’</w:t>
      </w:r>
      <w:r>
        <w:rPr>
          <w:szCs w:val="24"/>
        </w:rPr>
        <w:t xml:space="preserve"> consent to a proposed annual budget.</w:t>
      </w:r>
    </w:p>
    <w:p w14:paraId="6C90103D" w14:textId="39BD2476" w:rsidR="00216E30" w:rsidRPr="00A4272F" w:rsidRDefault="00216E30" w:rsidP="00216E30">
      <w:pPr>
        <w:rPr>
          <w:rFonts w:cs="Arial"/>
          <w:bCs/>
          <w:szCs w:val="24"/>
        </w:rPr>
      </w:pPr>
      <w:r>
        <w:rPr>
          <w:rFonts w:cs="Arial"/>
          <w:bCs/>
          <w:szCs w:val="24"/>
        </w:rPr>
        <w:t xml:space="preserve">The Explanatory Statement to the COVID-19 Emergency Response Legislation Amendment Bill </w:t>
      </w:r>
      <w:r w:rsidR="003843D2">
        <w:rPr>
          <w:rFonts w:cs="Arial"/>
          <w:bCs/>
          <w:szCs w:val="24"/>
        </w:rPr>
        <w:t>further details</w:t>
      </w:r>
      <w:r>
        <w:rPr>
          <w:rFonts w:cs="Arial"/>
          <w:bCs/>
          <w:szCs w:val="24"/>
        </w:rPr>
        <w:t xml:space="preserve"> these measures.</w:t>
      </w:r>
    </w:p>
    <w:p w14:paraId="7C735109" w14:textId="1FD4F464" w:rsidR="005146A0" w:rsidRDefault="005146A0" w:rsidP="005146A0">
      <w:pPr>
        <w:pStyle w:val="Heading2"/>
      </w:pPr>
      <w:bookmarkStart w:id="75" w:name="_Toc57197643"/>
      <w:r>
        <w:t>Part 1.1</w:t>
      </w:r>
      <w:r w:rsidR="00C35DCE">
        <w:t>5</w:t>
      </w:r>
      <w:r>
        <w:tab/>
        <w:t>Supreme Court Act 1933</w:t>
      </w:r>
      <w:bookmarkEnd w:id="75"/>
    </w:p>
    <w:p w14:paraId="7E83C873" w14:textId="1F94D0B8" w:rsidR="00101E1D" w:rsidRDefault="00101E1D" w:rsidP="001B5CC2">
      <w:pPr>
        <w:pStyle w:val="Heading3"/>
        <w:tabs>
          <w:tab w:val="left" w:pos="1134"/>
        </w:tabs>
        <w:rPr>
          <w:rFonts w:cs="Arial"/>
          <w:iCs/>
          <w:color w:val="000000"/>
        </w:rPr>
      </w:pPr>
      <w:bookmarkStart w:id="76" w:name="_Toc57197644"/>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26</w:t>
      </w:r>
      <w:r w:rsidRPr="00706752">
        <w:rPr>
          <w:rFonts w:cs="Arial"/>
          <w:i/>
          <w:iCs/>
        </w:rPr>
        <w:fldChar w:fldCharType="end"/>
      </w:r>
      <w:r w:rsidRPr="00706752">
        <w:rPr>
          <w:rFonts w:cs="Arial"/>
          <w:iCs/>
        </w:rPr>
        <w:t>]</w:t>
      </w:r>
      <w:r>
        <w:rPr>
          <w:rFonts w:cs="Arial"/>
          <w:iCs/>
        </w:rPr>
        <w:tab/>
      </w:r>
      <w:r>
        <w:rPr>
          <w:rFonts w:cs="Arial"/>
          <w:iCs/>
          <w:color w:val="000000"/>
        </w:rPr>
        <w:t>Section 68B (4)</w:t>
      </w:r>
      <w:r w:rsidR="0085250E">
        <w:rPr>
          <w:rFonts w:cs="Arial"/>
          <w:iCs/>
          <w:color w:val="000000"/>
        </w:rPr>
        <w:t xml:space="preserve">, definition of </w:t>
      </w:r>
      <w:r w:rsidR="0085250E" w:rsidRPr="00ED79A3">
        <w:rPr>
          <w:rFonts w:cs="Arial"/>
          <w:i/>
          <w:color w:val="000000"/>
        </w:rPr>
        <w:t>COVID-19 emergency period</w:t>
      </w:r>
      <w:bookmarkEnd w:id="76"/>
    </w:p>
    <w:p w14:paraId="454B0D43" w14:textId="5444BEB7" w:rsidR="00101E1D" w:rsidRPr="000D371D" w:rsidRDefault="00101E1D" w:rsidP="0012669A">
      <w:r>
        <w:t xml:space="preserve">This clause </w:t>
      </w:r>
      <w:r w:rsidR="0012669A">
        <w:t xml:space="preserve">substitutes new section 68B(4) </w:t>
      </w:r>
      <w:r w:rsidR="00B36E2D">
        <w:t>with a revised</w:t>
      </w:r>
      <w:r>
        <w:t xml:space="preserve"> definition of ‘COVID-19 emergency period’. A COVID-19 emergency period </w:t>
      </w:r>
      <w:r w:rsidR="00B36E2D">
        <w:t xml:space="preserve">will now be defined to </w:t>
      </w:r>
      <w:r>
        <w:t>end on 30 June 2021</w:t>
      </w:r>
      <w:r w:rsidR="00B36E2D">
        <w:t>, rather than 31 December 2020</w:t>
      </w:r>
      <w:r>
        <w:t>.</w:t>
      </w:r>
    </w:p>
    <w:p w14:paraId="5A80CF14" w14:textId="4E5753D6" w:rsidR="005146A0" w:rsidRDefault="005146A0" w:rsidP="001B5CC2">
      <w:pPr>
        <w:pStyle w:val="Heading3"/>
        <w:tabs>
          <w:tab w:val="left" w:pos="1134"/>
        </w:tabs>
        <w:rPr>
          <w:rFonts w:cs="Arial"/>
          <w:iCs/>
          <w:color w:val="000000"/>
        </w:rPr>
      </w:pPr>
      <w:bookmarkStart w:id="77" w:name="_Toc57197645"/>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27</w:t>
      </w:r>
      <w:r w:rsidRPr="00706752">
        <w:rPr>
          <w:rFonts w:cs="Arial"/>
          <w:i/>
          <w:iCs/>
        </w:rPr>
        <w:fldChar w:fldCharType="end"/>
      </w:r>
      <w:r w:rsidRPr="00706752">
        <w:rPr>
          <w:rFonts w:cs="Arial"/>
          <w:iCs/>
        </w:rPr>
        <w:t>]</w:t>
      </w:r>
      <w:r>
        <w:rPr>
          <w:rFonts w:cs="Arial"/>
          <w:iCs/>
        </w:rPr>
        <w:tab/>
      </w:r>
      <w:r>
        <w:rPr>
          <w:rFonts w:cs="Arial"/>
          <w:iCs/>
          <w:color w:val="000000"/>
        </w:rPr>
        <w:t>Section 68B (5)</w:t>
      </w:r>
      <w:bookmarkEnd w:id="77"/>
    </w:p>
    <w:p w14:paraId="0554EC4C" w14:textId="6C5553BC" w:rsidR="00284F9D" w:rsidRPr="00EC4CFE" w:rsidRDefault="00284F9D" w:rsidP="00284F9D">
      <w:pPr>
        <w:rPr>
          <w:rFonts w:cs="Arial"/>
          <w:bCs/>
          <w:szCs w:val="24"/>
        </w:rPr>
      </w:pPr>
      <w:r w:rsidRPr="00EC4CFE">
        <w:rPr>
          <w:rFonts w:cs="Arial"/>
          <w:bCs/>
          <w:szCs w:val="24"/>
        </w:rPr>
        <w:t>This clause</w:t>
      </w:r>
      <w:r w:rsidR="00B36E2D">
        <w:rPr>
          <w:rFonts w:cs="Arial"/>
          <w:bCs/>
          <w:szCs w:val="24"/>
        </w:rPr>
        <w:t>, consequentially,</w:t>
      </w:r>
      <w:r w:rsidRPr="00EC4CFE">
        <w:rPr>
          <w:rFonts w:cs="Arial"/>
          <w:bCs/>
          <w:szCs w:val="24"/>
        </w:rPr>
        <w:t xml:space="preserve"> amends</w:t>
      </w:r>
      <w:r w:rsidR="00B36E2D">
        <w:rPr>
          <w:rFonts w:cs="Arial"/>
          <w:bCs/>
          <w:szCs w:val="24"/>
        </w:rPr>
        <w:t xml:space="preserve"> subsection 68B(5) to provide for</w:t>
      </w:r>
      <w:r w:rsidRPr="00EC4CFE">
        <w:rPr>
          <w:rFonts w:cs="Arial"/>
          <w:bCs/>
          <w:szCs w:val="24"/>
        </w:rPr>
        <w:t xml:space="preserve"> the expiry of </w:t>
      </w:r>
      <w:r>
        <w:rPr>
          <w:rFonts w:cs="Arial"/>
          <w:bCs/>
          <w:szCs w:val="24"/>
        </w:rPr>
        <w:t>subsections 68B (3A), (4), (5) and the definition of ‘COVID-19 emergency period’</w:t>
      </w:r>
      <w:r w:rsidRPr="00EC4CFE">
        <w:rPr>
          <w:rFonts w:cs="Arial"/>
          <w:bCs/>
          <w:szCs w:val="24"/>
        </w:rPr>
        <w:t xml:space="preserve"> on </w:t>
      </w:r>
      <w:r>
        <w:rPr>
          <w:rFonts w:cs="Arial"/>
          <w:bCs/>
          <w:szCs w:val="24"/>
        </w:rPr>
        <w:t>30 June 2021.</w:t>
      </w:r>
    </w:p>
    <w:p w14:paraId="5EB87894" w14:textId="692B3BE8" w:rsidR="001B5CC2" w:rsidRPr="005146A0" w:rsidRDefault="00B36E2D" w:rsidP="001B5CC2">
      <w:r>
        <w:rPr>
          <w:rFonts w:cs="Arial"/>
          <w:bCs/>
          <w:szCs w:val="24"/>
        </w:rPr>
        <w:t>The measure established by section 68B (3A) provides that a</w:t>
      </w:r>
      <w:r w:rsidR="001E2B1C">
        <w:rPr>
          <w:rFonts w:cs="Arial"/>
          <w:bCs/>
          <w:szCs w:val="24"/>
        </w:rPr>
        <w:t xml:space="preserve"> </w:t>
      </w:r>
      <w:r w:rsidR="00C35DCE">
        <w:rPr>
          <w:rFonts w:cs="Arial"/>
          <w:bCs/>
          <w:szCs w:val="24"/>
        </w:rPr>
        <w:t xml:space="preserve">person </w:t>
      </w:r>
      <w:r w:rsidR="001E2B1C">
        <w:rPr>
          <w:rFonts w:cs="Arial"/>
          <w:bCs/>
          <w:szCs w:val="24"/>
        </w:rPr>
        <w:t xml:space="preserve">accused of </w:t>
      </w:r>
      <w:r w:rsidR="00C35DCE">
        <w:rPr>
          <w:rFonts w:cs="Arial"/>
          <w:bCs/>
          <w:szCs w:val="24"/>
        </w:rPr>
        <w:t>committ</w:t>
      </w:r>
      <w:r w:rsidR="001E2B1C">
        <w:rPr>
          <w:rFonts w:cs="Arial"/>
          <w:bCs/>
          <w:szCs w:val="24"/>
        </w:rPr>
        <w:t>ing an</w:t>
      </w:r>
      <w:r w:rsidR="00C35DCE">
        <w:rPr>
          <w:rFonts w:cs="Arial"/>
          <w:bCs/>
          <w:szCs w:val="24"/>
        </w:rPr>
        <w:t xml:space="preserve"> offence that </w:t>
      </w:r>
      <w:r w:rsidR="001E2B1C">
        <w:rPr>
          <w:rFonts w:cs="Arial"/>
          <w:bCs/>
          <w:szCs w:val="24"/>
        </w:rPr>
        <w:t>is</w:t>
      </w:r>
      <w:r w:rsidR="00C35DCE">
        <w:rPr>
          <w:rFonts w:cs="Arial"/>
          <w:bCs/>
          <w:szCs w:val="24"/>
        </w:rPr>
        <w:t xml:space="preserve"> </w:t>
      </w:r>
      <w:r w:rsidR="007B24CF">
        <w:rPr>
          <w:rFonts w:cs="Arial"/>
          <w:bCs/>
          <w:szCs w:val="24"/>
        </w:rPr>
        <w:t>normally</w:t>
      </w:r>
      <w:r>
        <w:rPr>
          <w:rFonts w:cs="Arial"/>
          <w:bCs/>
          <w:szCs w:val="24"/>
        </w:rPr>
        <w:t xml:space="preserve"> only able to be</w:t>
      </w:r>
      <w:r w:rsidR="007B24CF">
        <w:rPr>
          <w:rFonts w:cs="Arial"/>
          <w:bCs/>
          <w:szCs w:val="24"/>
        </w:rPr>
        <w:t xml:space="preserve"> </w:t>
      </w:r>
      <w:r w:rsidR="001E2B1C">
        <w:rPr>
          <w:rFonts w:cs="Arial"/>
          <w:bCs/>
          <w:szCs w:val="24"/>
        </w:rPr>
        <w:t>tried by jury</w:t>
      </w:r>
      <w:r>
        <w:rPr>
          <w:rFonts w:cs="Arial"/>
          <w:bCs/>
          <w:szCs w:val="24"/>
        </w:rPr>
        <w:t xml:space="preserve"> (</w:t>
      </w:r>
      <w:r w:rsidR="0017128C">
        <w:rPr>
          <w:rFonts w:cs="Arial"/>
          <w:bCs/>
          <w:szCs w:val="24"/>
        </w:rPr>
        <w:t>see S</w:t>
      </w:r>
      <w:r>
        <w:rPr>
          <w:rFonts w:cs="Arial"/>
          <w:bCs/>
          <w:szCs w:val="24"/>
        </w:rPr>
        <w:t>chedule 2</w:t>
      </w:r>
      <w:r w:rsidR="0017128C">
        <w:rPr>
          <w:rFonts w:cs="Arial"/>
          <w:bCs/>
          <w:szCs w:val="24"/>
        </w:rPr>
        <w:t xml:space="preserve"> - </w:t>
      </w:r>
      <w:r w:rsidR="0017128C" w:rsidRPr="0017128C">
        <w:rPr>
          <w:rFonts w:cs="Arial"/>
          <w:bCs/>
          <w:szCs w:val="24"/>
        </w:rPr>
        <w:t>Trial by judge alone—excluded offences</w:t>
      </w:r>
      <w:r>
        <w:rPr>
          <w:rFonts w:cs="Arial"/>
          <w:bCs/>
          <w:szCs w:val="24"/>
        </w:rPr>
        <w:t>)</w:t>
      </w:r>
      <w:r w:rsidR="00C35DCE">
        <w:rPr>
          <w:rFonts w:cs="Arial"/>
          <w:bCs/>
          <w:szCs w:val="24"/>
        </w:rPr>
        <w:t xml:space="preserve"> can elect to be tried by a judge alone </w:t>
      </w:r>
      <w:r>
        <w:rPr>
          <w:rFonts w:cs="Arial"/>
          <w:bCs/>
          <w:szCs w:val="24"/>
        </w:rPr>
        <w:t xml:space="preserve">during a COVID-19 emergency period, currently defined to end on </w:t>
      </w:r>
      <w:r w:rsidR="00C35DCE">
        <w:rPr>
          <w:rFonts w:cs="Arial"/>
          <w:bCs/>
          <w:szCs w:val="24"/>
        </w:rPr>
        <w:t>31 December 2020</w:t>
      </w:r>
      <w:r w:rsidR="001E2B1C">
        <w:rPr>
          <w:rFonts w:cs="Arial"/>
          <w:bCs/>
          <w:szCs w:val="24"/>
        </w:rPr>
        <w:t xml:space="preserve">. </w:t>
      </w:r>
      <w:r>
        <w:rPr>
          <w:rFonts w:cs="Arial"/>
          <w:bCs/>
          <w:szCs w:val="24"/>
        </w:rPr>
        <w:t xml:space="preserve">Amending the COVID-19 emergency period to end on 30 June 2021 </w:t>
      </w:r>
      <w:r w:rsidR="001B5CC2">
        <w:rPr>
          <w:rFonts w:cs="Arial"/>
          <w:bCs/>
          <w:szCs w:val="24"/>
        </w:rPr>
        <w:t xml:space="preserve">will </w:t>
      </w:r>
      <w:r w:rsidR="00FC767F">
        <w:rPr>
          <w:rFonts w:cs="Arial"/>
          <w:bCs/>
          <w:szCs w:val="24"/>
        </w:rPr>
        <w:t>ensur</w:t>
      </w:r>
      <w:r w:rsidR="00945486">
        <w:rPr>
          <w:rFonts w:cs="Arial"/>
          <w:bCs/>
          <w:szCs w:val="24"/>
        </w:rPr>
        <w:t>e</w:t>
      </w:r>
      <w:r w:rsidR="00FC767F">
        <w:rPr>
          <w:rFonts w:cs="Arial"/>
          <w:bCs/>
          <w:szCs w:val="24"/>
        </w:rPr>
        <w:t xml:space="preserve"> the </w:t>
      </w:r>
      <w:r w:rsidR="001B5CC2">
        <w:rPr>
          <w:rFonts w:cs="Arial"/>
          <w:bCs/>
          <w:szCs w:val="24"/>
        </w:rPr>
        <w:t>effective administration of justice</w:t>
      </w:r>
      <w:r w:rsidR="00945486">
        <w:rPr>
          <w:rFonts w:cs="Arial"/>
          <w:bCs/>
          <w:szCs w:val="24"/>
        </w:rPr>
        <w:t xml:space="preserve">. </w:t>
      </w:r>
      <w:r w:rsidR="00945486">
        <w:rPr>
          <w:color w:val="000000" w:themeColor="text1"/>
          <w:lang w:eastAsia="en-AU"/>
        </w:rPr>
        <w:t xml:space="preserve">Currently, the Supreme Court is able to hold jury trials, however, social distancing </w:t>
      </w:r>
      <w:r w:rsidR="00832366">
        <w:rPr>
          <w:color w:val="000000" w:themeColor="text1"/>
          <w:lang w:eastAsia="en-AU"/>
        </w:rPr>
        <w:t xml:space="preserve">measures </w:t>
      </w:r>
      <w:r w:rsidR="00945486">
        <w:rPr>
          <w:color w:val="000000" w:themeColor="text1"/>
          <w:lang w:eastAsia="en-AU"/>
        </w:rPr>
        <w:t xml:space="preserve">mean that the Court is required to reduce the overall number of trials that </w:t>
      </w:r>
      <w:r w:rsidR="00832366">
        <w:rPr>
          <w:color w:val="000000" w:themeColor="text1"/>
          <w:lang w:eastAsia="en-AU"/>
        </w:rPr>
        <w:t>can</w:t>
      </w:r>
      <w:r w:rsidR="00945486">
        <w:rPr>
          <w:color w:val="000000" w:themeColor="text1"/>
          <w:lang w:eastAsia="en-AU"/>
        </w:rPr>
        <w:t xml:space="preserve"> </w:t>
      </w:r>
      <w:r w:rsidR="007B24CF">
        <w:rPr>
          <w:color w:val="000000" w:themeColor="text1"/>
          <w:lang w:eastAsia="en-AU"/>
        </w:rPr>
        <w:t xml:space="preserve">be held </w:t>
      </w:r>
      <w:r w:rsidR="00945486">
        <w:rPr>
          <w:color w:val="000000" w:themeColor="text1"/>
          <w:lang w:eastAsia="en-AU"/>
        </w:rPr>
        <w:t>concurrently</w:t>
      </w:r>
      <w:r w:rsidR="007B24CF">
        <w:rPr>
          <w:color w:val="000000" w:themeColor="text1"/>
          <w:lang w:eastAsia="en-AU"/>
        </w:rPr>
        <w:t>.</w:t>
      </w:r>
    </w:p>
    <w:p w14:paraId="3A0FE369" w14:textId="4F3232CB" w:rsidR="00FC767F" w:rsidRPr="00A4272F" w:rsidRDefault="007B24CF" w:rsidP="00FC767F">
      <w:pPr>
        <w:rPr>
          <w:rFonts w:cs="Arial"/>
          <w:bCs/>
          <w:szCs w:val="24"/>
        </w:rPr>
      </w:pPr>
      <w:r>
        <w:rPr>
          <w:rFonts w:cs="Arial"/>
          <w:bCs/>
          <w:szCs w:val="24"/>
        </w:rPr>
        <w:lastRenderedPageBreak/>
        <w:t xml:space="preserve">The measure </w:t>
      </w:r>
      <w:r w:rsidR="00B36E2D">
        <w:rPr>
          <w:rFonts w:cs="Arial"/>
          <w:bCs/>
          <w:szCs w:val="24"/>
        </w:rPr>
        <w:t>continues to reduce the risk of</w:t>
      </w:r>
      <w:r w:rsidR="00A9586E">
        <w:rPr>
          <w:rFonts w:cs="Arial"/>
          <w:bCs/>
          <w:szCs w:val="24"/>
        </w:rPr>
        <w:t xml:space="preserve"> </w:t>
      </w:r>
      <w:r>
        <w:rPr>
          <w:color w:val="000000" w:themeColor="text1"/>
          <w:lang w:eastAsia="en-AU"/>
        </w:rPr>
        <w:t>negative impact</w:t>
      </w:r>
      <w:r w:rsidR="00B36E2D">
        <w:rPr>
          <w:color w:val="000000" w:themeColor="text1"/>
          <w:lang w:eastAsia="en-AU"/>
        </w:rPr>
        <w:t>s</w:t>
      </w:r>
      <w:r>
        <w:rPr>
          <w:color w:val="000000" w:themeColor="text1"/>
          <w:lang w:eastAsia="en-AU"/>
        </w:rPr>
        <w:t xml:space="preserve"> on court listing arrangements, defendants and victims of crime that could result from </w:t>
      </w:r>
      <w:r w:rsidR="00B36E2D">
        <w:rPr>
          <w:color w:val="000000" w:themeColor="text1"/>
          <w:lang w:eastAsia="en-AU"/>
        </w:rPr>
        <w:t>delays in trials proceeding</w:t>
      </w:r>
      <w:r>
        <w:rPr>
          <w:color w:val="000000" w:themeColor="text1"/>
          <w:lang w:eastAsia="en-AU"/>
        </w:rPr>
        <w:t xml:space="preserve">. </w:t>
      </w:r>
      <w:r w:rsidR="00FC767F">
        <w:rPr>
          <w:rFonts w:cs="Arial"/>
          <w:bCs/>
          <w:szCs w:val="24"/>
        </w:rPr>
        <w:t>The Explanatory Statement to the COVID-19 Emergency Response Bill contains details specific to this measure.</w:t>
      </w:r>
    </w:p>
    <w:p w14:paraId="54803A28" w14:textId="0D3F29BF" w:rsidR="0085069E" w:rsidRPr="008D4BA9" w:rsidRDefault="0085069E" w:rsidP="00B93FED">
      <w:pPr>
        <w:pStyle w:val="Heading2"/>
        <w:rPr>
          <w:rFonts w:cs="Arial"/>
          <w:b w:val="0"/>
          <w:szCs w:val="24"/>
        </w:rPr>
      </w:pPr>
      <w:bookmarkStart w:id="78" w:name="_Toc57197646"/>
      <w:r w:rsidRPr="00DC2351">
        <w:rPr>
          <w:rFonts w:cs="Arial"/>
          <w:szCs w:val="24"/>
        </w:rPr>
        <w:t>Part 1.1</w:t>
      </w:r>
      <w:r w:rsidR="00CB6DAE" w:rsidRPr="00DC2351">
        <w:rPr>
          <w:rFonts w:cs="Arial"/>
          <w:szCs w:val="24"/>
        </w:rPr>
        <w:t>6</w:t>
      </w:r>
      <w:r w:rsidR="001B5CC2" w:rsidRPr="00DC2351">
        <w:rPr>
          <w:rFonts w:cs="Arial"/>
          <w:szCs w:val="24"/>
        </w:rPr>
        <w:tab/>
      </w:r>
      <w:r w:rsidRPr="00DC2351">
        <w:rPr>
          <w:rFonts w:cs="Arial"/>
          <w:szCs w:val="24"/>
          <w:lang w:eastAsia="en-AU"/>
        </w:rPr>
        <w:t>Working with Vulnerable People (Background Checking) Act 2011</w:t>
      </w:r>
      <w:bookmarkEnd w:id="78"/>
    </w:p>
    <w:p w14:paraId="5643E161" w14:textId="5B584115" w:rsidR="0085069E" w:rsidRDefault="0085069E" w:rsidP="001B5CC2">
      <w:pPr>
        <w:pStyle w:val="Heading3"/>
        <w:tabs>
          <w:tab w:val="left" w:pos="1134"/>
        </w:tabs>
        <w:rPr>
          <w:rFonts w:cs="Arial"/>
          <w:iCs/>
        </w:rPr>
      </w:pPr>
      <w:bookmarkStart w:id="79" w:name="_Toc57197647"/>
      <w:r w:rsidRPr="00706752">
        <w:rPr>
          <w:rFonts w:cs="Arial"/>
          <w:iCs/>
        </w:rPr>
        <w:t>[1.</w:t>
      </w:r>
      <w:r w:rsidRPr="00706752">
        <w:rPr>
          <w:rFonts w:cs="Arial"/>
          <w:i/>
          <w:iCs/>
        </w:rPr>
        <w:fldChar w:fldCharType="begin"/>
      </w:r>
      <w:r w:rsidRPr="00706752">
        <w:rPr>
          <w:rFonts w:cs="Arial"/>
          <w:iCs/>
        </w:rPr>
        <w:instrText xml:space="preserve"> SEQ [2.] \* ARABIC </w:instrText>
      </w:r>
      <w:r w:rsidRPr="00706752">
        <w:rPr>
          <w:rFonts w:cs="Arial"/>
          <w:i/>
          <w:iCs/>
        </w:rPr>
        <w:fldChar w:fldCharType="separate"/>
      </w:r>
      <w:r w:rsidR="009C4E16">
        <w:rPr>
          <w:rFonts w:cs="Arial"/>
          <w:iCs/>
          <w:noProof/>
        </w:rPr>
        <w:t>28</w:t>
      </w:r>
      <w:r w:rsidRPr="00706752">
        <w:rPr>
          <w:rFonts w:cs="Arial"/>
          <w:i/>
          <w:iCs/>
        </w:rPr>
        <w:fldChar w:fldCharType="end"/>
      </w:r>
      <w:r w:rsidRPr="00706752">
        <w:rPr>
          <w:rFonts w:cs="Arial"/>
          <w:iCs/>
        </w:rPr>
        <w:t>]</w:t>
      </w:r>
      <w:r w:rsidR="001B5CC2">
        <w:rPr>
          <w:rFonts w:cs="Arial"/>
          <w:iCs/>
        </w:rPr>
        <w:tab/>
        <w:t>Sections 60B and 60C</w:t>
      </w:r>
      <w:bookmarkEnd w:id="79"/>
    </w:p>
    <w:p w14:paraId="43992921" w14:textId="12CA6715" w:rsidR="00CB6DAE" w:rsidRDefault="006E2C73">
      <w:r>
        <w:t xml:space="preserve">This clause </w:t>
      </w:r>
      <w:r w:rsidR="00B36E2D">
        <w:t>substitutes new section 60BA for</w:t>
      </w:r>
      <w:r>
        <w:t xml:space="preserve"> sections 60B and 60C</w:t>
      </w:r>
      <w:r w:rsidR="00E22709">
        <w:t xml:space="preserve"> </w:t>
      </w:r>
      <w:r w:rsidR="00A11C96">
        <w:t>of the Working with Vulnerable People (Background Checking) Act.</w:t>
      </w:r>
    </w:p>
    <w:p w14:paraId="2029F41F" w14:textId="3751871F" w:rsidR="00FB24CB" w:rsidRDefault="007E4157" w:rsidP="00CB6DAE">
      <w:r>
        <w:t xml:space="preserve">Section 60B </w:t>
      </w:r>
      <w:r w:rsidR="00F15DA6">
        <w:t>extended</w:t>
      </w:r>
      <w:r w:rsidR="00FB24CB">
        <w:t xml:space="preserve"> expiring</w:t>
      </w:r>
      <w:r w:rsidR="006D0A72">
        <w:t xml:space="preserve"> </w:t>
      </w:r>
      <w:r w:rsidR="00E22709">
        <w:t>W</w:t>
      </w:r>
      <w:r w:rsidR="006D0A72">
        <w:t xml:space="preserve">orking with </w:t>
      </w:r>
      <w:r w:rsidR="00E22709">
        <w:t>V</w:t>
      </w:r>
      <w:r w:rsidR="006D0A72">
        <w:t xml:space="preserve">ulnerable </w:t>
      </w:r>
      <w:r w:rsidR="00E22709">
        <w:t>P</w:t>
      </w:r>
      <w:r w:rsidR="006D0A72">
        <w:t>eople (WWVP)</w:t>
      </w:r>
      <w:r w:rsidR="00FB24CB">
        <w:t xml:space="preserve"> registrations until six months after the day the COVID-19 emergency period ends. The new section 60BA replaces th</w:t>
      </w:r>
      <w:r w:rsidR="006E2C73">
        <w:t>e</w:t>
      </w:r>
      <w:r w:rsidR="00FB24CB">
        <w:t xml:space="preserve"> expiry </w:t>
      </w:r>
      <w:r w:rsidR="00A9586E">
        <w:t>arrangements</w:t>
      </w:r>
      <w:r w:rsidR="00FB24CB">
        <w:t xml:space="preserve"> </w:t>
      </w:r>
      <w:r w:rsidR="006D0A72">
        <w:t>applied by</w:t>
      </w:r>
      <w:r w:rsidR="006E2C73">
        <w:t xml:space="preserve"> section 60B </w:t>
      </w:r>
      <w:r w:rsidR="00DC2351">
        <w:t xml:space="preserve">with </w:t>
      </w:r>
      <w:r w:rsidR="00A9586E">
        <w:t>expiry</w:t>
      </w:r>
      <w:r w:rsidR="00DC2351">
        <w:t xml:space="preserve"> 12</w:t>
      </w:r>
      <w:r w:rsidR="00A9586E">
        <w:t xml:space="preserve"> </w:t>
      </w:r>
      <w:r w:rsidR="00DC2351">
        <w:t>month</w:t>
      </w:r>
      <w:r w:rsidR="00A9586E">
        <w:t>s</w:t>
      </w:r>
      <w:r w:rsidR="00DC2351">
        <w:t xml:space="preserve"> from the registration’s original </w:t>
      </w:r>
      <w:r w:rsidR="00FB24CB">
        <w:t>expiry date before it was extended by section 60B.</w:t>
      </w:r>
    </w:p>
    <w:p w14:paraId="15E3E384" w14:textId="61A63C9B" w:rsidR="00FB24CB" w:rsidRDefault="00F15DA6" w:rsidP="00CB6DAE">
      <w:r>
        <w:t xml:space="preserve">This extension </w:t>
      </w:r>
      <w:r w:rsidR="00E22709">
        <w:t xml:space="preserve">also applies to </w:t>
      </w:r>
      <w:r>
        <w:t xml:space="preserve">registrations that expired between </w:t>
      </w:r>
      <w:r w:rsidR="00FB24CB">
        <w:t xml:space="preserve">16 March 2020 and </w:t>
      </w:r>
      <w:r>
        <w:t>8 April 2020.</w:t>
      </w:r>
    </w:p>
    <w:p w14:paraId="5BFF6AA8" w14:textId="415DAA35" w:rsidR="00DC2351" w:rsidRPr="00CB6DAE" w:rsidRDefault="00930241" w:rsidP="00CB6DAE">
      <w:r>
        <w:t xml:space="preserve">This provision applies </w:t>
      </w:r>
      <w:r w:rsidR="00A11C96">
        <w:t>irrespective of whether there is a COVID-19 emergency in place for the duration of</w:t>
      </w:r>
      <w:r w:rsidR="00DC2351">
        <w:t xml:space="preserve"> the extended registration period.</w:t>
      </w:r>
      <w:r w:rsidR="006E2C73">
        <w:t xml:space="preserve"> </w:t>
      </w:r>
      <w:r w:rsidR="00DC2351">
        <w:t xml:space="preserve">This ensures that critical workers continue to hold relevant authorisations to work during a </w:t>
      </w:r>
      <w:r w:rsidR="006E2C73">
        <w:t>COVID-19</w:t>
      </w:r>
      <w:r w:rsidR="00DC2351">
        <w:t xml:space="preserve"> emergency and support</w:t>
      </w:r>
      <w:r w:rsidR="006E2C73">
        <w:t>s</w:t>
      </w:r>
      <w:r w:rsidR="00DC2351">
        <w:t xml:space="preserve"> an orderly transition to conventional registration arrangements.</w:t>
      </w:r>
    </w:p>
    <w:p w14:paraId="7CF4C03F" w14:textId="77777777" w:rsidR="0085069E" w:rsidRPr="00B62FFC" w:rsidRDefault="0085069E" w:rsidP="00B62FFC">
      <w:pPr>
        <w:autoSpaceDE w:val="0"/>
        <w:autoSpaceDN w:val="0"/>
        <w:adjustRightInd w:val="0"/>
        <w:spacing w:before="240" w:after="120"/>
        <w:rPr>
          <w:rFonts w:cs="Arial"/>
          <w:bCs/>
          <w:szCs w:val="24"/>
        </w:rPr>
      </w:pPr>
    </w:p>
    <w:sectPr w:rsidR="0085069E" w:rsidRPr="00B62FFC" w:rsidSect="00900735">
      <w:footerReference w:type="default" r:id="rId17"/>
      <w:footerReference w:type="first" r:id="rId18"/>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BFE78" w14:textId="77777777" w:rsidR="00F11C10" w:rsidRDefault="00F11C10" w:rsidP="00EB113E">
      <w:pPr>
        <w:spacing w:after="0" w:line="240" w:lineRule="auto"/>
      </w:pPr>
      <w:r>
        <w:separator/>
      </w:r>
    </w:p>
  </w:endnote>
  <w:endnote w:type="continuationSeparator" w:id="0">
    <w:p w14:paraId="5FE9D41F" w14:textId="77777777" w:rsidR="00F11C10" w:rsidRDefault="00F11C10"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A766" w14:textId="77777777" w:rsidR="00A42303" w:rsidRDefault="00A42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46D8" w14:textId="29F108EF" w:rsidR="00D1482A" w:rsidRPr="00C31AB2" w:rsidRDefault="00D1482A" w:rsidP="00C31AB2">
    <w:pPr>
      <w:pStyle w:val="Header"/>
      <w:jc w:val="center"/>
      <w:rPr>
        <w:rFonts w:cs="Arial"/>
        <w:b/>
        <w:color w:val="FF0000"/>
      </w:rPr>
    </w:pPr>
    <w:r>
      <w:rPr>
        <w:rFonts w:cs="Arial"/>
        <w:b/>
        <w:color w:val="FF0000"/>
      </w:rPr>
      <w:t>CABINET</w:t>
    </w:r>
  </w:p>
  <w:p w14:paraId="233B9F1E" w14:textId="16B1FA2F" w:rsidR="00D1482A" w:rsidRPr="00A42303" w:rsidRDefault="00A42303" w:rsidP="00A42303">
    <w:pPr>
      <w:pStyle w:val="Header"/>
      <w:jc w:val="center"/>
      <w:rPr>
        <w:rFonts w:cs="Arial"/>
        <w:b/>
        <w:color w:val="FF0000"/>
        <w:sz w:val="14"/>
      </w:rPr>
    </w:pPr>
    <w:r w:rsidRPr="00A42303">
      <w:rPr>
        <w:rFonts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9F84" w14:textId="1AE9CEDF" w:rsidR="003845F2" w:rsidRPr="00A42303" w:rsidRDefault="00A42303" w:rsidP="00A42303">
    <w:pPr>
      <w:pStyle w:val="Footer"/>
      <w:jc w:val="center"/>
      <w:rPr>
        <w:rFonts w:cs="Arial"/>
        <w:sz w:val="14"/>
        <w:szCs w:val="14"/>
      </w:rPr>
    </w:pPr>
    <w:r w:rsidRPr="00A42303">
      <w:rPr>
        <w:rFonts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1D785" w14:textId="77777777" w:rsidR="00D1482A" w:rsidRPr="00142947" w:rsidRDefault="00D1482A">
    <w:pPr>
      <w:pStyle w:val="Footer"/>
      <w:jc w:val="right"/>
      <w:rPr>
        <w:rFonts w:cs="Arial"/>
      </w:rPr>
    </w:pPr>
    <w:r w:rsidRPr="00142947">
      <w:rPr>
        <w:rFonts w:cs="Arial"/>
      </w:rPr>
      <w:fldChar w:fldCharType="begin"/>
    </w:r>
    <w:r w:rsidRPr="00142947">
      <w:rPr>
        <w:rFonts w:cs="Arial"/>
      </w:rPr>
      <w:instrText xml:space="preserve"> PAGE   \* MERGEFORMAT </w:instrText>
    </w:r>
    <w:r w:rsidRPr="00142947">
      <w:rPr>
        <w:rFonts w:cs="Arial"/>
      </w:rPr>
      <w:fldChar w:fldCharType="separate"/>
    </w:r>
    <w:r w:rsidRPr="00142947">
      <w:rPr>
        <w:rFonts w:cs="Arial"/>
        <w:noProof/>
      </w:rPr>
      <w:t>10</w:t>
    </w:r>
    <w:r w:rsidRPr="00142947">
      <w:rPr>
        <w:rFonts w:cs="Arial"/>
        <w:noProof/>
      </w:rPr>
      <w:fldChar w:fldCharType="end"/>
    </w:r>
  </w:p>
  <w:p w14:paraId="5235C39C" w14:textId="20383BB6" w:rsidR="00D1482A" w:rsidRPr="00A42303" w:rsidRDefault="00A42303" w:rsidP="00A42303">
    <w:pPr>
      <w:pStyle w:val="Header"/>
      <w:spacing w:after="120"/>
      <w:jc w:val="center"/>
      <w:rPr>
        <w:rFonts w:cs="Arial"/>
        <w:bCs/>
        <w:sz w:val="14"/>
        <w:szCs w:val="14"/>
      </w:rPr>
    </w:pPr>
    <w:r w:rsidRPr="00A42303">
      <w:rPr>
        <w:rFonts w:cs="Arial"/>
        <w:bCs/>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4B50" w14:textId="77777777" w:rsidR="00D1482A" w:rsidRPr="008D4BA9" w:rsidRDefault="00D1482A">
    <w:pPr>
      <w:pStyle w:val="Footer"/>
      <w:jc w:val="right"/>
      <w:rPr>
        <w:rFonts w:cs="Arial"/>
      </w:rPr>
    </w:pPr>
    <w:r w:rsidRPr="008D4BA9">
      <w:rPr>
        <w:rFonts w:cs="Arial"/>
      </w:rPr>
      <w:fldChar w:fldCharType="begin"/>
    </w:r>
    <w:r w:rsidRPr="008D4BA9">
      <w:rPr>
        <w:rFonts w:cs="Arial"/>
      </w:rPr>
      <w:instrText xml:space="preserve"> PAGE   \* MERGEFORMAT </w:instrText>
    </w:r>
    <w:r w:rsidRPr="008D4BA9">
      <w:rPr>
        <w:rFonts w:cs="Arial"/>
      </w:rPr>
      <w:fldChar w:fldCharType="separate"/>
    </w:r>
    <w:r w:rsidRPr="008D4BA9">
      <w:rPr>
        <w:rFonts w:cs="Arial"/>
        <w:noProof/>
      </w:rPr>
      <w:t>1</w:t>
    </w:r>
    <w:r w:rsidRPr="008D4BA9">
      <w:rPr>
        <w:rFonts w:cs="Arial"/>
        <w:noProof/>
      </w:rPr>
      <w:fldChar w:fldCharType="end"/>
    </w:r>
  </w:p>
  <w:p w14:paraId="382A0604" w14:textId="44D7A741" w:rsidR="00D1482A" w:rsidRPr="00A42303" w:rsidRDefault="00A42303" w:rsidP="00A42303">
    <w:pPr>
      <w:pStyle w:val="Header"/>
      <w:spacing w:after="120"/>
      <w:jc w:val="center"/>
      <w:rPr>
        <w:rFonts w:cs="Arial"/>
        <w:bCs/>
        <w:sz w:val="14"/>
        <w:szCs w:val="14"/>
      </w:rPr>
    </w:pPr>
    <w:r w:rsidRPr="00A42303">
      <w:rPr>
        <w:rFonts w:cs="Arial"/>
        <w:b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CEB47" w14:textId="77777777" w:rsidR="00F11C10" w:rsidRDefault="00F11C10" w:rsidP="00EB113E">
      <w:pPr>
        <w:spacing w:after="0" w:line="240" w:lineRule="auto"/>
      </w:pPr>
      <w:r>
        <w:separator/>
      </w:r>
    </w:p>
  </w:footnote>
  <w:footnote w:type="continuationSeparator" w:id="0">
    <w:p w14:paraId="1F1C038C" w14:textId="77777777" w:rsidR="00F11C10" w:rsidRDefault="00F11C10" w:rsidP="00EB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E5A8" w14:textId="77777777" w:rsidR="00A42303" w:rsidRDefault="00A42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E6EE" w14:textId="77777777" w:rsidR="00A42303" w:rsidRDefault="00A42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1FAE" w14:textId="77777777" w:rsidR="00D1482A" w:rsidRPr="003845F2" w:rsidRDefault="00D1482A" w:rsidP="00EE32FF">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902"/>
    <w:multiLevelType w:val="hybridMultilevel"/>
    <w:tmpl w:val="B09E31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C3CB8"/>
    <w:multiLevelType w:val="hybridMultilevel"/>
    <w:tmpl w:val="1CFA241E"/>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09CA39F1"/>
    <w:multiLevelType w:val="hybridMultilevel"/>
    <w:tmpl w:val="FF4CBF2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D203F"/>
    <w:multiLevelType w:val="hybridMultilevel"/>
    <w:tmpl w:val="550C33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4394A"/>
    <w:multiLevelType w:val="hybridMultilevel"/>
    <w:tmpl w:val="F39C3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CD1AC5"/>
    <w:multiLevelType w:val="hybridMultilevel"/>
    <w:tmpl w:val="87205548"/>
    <w:lvl w:ilvl="0" w:tplc="19B20CD8">
      <w:start w:val="1"/>
      <w:numFmt w:val="lowerLetter"/>
      <w:lvlText w:val="%1."/>
      <w:lvlJc w:val="left"/>
      <w:pPr>
        <w:ind w:left="720" w:hanging="360"/>
      </w:pPr>
      <w:rPr>
        <w:i w:val="0"/>
        <w:iCs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C83935"/>
    <w:multiLevelType w:val="hybridMultilevel"/>
    <w:tmpl w:val="DA00F32C"/>
    <w:lvl w:ilvl="0" w:tplc="0C090019">
      <w:start w:val="1"/>
      <w:numFmt w:val="lowerLetter"/>
      <w:lvlText w:val="%1."/>
      <w:lvlJc w:val="left"/>
      <w:pPr>
        <w:ind w:left="789" w:hanging="360"/>
      </w:pPr>
    </w:lvl>
    <w:lvl w:ilvl="1" w:tplc="0C090019" w:tentative="1">
      <w:start w:val="1"/>
      <w:numFmt w:val="lowerLetter"/>
      <w:lvlText w:val="%2."/>
      <w:lvlJc w:val="left"/>
      <w:pPr>
        <w:ind w:left="1509" w:hanging="360"/>
      </w:pPr>
    </w:lvl>
    <w:lvl w:ilvl="2" w:tplc="0C09001B" w:tentative="1">
      <w:start w:val="1"/>
      <w:numFmt w:val="lowerRoman"/>
      <w:lvlText w:val="%3."/>
      <w:lvlJc w:val="right"/>
      <w:pPr>
        <w:ind w:left="2229" w:hanging="180"/>
      </w:pPr>
    </w:lvl>
    <w:lvl w:ilvl="3" w:tplc="0C09000F" w:tentative="1">
      <w:start w:val="1"/>
      <w:numFmt w:val="decimal"/>
      <w:lvlText w:val="%4."/>
      <w:lvlJc w:val="left"/>
      <w:pPr>
        <w:ind w:left="2949" w:hanging="360"/>
      </w:pPr>
    </w:lvl>
    <w:lvl w:ilvl="4" w:tplc="0C090019" w:tentative="1">
      <w:start w:val="1"/>
      <w:numFmt w:val="lowerLetter"/>
      <w:lvlText w:val="%5."/>
      <w:lvlJc w:val="left"/>
      <w:pPr>
        <w:ind w:left="3669" w:hanging="360"/>
      </w:pPr>
    </w:lvl>
    <w:lvl w:ilvl="5" w:tplc="0C09001B" w:tentative="1">
      <w:start w:val="1"/>
      <w:numFmt w:val="lowerRoman"/>
      <w:lvlText w:val="%6."/>
      <w:lvlJc w:val="right"/>
      <w:pPr>
        <w:ind w:left="4389" w:hanging="180"/>
      </w:pPr>
    </w:lvl>
    <w:lvl w:ilvl="6" w:tplc="0C09000F" w:tentative="1">
      <w:start w:val="1"/>
      <w:numFmt w:val="decimal"/>
      <w:lvlText w:val="%7."/>
      <w:lvlJc w:val="left"/>
      <w:pPr>
        <w:ind w:left="5109" w:hanging="360"/>
      </w:pPr>
    </w:lvl>
    <w:lvl w:ilvl="7" w:tplc="0C090019" w:tentative="1">
      <w:start w:val="1"/>
      <w:numFmt w:val="lowerLetter"/>
      <w:lvlText w:val="%8."/>
      <w:lvlJc w:val="left"/>
      <w:pPr>
        <w:ind w:left="5829" w:hanging="360"/>
      </w:pPr>
    </w:lvl>
    <w:lvl w:ilvl="8" w:tplc="0C09001B" w:tentative="1">
      <w:start w:val="1"/>
      <w:numFmt w:val="lowerRoman"/>
      <w:lvlText w:val="%9."/>
      <w:lvlJc w:val="right"/>
      <w:pPr>
        <w:ind w:left="6549" w:hanging="180"/>
      </w:pPr>
    </w:lvl>
  </w:abstractNum>
  <w:abstractNum w:abstractNumId="8" w15:restartNumberingAfterBreak="0">
    <w:nsid w:val="259C116C"/>
    <w:multiLevelType w:val="hybridMultilevel"/>
    <w:tmpl w:val="2D4C20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850162"/>
    <w:multiLevelType w:val="hybridMultilevel"/>
    <w:tmpl w:val="58320A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A970D3"/>
    <w:multiLevelType w:val="hybridMultilevel"/>
    <w:tmpl w:val="4350CE06"/>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DA840F0"/>
    <w:multiLevelType w:val="hybridMultilevel"/>
    <w:tmpl w:val="DE4A58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8C7E38"/>
    <w:multiLevelType w:val="hybridMultilevel"/>
    <w:tmpl w:val="10FA88AE"/>
    <w:lvl w:ilvl="0" w:tplc="0C090019">
      <w:start w:val="1"/>
      <w:numFmt w:val="lowerLetter"/>
      <w:lvlText w:val="%1."/>
      <w:lvlJc w:val="left"/>
      <w:pPr>
        <w:ind w:left="790" w:hanging="360"/>
      </w:pPr>
    </w:lvl>
    <w:lvl w:ilvl="1" w:tplc="0C090019" w:tentative="1">
      <w:start w:val="1"/>
      <w:numFmt w:val="lowerLetter"/>
      <w:lvlText w:val="%2."/>
      <w:lvlJc w:val="left"/>
      <w:pPr>
        <w:ind w:left="1510" w:hanging="360"/>
      </w:pPr>
    </w:lvl>
    <w:lvl w:ilvl="2" w:tplc="0C09001B" w:tentative="1">
      <w:start w:val="1"/>
      <w:numFmt w:val="lowerRoman"/>
      <w:lvlText w:val="%3."/>
      <w:lvlJc w:val="right"/>
      <w:pPr>
        <w:ind w:left="2230" w:hanging="180"/>
      </w:pPr>
    </w:lvl>
    <w:lvl w:ilvl="3" w:tplc="0C09000F" w:tentative="1">
      <w:start w:val="1"/>
      <w:numFmt w:val="decimal"/>
      <w:lvlText w:val="%4."/>
      <w:lvlJc w:val="left"/>
      <w:pPr>
        <w:ind w:left="2950" w:hanging="360"/>
      </w:pPr>
    </w:lvl>
    <w:lvl w:ilvl="4" w:tplc="0C090019" w:tentative="1">
      <w:start w:val="1"/>
      <w:numFmt w:val="lowerLetter"/>
      <w:lvlText w:val="%5."/>
      <w:lvlJc w:val="left"/>
      <w:pPr>
        <w:ind w:left="3670" w:hanging="360"/>
      </w:pPr>
    </w:lvl>
    <w:lvl w:ilvl="5" w:tplc="0C09001B" w:tentative="1">
      <w:start w:val="1"/>
      <w:numFmt w:val="lowerRoman"/>
      <w:lvlText w:val="%6."/>
      <w:lvlJc w:val="right"/>
      <w:pPr>
        <w:ind w:left="4390" w:hanging="180"/>
      </w:pPr>
    </w:lvl>
    <w:lvl w:ilvl="6" w:tplc="0C09000F" w:tentative="1">
      <w:start w:val="1"/>
      <w:numFmt w:val="decimal"/>
      <w:lvlText w:val="%7."/>
      <w:lvlJc w:val="left"/>
      <w:pPr>
        <w:ind w:left="5110" w:hanging="360"/>
      </w:pPr>
    </w:lvl>
    <w:lvl w:ilvl="7" w:tplc="0C090019" w:tentative="1">
      <w:start w:val="1"/>
      <w:numFmt w:val="lowerLetter"/>
      <w:lvlText w:val="%8."/>
      <w:lvlJc w:val="left"/>
      <w:pPr>
        <w:ind w:left="5830" w:hanging="360"/>
      </w:pPr>
    </w:lvl>
    <w:lvl w:ilvl="8" w:tplc="0C09001B" w:tentative="1">
      <w:start w:val="1"/>
      <w:numFmt w:val="lowerRoman"/>
      <w:lvlText w:val="%9."/>
      <w:lvlJc w:val="right"/>
      <w:pPr>
        <w:ind w:left="6550" w:hanging="180"/>
      </w:pPr>
    </w:lvl>
  </w:abstractNum>
  <w:abstractNum w:abstractNumId="14" w15:restartNumberingAfterBreak="0">
    <w:nsid w:val="3CB94502"/>
    <w:multiLevelType w:val="hybridMultilevel"/>
    <w:tmpl w:val="9BDE1384"/>
    <w:lvl w:ilvl="0" w:tplc="1A0ED9F2">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D072C"/>
    <w:multiLevelType w:val="hybridMultilevel"/>
    <w:tmpl w:val="B4B6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A215A4"/>
    <w:multiLevelType w:val="hybridMultilevel"/>
    <w:tmpl w:val="05BAE8E8"/>
    <w:lvl w:ilvl="0" w:tplc="A1F479B0">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2A60C2"/>
    <w:multiLevelType w:val="hybridMultilevel"/>
    <w:tmpl w:val="5DF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B6E40"/>
    <w:multiLevelType w:val="hybridMultilevel"/>
    <w:tmpl w:val="26A4B486"/>
    <w:lvl w:ilvl="0" w:tplc="F9BC4E76">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F2694"/>
    <w:multiLevelType w:val="hybridMultilevel"/>
    <w:tmpl w:val="7F7AF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B5357"/>
    <w:multiLevelType w:val="hybridMultilevel"/>
    <w:tmpl w:val="E940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E85B8E"/>
    <w:multiLevelType w:val="hybridMultilevel"/>
    <w:tmpl w:val="3DC401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DE543E"/>
    <w:multiLevelType w:val="hybridMultilevel"/>
    <w:tmpl w:val="1FE84C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2A65BF"/>
    <w:multiLevelType w:val="hybridMultilevel"/>
    <w:tmpl w:val="3AEAB4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4F584D"/>
    <w:multiLevelType w:val="hybridMultilevel"/>
    <w:tmpl w:val="19D08928"/>
    <w:lvl w:ilvl="0" w:tplc="5B0AEA60">
      <w:start w:val="1"/>
      <w:numFmt w:val="decimal"/>
      <w:lvlText w:val="%1."/>
      <w:lvlJc w:val="left"/>
      <w:pPr>
        <w:ind w:left="1800" w:hanging="360"/>
      </w:pPr>
      <w:rPr>
        <w:rFonts w:ascii="Arial" w:eastAsia="Calibri" w:hAnsi="Arial"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CA34D8D"/>
    <w:multiLevelType w:val="hybridMultilevel"/>
    <w:tmpl w:val="26061E50"/>
    <w:lvl w:ilvl="0" w:tplc="6442D166">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D36E7C"/>
    <w:multiLevelType w:val="hybridMultilevel"/>
    <w:tmpl w:val="9064CA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6010B1"/>
    <w:multiLevelType w:val="hybridMultilevel"/>
    <w:tmpl w:val="006200D4"/>
    <w:lvl w:ilvl="0" w:tplc="0C090019">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E891329"/>
    <w:multiLevelType w:val="hybridMultilevel"/>
    <w:tmpl w:val="26A4B486"/>
    <w:lvl w:ilvl="0" w:tplc="F9BC4E76">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2A4181"/>
    <w:multiLevelType w:val="hybridMultilevel"/>
    <w:tmpl w:val="7F1AA22E"/>
    <w:lvl w:ilvl="0" w:tplc="498CECB0">
      <w:start w:val="1"/>
      <w:numFmt w:val="lowerLetter"/>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5"/>
  </w:num>
  <w:num w:numId="6">
    <w:abstractNumId w:val="0"/>
  </w:num>
  <w:num w:numId="7">
    <w:abstractNumId w:val="13"/>
  </w:num>
  <w:num w:numId="8">
    <w:abstractNumId w:val="14"/>
  </w:num>
  <w:num w:numId="9">
    <w:abstractNumId w:val="8"/>
  </w:num>
  <w:num w:numId="10">
    <w:abstractNumId w:val="29"/>
  </w:num>
  <w:num w:numId="11">
    <w:abstractNumId w:val="3"/>
  </w:num>
  <w:num w:numId="12">
    <w:abstractNumId w:val="28"/>
  </w:num>
  <w:num w:numId="13">
    <w:abstractNumId w:val="7"/>
  </w:num>
  <w:num w:numId="14">
    <w:abstractNumId w:val="27"/>
  </w:num>
  <w:num w:numId="15">
    <w:abstractNumId w:val="18"/>
  </w:num>
  <w:num w:numId="16">
    <w:abstractNumId w:val="1"/>
  </w:num>
  <w:num w:numId="17">
    <w:abstractNumId w:val="12"/>
  </w:num>
  <w:num w:numId="18">
    <w:abstractNumId w:val="22"/>
  </w:num>
  <w:num w:numId="19">
    <w:abstractNumId w:val="2"/>
  </w:num>
  <w:num w:numId="20">
    <w:abstractNumId w:val="23"/>
  </w:num>
  <w:num w:numId="21">
    <w:abstractNumId w:val="9"/>
  </w:num>
  <w:num w:numId="22">
    <w:abstractNumId w:val="26"/>
  </w:num>
  <w:num w:numId="23">
    <w:abstractNumId w:val="21"/>
  </w:num>
  <w:num w:numId="24">
    <w:abstractNumId w:val="20"/>
  </w:num>
  <w:num w:numId="25">
    <w:abstractNumId w:val="17"/>
  </w:num>
  <w:num w:numId="26">
    <w:abstractNumId w:val="4"/>
  </w:num>
  <w:num w:numId="27">
    <w:abstractNumId w:val="24"/>
  </w:num>
  <w:num w:numId="28">
    <w:abstractNumId w:val="15"/>
  </w:num>
  <w:num w:numId="29">
    <w:abstractNumId w:val="19"/>
  </w:num>
  <w:num w:numId="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644E5C-5683-4B18-8000-64D5B663C424}"/>
    <w:docVar w:name="dgnword-eventsink" w:val="439621480"/>
  </w:docVars>
  <w:rsids>
    <w:rsidRoot w:val="0030585F"/>
    <w:rsid w:val="000015A3"/>
    <w:rsid w:val="00003A60"/>
    <w:rsid w:val="00004C31"/>
    <w:rsid w:val="00004C8C"/>
    <w:rsid w:val="00006786"/>
    <w:rsid w:val="00006C49"/>
    <w:rsid w:val="000071C7"/>
    <w:rsid w:val="00007206"/>
    <w:rsid w:val="000101D9"/>
    <w:rsid w:val="000115BF"/>
    <w:rsid w:val="0001228A"/>
    <w:rsid w:val="00012BB3"/>
    <w:rsid w:val="00012D1B"/>
    <w:rsid w:val="00014D20"/>
    <w:rsid w:val="00015C96"/>
    <w:rsid w:val="00016896"/>
    <w:rsid w:val="000169D0"/>
    <w:rsid w:val="00016D42"/>
    <w:rsid w:val="00020890"/>
    <w:rsid w:val="00020FDB"/>
    <w:rsid w:val="0002112A"/>
    <w:rsid w:val="000215C2"/>
    <w:rsid w:val="0002225E"/>
    <w:rsid w:val="00023F7F"/>
    <w:rsid w:val="00024229"/>
    <w:rsid w:val="000263D1"/>
    <w:rsid w:val="00026423"/>
    <w:rsid w:val="00026A03"/>
    <w:rsid w:val="00031D9F"/>
    <w:rsid w:val="00033D6B"/>
    <w:rsid w:val="000348B1"/>
    <w:rsid w:val="00036F0C"/>
    <w:rsid w:val="00037F43"/>
    <w:rsid w:val="000402AF"/>
    <w:rsid w:val="000428AD"/>
    <w:rsid w:val="00042B0B"/>
    <w:rsid w:val="0004344D"/>
    <w:rsid w:val="00043790"/>
    <w:rsid w:val="00044FFD"/>
    <w:rsid w:val="00046749"/>
    <w:rsid w:val="00046A4A"/>
    <w:rsid w:val="00046F4A"/>
    <w:rsid w:val="00047523"/>
    <w:rsid w:val="000475F2"/>
    <w:rsid w:val="00047E5D"/>
    <w:rsid w:val="00052380"/>
    <w:rsid w:val="0005298F"/>
    <w:rsid w:val="00053623"/>
    <w:rsid w:val="00053C27"/>
    <w:rsid w:val="00053D52"/>
    <w:rsid w:val="00054020"/>
    <w:rsid w:val="00054118"/>
    <w:rsid w:val="000545CF"/>
    <w:rsid w:val="000545DF"/>
    <w:rsid w:val="000554A2"/>
    <w:rsid w:val="000559E0"/>
    <w:rsid w:val="00055EB6"/>
    <w:rsid w:val="0005733C"/>
    <w:rsid w:val="00057859"/>
    <w:rsid w:val="00060993"/>
    <w:rsid w:val="00060D3E"/>
    <w:rsid w:val="00061410"/>
    <w:rsid w:val="000625C1"/>
    <w:rsid w:val="00063349"/>
    <w:rsid w:val="00063E3F"/>
    <w:rsid w:val="00065917"/>
    <w:rsid w:val="00066A1B"/>
    <w:rsid w:val="00066D0C"/>
    <w:rsid w:val="000673A5"/>
    <w:rsid w:val="00070620"/>
    <w:rsid w:val="00070EC3"/>
    <w:rsid w:val="00070FBA"/>
    <w:rsid w:val="00071610"/>
    <w:rsid w:val="00072520"/>
    <w:rsid w:val="000748A0"/>
    <w:rsid w:val="00077560"/>
    <w:rsid w:val="0008299A"/>
    <w:rsid w:val="00084592"/>
    <w:rsid w:val="00085977"/>
    <w:rsid w:val="000859BC"/>
    <w:rsid w:val="00086CEF"/>
    <w:rsid w:val="000900EC"/>
    <w:rsid w:val="00090B56"/>
    <w:rsid w:val="00092EE3"/>
    <w:rsid w:val="0009319D"/>
    <w:rsid w:val="000934FE"/>
    <w:rsid w:val="00093829"/>
    <w:rsid w:val="00093EE9"/>
    <w:rsid w:val="000940BC"/>
    <w:rsid w:val="00094C82"/>
    <w:rsid w:val="00095BAA"/>
    <w:rsid w:val="000974D5"/>
    <w:rsid w:val="000A29DE"/>
    <w:rsid w:val="000A2E19"/>
    <w:rsid w:val="000A41D2"/>
    <w:rsid w:val="000A5481"/>
    <w:rsid w:val="000A55CA"/>
    <w:rsid w:val="000A5922"/>
    <w:rsid w:val="000A6C52"/>
    <w:rsid w:val="000B086A"/>
    <w:rsid w:val="000B0A4C"/>
    <w:rsid w:val="000B0E45"/>
    <w:rsid w:val="000B0E83"/>
    <w:rsid w:val="000B119B"/>
    <w:rsid w:val="000B13EA"/>
    <w:rsid w:val="000B2F77"/>
    <w:rsid w:val="000B30D8"/>
    <w:rsid w:val="000B4650"/>
    <w:rsid w:val="000B4844"/>
    <w:rsid w:val="000B5559"/>
    <w:rsid w:val="000B68D6"/>
    <w:rsid w:val="000B7B68"/>
    <w:rsid w:val="000C05FA"/>
    <w:rsid w:val="000C08B4"/>
    <w:rsid w:val="000C09AA"/>
    <w:rsid w:val="000C4A95"/>
    <w:rsid w:val="000C52D8"/>
    <w:rsid w:val="000C5792"/>
    <w:rsid w:val="000C6B65"/>
    <w:rsid w:val="000C6CDD"/>
    <w:rsid w:val="000C6E4A"/>
    <w:rsid w:val="000C757E"/>
    <w:rsid w:val="000D00D3"/>
    <w:rsid w:val="000D08EB"/>
    <w:rsid w:val="000D0DF0"/>
    <w:rsid w:val="000D1672"/>
    <w:rsid w:val="000D3492"/>
    <w:rsid w:val="000D371D"/>
    <w:rsid w:val="000D49AD"/>
    <w:rsid w:val="000D4E86"/>
    <w:rsid w:val="000E093A"/>
    <w:rsid w:val="000E0D63"/>
    <w:rsid w:val="000E122F"/>
    <w:rsid w:val="000E12AB"/>
    <w:rsid w:val="000E12ED"/>
    <w:rsid w:val="000E1760"/>
    <w:rsid w:val="000E30D2"/>
    <w:rsid w:val="000E3C9D"/>
    <w:rsid w:val="000E4C04"/>
    <w:rsid w:val="000E5E6A"/>
    <w:rsid w:val="000E6C5B"/>
    <w:rsid w:val="000E6DAB"/>
    <w:rsid w:val="000E7048"/>
    <w:rsid w:val="000E775D"/>
    <w:rsid w:val="000E7B1E"/>
    <w:rsid w:val="000F0040"/>
    <w:rsid w:val="000F114D"/>
    <w:rsid w:val="000F1E5A"/>
    <w:rsid w:val="000F309C"/>
    <w:rsid w:val="000F3F2A"/>
    <w:rsid w:val="000F4CA8"/>
    <w:rsid w:val="000F58CA"/>
    <w:rsid w:val="000F62B9"/>
    <w:rsid w:val="000F6988"/>
    <w:rsid w:val="000F6CC6"/>
    <w:rsid w:val="0010019C"/>
    <w:rsid w:val="001013C2"/>
    <w:rsid w:val="00101D81"/>
    <w:rsid w:val="00101E1D"/>
    <w:rsid w:val="00102162"/>
    <w:rsid w:val="00103DA7"/>
    <w:rsid w:val="00106D9D"/>
    <w:rsid w:val="001079CC"/>
    <w:rsid w:val="00110D9A"/>
    <w:rsid w:val="001129D2"/>
    <w:rsid w:val="0011351A"/>
    <w:rsid w:val="00113AC7"/>
    <w:rsid w:val="00113D31"/>
    <w:rsid w:val="00113EE6"/>
    <w:rsid w:val="0011578D"/>
    <w:rsid w:val="001161FE"/>
    <w:rsid w:val="00116CB0"/>
    <w:rsid w:val="00116F01"/>
    <w:rsid w:val="001202A7"/>
    <w:rsid w:val="00121C72"/>
    <w:rsid w:val="0012423D"/>
    <w:rsid w:val="00124DFA"/>
    <w:rsid w:val="00125DC8"/>
    <w:rsid w:val="00125EC6"/>
    <w:rsid w:val="0012660F"/>
    <w:rsid w:val="0012669A"/>
    <w:rsid w:val="001267AE"/>
    <w:rsid w:val="00126C7A"/>
    <w:rsid w:val="00126FD0"/>
    <w:rsid w:val="0012705D"/>
    <w:rsid w:val="00131012"/>
    <w:rsid w:val="0013475A"/>
    <w:rsid w:val="001354DC"/>
    <w:rsid w:val="00135F51"/>
    <w:rsid w:val="001364FE"/>
    <w:rsid w:val="0013726E"/>
    <w:rsid w:val="00137350"/>
    <w:rsid w:val="00137A6F"/>
    <w:rsid w:val="00141ACF"/>
    <w:rsid w:val="001426A5"/>
    <w:rsid w:val="00142947"/>
    <w:rsid w:val="00143817"/>
    <w:rsid w:val="00143847"/>
    <w:rsid w:val="00143B3D"/>
    <w:rsid w:val="00144365"/>
    <w:rsid w:val="0014451E"/>
    <w:rsid w:val="0014533D"/>
    <w:rsid w:val="00145D38"/>
    <w:rsid w:val="00145DCF"/>
    <w:rsid w:val="00147104"/>
    <w:rsid w:val="00152666"/>
    <w:rsid w:val="00152EE0"/>
    <w:rsid w:val="00153811"/>
    <w:rsid w:val="00153B5B"/>
    <w:rsid w:val="00153DFB"/>
    <w:rsid w:val="00153F80"/>
    <w:rsid w:val="00154118"/>
    <w:rsid w:val="00154351"/>
    <w:rsid w:val="00154679"/>
    <w:rsid w:val="00155920"/>
    <w:rsid w:val="00155A60"/>
    <w:rsid w:val="00155F92"/>
    <w:rsid w:val="001568E1"/>
    <w:rsid w:val="00156D10"/>
    <w:rsid w:val="001577C3"/>
    <w:rsid w:val="00160863"/>
    <w:rsid w:val="001609A7"/>
    <w:rsid w:val="001609D9"/>
    <w:rsid w:val="00160A62"/>
    <w:rsid w:val="00160B72"/>
    <w:rsid w:val="00161403"/>
    <w:rsid w:val="00161598"/>
    <w:rsid w:val="00161E92"/>
    <w:rsid w:val="0016244C"/>
    <w:rsid w:val="001627AD"/>
    <w:rsid w:val="00162893"/>
    <w:rsid w:val="001630E1"/>
    <w:rsid w:val="00164C81"/>
    <w:rsid w:val="00164DE0"/>
    <w:rsid w:val="00165B49"/>
    <w:rsid w:val="0016655C"/>
    <w:rsid w:val="00166B2A"/>
    <w:rsid w:val="00167163"/>
    <w:rsid w:val="001676E0"/>
    <w:rsid w:val="00167A83"/>
    <w:rsid w:val="00167B13"/>
    <w:rsid w:val="00171094"/>
    <w:rsid w:val="00171139"/>
    <w:rsid w:val="0017128C"/>
    <w:rsid w:val="001735A4"/>
    <w:rsid w:val="001752F7"/>
    <w:rsid w:val="0017781D"/>
    <w:rsid w:val="00177F7F"/>
    <w:rsid w:val="00180946"/>
    <w:rsid w:val="00181256"/>
    <w:rsid w:val="00183148"/>
    <w:rsid w:val="001832AE"/>
    <w:rsid w:val="00183CAA"/>
    <w:rsid w:val="00184158"/>
    <w:rsid w:val="00184576"/>
    <w:rsid w:val="00184F0A"/>
    <w:rsid w:val="0018628F"/>
    <w:rsid w:val="001863BC"/>
    <w:rsid w:val="00187E75"/>
    <w:rsid w:val="00190DDE"/>
    <w:rsid w:val="00191C3D"/>
    <w:rsid w:val="00192B65"/>
    <w:rsid w:val="00195933"/>
    <w:rsid w:val="001A0C22"/>
    <w:rsid w:val="001A1F22"/>
    <w:rsid w:val="001A320D"/>
    <w:rsid w:val="001A3A2E"/>
    <w:rsid w:val="001A42B5"/>
    <w:rsid w:val="001A48F2"/>
    <w:rsid w:val="001A58AC"/>
    <w:rsid w:val="001A64D0"/>
    <w:rsid w:val="001A78FE"/>
    <w:rsid w:val="001B05B6"/>
    <w:rsid w:val="001B1AA2"/>
    <w:rsid w:val="001B2975"/>
    <w:rsid w:val="001B30CE"/>
    <w:rsid w:val="001B5CC2"/>
    <w:rsid w:val="001B5F7A"/>
    <w:rsid w:val="001B64EB"/>
    <w:rsid w:val="001B7E69"/>
    <w:rsid w:val="001C09B0"/>
    <w:rsid w:val="001C1650"/>
    <w:rsid w:val="001C22AE"/>
    <w:rsid w:val="001C2523"/>
    <w:rsid w:val="001C2DED"/>
    <w:rsid w:val="001C2F7A"/>
    <w:rsid w:val="001C4091"/>
    <w:rsid w:val="001C4604"/>
    <w:rsid w:val="001C4FAF"/>
    <w:rsid w:val="001C513B"/>
    <w:rsid w:val="001C5B4D"/>
    <w:rsid w:val="001D0F44"/>
    <w:rsid w:val="001D28FD"/>
    <w:rsid w:val="001D2CF9"/>
    <w:rsid w:val="001D38A9"/>
    <w:rsid w:val="001D485C"/>
    <w:rsid w:val="001D48C1"/>
    <w:rsid w:val="001D4EC1"/>
    <w:rsid w:val="001D519A"/>
    <w:rsid w:val="001E0F79"/>
    <w:rsid w:val="001E13ED"/>
    <w:rsid w:val="001E1AC6"/>
    <w:rsid w:val="001E2B1C"/>
    <w:rsid w:val="001E2E89"/>
    <w:rsid w:val="001E3654"/>
    <w:rsid w:val="001E4A19"/>
    <w:rsid w:val="001E4C81"/>
    <w:rsid w:val="001E4E37"/>
    <w:rsid w:val="001E66FB"/>
    <w:rsid w:val="001E6E4E"/>
    <w:rsid w:val="001F00A7"/>
    <w:rsid w:val="001F126B"/>
    <w:rsid w:val="001F26DB"/>
    <w:rsid w:val="001F3A3A"/>
    <w:rsid w:val="001F4E9D"/>
    <w:rsid w:val="001F717F"/>
    <w:rsid w:val="001F7F5F"/>
    <w:rsid w:val="00200955"/>
    <w:rsid w:val="0020136C"/>
    <w:rsid w:val="00201AD8"/>
    <w:rsid w:val="00202D8A"/>
    <w:rsid w:val="0020440A"/>
    <w:rsid w:val="0020540B"/>
    <w:rsid w:val="002070A2"/>
    <w:rsid w:val="00207295"/>
    <w:rsid w:val="002072F0"/>
    <w:rsid w:val="00210A29"/>
    <w:rsid w:val="0021141A"/>
    <w:rsid w:val="0021195A"/>
    <w:rsid w:val="002125F4"/>
    <w:rsid w:val="00212694"/>
    <w:rsid w:val="00212C60"/>
    <w:rsid w:val="002139DC"/>
    <w:rsid w:val="002147C8"/>
    <w:rsid w:val="00214A59"/>
    <w:rsid w:val="00214C5C"/>
    <w:rsid w:val="00214EAF"/>
    <w:rsid w:val="002158D5"/>
    <w:rsid w:val="00216C37"/>
    <w:rsid w:val="00216E30"/>
    <w:rsid w:val="00217DAB"/>
    <w:rsid w:val="00220344"/>
    <w:rsid w:val="00220389"/>
    <w:rsid w:val="0022073A"/>
    <w:rsid w:val="00220D3A"/>
    <w:rsid w:val="00222001"/>
    <w:rsid w:val="00224D0D"/>
    <w:rsid w:val="00224D92"/>
    <w:rsid w:val="0022542A"/>
    <w:rsid w:val="0022554F"/>
    <w:rsid w:val="00225663"/>
    <w:rsid w:val="00225D75"/>
    <w:rsid w:val="00226A09"/>
    <w:rsid w:val="00226D05"/>
    <w:rsid w:val="0022766D"/>
    <w:rsid w:val="00230853"/>
    <w:rsid w:val="002329B7"/>
    <w:rsid w:val="002329EA"/>
    <w:rsid w:val="00233B29"/>
    <w:rsid w:val="00234132"/>
    <w:rsid w:val="00234D19"/>
    <w:rsid w:val="002352DF"/>
    <w:rsid w:val="00235544"/>
    <w:rsid w:val="002361E0"/>
    <w:rsid w:val="002415F0"/>
    <w:rsid w:val="002418BB"/>
    <w:rsid w:val="00242605"/>
    <w:rsid w:val="00245894"/>
    <w:rsid w:val="0024673E"/>
    <w:rsid w:val="002469E9"/>
    <w:rsid w:val="00246D45"/>
    <w:rsid w:val="00247918"/>
    <w:rsid w:val="00247DE7"/>
    <w:rsid w:val="00254067"/>
    <w:rsid w:val="002542E5"/>
    <w:rsid w:val="00254797"/>
    <w:rsid w:val="002547BE"/>
    <w:rsid w:val="00254E3E"/>
    <w:rsid w:val="002555AB"/>
    <w:rsid w:val="00255D30"/>
    <w:rsid w:val="00256E81"/>
    <w:rsid w:val="00257029"/>
    <w:rsid w:val="00257197"/>
    <w:rsid w:val="00257A47"/>
    <w:rsid w:val="00260001"/>
    <w:rsid w:val="00263CB4"/>
    <w:rsid w:val="00263FCF"/>
    <w:rsid w:val="002641CC"/>
    <w:rsid w:val="00265966"/>
    <w:rsid w:val="002671A4"/>
    <w:rsid w:val="00270107"/>
    <w:rsid w:val="0027025A"/>
    <w:rsid w:val="002706DD"/>
    <w:rsid w:val="00270AE0"/>
    <w:rsid w:val="00270B08"/>
    <w:rsid w:val="00271FB4"/>
    <w:rsid w:val="00272CC8"/>
    <w:rsid w:val="00273BE9"/>
    <w:rsid w:val="002740B8"/>
    <w:rsid w:val="0027508D"/>
    <w:rsid w:val="00276F77"/>
    <w:rsid w:val="00277539"/>
    <w:rsid w:val="00277A4C"/>
    <w:rsid w:val="0028119A"/>
    <w:rsid w:val="00281925"/>
    <w:rsid w:val="00281EB6"/>
    <w:rsid w:val="002838D0"/>
    <w:rsid w:val="002840F2"/>
    <w:rsid w:val="00284155"/>
    <w:rsid w:val="00284AE1"/>
    <w:rsid w:val="00284F9D"/>
    <w:rsid w:val="002871A8"/>
    <w:rsid w:val="00287F1A"/>
    <w:rsid w:val="00291CE9"/>
    <w:rsid w:val="002923D5"/>
    <w:rsid w:val="00293A21"/>
    <w:rsid w:val="00293CBB"/>
    <w:rsid w:val="00294123"/>
    <w:rsid w:val="00294F20"/>
    <w:rsid w:val="00295A55"/>
    <w:rsid w:val="00295CB1"/>
    <w:rsid w:val="00295EA3"/>
    <w:rsid w:val="002963D7"/>
    <w:rsid w:val="00296583"/>
    <w:rsid w:val="00296609"/>
    <w:rsid w:val="00296D06"/>
    <w:rsid w:val="00297A8F"/>
    <w:rsid w:val="00297D32"/>
    <w:rsid w:val="002A1D2E"/>
    <w:rsid w:val="002A1D6E"/>
    <w:rsid w:val="002A20A5"/>
    <w:rsid w:val="002A3308"/>
    <w:rsid w:val="002A69FB"/>
    <w:rsid w:val="002B0C42"/>
    <w:rsid w:val="002B21EE"/>
    <w:rsid w:val="002B282C"/>
    <w:rsid w:val="002B423A"/>
    <w:rsid w:val="002B4C8D"/>
    <w:rsid w:val="002B545A"/>
    <w:rsid w:val="002B62B2"/>
    <w:rsid w:val="002B69FC"/>
    <w:rsid w:val="002B7E39"/>
    <w:rsid w:val="002C26F0"/>
    <w:rsid w:val="002C3109"/>
    <w:rsid w:val="002C3DA5"/>
    <w:rsid w:val="002C474E"/>
    <w:rsid w:val="002C4DB6"/>
    <w:rsid w:val="002C667E"/>
    <w:rsid w:val="002C6A06"/>
    <w:rsid w:val="002C6D29"/>
    <w:rsid w:val="002C6FF8"/>
    <w:rsid w:val="002C72FA"/>
    <w:rsid w:val="002C7864"/>
    <w:rsid w:val="002D0602"/>
    <w:rsid w:val="002D0BD8"/>
    <w:rsid w:val="002D2283"/>
    <w:rsid w:val="002D4736"/>
    <w:rsid w:val="002D491A"/>
    <w:rsid w:val="002D5E29"/>
    <w:rsid w:val="002D7EC5"/>
    <w:rsid w:val="002E088B"/>
    <w:rsid w:val="002E1092"/>
    <w:rsid w:val="002E1B08"/>
    <w:rsid w:val="002E1B66"/>
    <w:rsid w:val="002E2A34"/>
    <w:rsid w:val="002E37B4"/>
    <w:rsid w:val="002E3985"/>
    <w:rsid w:val="002E55B5"/>
    <w:rsid w:val="002E58BA"/>
    <w:rsid w:val="002E59F4"/>
    <w:rsid w:val="002E5B19"/>
    <w:rsid w:val="002E67C3"/>
    <w:rsid w:val="002E6959"/>
    <w:rsid w:val="002F0FD2"/>
    <w:rsid w:val="002F18B6"/>
    <w:rsid w:val="002F1918"/>
    <w:rsid w:val="002F2784"/>
    <w:rsid w:val="002F437B"/>
    <w:rsid w:val="002F44CB"/>
    <w:rsid w:val="002F44DD"/>
    <w:rsid w:val="002F4F19"/>
    <w:rsid w:val="002F52CA"/>
    <w:rsid w:val="002F5D29"/>
    <w:rsid w:val="002F6EE5"/>
    <w:rsid w:val="002F72D7"/>
    <w:rsid w:val="002F781D"/>
    <w:rsid w:val="00300F62"/>
    <w:rsid w:val="003010CA"/>
    <w:rsid w:val="003015DE"/>
    <w:rsid w:val="00301709"/>
    <w:rsid w:val="0030200A"/>
    <w:rsid w:val="003020AD"/>
    <w:rsid w:val="003032E2"/>
    <w:rsid w:val="0030391C"/>
    <w:rsid w:val="00303AE8"/>
    <w:rsid w:val="00303C2E"/>
    <w:rsid w:val="0030406F"/>
    <w:rsid w:val="00304E98"/>
    <w:rsid w:val="003050B5"/>
    <w:rsid w:val="0030517A"/>
    <w:rsid w:val="0030573B"/>
    <w:rsid w:val="0030585F"/>
    <w:rsid w:val="00306462"/>
    <w:rsid w:val="00310308"/>
    <w:rsid w:val="003113D7"/>
    <w:rsid w:val="00311615"/>
    <w:rsid w:val="00311C13"/>
    <w:rsid w:val="00312E59"/>
    <w:rsid w:val="00313143"/>
    <w:rsid w:val="00313641"/>
    <w:rsid w:val="0031384F"/>
    <w:rsid w:val="003153CA"/>
    <w:rsid w:val="0031576A"/>
    <w:rsid w:val="00315ACA"/>
    <w:rsid w:val="0031614E"/>
    <w:rsid w:val="003168DF"/>
    <w:rsid w:val="003169F8"/>
    <w:rsid w:val="003172F1"/>
    <w:rsid w:val="00317DD7"/>
    <w:rsid w:val="00320645"/>
    <w:rsid w:val="00322584"/>
    <w:rsid w:val="003240C5"/>
    <w:rsid w:val="00324782"/>
    <w:rsid w:val="003247F7"/>
    <w:rsid w:val="00326167"/>
    <w:rsid w:val="003264D5"/>
    <w:rsid w:val="003270F6"/>
    <w:rsid w:val="00327BD8"/>
    <w:rsid w:val="0033050E"/>
    <w:rsid w:val="00330DC5"/>
    <w:rsid w:val="00332356"/>
    <w:rsid w:val="00333334"/>
    <w:rsid w:val="00333AB2"/>
    <w:rsid w:val="00333E5D"/>
    <w:rsid w:val="00334CCE"/>
    <w:rsid w:val="0033633C"/>
    <w:rsid w:val="0033669B"/>
    <w:rsid w:val="00336AAF"/>
    <w:rsid w:val="00336D25"/>
    <w:rsid w:val="0033794F"/>
    <w:rsid w:val="00337F26"/>
    <w:rsid w:val="00342FB5"/>
    <w:rsid w:val="00343A7F"/>
    <w:rsid w:val="00344F6D"/>
    <w:rsid w:val="003462CD"/>
    <w:rsid w:val="003473E6"/>
    <w:rsid w:val="003518CA"/>
    <w:rsid w:val="00351F41"/>
    <w:rsid w:val="0035254E"/>
    <w:rsid w:val="00352BB6"/>
    <w:rsid w:val="003530AF"/>
    <w:rsid w:val="00353230"/>
    <w:rsid w:val="00353EDE"/>
    <w:rsid w:val="00354214"/>
    <w:rsid w:val="003547B8"/>
    <w:rsid w:val="00354E28"/>
    <w:rsid w:val="00355257"/>
    <w:rsid w:val="00360CFB"/>
    <w:rsid w:val="0036103F"/>
    <w:rsid w:val="00361639"/>
    <w:rsid w:val="00362376"/>
    <w:rsid w:val="0036321F"/>
    <w:rsid w:val="003656A8"/>
    <w:rsid w:val="00366367"/>
    <w:rsid w:val="00366F37"/>
    <w:rsid w:val="00367472"/>
    <w:rsid w:val="0037046B"/>
    <w:rsid w:val="003706AB"/>
    <w:rsid w:val="0037077E"/>
    <w:rsid w:val="00371ACC"/>
    <w:rsid w:val="003725DD"/>
    <w:rsid w:val="00372E7D"/>
    <w:rsid w:val="00373DC4"/>
    <w:rsid w:val="00373F54"/>
    <w:rsid w:val="0037435E"/>
    <w:rsid w:val="003748D2"/>
    <w:rsid w:val="00374F71"/>
    <w:rsid w:val="003762BA"/>
    <w:rsid w:val="0037653A"/>
    <w:rsid w:val="003770C0"/>
    <w:rsid w:val="003779D6"/>
    <w:rsid w:val="00380C89"/>
    <w:rsid w:val="003818A5"/>
    <w:rsid w:val="00381A2E"/>
    <w:rsid w:val="00382806"/>
    <w:rsid w:val="003843D2"/>
    <w:rsid w:val="003845F2"/>
    <w:rsid w:val="00384B35"/>
    <w:rsid w:val="00384DCD"/>
    <w:rsid w:val="00384FF5"/>
    <w:rsid w:val="00385F08"/>
    <w:rsid w:val="003868C8"/>
    <w:rsid w:val="00386B8D"/>
    <w:rsid w:val="003876EE"/>
    <w:rsid w:val="003936D9"/>
    <w:rsid w:val="00393C03"/>
    <w:rsid w:val="00394659"/>
    <w:rsid w:val="00395BE9"/>
    <w:rsid w:val="00396F6F"/>
    <w:rsid w:val="003972FD"/>
    <w:rsid w:val="00397994"/>
    <w:rsid w:val="003A2779"/>
    <w:rsid w:val="003A35F7"/>
    <w:rsid w:val="003A3638"/>
    <w:rsid w:val="003A3BDA"/>
    <w:rsid w:val="003A4EC1"/>
    <w:rsid w:val="003A5041"/>
    <w:rsid w:val="003A5DF4"/>
    <w:rsid w:val="003A5EB6"/>
    <w:rsid w:val="003A6293"/>
    <w:rsid w:val="003A6387"/>
    <w:rsid w:val="003A74C3"/>
    <w:rsid w:val="003A774C"/>
    <w:rsid w:val="003A7C2F"/>
    <w:rsid w:val="003B216E"/>
    <w:rsid w:val="003B2297"/>
    <w:rsid w:val="003B2BFF"/>
    <w:rsid w:val="003B2C57"/>
    <w:rsid w:val="003B459A"/>
    <w:rsid w:val="003B56A8"/>
    <w:rsid w:val="003B6472"/>
    <w:rsid w:val="003C10DE"/>
    <w:rsid w:val="003C1A4F"/>
    <w:rsid w:val="003C20D9"/>
    <w:rsid w:val="003C31B5"/>
    <w:rsid w:val="003C37DC"/>
    <w:rsid w:val="003C5473"/>
    <w:rsid w:val="003C5D3A"/>
    <w:rsid w:val="003C67B3"/>
    <w:rsid w:val="003C7366"/>
    <w:rsid w:val="003C7522"/>
    <w:rsid w:val="003D0B28"/>
    <w:rsid w:val="003D18B1"/>
    <w:rsid w:val="003D1F94"/>
    <w:rsid w:val="003D28A4"/>
    <w:rsid w:val="003D2C9C"/>
    <w:rsid w:val="003D442C"/>
    <w:rsid w:val="003D71CB"/>
    <w:rsid w:val="003E08C3"/>
    <w:rsid w:val="003E0BC4"/>
    <w:rsid w:val="003E1C14"/>
    <w:rsid w:val="003E3C68"/>
    <w:rsid w:val="003E4E77"/>
    <w:rsid w:val="003E76DF"/>
    <w:rsid w:val="003E7871"/>
    <w:rsid w:val="003F15A7"/>
    <w:rsid w:val="003F16E9"/>
    <w:rsid w:val="003F25B3"/>
    <w:rsid w:val="003F29D9"/>
    <w:rsid w:val="003F3401"/>
    <w:rsid w:val="003F5FA5"/>
    <w:rsid w:val="003F5FEA"/>
    <w:rsid w:val="003F7868"/>
    <w:rsid w:val="004009A6"/>
    <w:rsid w:val="00401FB7"/>
    <w:rsid w:val="00402073"/>
    <w:rsid w:val="004024F4"/>
    <w:rsid w:val="0040357C"/>
    <w:rsid w:val="0040397B"/>
    <w:rsid w:val="00406118"/>
    <w:rsid w:val="004069C0"/>
    <w:rsid w:val="00406C67"/>
    <w:rsid w:val="00410BAB"/>
    <w:rsid w:val="00410F37"/>
    <w:rsid w:val="0041227D"/>
    <w:rsid w:val="004125AC"/>
    <w:rsid w:val="0041276E"/>
    <w:rsid w:val="0041364F"/>
    <w:rsid w:val="00413858"/>
    <w:rsid w:val="00413A9E"/>
    <w:rsid w:val="00414089"/>
    <w:rsid w:val="00414202"/>
    <w:rsid w:val="00414310"/>
    <w:rsid w:val="004146D1"/>
    <w:rsid w:val="00416CA7"/>
    <w:rsid w:val="00417669"/>
    <w:rsid w:val="00420763"/>
    <w:rsid w:val="00421493"/>
    <w:rsid w:val="00421680"/>
    <w:rsid w:val="0042333D"/>
    <w:rsid w:val="004249BF"/>
    <w:rsid w:val="00424D52"/>
    <w:rsid w:val="00433C14"/>
    <w:rsid w:val="00433EE9"/>
    <w:rsid w:val="00433F4F"/>
    <w:rsid w:val="004342B4"/>
    <w:rsid w:val="00435300"/>
    <w:rsid w:val="00435F00"/>
    <w:rsid w:val="0043738D"/>
    <w:rsid w:val="00441793"/>
    <w:rsid w:val="00442BD2"/>
    <w:rsid w:val="00443149"/>
    <w:rsid w:val="00443E5B"/>
    <w:rsid w:val="00445114"/>
    <w:rsid w:val="004452AF"/>
    <w:rsid w:val="0044541A"/>
    <w:rsid w:val="00446142"/>
    <w:rsid w:val="00446DA9"/>
    <w:rsid w:val="00450AC6"/>
    <w:rsid w:val="00451D02"/>
    <w:rsid w:val="004522F1"/>
    <w:rsid w:val="00452A3A"/>
    <w:rsid w:val="00452E62"/>
    <w:rsid w:val="0045411B"/>
    <w:rsid w:val="00454D4D"/>
    <w:rsid w:val="0045558A"/>
    <w:rsid w:val="004565F3"/>
    <w:rsid w:val="00456B77"/>
    <w:rsid w:val="00456E3D"/>
    <w:rsid w:val="00457769"/>
    <w:rsid w:val="00457B87"/>
    <w:rsid w:val="004603A4"/>
    <w:rsid w:val="004618BD"/>
    <w:rsid w:val="00461D6D"/>
    <w:rsid w:val="00462D82"/>
    <w:rsid w:val="0046364A"/>
    <w:rsid w:val="00463A44"/>
    <w:rsid w:val="00464BAB"/>
    <w:rsid w:val="0046693F"/>
    <w:rsid w:val="004669AB"/>
    <w:rsid w:val="00467034"/>
    <w:rsid w:val="00470149"/>
    <w:rsid w:val="00471C1C"/>
    <w:rsid w:val="004729F7"/>
    <w:rsid w:val="00472F58"/>
    <w:rsid w:val="004730BF"/>
    <w:rsid w:val="004737B0"/>
    <w:rsid w:val="00474218"/>
    <w:rsid w:val="00474D3F"/>
    <w:rsid w:val="00475B71"/>
    <w:rsid w:val="0047619D"/>
    <w:rsid w:val="0047694A"/>
    <w:rsid w:val="00476DB7"/>
    <w:rsid w:val="004772B0"/>
    <w:rsid w:val="004802AD"/>
    <w:rsid w:val="00480887"/>
    <w:rsid w:val="00480CA5"/>
    <w:rsid w:val="0048134C"/>
    <w:rsid w:val="004824E5"/>
    <w:rsid w:val="00487B4E"/>
    <w:rsid w:val="004913EC"/>
    <w:rsid w:val="00491432"/>
    <w:rsid w:val="004920E5"/>
    <w:rsid w:val="004923B7"/>
    <w:rsid w:val="0049496B"/>
    <w:rsid w:val="00496901"/>
    <w:rsid w:val="00497DBF"/>
    <w:rsid w:val="004A1AB3"/>
    <w:rsid w:val="004A1DC3"/>
    <w:rsid w:val="004A2136"/>
    <w:rsid w:val="004A42CD"/>
    <w:rsid w:val="004A4E9D"/>
    <w:rsid w:val="004A5A29"/>
    <w:rsid w:val="004A6655"/>
    <w:rsid w:val="004A6AFE"/>
    <w:rsid w:val="004A769A"/>
    <w:rsid w:val="004A7A37"/>
    <w:rsid w:val="004B20A4"/>
    <w:rsid w:val="004B40C0"/>
    <w:rsid w:val="004B49A4"/>
    <w:rsid w:val="004B558A"/>
    <w:rsid w:val="004B5D89"/>
    <w:rsid w:val="004B5E7F"/>
    <w:rsid w:val="004B7DBC"/>
    <w:rsid w:val="004C0DA3"/>
    <w:rsid w:val="004C13B1"/>
    <w:rsid w:val="004C1EB9"/>
    <w:rsid w:val="004C227F"/>
    <w:rsid w:val="004C398D"/>
    <w:rsid w:val="004C5142"/>
    <w:rsid w:val="004C5624"/>
    <w:rsid w:val="004C5872"/>
    <w:rsid w:val="004C6AB2"/>
    <w:rsid w:val="004C7D96"/>
    <w:rsid w:val="004C7FBA"/>
    <w:rsid w:val="004D0879"/>
    <w:rsid w:val="004D1968"/>
    <w:rsid w:val="004D1BDC"/>
    <w:rsid w:val="004D1D08"/>
    <w:rsid w:val="004D20D0"/>
    <w:rsid w:val="004D330B"/>
    <w:rsid w:val="004D33B2"/>
    <w:rsid w:val="004D385B"/>
    <w:rsid w:val="004D42B9"/>
    <w:rsid w:val="004D44F8"/>
    <w:rsid w:val="004D5CEA"/>
    <w:rsid w:val="004D5E9F"/>
    <w:rsid w:val="004D7CC9"/>
    <w:rsid w:val="004D7D86"/>
    <w:rsid w:val="004E22D9"/>
    <w:rsid w:val="004E2C29"/>
    <w:rsid w:val="004E3446"/>
    <w:rsid w:val="004E347F"/>
    <w:rsid w:val="004E4AF3"/>
    <w:rsid w:val="004E4E5D"/>
    <w:rsid w:val="004E52D3"/>
    <w:rsid w:val="004E67C2"/>
    <w:rsid w:val="004E6C32"/>
    <w:rsid w:val="004E6F66"/>
    <w:rsid w:val="004E75D7"/>
    <w:rsid w:val="004F0026"/>
    <w:rsid w:val="004F2015"/>
    <w:rsid w:val="004F221C"/>
    <w:rsid w:val="004F5C6A"/>
    <w:rsid w:val="004F7FF1"/>
    <w:rsid w:val="00500191"/>
    <w:rsid w:val="0050047C"/>
    <w:rsid w:val="0050115C"/>
    <w:rsid w:val="00501993"/>
    <w:rsid w:val="00503EB1"/>
    <w:rsid w:val="005041CC"/>
    <w:rsid w:val="00505B45"/>
    <w:rsid w:val="00505EFF"/>
    <w:rsid w:val="005079E0"/>
    <w:rsid w:val="005100D9"/>
    <w:rsid w:val="00510B1F"/>
    <w:rsid w:val="00510F55"/>
    <w:rsid w:val="00512A76"/>
    <w:rsid w:val="005146A0"/>
    <w:rsid w:val="00516E9A"/>
    <w:rsid w:val="0051718C"/>
    <w:rsid w:val="00517D6E"/>
    <w:rsid w:val="005223E7"/>
    <w:rsid w:val="005228F6"/>
    <w:rsid w:val="00522CED"/>
    <w:rsid w:val="00522E75"/>
    <w:rsid w:val="005237AC"/>
    <w:rsid w:val="00523E15"/>
    <w:rsid w:val="00524342"/>
    <w:rsid w:val="00525908"/>
    <w:rsid w:val="00526BF6"/>
    <w:rsid w:val="005303ED"/>
    <w:rsid w:val="00530E0A"/>
    <w:rsid w:val="0053121C"/>
    <w:rsid w:val="00532BF5"/>
    <w:rsid w:val="00532FB2"/>
    <w:rsid w:val="00533153"/>
    <w:rsid w:val="005333B5"/>
    <w:rsid w:val="00535919"/>
    <w:rsid w:val="00535B11"/>
    <w:rsid w:val="00536698"/>
    <w:rsid w:val="005371D0"/>
    <w:rsid w:val="00540DC2"/>
    <w:rsid w:val="00541268"/>
    <w:rsid w:val="005415A4"/>
    <w:rsid w:val="00541C3D"/>
    <w:rsid w:val="005420B2"/>
    <w:rsid w:val="00542B8E"/>
    <w:rsid w:val="00543B97"/>
    <w:rsid w:val="0054444E"/>
    <w:rsid w:val="0054530E"/>
    <w:rsid w:val="0055109E"/>
    <w:rsid w:val="005525BB"/>
    <w:rsid w:val="00557FB4"/>
    <w:rsid w:val="00560A74"/>
    <w:rsid w:val="00561847"/>
    <w:rsid w:val="00561F62"/>
    <w:rsid w:val="005623F5"/>
    <w:rsid w:val="00562540"/>
    <w:rsid w:val="00563B46"/>
    <w:rsid w:val="005642C4"/>
    <w:rsid w:val="005645B5"/>
    <w:rsid w:val="00565A77"/>
    <w:rsid w:val="00565C4E"/>
    <w:rsid w:val="00565E7C"/>
    <w:rsid w:val="00566480"/>
    <w:rsid w:val="00567E42"/>
    <w:rsid w:val="00570EE8"/>
    <w:rsid w:val="005716E4"/>
    <w:rsid w:val="0057191A"/>
    <w:rsid w:val="0057236C"/>
    <w:rsid w:val="005750EE"/>
    <w:rsid w:val="0057512A"/>
    <w:rsid w:val="00577391"/>
    <w:rsid w:val="00577677"/>
    <w:rsid w:val="0058031A"/>
    <w:rsid w:val="00580653"/>
    <w:rsid w:val="00580F4E"/>
    <w:rsid w:val="0058213D"/>
    <w:rsid w:val="005824B6"/>
    <w:rsid w:val="00582FA7"/>
    <w:rsid w:val="005831D7"/>
    <w:rsid w:val="0058402E"/>
    <w:rsid w:val="0058416C"/>
    <w:rsid w:val="0058488F"/>
    <w:rsid w:val="00584C66"/>
    <w:rsid w:val="00584C87"/>
    <w:rsid w:val="0058529A"/>
    <w:rsid w:val="00585525"/>
    <w:rsid w:val="00585645"/>
    <w:rsid w:val="005858A7"/>
    <w:rsid w:val="00585C14"/>
    <w:rsid w:val="0058617D"/>
    <w:rsid w:val="0058703F"/>
    <w:rsid w:val="0058712F"/>
    <w:rsid w:val="00587356"/>
    <w:rsid w:val="00592375"/>
    <w:rsid w:val="00592F8A"/>
    <w:rsid w:val="005940D3"/>
    <w:rsid w:val="00595DDB"/>
    <w:rsid w:val="0059706E"/>
    <w:rsid w:val="005975F2"/>
    <w:rsid w:val="00597BA5"/>
    <w:rsid w:val="005A0C00"/>
    <w:rsid w:val="005A1C6A"/>
    <w:rsid w:val="005A3E1C"/>
    <w:rsid w:val="005A699F"/>
    <w:rsid w:val="005A7405"/>
    <w:rsid w:val="005B35F6"/>
    <w:rsid w:val="005B382E"/>
    <w:rsid w:val="005B4E1C"/>
    <w:rsid w:val="005B5065"/>
    <w:rsid w:val="005B5BAB"/>
    <w:rsid w:val="005B6F23"/>
    <w:rsid w:val="005B75DE"/>
    <w:rsid w:val="005C0274"/>
    <w:rsid w:val="005C1AA2"/>
    <w:rsid w:val="005C350F"/>
    <w:rsid w:val="005C3B60"/>
    <w:rsid w:val="005C44DC"/>
    <w:rsid w:val="005C4A42"/>
    <w:rsid w:val="005C4AE1"/>
    <w:rsid w:val="005C4B2F"/>
    <w:rsid w:val="005C5465"/>
    <w:rsid w:val="005C5A64"/>
    <w:rsid w:val="005C6533"/>
    <w:rsid w:val="005C6ED9"/>
    <w:rsid w:val="005C7074"/>
    <w:rsid w:val="005D0412"/>
    <w:rsid w:val="005D116B"/>
    <w:rsid w:val="005D19BD"/>
    <w:rsid w:val="005D1F50"/>
    <w:rsid w:val="005D4C91"/>
    <w:rsid w:val="005D6E7F"/>
    <w:rsid w:val="005D7632"/>
    <w:rsid w:val="005D7F7B"/>
    <w:rsid w:val="005D7F96"/>
    <w:rsid w:val="005E07D4"/>
    <w:rsid w:val="005E0AD3"/>
    <w:rsid w:val="005E0BD9"/>
    <w:rsid w:val="005E1661"/>
    <w:rsid w:val="005E1665"/>
    <w:rsid w:val="005E1A4E"/>
    <w:rsid w:val="005E3348"/>
    <w:rsid w:val="005E445C"/>
    <w:rsid w:val="005E4F8E"/>
    <w:rsid w:val="005E58BB"/>
    <w:rsid w:val="005E7D03"/>
    <w:rsid w:val="005E7E24"/>
    <w:rsid w:val="005F01A2"/>
    <w:rsid w:val="005F09A8"/>
    <w:rsid w:val="005F117C"/>
    <w:rsid w:val="005F1272"/>
    <w:rsid w:val="005F1A7D"/>
    <w:rsid w:val="005F2206"/>
    <w:rsid w:val="005F3D88"/>
    <w:rsid w:val="005F4169"/>
    <w:rsid w:val="005F4764"/>
    <w:rsid w:val="005F7A40"/>
    <w:rsid w:val="00601701"/>
    <w:rsid w:val="006026A5"/>
    <w:rsid w:val="0060454E"/>
    <w:rsid w:val="00607E51"/>
    <w:rsid w:val="00610AC3"/>
    <w:rsid w:val="00611680"/>
    <w:rsid w:val="00612BA8"/>
    <w:rsid w:val="0061480A"/>
    <w:rsid w:val="00614F8B"/>
    <w:rsid w:val="006156DF"/>
    <w:rsid w:val="00615F21"/>
    <w:rsid w:val="00617C31"/>
    <w:rsid w:val="00617C78"/>
    <w:rsid w:val="006216D4"/>
    <w:rsid w:val="006218BC"/>
    <w:rsid w:val="006221C0"/>
    <w:rsid w:val="0062284C"/>
    <w:rsid w:val="006233BD"/>
    <w:rsid w:val="00624063"/>
    <w:rsid w:val="00625E7F"/>
    <w:rsid w:val="00627361"/>
    <w:rsid w:val="00627417"/>
    <w:rsid w:val="00627498"/>
    <w:rsid w:val="00627AFA"/>
    <w:rsid w:val="006300C2"/>
    <w:rsid w:val="00630249"/>
    <w:rsid w:val="00633348"/>
    <w:rsid w:val="0063421F"/>
    <w:rsid w:val="0063491A"/>
    <w:rsid w:val="00634DFE"/>
    <w:rsid w:val="006357F8"/>
    <w:rsid w:val="00635ED1"/>
    <w:rsid w:val="00635F59"/>
    <w:rsid w:val="0063620B"/>
    <w:rsid w:val="0063699E"/>
    <w:rsid w:val="00637EBC"/>
    <w:rsid w:val="0064272F"/>
    <w:rsid w:val="00642B18"/>
    <w:rsid w:val="006431CF"/>
    <w:rsid w:val="00643D4D"/>
    <w:rsid w:val="006449DF"/>
    <w:rsid w:val="0064504A"/>
    <w:rsid w:val="00645242"/>
    <w:rsid w:val="00645373"/>
    <w:rsid w:val="0064554D"/>
    <w:rsid w:val="0064574A"/>
    <w:rsid w:val="0064588B"/>
    <w:rsid w:val="00645F6C"/>
    <w:rsid w:val="0064631E"/>
    <w:rsid w:val="00646C04"/>
    <w:rsid w:val="006471C1"/>
    <w:rsid w:val="00650B5C"/>
    <w:rsid w:val="00655772"/>
    <w:rsid w:val="006610CB"/>
    <w:rsid w:val="00661521"/>
    <w:rsid w:val="00662392"/>
    <w:rsid w:val="0066340C"/>
    <w:rsid w:val="00663F02"/>
    <w:rsid w:val="006677FA"/>
    <w:rsid w:val="00667D5C"/>
    <w:rsid w:val="00670567"/>
    <w:rsid w:val="006709D3"/>
    <w:rsid w:val="0067110D"/>
    <w:rsid w:val="006711D6"/>
    <w:rsid w:val="00672509"/>
    <w:rsid w:val="00672DDA"/>
    <w:rsid w:val="00673453"/>
    <w:rsid w:val="0067567C"/>
    <w:rsid w:val="00676721"/>
    <w:rsid w:val="00676E04"/>
    <w:rsid w:val="006773AA"/>
    <w:rsid w:val="006801D6"/>
    <w:rsid w:val="00681342"/>
    <w:rsid w:val="006832AB"/>
    <w:rsid w:val="006856B5"/>
    <w:rsid w:val="00685DA1"/>
    <w:rsid w:val="006862E3"/>
    <w:rsid w:val="00686730"/>
    <w:rsid w:val="00687B3D"/>
    <w:rsid w:val="00690286"/>
    <w:rsid w:val="006903CB"/>
    <w:rsid w:val="006908E7"/>
    <w:rsid w:val="006911F5"/>
    <w:rsid w:val="00693B2C"/>
    <w:rsid w:val="00695E8D"/>
    <w:rsid w:val="00696AB4"/>
    <w:rsid w:val="00697145"/>
    <w:rsid w:val="00697ED1"/>
    <w:rsid w:val="006A0055"/>
    <w:rsid w:val="006A123D"/>
    <w:rsid w:val="006A1B5D"/>
    <w:rsid w:val="006A2475"/>
    <w:rsid w:val="006A38A3"/>
    <w:rsid w:val="006A4D5B"/>
    <w:rsid w:val="006A5C42"/>
    <w:rsid w:val="006A72F5"/>
    <w:rsid w:val="006A7426"/>
    <w:rsid w:val="006A7DEE"/>
    <w:rsid w:val="006B1592"/>
    <w:rsid w:val="006B28D6"/>
    <w:rsid w:val="006B36F7"/>
    <w:rsid w:val="006B43B2"/>
    <w:rsid w:val="006B4405"/>
    <w:rsid w:val="006B45EF"/>
    <w:rsid w:val="006B7503"/>
    <w:rsid w:val="006C0141"/>
    <w:rsid w:val="006C0689"/>
    <w:rsid w:val="006C0E11"/>
    <w:rsid w:val="006C11E2"/>
    <w:rsid w:val="006C1254"/>
    <w:rsid w:val="006C1E0A"/>
    <w:rsid w:val="006C3F61"/>
    <w:rsid w:val="006C416C"/>
    <w:rsid w:val="006C47A5"/>
    <w:rsid w:val="006C510B"/>
    <w:rsid w:val="006C70A6"/>
    <w:rsid w:val="006C7501"/>
    <w:rsid w:val="006C7A50"/>
    <w:rsid w:val="006D0A72"/>
    <w:rsid w:val="006D0C3F"/>
    <w:rsid w:val="006D230D"/>
    <w:rsid w:val="006D2508"/>
    <w:rsid w:val="006D2643"/>
    <w:rsid w:val="006D27EF"/>
    <w:rsid w:val="006D3366"/>
    <w:rsid w:val="006D3B49"/>
    <w:rsid w:val="006D3C94"/>
    <w:rsid w:val="006D40BB"/>
    <w:rsid w:val="006D470D"/>
    <w:rsid w:val="006D5F2F"/>
    <w:rsid w:val="006D64A6"/>
    <w:rsid w:val="006D6D6F"/>
    <w:rsid w:val="006D7AC3"/>
    <w:rsid w:val="006E0B6A"/>
    <w:rsid w:val="006E0D59"/>
    <w:rsid w:val="006E1111"/>
    <w:rsid w:val="006E114B"/>
    <w:rsid w:val="006E1B19"/>
    <w:rsid w:val="006E1E0E"/>
    <w:rsid w:val="006E2C73"/>
    <w:rsid w:val="006E30F4"/>
    <w:rsid w:val="006E5770"/>
    <w:rsid w:val="006E5E78"/>
    <w:rsid w:val="006F00A8"/>
    <w:rsid w:val="006F00E4"/>
    <w:rsid w:val="006F03C5"/>
    <w:rsid w:val="006F0664"/>
    <w:rsid w:val="006F1135"/>
    <w:rsid w:val="006F13EF"/>
    <w:rsid w:val="006F1F72"/>
    <w:rsid w:val="006F2AF9"/>
    <w:rsid w:val="006F4397"/>
    <w:rsid w:val="006F4751"/>
    <w:rsid w:val="006F602E"/>
    <w:rsid w:val="006F61C1"/>
    <w:rsid w:val="006F7BC9"/>
    <w:rsid w:val="00700AD5"/>
    <w:rsid w:val="00700F5E"/>
    <w:rsid w:val="00702566"/>
    <w:rsid w:val="0070370A"/>
    <w:rsid w:val="00706447"/>
    <w:rsid w:val="00706752"/>
    <w:rsid w:val="007103EE"/>
    <w:rsid w:val="00710775"/>
    <w:rsid w:val="00711414"/>
    <w:rsid w:val="00711B6E"/>
    <w:rsid w:val="0071273F"/>
    <w:rsid w:val="00713935"/>
    <w:rsid w:val="0071411C"/>
    <w:rsid w:val="00714439"/>
    <w:rsid w:val="0071463C"/>
    <w:rsid w:val="00715E82"/>
    <w:rsid w:val="0071638A"/>
    <w:rsid w:val="00716D98"/>
    <w:rsid w:val="00716E77"/>
    <w:rsid w:val="00717A86"/>
    <w:rsid w:val="00720057"/>
    <w:rsid w:val="0072058C"/>
    <w:rsid w:val="00720A78"/>
    <w:rsid w:val="00721128"/>
    <w:rsid w:val="007215B8"/>
    <w:rsid w:val="00721BB3"/>
    <w:rsid w:val="0072245A"/>
    <w:rsid w:val="00722E63"/>
    <w:rsid w:val="00724CCE"/>
    <w:rsid w:val="007250E7"/>
    <w:rsid w:val="00725170"/>
    <w:rsid w:val="0072747B"/>
    <w:rsid w:val="00727F92"/>
    <w:rsid w:val="00731A39"/>
    <w:rsid w:val="00731BDB"/>
    <w:rsid w:val="00731CDA"/>
    <w:rsid w:val="007320C1"/>
    <w:rsid w:val="007326EC"/>
    <w:rsid w:val="00732AC7"/>
    <w:rsid w:val="00733815"/>
    <w:rsid w:val="007344B5"/>
    <w:rsid w:val="00734B4C"/>
    <w:rsid w:val="007352BC"/>
    <w:rsid w:val="007355E1"/>
    <w:rsid w:val="00736912"/>
    <w:rsid w:val="007375CF"/>
    <w:rsid w:val="007377C5"/>
    <w:rsid w:val="007401B9"/>
    <w:rsid w:val="00740EDB"/>
    <w:rsid w:val="00741541"/>
    <w:rsid w:val="00742137"/>
    <w:rsid w:val="00743399"/>
    <w:rsid w:val="00743A33"/>
    <w:rsid w:val="00744770"/>
    <w:rsid w:val="007447B2"/>
    <w:rsid w:val="00744F69"/>
    <w:rsid w:val="0074585F"/>
    <w:rsid w:val="007463B6"/>
    <w:rsid w:val="007476EB"/>
    <w:rsid w:val="00747F0D"/>
    <w:rsid w:val="00750620"/>
    <w:rsid w:val="0075123F"/>
    <w:rsid w:val="00751DCE"/>
    <w:rsid w:val="00751DD7"/>
    <w:rsid w:val="00754707"/>
    <w:rsid w:val="00754B75"/>
    <w:rsid w:val="00754D4C"/>
    <w:rsid w:val="007556F7"/>
    <w:rsid w:val="00755AAA"/>
    <w:rsid w:val="00755D42"/>
    <w:rsid w:val="007567D2"/>
    <w:rsid w:val="00756FD5"/>
    <w:rsid w:val="00757750"/>
    <w:rsid w:val="00757C90"/>
    <w:rsid w:val="00762B14"/>
    <w:rsid w:val="007637E7"/>
    <w:rsid w:val="007646F6"/>
    <w:rsid w:val="00765CE9"/>
    <w:rsid w:val="00767749"/>
    <w:rsid w:val="0076774C"/>
    <w:rsid w:val="007709E6"/>
    <w:rsid w:val="007710D0"/>
    <w:rsid w:val="00772935"/>
    <w:rsid w:val="007730A7"/>
    <w:rsid w:val="00773148"/>
    <w:rsid w:val="00775740"/>
    <w:rsid w:val="0077742F"/>
    <w:rsid w:val="007802F3"/>
    <w:rsid w:val="00783664"/>
    <w:rsid w:val="0078392D"/>
    <w:rsid w:val="00783FA5"/>
    <w:rsid w:val="007855AC"/>
    <w:rsid w:val="0078561D"/>
    <w:rsid w:val="00785A3B"/>
    <w:rsid w:val="00786631"/>
    <w:rsid w:val="00786A47"/>
    <w:rsid w:val="007906DB"/>
    <w:rsid w:val="007925C8"/>
    <w:rsid w:val="00793A7B"/>
    <w:rsid w:val="00793D26"/>
    <w:rsid w:val="00794D06"/>
    <w:rsid w:val="00795604"/>
    <w:rsid w:val="00796204"/>
    <w:rsid w:val="00796B5A"/>
    <w:rsid w:val="00797A23"/>
    <w:rsid w:val="007A0061"/>
    <w:rsid w:val="007A108D"/>
    <w:rsid w:val="007A132F"/>
    <w:rsid w:val="007A13AB"/>
    <w:rsid w:val="007A1DD9"/>
    <w:rsid w:val="007A20D5"/>
    <w:rsid w:val="007A35AE"/>
    <w:rsid w:val="007A4A0E"/>
    <w:rsid w:val="007A5391"/>
    <w:rsid w:val="007A589E"/>
    <w:rsid w:val="007A6CC0"/>
    <w:rsid w:val="007B095F"/>
    <w:rsid w:val="007B0C55"/>
    <w:rsid w:val="007B172E"/>
    <w:rsid w:val="007B1843"/>
    <w:rsid w:val="007B2295"/>
    <w:rsid w:val="007B24CF"/>
    <w:rsid w:val="007B333F"/>
    <w:rsid w:val="007B6124"/>
    <w:rsid w:val="007B6EE9"/>
    <w:rsid w:val="007B78C2"/>
    <w:rsid w:val="007B7934"/>
    <w:rsid w:val="007C041B"/>
    <w:rsid w:val="007C24A5"/>
    <w:rsid w:val="007C30B5"/>
    <w:rsid w:val="007C53DE"/>
    <w:rsid w:val="007C6519"/>
    <w:rsid w:val="007C692F"/>
    <w:rsid w:val="007D3E2D"/>
    <w:rsid w:val="007D5041"/>
    <w:rsid w:val="007D687A"/>
    <w:rsid w:val="007D742C"/>
    <w:rsid w:val="007D79C7"/>
    <w:rsid w:val="007E122F"/>
    <w:rsid w:val="007E1F20"/>
    <w:rsid w:val="007E26DC"/>
    <w:rsid w:val="007E3BA2"/>
    <w:rsid w:val="007E3F6D"/>
    <w:rsid w:val="007E4157"/>
    <w:rsid w:val="007E4791"/>
    <w:rsid w:val="007E4E58"/>
    <w:rsid w:val="007E51AF"/>
    <w:rsid w:val="007E5A78"/>
    <w:rsid w:val="007E6124"/>
    <w:rsid w:val="007E67AF"/>
    <w:rsid w:val="007E6CA3"/>
    <w:rsid w:val="007F018C"/>
    <w:rsid w:val="007F3C27"/>
    <w:rsid w:val="007F5457"/>
    <w:rsid w:val="007F5733"/>
    <w:rsid w:val="007F5AB1"/>
    <w:rsid w:val="007F5FF7"/>
    <w:rsid w:val="007F629B"/>
    <w:rsid w:val="007F657D"/>
    <w:rsid w:val="007F7BD8"/>
    <w:rsid w:val="00800047"/>
    <w:rsid w:val="00800514"/>
    <w:rsid w:val="008030BC"/>
    <w:rsid w:val="008065B7"/>
    <w:rsid w:val="008068E2"/>
    <w:rsid w:val="00807087"/>
    <w:rsid w:val="0080767B"/>
    <w:rsid w:val="008078EB"/>
    <w:rsid w:val="00810763"/>
    <w:rsid w:val="00810811"/>
    <w:rsid w:val="00810A11"/>
    <w:rsid w:val="00810CE4"/>
    <w:rsid w:val="00811F38"/>
    <w:rsid w:val="008122AE"/>
    <w:rsid w:val="0081326C"/>
    <w:rsid w:val="008147D7"/>
    <w:rsid w:val="00817BB2"/>
    <w:rsid w:val="00817DA9"/>
    <w:rsid w:val="00820D48"/>
    <w:rsid w:val="00820DDF"/>
    <w:rsid w:val="0082140F"/>
    <w:rsid w:val="00821995"/>
    <w:rsid w:val="008235E3"/>
    <w:rsid w:val="008244AC"/>
    <w:rsid w:val="0082551A"/>
    <w:rsid w:val="00825A0F"/>
    <w:rsid w:val="008300D9"/>
    <w:rsid w:val="00832366"/>
    <w:rsid w:val="008323C6"/>
    <w:rsid w:val="008326A2"/>
    <w:rsid w:val="00832944"/>
    <w:rsid w:val="0083310F"/>
    <w:rsid w:val="00833F1E"/>
    <w:rsid w:val="008342D9"/>
    <w:rsid w:val="00834F92"/>
    <w:rsid w:val="00836EF9"/>
    <w:rsid w:val="00836FDE"/>
    <w:rsid w:val="0083789A"/>
    <w:rsid w:val="00842131"/>
    <w:rsid w:val="008434E3"/>
    <w:rsid w:val="00843E0F"/>
    <w:rsid w:val="008444AE"/>
    <w:rsid w:val="008450C6"/>
    <w:rsid w:val="0085069E"/>
    <w:rsid w:val="00851480"/>
    <w:rsid w:val="0085250E"/>
    <w:rsid w:val="00852B37"/>
    <w:rsid w:val="00852E04"/>
    <w:rsid w:val="0085314F"/>
    <w:rsid w:val="00854B92"/>
    <w:rsid w:val="00854DF3"/>
    <w:rsid w:val="00855923"/>
    <w:rsid w:val="00860E19"/>
    <w:rsid w:val="00861428"/>
    <w:rsid w:val="00861D4B"/>
    <w:rsid w:val="008624D2"/>
    <w:rsid w:val="008625D2"/>
    <w:rsid w:val="0086764C"/>
    <w:rsid w:val="00870004"/>
    <w:rsid w:val="00871157"/>
    <w:rsid w:val="0087196D"/>
    <w:rsid w:val="00871C56"/>
    <w:rsid w:val="00872100"/>
    <w:rsid w:val="00872880"/>
    <w:rsid w:val="00872EBC"/>
    <w:rsid w:val="00875481"/>
    <w:rsid w:val="00876231"/>
    <w:rsid w:val="008769A9"/>
    <w:rsid w:val="00876E10"/>
    <w:rsid w:val="008773BC"/>
    <w:rsid w:val="00877593"/>
    <w:rsid w:val="00877BAE"/>
    <w:rsid w:val="00880B77"/>
    <w:rsid w:val="00882DD3"/>
    <w:rsid w:val="00883315"/>
    <w:rsid w:val="0088352A"/>
    <w:rsid w:val="00883813"/>
    <w:rsid w:val="00884E88"/>
    <w:rsid w:val="00885065"/>
    <w:rsid w:val="0088781C"/>
    <w:rsid w:val="00887D73"/>
    <w:rsid w:val="00890850"/>
    <w:rsid w:val="008908B7"/>
    <w:rsid w:val="00891F94"/>
    <w:rsid w:val="0089235D"/>
    <w:rsid w:val="0089242D"/>
    <w:rsid w:val="0089287B"/>
    <w:rsid w:val="00893161"/>
    <w:rsid w:val="0089333D"/>
    <w:rsid w:val="008935D6"/>
    <w:rsid w:val="008947FF"/>
    <w:rsid w:val="00896B1A"/>
    <w:rsid w:val="00897F60"/>
    <w:rsid w:val="008A089F"/>
    <w:rsid w:val="008A1764"/>
    <w:rsid w:val="008A3385"/>
    <w:rsid w:val="008A3D49"/>
    <w:rsid w:val="008A43A4"/>
    <w:rsid w:val="008A6F2A"/>
    <w:rsid w:val="008A71BE"/>
    <w:rsid w:val="008A75F0"/>
    <w:rsid w:val="008B164A"/>
    <w:rsid w:val="008B1B07"/>
    <w:rsid w:val="008B1D8C"/>
    <w:rsid w:val="008B2366"/>
    <w:rsid w:val="008B297E"/>
    <w:rsid w:val="008B40CE"/>
    <w:rsid w:val="008B4D9C"/>
    <w:rsid w:val="008B5E4A"/>
    <w:rsid w:val="008B5F8E"/>
    <w:rsid w:val="008B6447"/>
    <w:rsid w:val="008B6DE3"/>
    <w:rsid w:val="008B725C"/>
    <w:rsid w:val="008B7558"/>
    <w:rsid w:val="008C00F3"/>
    <w:rsid w:val="008C0FFF"/>
    <w:rsid w:val="008C1D42"/>
    <w:rsid w:val="008C1E9E"/>
    <w:rsid w:val="008C37FD"/>
    <w:rsid w:val="008C381F"/>
    <w:rsid w:val="008C3E3E"/>
    <w:rsid w:val="008C3F4A"/>
    <w:rsid w:val="008C5899"/>
    <w:rsid w:val="008C69EE"/>
    <w:rsid w:val="008C7AF9"/>
    <w:rsid w:val="008D19D3"/>
    <w:rsid w:val="008D324E"/>
    <w:rsid w:val="008D4BA9"/>
    <w:rsid w:val="008D5121"/>
    <w:rsid w:val="008D709F"/>
    <w:rsid w:val="008D7800"/>
    <w:rsid w:val="008D7B7C"/>
    <w:rsid w:val="008E0832"/>
    <w:rsid w:val="008E0F2F"/>
    <w:rsid w:val="008E1D85"/>
    <w:rsid w:val="008E1F17"/>
    <w:rsid w:val="008E43C2"/>
    <w:rsid w:val="008E45E7"/>
    <w:rsid w:val="008E477E"/>
    <w:rsid w:val="008E4EB8"/>
    <w:rsid w:val="008E5768"/>
    <w:rsid w:val="008E5AE2"/>
    <w:rsid w:val="008F0B1A"/>
    <w:rsid w:val="008F0B8B"/>
    <w:rsid w:val="008F1C6D"/>
    <w:rsid w:val="008F309C"/>
    <w:rsid w:val="008F3A9B"/>
    <w:rsid w:val="008F3C4B"/>
    <w:rsid w:val="008F4EE1"/>
    <w:rsid w:val="008F5854"/>
    <w:rsid w:val="008F61A8"/>
    <w:rsid w:val="008F7584"/>
    <w:rsid w:val="008F7A5A"/>
    <w:rsid w:val="00900735"/>
    <w:rsid w:val="00900B1C"/>
    <w:rsid w:val="00901EC5"/>
    <w:rsid w:val="00902553"/>
    <w:rsid w:val="009042F6"/>
    <w:rsid w:val="00904AC8"/>
    <w:rsid w:val="00905399"/>
    <w:rsid w:val="00906C15"/>
    <w:rsid w:val="00907203"/>
    <w:rsid w:val="009072E7"/>
    <w:rsid w:val="00907982"/>
    <w:rsid w:val="00910146"/>
    <w:rsid w:val="00910499"/>
    <w:rsid w:val="00911721"/>
    <w:rsid w:val="00911D9C"/>
    <w:rsid w:val="009133EE"/>
    <w:rsid w:val="00913C15"/>
    <w:rsid w:val="00913F03"/>
    <w:rsid w:val="00914B66"/>
    <w:rsid w:val="009153B6"/>
    <w:rsid w:val="009161BE"/>
    <w:rsid w:val="009175D9"/>
    <w:rsid w:val="0092193B"/>
    <w:rsid w:val="009228ED"/>
    <w:rsid w:val="0092364C"/>
    <w:rsid w:val="0092403F"/>
    <w:rsid w:val="00925838"/>
    <w:rsid w:val="00926165"/>
    <w:rsid w:val="0092782F"/>
    <w:rsid w:val="00930241"/>
    <w:rsid w:val="00931D07"/>
    <w:rsid w:val="00932845"/>
    <w:rsid w:val="00933954"/>
    <w:rsid w:val="0093399E"/>
    <w:rsid w:val="00934550"/>
    <w:rsid w:val="00934880"/>
    <w:rsid w:val="00935699"/>
    <w:rsid w:val="00936B62"/>
    <w:rsid w:val="00940B11"/>
    <w:rsid w:val="00942334"/>
    <w:rsid w:val="009426B8"/>
    <w:rsid w:val="009428EA"/>
    <w:rsid w:val="00942E72"/>
    <w:rsid w:val="00944567"/>
    <w:rsid w:val="00944EE8"/>
    <w:rsid w:val="009452E3"/>
    <w:rsid w:val="00945486"/>
    <w:rsid w:val="00945C13"/>
    <w:rsid w:val="009460D0"/>
    <w:rsid w:val="00947557"/>
    <w:rsid w:val="00951B38"/>
    <w:rsid w:val="00951D1D"/>
    <w:rsid w:val="00951EB0"/>
    <w:rsid w:val="00952B76"/>
    <w:rsid w:val="00953DEA"/>
    <w:rsid w:val="009541F0"/>
    <w:rsid w:val="00954C6E"/>
    <w:rsid w:val="009557C7"/>
    <w:rsid w:val="009578DC"/>
    <w:rsid w:val="009608C0"/>
    <w:rsid w:val="00960EF7"/>
    <w:rsid w:val="00960F9C"/>
    <w:rsid w:val="0096108C"/>
    <w:rsid w:val="00962EF2"/>
    <w:rsid w:val="00963EBF"/>
    <w:rsid w:val="00966493"/>
    <w:rsid w:val="00970772"/>
    <w:rsid w:val="00970A3F"/>
    <w:rsid w:val="0097162B"/>
    <w:rsid w:val="00971F5C"/>
    <w:rsid w:val="00973EA7"/>
    <w:rsid w:val="00974E97"/>
    <w:rsid w:val="00975399"/>
    <w:rsid w:val="0097683D"/>
    <w:rsid w:val="00980591"/>
    <w:rsid w:val="0098193D"/>
    <w:rsid w:val="00981948"/>
    <w:rsid w:val="00981EEF"/>
    <w:rsid w:val="00981F19"/>
    <w:rsid w:val="00982C6A"/>
    <w:rsid w:val="00982E1F"/>
    <w:rsid w:val="00983C3F"/>
    <w:rsid w:val="0098478E"/>
    <w:rsid w:val="009862DA"/>
    <w:rsid w:val="00986771"/>
    <w:rsid w:val="00986922"/>
    <w:rsid w:val="009878A5"/>
    <w:rsid w:val="009904C4"/>
    <w:rsid w:val="00990D26"/>
    <w:rsid w:val="00991F8E"/>
    <w:rsid w:val="009921AD"/>
    <w:rsid w:val="00993A3F"/>
    <w:rsid w:val="009950D9"/>
    <w:rsid w:val="00995107"/>
    <w:rsid w:val="009964C7"/>
    <w:rsid w:val="009A082B"/>
    <w:rsid w:val="009A10F0"/>
    <w:rsid w:val="009A2284"/>
    <w:rsid w:val="009A478E"/>
    <w:rsid w:val="009A5043"/>
    <w:rsid w:val="009A5515"/>
    <w:rsid w:val="009A6578"/>
    <w:rsid w:val="009A6E9D"/>
    <w:rsid w:val="009A7169"/>
    <w:rsid w:val="009B013B"/>
    <w:rsid w:val="009B01D5"/>
    <w:rsid w:val="009B06D6"/>
    <w:rsid w:val="009B0C02"/>
    <w:rsid w:val="009B44BA"/>
    <w:rsid w:val="009B58DF"/>
    <w:rsid w:val="009B5D70"/>
    <w:rsid w:val="009B7097"/>
    <w:rsid w:val="009B7B1A"/>
    <w:rsid w:val="009C1AF7"/>
    <w:rsid w:val="009C25B6"/>
    <w:rsid w:val="009C3785"/>
    <w:rsid w:val="009C3821"/>
    <w:rsid w:val="009C424A"/>
    <w:rsid w:val="009C4A95"/>
    <w:rsid w:val="009C4CE5"/>
    <w:rsid w:val="009C4E16"/>
    <w:rsid w:val="009C6664"/>
    <w:rsid w:val="009C6841"/>
    <w:rsid w:val="009C7044"/>
    <w:rsid w:val="009C7172"/>
    <w:rsid w:val="009D117D"/>
    <w:rsid w:val="009D28AF"/>
    <w:rsid w:val="009D290E"/>
    <w:rsid w:val="009D2CC6"/>
    <w:rsid w:val="009D2F47"/>
    <w:rsid w:val="009D3A40"/>
    <w:rsid w:val="009D3E04"/>
    <w:rsid w:val="009D4A30"/>
    <w:rsid w:val="009D59CF"/>
    <w:rsid w:val="009D5DB7"/>
    <w:rsid w:val="009D7A85"/>
    <w:rsid w:val="009E15B4"/>
    <w:rsid w:val="009E18A4"/>
    <w:rsid w:val="009E235F"/>
    <w:rsid w:val="009E28D3"/>
    <w:rsid w:val="009E3971"/>
    <w:rsid w:val="009E6D07"/>
    <w:rsid w:val="009E7F86"/>
    <w:rsid w:val="009F058D"/>
    <w:rsid w:val="009F1D59"/>
    <w:rsid w:val="009F1DCB"/>
    <w:rsid w:val="009F30E6"/>
    <w:rsid w:val="009F37D8"/>
    <w:rsid w:val="009F530B"/>
    <w:rsid w:val="009F59A3"/>
    <w:rsid w:val="009F749F"/>
    <w:rsid w:val="00A00277"/>
    <w:rsid w:val="00A02021"/>
    <w:rsid w:val="00A03D31"/>
    <w:rsid w:val="00A0598B"/>
    <w:rsid w:val="00A0695C"/>
    <w:rsid w:val="00A06A53"/>
    <w:rsid w:val="00A11295"/>
    <w:rsid w:val="00A1191C"/>
    <w:rsid w:val="00A11978"/>
    <w:rsid w:val="00A11C96"/>
    <w:rsid w:val="00A11DD2"/>
    <w:rsid w:val="00A12828"/>
    <w:rsid w:val="00A15E34"/>
    <w:rsid w:val="00A16144"/>
    <w:rsid w:val="00A171C6"/>
    <w:rsid w:val="00A17A6A"/>
    <w:rsid w:val="00A17C39"/>
    <w:rsid w:val="00A17E8F"/>
    <w:rsid w:val="00A230ED"/>
    <w:rsid w:val="00A23F6E"/>
    <w:rsid w:val="00A24526"/>
    <w:rsid w:val="00A2575E"/>
    <w:rsid w:val="00A2590C"/>
    <w:rsid w:val="00A26427"/>
    <w:rsid w:val="00A264A8"/>
    <w:rsid w:val="00A27334"/>
    <w:rsid w:val="00A31001"/>
    <w:rsid w:val="00A31B34"/>
    <w:rsid w:val="00A33070"/>
    <w:rsid w:val="00A33208"/>
    <w:rsid w:val="00A341B6"/>
    <w:rsid w:val="00A363CB"/>
    <w:rsid w:val="00A368BB"/>
    <w:rsid w:val="00A36AD9"/>
    <w:rsid w:val="00A36D69"/>
    <w:rsid w:val="00A37534"/>
    <w:rsid w:val="00A403C7"/>
    <w:rsid w:val="00A40D04"/>
    <w:rsid w:val="00A41603"/>
    <w:rsid w:val="00A41830"/>
    <w:rsid w:val="00A42303"/>
    <w:rsid w:val="00A4272F"/>
    <w:rsid w:val="00A433EB"/>
    <w:rsid w:val="00A44C24"/>
    <w:rsid w:val="00A45D35"/>
    <w:rsid w:val="00A46649"/>
    <w:rsid w:val="00A4706C"/>
    <w:rsid w:val="00A470C7"/>
    <w:rsid w:val="00A47EF0"/>
    <w:rsid w:val="00A501FD"/>
    <w:rsid w:val="00A50465"/>
    <w:rsid w:val="00A50C71"/>
    <w:rsid w:val="00A5134C"/>
    <w:rsid w:val="00A51605"/>
    <w:rsid w:val="00A51B50"/>
    <w:rsid w:val="00A54768"/>
    <w:rsid w:val="00A55009"/>
    <w:rsid w:val="00A57913"/>
    <w:rsid w:val="00A61E7A"/>
    <w:rsid w:val="00A6253C"/>
    <w:rsid w:val="00A62786"/>
    <w:rsid w:val="00A6278C"/>
    <w:rsid w:val="00A6429F"/>
    <w:rsid w:val="00A66160"/>
    <w:rsid w:val="00A669DE"/>
    <w:rsid w:val="00A71039"/>
    <w:rsid w:val="00A710D5"/>
    <w:rsid w:val="00A71F51"/>
    <w:rsid w:val="00A72820"/>
    <w:rsid w:val="00A72AE8"/>
    <w:rsid w:val="00A7390C"/>
    <w:rsid w:val="00A73D93"/>
    <w:rsid w:val="00A74C9B"/>
    <w:rsid w:val="00A7763D"/>
    <w:rsid w:val="00A777BD"/>
    <w:rsid w:val="00A80044"/>
    <w:rsid w:val="00A8111D"/>
    <w:rsid w:val="00A815A5"/>
    <w:rsid w:val="00A824E1"/>
    <w:rsid w:val="00A82D1A"/>
    <w:rsid w:val="00A84A3F"/>
    <w:rsid w:val="00A862E2"/>
    <w:rsid w:val="00A86887"/>
    <w:rsid w:val="00A871BB"/>
    <w:rsid w:val="00A878AD"/>
    <w:rsid w:val="00A87C9C"/>
    <w:rsid w:val="00A92751"/>
    <w:rsid w:val="00A92EEF"/>
    <w:rsid w:val="00A9371B"/>
    <w:rsid w:val="00A955E4"/>
    <w:rsid w:val="00A9586E"/>
    <w:rsid w:val="00A96BDA"/>
    <w:rsid w:val="00A9758B"/>
    <w:rsid w:val="00A977C0"/>
    <w:rsid w:val="00AA0031"/>
    <w:rsid w:val="00AA0304"/>
    <w:rsid w:val="00AA046E"/>
    <w:rsid w:val="00AA15FA"/>
    <w:rsid w:val="00AA1979"/>
    <w:rsid w:val="00AA1D70"/>
    <w:rsid w:val="00AA1FE3"/>
    <w:rsid w:val="00AA2C1B"/>
    <w:rsid w:val="00AA444B"/>
    <w:rsid w:val="00AA5465"/>
    <w:rsid w:val="00AA54E0"/>
    <w:rsid w:val="00AA59F9"/>
    <w:rsid w:val="00AA6E3E"/>
    <w:rsid w:val="00AA741B"/>
    <w:rsid w:val="00AB39DE"/>
    <w:rsid w:val="00AB3D8B"/>
    <w:rsid w:val="00AB52B8"/>
    <w:rsid w:val="00AB600C"/>
    <w:rsid w:val="00AB60EE"/>
    <w:rsid w:val="00AB67D1"/>
    <w:rsid w:val="00AB77BA"/>
    <w:rsid w:val="00AC00BD"/>
    <w:rsid w:val="00AC08CF"/>
    <w:rsid w:val="00AC0BA2"/>
    <w:rsid w:val="00AC5B87"/>
    <w:rsid w:val="00AC6296"/>
    <w:rsid w:val="00AD0617"/>
    <w:rsid w:val="00AD1E7B"/>
    <w:rsid w:val="00AD25BC"/>
    <w:rsid w:val="00AD3876"/>
    <w:rsid w:val="00AD3D55"/>
    <w:rsid w:val="00AD4B4A"/>
    <w:rsid w:val="00AD6656"/>
    <w:rsid w:val="00AD73A1"/>
    <w:rsid w:val="00AD7FA8"/>
    <w:rsid w:val="00AE0AE9"/>
    <w:rsid w:val="00AE1194"/>
    <w:rsid w:val="00AE1619"/>
    <w:rsid w:val="00AE2DE3"/>
    <w:rsid w:val="00AE32D8"/>
    <w:rsid w:val="00AE3B1B"/>
    <w:rsid w:val="00AE5879"/>
    <w:rsid w:val="00AE5CCD"/>
    <w:rsid w:val="00AE6112"/>
    <w:rsid w:val="00AF0D54"/>
    <w:rsid w:val="00AF282A"/>
    <w:rsid w:val="00AF339C"/>
    <w:rsid w:val="00AF4BC7"/>
    <w:rsid w:val="00AF4FA1"/>
    <w:rsid w:val="00AF5623"/>
    <w:rsid w:val="00AF6A3A"/>
    <w:rsid w:val="00AF6C12"/>
    <w:rsid w:val="00AF7338"/>
    <w:rsid w:val="00B002CD"/>
    <w:rsid w:val="00B01A99"/>
    <w:rsid w:val="00B01F5A"/>
    <w:rsid w:val="00B021F5"/>
    <w:rsid w:val="00B03290"/>
    <w:rsid w:val="00B04182"/>
    <w:rsid w:val="00B047F2"/>
    <w:rsid w:val="00B0534B"/>
    <w:rsid w:val="00B06B26"/>
    <w:rsid w:val="00B073B0"/>
    <w:rsid w:val="00B07909"/>
    <w:rsid w:val="00B0799C"/>
    <w:rsid w:val="00B11283"/>
    <w:rsid w:val="00B13974"/>
    <w:rsid w:val="00B13AFF"/>
    <w:rsid w:val="00B1560B"/>
    <w:rsid w:val="00B16316"/>
    <w:rsid w:val="00B16AC7"/>
    <w:rsid w:val="00B1743D"/>
    <w:rsid w:val="00B201EE"/>
    <w:rsid w:val="00B20C63"/>
    <w:rsid w:val="00B22907"/>
    <w:rsid w:val="00B24B15"/>
    <w:rsid w:val="00B24F99"/>
    <w:rsid w:val="00B251D7"/>
    <w:rsid w:val="00B2548C"/>
    <w:rsid w:val="00B2615A"/>
    <w:rsid w:val="00B27766"/>
    <w:rsid w:val="00B31C63"/>
    <w:rsid w:val="00B33073"/>
    <w:rsid w:val="00B332D1"/>
    <w:rsid w:val="00B33559"/>
    <w:rsid w:val="00B3439C"/>
    <w:rsid w:val="00B343EF"/>
    <w:rsid w:val="00B3446D"/>
    <w:rsid w:val="00B3549E"/>
    <w:rsid w:val="00B354BE"/>
    <w:rsid w:val="00B362C8"/>
    <w:rsid w:val="00B36E2D"/>
    <w:rsid w:val="00B40164"/>
    <w:rsid w:val="00B40BF6"/>
    <w:rsid w:val="00B40F66"/>
    <w:rsid w:val="00B41221"/>
    <w:rsid w:val="00B41A0E"/>
    <w:rsid w:val="00B42250"/>
    <w:rsid w:val="00B42ECA"/>
    <w:rsid w:val="00B4333D"/>
    <w:rsid w:val="00B44D09"/>
    <w:rsid w:val="00B4527E"/>
    <w:rsid w:val="00B465FC"/>
    <w:rsid w:val="00B46E31"/>
    <w:rsid w:val="00B46E3C"/>
    <w:rsid w:val="00B515B5"/>
    <w:rsid w:val="00B51C7C"/>
    <w:rsid w:val="00B54F14"/>
    <w:rsid w:val="00B55A54"/>
    <w:rsid w:val="00B55BED"/>
    <w:rsid w:val="00B56424"/>
    <w:rsid w:val="00B56A46"/>
    <w:rsid w:val="00B56BA8"/>
    <w:rsid w:val="00B575C4"/>
    <w:rsid w:val="00B57EA2"/>
    <w:rsid w:val="00B61611"/>
    <w:rsid w:val="00B62FFC"/>
    <w:rsid w:val="00B640AC"/>
    <w:rsid w:val="00B6430D"/>
    <w:rsid w:val="00B64D68"/>
    <w:rsid w:val="00B6542C"/>
    <w:rsid w:val="00B66398"/>
    <w:rsid w:val="00B6668B"/>
    <w:rsid w:val="00B66D6C"/>
    <w:rsid w:val="00B6724F"/>
    <w:rsid w:val="00B6795F"/>
    <w:rsid w:val="00B67D2B"/>
    <w:rsid w:val="00B719C0"/>
    <w:rsid w:val="00B71C12"/>
    <w:rsid w:val="00B7297E"/>
    <w:rsid w:val="00B72E03"/>
    <w:rsid w:val="00B7391A"/>
    <w:rsid w:val="00B73AF6"/>
    <w:rsid w:val="00B744BC"/>
    <w:rsid w:val="00B76F48"/>
    <w:rsid w:val="00B77BB8"/>
    <w:rsid w:val="00B832CB"/>
    <w:rsid w:val="00B83F68"/>
    <w:rsid w:val="00B84AA8"/>
    <w:rsid w:val="00B86D47"/>
    <w:rsid w:val="00B87091"/>
    <w:rsid w:val="00B903D1"/>
    <w:rsid w:val="00B90E74"/>
    <w:rsid w:val="00B92390"/>
    <w:rsid w:val="00B92A47"/>
    <w:rsid w:val="00B93210"/>
    <w:rsid w:val="00B93BBD"/>
    <w:rsid w:val="00B93FED"/>
    <w:rsid w:val="00B9437C"/>
    <w:rsid w:val="00B96166"/>
    <w:rsid w:val="00B966F0"/>
    <w:rsid w:val="00B96EF7"/>
    <w:rsid w:val="00B96FD2"/>
    <w:rsid w:val="00B97BD1"/>
    <w:rsid w:val="00BA2129"/>
    <w:rsid w:val="00BA3753"/>
    <w:rsid w:val="00BA4268"/>
    <w:rsid w:val="00BA5B30"/>
    <w:rsid w:val="00BA5E68"/>
    <w:rsid w:val="00BA6409"/>
    <w:rsid w:val="00BA7738"/>
    <w:rsid w:val="00BB0E60"/>
    <w:rsid w:val="00BB112E"/>
    <w:rsid w:val="00BB1526"/>
    <w:rsid w:val="00BB2CF9"/>
    <w:rsid w:val="00BB438D"/>
    <w:rsid w:val="00BB5EED"/>
    <w:rsid w:val="00BB60AE"/>
    <w:rsid w:val="00BB6A23"/>
    <w:rsid w:val="00BC08DB"/>
    <w:rsid w:val="00BC0F63"/>
    <w:rsid w:val="00BC3698"/>
    <w:rsid w:val="00BC3DF5"/>
    <w:rsid w:val="00BC6308"/>
    <w:rsid w:val="00BC64D0"/>
    <w:rsid w:val="00BC6FE2"/>
    <w:rsid w:val="00BC7866"/>
    <w:rsid w:val="00BD2B17"/>
    <w:rsid w:val="00BD3507"/>
    <w:rsid w:val="00BD354E"/>
    <w:rsid w:val="00BD38D8"/>
    <w:rsid w:val="00BD64C7"/>
    <w:rsid w:val="00BD7737"/>
    <w:rsid w:val="00BE0432"/>
    <w:rsid w:val="00BE0733"/>
    <w:rsid w:val="00BE0EB0"/>
    <w:rsid w:val="00BE239A"/>
    <w:rsid w:val="00BE2515"/>
    <w:rsid w:val="00BE2FA1"/>
    <w:rsid w:val="00BE3466"/>
    <w:rsid w:val="00BE3970"/>
    <w:rsid w:val="00BE4528"/>
    <w:rsid w:val="00BE4A25"/>
    <w:rsid w:val="00BE544E"/>
    <w:rsid w:val="00BE56FA"/>
    <w:rsid w:val="00BE5AAD"/>
    <w:rsid w:val="00BE6510"/>
    <w:rsid w:val="00BE6AAE"/>
    <w:rsid w:val="00BE6CB7"/>
    <w:rsid w:val="00BE728E"/>
    <w:rsid w:val="00BE787E"/>
    <w:rsid w:val="00BF064C"/>
    <w:rsid w:val="00BF0E36"/>
    <w:rsid w:val="00BF1627"/>
    <w:rsid w:val="00BF21B6"/>
    <w:rsid w:val="00BF248C"/>
    <w:rsid w:val="00BF3AE7"/>
    <w:rsid w:val="00BF486E"/>
    <w:rsid w:val="00BF4DB7"/>
    <w:rsid w:val="00BF5320"/>
    <w:rsid w:val="00BF5335"/>
    <w:rsid w:val="00BF6346"/>
    <w:rsid w:val="00BF6D20"/>
    <w:rsid w:val="00BF7387"/>
    <w:rsid w:val="00C00A7E"/>
    <w:rsid w:val="00C00AA4"/>
    <w:rsid w:val="00C01EF6"/>
    <w:rsid w:val="00C02085"/>
    <w:rsid w:val="00C022A5"/>
    <w:rsid w:val="00C02764"/>
    <w:rsid w:val="00C02800"/>
    <w:rsid w:val="00C04910"/>
    <w:rsid w:val="00C057FF"/>
    <w:rsid w:val="00C060EF"/>
    <w:rsid w:val="00C0690F"/>
    <w:rsid w:val="00C076C0"/>
    <w:rsid w:val="00C07ACC"/>
    <w:rsid w:val="00C07CF0"/>
    <w:rsid w:val="00C07F8C"/>
    <w:rsid w:val="00C10AAF"/>
    <w:rsid w:val="00C10B7A"/>
    <w:rsid w:val="00C11F1E"/>
    <w:rsid w:val="00C12EF7"/>
    <w:rsid w:val="00C148B4"/>
    <w:rsid w:val="00C1716D"/>
    <w:rsid w:val="00C17699"/>
    <w:rsid w:val="00C178A7"/>
    <w:rsid w:val="00C21623"/>
    <w:rsid w:val="00C21EEC"/>
    <w:rsid w:val="00C2292D"/>
    <w:rsid w:val="00C2350E"/>
    <w:rsid w:val="00C23574"/>
    <w:rsid w:val="00C2432A"/>
    <w:rsid w:val="00C24CC9"/>
    <w:rsid w:val="00C25667"/>
    <w:rsid w:val="00C260DA"/>
    <w:rsid w:val="00C27075"/>
    <w:rsid w:val="00C315EE"/>
    <w:rsid w:val="00C31698"/>
    <w:rsid w:val="00C31AB2"/>
    <w:rsid w:val="00C32440"/>
    <w:rsid w:val="00C33C3A"/>
    <w:rsid w:val="00C34236"/>
    <w:rsid w:val="00C34D13"/>
    <w:rsid w:val="00C35DCE"/>
    <w:rsid w:val="00C35F1C"/>
    <w:rsid w:val="00C4279C"/>
    <w:rsid w:val="00C42C04"/>
    <w:rsid w:val="00C437BA"/>
    <w:rsid w:val="00C437ED"/>
    <w:rsid w:val="00C43968"/>
    <w:rsid w:val="00C44219"/>
    <w:rsid w:val="00C445C8"/>
    <w:rsid w:val="00C446A5"/>
    <w:rsid w:val="00C44760"/>
    <w:rsid w:val="00C45C2E"/>
    <w:rsid w:val="00C460B0"/>
    <w:rsid w:val="00C46862"/>
    <w:rsid w:val="00C46CEE"/>
    <w:rsid w:val="00C50273"/>
    <w:rsid w:val="00C5135E"/>
    <w:rsid w:val="00C52BB7"/>
    <w:rsid w:val="00C53070"/>
    <w:rsid w:val="00C5370E"/>
    <w:rsid w:val="00C543D9"/>
    <w:rsid w:val="00C54ADC"/>
    <w:rsid w:val="00C54E8B"/>
    <w:rsid w:val="00C55BB7"/>
    <w:rsid w:val="00C55BE0"/>
    <w:rsid w:val="00C62635"/>
    <w:rsid w:val="00C66213"/>
    <w:rsid w:val="00C668F3"/>
    <w:rsid w:val="00C70B60"/>
    <w:rsid w:val="00C71797"/>
    <w:rsid w:val="00C71A66"/>
    <w:rsid w:val="00C71FF3"/>
    <w:rsid w:val="00C72072"/>
    <w:rsid w:val="00C72FA8"/>
    <w:rsid w:val="00C731F3"/>
    <w:rsid w:val="00C7369B"/>
    <w:rsid w:val="00C73EB0"/>
    <w:rsid w:val="00C74015"/>
    <w:rsid w:val="00C74872"/>
    <w:rsid w:val="00C74A4C"/>
    <w:rsid w:val="00C74D2B"/>
    <w:rsid w:val="00C75B96"/>
    <w:rsid w:val="00C7752E"/>
    <w:rsid w:val="00C805F7"/>
    <w:rsid w:val="00C806B6"/>
    <w:rsid w:val="00C81685"/>
    <w:rsid w:val="00C81FD0"/>
    <w:rsid w:val="00C82A98"/>
    <w:rsid w:val="00C82B95"/>
    <w:rsid w:val="00C82DC5"/>
    <w:rsid w:val="00C83EDD"/>
    <w:rsid w:val="00C840E9"/>
    <w:rsid w:val="00C84368"/>
    <w:rsid w:val="00C866FF"/>
    <w:rsid w:val="00C87A47"/>
    <w:rsid w:val="00C87B10"/>
    <w:rsid w:val="00C87E6B"/>
    <w:rsid w:val="00C903A1"/>
    <w:rsid w:val="00C905A2"/>
    <w:rsid w:val="00C913F4"/>
    <w:rsid w:val="00C9172D"/>
    <w:rsid w:val="00C964D7"/>
    <w:rsid w:val="00CA0682"/>
    <w:rsid w:val="00CA089A"/>
    <w:rsid w:val="00CA15AA"/>
    <w:rsid w:val="00CA22E3"/>
    <w:rsid w:val="00CA29EB"/>
    <w:rsid w:val="00CA2F1C"/>
    <w:rsid w:val="00CA399A"/>
    <w:rsid w:val="00CA3EA6"/>
    <w:rsid w:val="00CA4335"/>
    <w:rsid w:val="00CA66B5"/>
    <w:rsid w:val="00CA6B9E"/>
    <w:rsid w:val="00CA6FF0"/>
    <w:rsid w:val="00CA7577"/>
    <w:rsid w:val="00CB059F"/>
    <w:rsid w:val="00CB0B19"/>
    <w:rsid w:val="00CB0C2A"/>
    <w:rsid w:val="00CB191B"/>
    <w:rsid w:val="00CB458D"/>
    <w:rsid w:val="00CB49B0"/>
    <w:rsid w:val="00CB5056"/>
    <w:rsid w:val="00CB555B"/>
    <w:rsid w:val="00CB678B"/>
    <w:rsid w:val="00CB6DAE"/>
    <w:rsid w:val="00CC052D"/>
    <w:rsid w:val="00CC1338"/>
    <w:rsid w:val="00CC3FCD"/>
    <w:rsid w:val="00CC5906"/>
    <w:rsid w:val="00CC6514"/>
    <w:rsid w:val="00CC7052"/>
    <w:rsid w:val="00CD129E"/>
    <w:rsid w:val="00CD1C53"/>
    <w:rsid w:val="00CD1CC9"/>
    <w:rsid w:val="00CD281F"/>
    <w:rsid w:val="00CD47C3"/>
    <w:rsid w:val="00CD4EDE"/>
    <w:rsid w:val="00CD5427"/>
    <w:rsid w:val="00CD56B4"/>
    <w:rsid w:val="00CD7182"/>
    <w:rsid w:val="00CD7CEF"/>
    <w:rsid w:val="00CE0987"/>
    <w:rsid w:val="00CE0EC9"/>
    <w:rsid w:val="00CE1BDF"/>
    <w:rsid w:val="00CE1C03"/>
    <w:rsid w:val="00CE37A3"/>
    <w:rsid w:val="00CE4B24"/>
    <w:rsid w:val="00CE6A7D"/>
    <w:rsid w:val="00CF0FB9"/>
    <w:rsid w:val="00CF108B"/>
    <w:rsid w:val="00CF129B"/>
    <w:rsid w:val="00CF156C"/>
    <w:rsid w:val="00CF1581"/>
    <w:rsid w:val="00CF59BA"/>
    <w:rsid w:val="00CF6D3B"/>
    <w:rsid w:val="00CF7733"/>
    <w:rsid w:val="00CF7896"/>
    <w:rsid w:val="00CF7D76"/>
    <w:rsid w:val="00D02AA6"/>
    <w:rsid w:val="00D02D10"/>
    <w:rsid w:val="00D02F19"/>
    <w:rsid w:val="00D045A2"/>
    <w:rsid w:val="00D046F4"/>
    <w:rsid w:val="00D05841"/>
    <w:rsid w:val="00D07F31"/>
    <w:rsid w:val="00D121EF"/>
    <w:rsid w:val="00D129E5"/>
    <w:rsid w:val="00D13ED1"/>
    <w:rsid w:val="00D147C9"/>
    <w:rsid w:val="00D147D7"/>
    <w:rsid w:val="00D1482A"/>
    <w:rsid w:val="00D15208"/>
    <w:rsid w:val="00D15B82"/>
    <w:rsid w:val="00D204D9"/>
    <w:rsid w:val="00D208C8"/>
    <w:rsid w:val="00D21269"/>
    <w:rsid w:val="00D216E4"/>
    <w:rsid w:val="00D21B72"/>
    <w:rsid w:val="00D220A2"/>
    <w:rsid w:val="00D22785"/>
    <w:rsid w:val="00D23069"/>
    <w:rsid w:val="00D23394"/>
    <w:rsid w:val="00D23A96"/>
    <w:rsid w:val="00D24809"/>
    <w:rsid w:val="00D25611"/>
    <w:rsid w:val="00D27876"/>
    <w:rsid w:val="00D301D0"/>
    <w:rsid w:val="00D30621"/>
    <w:rsid w:val="00D308EB"/>
    <w:rsid w:val="00D30B89"/>
    <w:rsid w:val="00D3234A"/>
    <w:rsid w:val="00D32B9E"/>
    <w:rsid w:val="00D32CF5"/>
    <w:rsid w:val="00D333FC"/>
    <w:rsid w:val="00D3435A"/>
    <w:rsid w:val="00D34E83"/>
    <w:rsid w:val="00D35397"/>
    <w:rsid w:val="00D35A0C"/>
    <w:rsid w:val="00D35BD3"/>
    <w:rsid w:val="00D35D77"/>
    <w:rsid w:val="00D40BFD"/>
    <w:rsid w:val="00D421FC"/>
    <w:rsid w:val="00D440D2"/>
    <w:rsid w:val="00D4587C"/>
    <w:rsid w:val="00D45A51"/>
    <w:rsid w:val="00D45C70"/>
    <w:rsid w:val="00D509A5"/>
    <w:rsid w:val="00D523A1"/>
    <w:rsid w:val="00D53476"/>
    <w:rsid w:val="00D54C56"/>
    <w:rsid w:val="00D56B26"/>
    <w:rsid w:val="00D576CE"/>
    <w:rsid w:val="00D57774"/>
    <w:rsid w:val="00D577CD"/>
    <w:rsid w:val="00D60347"/>
    <w:rsid w:val="00D60455"/>
    <w:rsid w:val="00D60934"/>
    <w:rsid w:val="00D60E27"/>
    <w:rsid w:val="00D61966"/>
    <w:rsid w:val="00D61F02"/>
    <w:rsid w:val="00D61F64"/>
    <w:rsid w:val="00D621C2"/>
    <w:rsid w:val="00D628B3"/>
    <w:rsid w:val="00D63174"/>
    <w:rsid w:val="00D63F7D"/>
    <w:rsid w:val="00D651B8"/>
    <w:rsid w:val="00D657AB"/>
    <w:rsid w:val="00D66EFF"/>
    <w:rsid w:val="00D67259"/>
    <w:rsid w:val="00D67A2D"/>
    <w:rsid w:val="00D67B08"/>
    <w:rsid w:val="00D70339"/>
    <w:rsid w:val="00D70986"/>
    <w:rsid w:val="00D70A43"/>
    <w:rsid w:val="00D70FAD"/>
    <w:rsid w:val="00D71105"/>
    <w:rsid w:val="00D72029"/>
    <w:rsid w:val="00D720C9"/>
    <w:rsid w:val="00D723DE"/>
    <w:rsid w:val="00D73012"/>
    <w:rsid w:val="00D74648"/>
    <w:rsid w:val="00D750AD"/>
    <w:rsid w:val="00D7518A"/>
    <w:rsid w:val="00D75CB4"/>
    <w:rsid w:val="00D76723"/>
    <w:rsid w:val="00D76DE5"/>
    <w:rsid w:val="00D77145"/>
    <w:rsid w:val="00D77DA5"/>
    <w:rsid w:val="00D77ECE"/>
    <w:rsid w:val="00D804FD"/>
    <w:rsid w:val="00D81C89"/>
    <w:rsid w:val="00D83176"/>
    <w:rsid w:val="00D83279"/>
    <w:rsid w:val="00D8388E"/>
    <w:rsid w:val="00D83B3D"/>
    <w:rsid w:val="00D858EC"/>
    <w:rsid w:val="00D86C70"/>
    <w:rsid w:val="00D86CF2"/>
    <w:rsid w:val="00D8759A"/>
    <w:rsid w:val="00D9063B"/>
    <w:rsid w:val="00D94B8F"/>
    <w:rsid w:val="00D960DF"/>
    <w:rsid w:val="00D96618"/>
    <w:rsid w:val="00D96C9C"/>
    <w:rsid w:val="00D97544"/>
    <w:rsid w:val="00D9761A"/>
    <w:rsid w:val="00D9768F"/>
    <w:rsid w:val="00D97EAB"/>
    <w:rsid w:val="00DA000F"/>
    <w:rsid w:val="00DA227D"/>
    <w:rsid w:val="00DA2B87"/>
    <w:rsid w:val="00DA2CAD"/>
    <w:rsid w:val="00DA3475"/>
    <w:rsid w:val="00DA3F5D"/>
    <w:rsid w:val="00DA4E7B"/>
    <w:rsid w:val="00DA609F"/>
    <w:rsid w:val="00DB0B8B"/>
    <w:rsid w:val="00DB1BEA"/>
    <w:rsid w:val="00DB402C"/>
    <w:rsid w:val="00DB4089"/>
    <w:rsid w:val="00DB4BAC"/>
    <w:rsid w:val="00DB5A82"/>
    <w:rsid w:val="00DB61B8"/>
    <w:rsid w:val="00DC03B9"/>
    <w:rsid w:val="00DC1707"/>
    <w:rsid w:val="00DC1D32"/>
    <w:rsid w:val="00DC2351"/>
    <w:rsid w:val="00DC2E74"/>
    <w:rsid w:val="00DC3776"/>
    <w:rsid w:val="00DC3A41"/>
    <w:rsid w:val="00DC44CD"/>
    <w:rsid w:val="00DC48B4"/>
    <w:rsid w:val="00DC4F8E"/>
    <w:rsid w:val="00DC5DE4"/>
    <w:rsid w:val="00DC6F45"/>
    <w:rsid w:val="00DC71D8"/>
    <w:rsid w:val="00DC7272"/>
    <w:rsid w:val="00DC7D31"/>
    <w:rsid w:val="00DD029D"/>
    <w:rsid w:val="00DD11C3"/>
    <w:rsid w:val="00DD15FF"/>
    <w:rsid w:val="00DD17B2"/>
    <w:rsid w:val="00DD1F1D"/>
    <w:rsid w:val="00DD2562"/>
    <w:rsid w:val="00DD29A1"/>
    <w:rsid w:val="00DD2D2C"/>
    <w:rsid w:val="00DD4116"/>
    <w:rsid w:val="00DD7951"/>
    <w:rsid w:val="00DE0513"/>
    <w:rsid w:val="00DE0D1D"/>
    <w:rsid w:val="00DE402B"/>
    <w:rsid w:val="00DE40E5"/>
    <w:rsid w:val="00DE50B5"/>
    <w:rsid w:val="00DE58E9"/>
    <w:rsid w:val="00DE7BA8"/>
    <w:rsid w:val="00DF00CF"/>
    <w:rsid w:val="00DF0391"/>
    <w:rsid w:val="00DF1571"/>
    <w:rsid w:val="00DF2DEE"/>
    <w:rsid w:val="00DF5911"/>
    <w:rsid w:val="00DF6347"/>
    <w:rsid w:val="00DF7319"/>
    <w:rsid w:val="00DF761D"/>
    <w:rsid w:val="00E003BC"/>
    <w:rsid w:val="00E00508"/>
    <w:rsid w:val="00E0176B"/>
    <w:rsid w:val="00E026EB"/>
    <w:rsid w:val="00E02ABC"/>
    <w:rsid w:val="00E03057"/>
    <w:rsid w:val="00E04AC9"/>
    <w:rsid w:val="00E061F8"/>
    <w:rsid w:val="00E07047"/>
    <w:rsid w:val="00E07265"/>
    <w:rsid w:val="00E100F7"/>
    <w:rsid w:val="00E10517"/>
    <w:rsid w:val="00E10677"/>
    <w:rsid w:val="00E10B0B"/>
    <w:rsid w:val="00E1128D"/>
    <w:rsid w:val="00E13AD7"/>
    <w:rsid w:val="00E14280"/>
    <w:rsid w:val="00E15671"/>
    <w:rsid w:val="00E162F8"/>
    <w:rsid w:val="00E16AF6"/>
    <w:rsid w:val="00E21115"/>
    <w:rsid w:val="00E21D6D"/>
    <w:rsid w:val="00E22709"/>
    <w:rsid w:val="00E23AEC"/>
    <w:rsid w:val="00E245D0"/>
    <w:rsid w:val="00E26870"/>
    <w:rsid w:val="00E26BAF"/>
    <w:rsid w:val="00E26CCA"/>
    <w:rsid w:val="00E30F86"/>
    <w:rsid w:val="00E3244C"/>
    <w:rsid w:val="00E3390F"/>
    <w:rsid w:val="00E33B81"/>
    <w:rsid w:val="00E341CB"/>
    <w:rsid w:val="00E35DDE"/>
    <w:rsid w:val="00E35F53"/>
    <w:rsid w:val="00E37A48"/>
    <w:rsid w:val="00E42D54"/>
    <w:rsid w:val="00E438DD"/>
    <w:rsid w:val="00E4487F"/>
    <w:rsid w:val="00E4533A"/>
    <w:rsid w:val="00E45947"/>
    <w:rsid w:val="00E459EA"/>
    <w:rsid w:val="00E47247"/>
    <w:rsid w:val="00E47F00"/>
    <w:rsid w:val="00E50ACC"/>
    <w:rsid w:val="00E50EE0"/>
    <w:rsid w:val="00E51466"/>
    <w:rsid w:val="00E51AC9"/>
    <w:rsid w:val="00E51C3A"/>
    <w:rsid w:val="00E52981"/>
    <w:rsid w:val="00E54A08"/>
    <w:rsid w:val="00E54A63"/>
    <w:rsid w:val="00E55444"/>
    <w:rsid w:val="00E56979"/>
    <w:rsid w:val="00E56D23"/>
    <w:rsid w:val="00E575FC"/>
    <w:rsid w:val="00E60BC8"/>
    <w:rsid w:val="00E63242"/>
    <w:rsid w:val="00E65A23"/>
    <w:rsid w:val="00E65E5A"/>
    <w:rsid w:val="00E7006B"/>
    <w:rsid w:val="00E702C8"/>
    <w:rsid w:val="00E70CE8"/>
    <w:rsid w:val="00E70E2D"/>
    <w:rsid w:val="00E70E72"/>
    <w:rsid w:val="00E70FAB"/>
    <w:rsid w:val="00E73DB5"/>
    <w:rsid w:val="00E74080"/>
    <w:rsid w:val="00E7555D"/>
    <w:rsid w:val="00E77722"/>
    <w:rsid w:val="00E80456"/>
    <w:rsid w:val="00E80AD1"/>
    <w:rsid w:val="00E82BE8"/>
    <w:rsid w:val="00E8344B"/>
    <w:rsid w:val="00E8409B"/>
    <w:rsid w:val="00E840A7"/>
    <w:rsid w:val="00E87C51"/>
    <w:rsid w:val="00E90E42"/>
    <w:rsid w:val="00E925ED"/>
    <w:rsid w:val="00E92B5E"/>
    <w:rsid w:val="00E93D53"/>
    <w:rsid w:val="00E94219"/>
    <w:rsid w:val="00E951A6"/>
    <w:rsid w:val="00E95364"/>
    <w:rsid w:val="00E9579F"/>
    <w:rsid w:val="00E95EB4"/>
    <w:rsid w:val="00E969EC"/>
    <w:rsid w:val="00E96FF8"/>
    <w:rsid w:val="00EA0CB2"/>
    <w:rsid w:val="00EA16F0"/>
    <w:rsid w:val="00EA1DCF"/>
    <w:rsid w:val="00EA1F47"/>
    <w:rsid w:val="00EA225A"/>
    <w:rsid w:val="00EA2BAA"/>
    <w:rsid w:val="00EA37F1"/>
    <w:rsid w:val="00EA388E"/>
    <w:rsid w:val="00EA3CDD"/>
    <w:rsid w:val="00EA5A5F"/>
    <w:rsid w:val="00EA73F5"/>
    <w:rsid w:val="00EA7931"/>
    <w:rsid w:val="00EB113E"/>
    <w:rsid w:val="00EB1247"/>
    <w:rsid w:val="00EB1932"/>
    <w:rsid w:val="00EB2B49"/>
    <w:rsid w:val="00EB38ED"/>
    <w:rsid w:val="00EC091C"/>
    <w:rsid w:val="00EC3C42"/>
    <w:rsid w:val="00EC4177"/>
    <w:rsid w:val="00EC4CFE"/>
    <w:rsid w:val="00EC5E6F"/>
    <w:rsid w:val="00EC7B7C"/>
    <w:rsid w:val="00ED0629"/>
    <w:rsid w:val="00ED1115"/>
    <w:rsid w:val="00ED12EC"/>
    <w:rsid w:val="00ED191E"/>
    <w:rsid w:val="00ED1E65"/>
    <w:rsid w:val="00ED246C"/>
    <w:rsid w:val="00ED247F"/>
    <w:rsid w:val="00ED325F"/>
    <w:rsid w:val="00ED3304"/>
    <w:rsid w:val="00ED3913"/>
    <w:rsid w:val="00ED4991"/>
    <w:rsid w:val="00ED5011"/>
    <w:rsid w:val="00ED6129"/>
    <w:rsid w:val="00ED67E8"/>
    <w:rsid w:val="00ED70C0"/>
    <w:rsid w:val="00ED79A3"/>
    <w:rsid w:val="00EE0CFE"/>
    <w:rsid w:val="00EE0D4C"/>
    <w:rsid w:val="00EE10CB"/>
    <w:rsid w:val="00EE275B"/>
    <w:rsid w:val="00EE32FF"/>
    <w:rsid w:val="00EE5F12"/>
    <w:rsid w:val="00EE6053"/>
    <w:rsid w:val="00EE6C16"/>
    <w:rsid w:val="00EE6DE3"/>
    <w:rsid w:val="00EE757A"/>
    <w:rsid w:val="00EF0095"/>
    <w:rsid w:val="00EF02AE"/>
    <w:rsid w:val="00EF0D29"/>
    <w:rsid w:val="00EF1A86"/>
    <w:rsid w:val="00EF1BF2"/>
    <w:rsid w:val="00EF2032"/>
    <w:rsid w:val="00EF2453"/>
    <w:rsid w:val="00EF2DA6"/>
    <w:rsid w:val="00EF3FD8"/>
    <w:rsid w:val="00EF44E6"/>
    <w:rsid w:val="00EF7955"/>
    <w:rsid w:val="00F007E8"/>
    <w:rsid w:val="00F017A0"/>
    <w:rsid w:val="00F02DBA"/>
    <w:rsid w:val="00F04116"/>
    <w:rsid w:val="00F0430C"/>
    <w:rsid w:val="00F05B4B"/>
    <w:rsid w:val="00F05FCA"/>
    <w:rsid w:val="00F06490"/>
    <w:rsid w:val="00F06910"/>
    <w:rsid w:val="00F06BFC"/>
    <w:rsid w:val="00F07EBA"/>
    <w:rsid w:val="00F10752"/>
    <w:rsid w:val="00F10DCC"/>
    <w:rsid w:val="00F11C10"/>
    <w:rsid w:val="00F11E51"/>
    <w:rsid w:val="00F1261E"/>
    <w:rsid w:val="00F12789"/>
    <w:rsid w:val="00F131BC"/>
    <w:rsid w:val="00F13F3E"/>
    <w:rsid w:val="00F14389"/>
    <w:rsid w:val="00F14805"/>
    <w:rsid w:val="00F14A3A"/>
    <w:rsid w:val="00F1518C"/>
    <w:rsid w:val="00F151B2"/>
    <w:rsid w:val="00F158B5"/>
    <w:rsid w:val="00F159B2"/>
    <w:rsid w:val="00F15DA6"/>
    <w:rsid w:val="00F16AAD"/>
    <w:rsid w:val="00F16DB4"/>
    <w:rsid w:val="00F171B8"/>
    <w:rsid w:val="00F17D69"/>
    <w:rsid w:val="00F20909"/>
    <w:rsid w:val="00F2107B"/>
    <w:rsid w:val="00F21D89"/>
    <w:rsid w:val="00F21E36"/>
    <w:rsid w:val="00F2209A"/>
    <w:rsid w:val="00F23315"/>
    <w:rsid w:val="00F23519"/>
    <w:rsid w:val="00F245EE"/>
    <w:rsid w:val="00F24948"/>
    <w:rsid w:val="00F25106"/>
    <w:rsid w:val="00F26809"/>
    <w:rsid w:val="00F275E2"/>
    <w:rsid w:val="00F278A3"/>
    <w:rsid w:val="00F2797D"/>
    <w:rsid w:val="00F30C4D"/>
    <w:rsid w:val="00F31B3F"/>
    <w:rsid w:val="00F324A9"/>
    <w:rsid w:val="00F33EE8"/>
    <w:rsid w:val="00F34570"/>
    <w:rsid w:val="00F354B9"/>
    <w:rsid w:val="00F36010"/>
    <w:rsid w:val="00F36797"/>
    <w:rsid w:val="00F36AEF"/>
    <w:rsid w:val="00F4030B"/>
    <w:rsid w:val="00F41CD0"/>
    <w:rsid w:val="00F42CF7"/>
    <w:rsid w:val="00F435DF"/>
    <w:rsid w:val="00F43669"/>
    <w:rsid w:val="00F439CF"/>
    <w:rsid w:val="00F4419C"/>
    <w:rsid w:val="00F44474"/>
    <w:rsid w:val="00F44AF9"/>
    <w:rsid w:val="00F44DCF"/>
    <w:rsid w:val="00F451F4"/>
    <w:rsid w:val="00F45576"/>
    <w:rsid w:val="00F45966"/>
    <w:rsid w:val="00F46035"/>
    <w:rsid w:val="00F47CD2"/>
    <w:rsid w:val="00F50670"/>
    <w:rsid w:val="00F52E81"/>
    <w:rsid w:val="00F56587"/>
    <w:rsid w:val="00F56CF6"/>
    <w:rsid w:val="00F5707E"/>
    <w:rsid w:val="00F57C5B"/>
    <w:rsid w:val="00F60311"/>
    <w:rsid w:val="00F61568"/>
    <w:rsid w:val="00F62B72"/>
    <w:rsid w:val="00F62CE7"/>
    <w:rsid w:val="00F62D03"/>
    <w:rsid w:val="00F62E9F"/>
    <w:rsid w:val="00F63F6D"/>
    <w:rsid w:val="00F64F72"/>
    <w:rsid w:val="00F64FC3"/>
    <w:rsid w:val="00F664D4"/>
    <w:rsid w:val="00F66BDD"/>
    <w:rsid w:val="00F66F9B"/>
    <w:rsid w:val="00F67F00"/>
    <w:rsid w:val="00F704AE"/>
    <w:rsid w:val="00F71243"/>
    <w:rsid w:val="00F71863"/>
    <w:rsid w:val="00F71A2B"/>
    <w:rsid w:val="00F71DF4"/>
    <w:rsid w:val="00F73071"/>
    <w:rsid w:val="00F7323D"/>
    <w:rsid w:val="00F73A1D"/>
    <w:rsid w:val="00F75FA3"/>
    <w:rsid w:val="00F7631A"/>
    <w:rsid w:val="00F76898"/>
    <w:rsid w:val="00F769C2"/>
    <w:rsid w:val="00F77FF0"/>
    <w:rsid w:val="00F8118B"/>
    <w:rsid w:val="00F824F3"/>
    <w:rsid w:val="00F828A4"/>
    <w:rsid w:val="00F82E93"/>
    <w:rsid w:val="00F84AB7"/>
    <w:rsid w:val="00F84B6B"/>
    <w:rsid w:val="00F84D52"/>
    <w:rsid w:val="00F8559F"/>
    <w:rsid w:val="00F85744"/>
    <w:rsid w:val="00F86F44"/>
    <w:rsid w:val="00F87613"/>
    <w:rsid w:val="00F927D0"/>
    <w:rsid w:val="00F92819"/>
    <w:rsid w:val="00F93F43"/>
    <w:rsid w:val="00F94750"/>
    <w:rsid w:val="00F94B63"/>
    <w:rsid w:val="00F95631"/>
    <w:rsid w:val="00F96079"/>
    <w:rsid w:val="00F96506"/>
    <w:rsid w:val="00F968B3"/>
    <w:rsid w:val="00FA0853"/>
    <w:rsid w:val="00FA23D3"/>
    <w:rsid w:val="00FA2CF8"/>
    <w:rsid w:val="00FA3384"/>
    <w:rsid w:val="00FA6407"/>
    <w:rsid w:val="00FA6AEB"/>
    <w:rsid w:val="00FB0508"/>
    <w:rsid w:val="00FB062B"/>
    <w:rsid w:val="00FB0962"/>
    <w:rsid w:val="00FB0D4F"/>
    <w:rsid w:val="00FB24CB"/>
    <w:rsid w:val="00FB2E42"/>
    <w:rsid w:val="00FB3211"/>
    <w:rsid w:val="00FB338F"/>
    <w:rsid w:val="00FB3BBB"/>
    <w:rsid w:val="00FB6246"/>
    <w:rsid w:val="00FB64C6"/>
    <w:rsid w:val="00FB7252"/>
    <w:rsid w:val="00FB76E5"/>
    <w:rsid w:val="00FC06B0"/>
    <w:rsid w:val="00FC07A4"/>
    <w:rsid w:val="00FC0F9F"/>
    <w:rsid w:val="00FC10EF"/>
    <w:rsid w:val="00FC1D42"/>
    <w:rsid w:val="00FC2496"/>
    <w:rsid w:val="00FC25D3"/>
    <w:rsid w:val="00FC39BD"/>
    <w:rsid w:val="00FC434B"/>
    <w:rsid w:val="00FC642F"/>
    <w:rsid w:val="00FC7014"/>
    <w:rsid w:val="00FC767F"/>
    <w:rsid w:val="00FD06A2"/>
    <w:rsid w:val="00FD22FD"/>
    <w:rsid w:val="00FD3E48"/>
    <w:rsid w:val="00FD54E9"/>
    <w:rsid w:val="00FD65D6"/>
    <w:rsid w:val="00FD6811"/>
    <w:rsid w:val="00FD6E6B"/>
    <w:rsid w:val="00FD6FE4"/>
    <w:rsid w:val="00FD7C5E"/>
    <w:rsid w:val="00FE0D98"/>
    <w:rsid w:val="00FE0FBF"/>
    <w:rsid w:val="00FE17DD"/>
    <w:rsid w:val="00FE1D8A"/>
    <w:rsid w:val="00FE2EEA"/>
    <w:rsid w:val="00FE4F07"/>
    <w:rsid w:val="00FF22B9"/>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E2"/>
    <w:pPr>
      <w:spacing w:after="200" w:line="276" w:lineRule="auto"/>
    </w:pPr>
    <w:rPr>
      <w:rFonts w:ascii="Arial" w:hAnsi="Arial"/>
      <w:sz w:val="24"/>
      <w:szCs w:val="22"/>
      <w:lang w:eastAsia="en-US"/>
    </w:rPr>
  </w:style>
  <w:style w:type="paragraph" w:styleId="Heading1">
    <w:name w:val="heading 1"/>
    <w:aliases w:val="'Part' Heading"/>
    <w:basedOn w:val="Normal"/>
    <w:next w:val="Normal"/>
    <w:link w:val="Heading1Char"/>
    <w:uiPriority w:val="9"/>
    <w:qFormat/>
    <w:rsid w:val="00FE4F07"/>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FE4F07"/>
    <w:pPr>
      <w:keepNext/>
      <w:spacing w:before="240" w:after="60"/>
      <w:outlineLvl w:val="1"/>
    </w:pPr>
    <w:rPr>
      <w:rFonts w:eastAsia="Times New Roman"/>
      <w:b/>
      <w:bCs/>
      <w:iCs/>
      <w:szCs w:val="28"/>
    </w:rPr>
  </w:style>
  <w:style w:type="paragraph" w:styleId="Heading3">
    <w:name w:val="heading 3"/>
    <w:aliases w:val="'Division' heading,Division heading"/>
    <w:basedOn w:val="Normal"/>
    <w:next w:val="Normal"/>
    <w:link w:val="Heading3Char"/>
    <w:uiPriority w:val="9"/>
    <w:unhideWhenUsed/>
    <w:qFormat/>
    <w:rsid w:val="00DF2DEE"/>
    <w:pPr>
      <w:spacing w:before="240" w:after="120"/>
      <w:outlineLvl w:val="2"/>
    </w:pPr>
    <w:rPr>
      <w:b/>
      <w:szCs w:val="26"/>
    </w:rPr>
  </w:style>
  <w:style w:type="paragraph" w:styleId="Heading4">
    <w:name w:val="heading 4"/>
    <w:aliases w:val="'Clause' heading"/>
    <w:basedOn w:val="Normal"/>
    <w:next w:val="Normal"/>
    <w:link w:val="Heading4Char"/>
    <w:uiPriority w:val="9"/>
    <w:unhideWhenUsed/>
    <w:qFormat/>
    <w:rsid w:val="00FE4F07"/>
    <w:pPr>
      <w:keepNext/>
      <w:spacing w:before="240" w:after="120"/>
      <w:outlineLvl w:val="3"/>
    </w:pPr>
    <w:rPr>
      <w:b/>
      <w:i/>
      <w:szCs w:val="24"/>
    </w:rPr>
  </w:style>
  <w:style w:type="paragraph" w:styleId="Heading5">
    <w:name w:val="heading 5"/>
    <w:aliases w:val="New Section heading"/>
    <w:basedOn w:val="Heading4"/>
    <w:next w:val="Normal"/>
    <w:link w:val="Heading5Char"/>
    <w:uiPriority w:val="9"/>
    <w:unhideWhenUsed/>
    <w:qFormat/>
    <w:rsid w:val="00BC3698"/>
    <w:pPr>
      <w:keepNext w:val="0"/>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FE4F07"/>
    <w:rPr>
      <w:rFonts w:ascii="Arial" w:eastAsia="Times New Roman" w:hAnsi="Arial"/>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FE4F07"/>
    <w:rPr>
      <w:rFonts w:ascii="Arial" w:eastAsia="Times New Roman" w:hAnsi="Arial"/>
      <w:b/>
      <w:bCs/>
      <w:iCs/>
      <w:sz w:val="24"/>
      <w:szCs w:val="28"/>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DF2DEE"/>
    <w:rPr>
      <w:rFonts w:ascii="Arial" w:hAnsi="Arial"/>
      <w:b/>
      <w:sz w:val="24"/>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FE4F07"/>
    <w:rPr>
      <w:rFonts w:ascii="Arial" w:hAnsi="Arial"/>
      <w:b/>
      <w:i/>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BC3698"/>
    <w:rPr>
      <w:rFonts w:ascii="Arial" w:hAnsi="Arial"/>
      <w:b/>
      <w:sz w:val="24"/>
      <w:szCs w:val="24"/>
      <w:lang w:eastAsia="en-US"/>
    </w:rPr>
  </w:style>
  <w:style w:type="paragraph" w:styleId="Revision">
    <w:name w:val="Revision"/>
    <w:hidden/>
    <w:uiPriority w:val="99"/>
    <w:semiHidden/>
    <w:rsid w:val="000D371D"/>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107167410">
      <w:bodyDiv w:val="1"/>
      <w:marLeft w:val="0"/>
      <w:marRight w:val="0"/>
      <w:marTop w:val="0"/>
      <w:marBottom w:val="0"/>
      <w:divBdr>
        <w:top w:val="none" w:sz="0" w:space="0" w:color="auto"/>
        <w:left w:val="none" w:sz="0" w:space="0" w:color="auto"/>
        <w:bottom w:val="none" w:sz="0" w:space="0" w:color="auto"/>
        <w:right w:val="none" w:sz="0" w:space="0" w:color="auto"/>
      </w:divBdr>
      <w:divsChild>
        <w:div w:id="1084692979">
          <w:marLeft w:val="0"/>
          <w:marRight w:val="0"/>
          <w:marTop w:val="15"/>
          <w:marBottom w:val="0"/>
          <w:divBdr>
            <w:top w:val="single" w:sz="48" w:space="0" w:color="auto"/>
            <w:left w:val="single" w:sz="48" w:space="0" w:color="auto"/>
            <w:bottom w:val="single" w:sz="48" w:space="0" w:color="auto"/>
            <w:right w:val="single" w:sz="48" w:space="0" w:color="auto"/>
          </w:divBdr>
          <w:divsChild>
            <w:div w:id="1602564932">
              <w:marLeft w:val="0"/>
              <w:marRight w:val="0"/>
              <w:marTop w:val="0"/>
              <w:marBottom w:val="0"/>
              <w:divBdr>
                <w:top w:val="none" w:sz="0" w:space="0" w:color="auto"/>
                <w:left w:val="none" w:sz="0" w:space="0" w:color="auto"/>
                <w:bottom w:val="none" w:sz="0" w:space="0" w:color="auto"/>
                <w:right w:val="none" w:sz="0" w:space="0" w:color="auto"/>
              </w:divBdr>
              <w:divsChild>
                <w:div w:id="1435251833">
                  <w:marLeft w:val="0"/>
                  <w:marRight w:val="0"/>
                  <w:marTop w:val="0"/>
                  <w:marBottom w:val="0"/>
                  <w:divBdr>
                    <w:top w:val="none" w:sz="0" w:space="0" w:color="auto"/>
                    <w:left w:val="none" w:sz="0" w:space="0" w:color="auto"/>
                    <w:bottom w:val="none" w:sz="0" w:space="0" w:color="auto"/>
                    <w:right w:val="none" w:sz="0" w:space="0" w:color="auto"/>
                  </w:divBdr>
                </w:div>
                <w:div w:id="222765228">
                  <w:marLeft w:val="0"/>
                  <w:marRight w:val="0"/>
                  <w:marTop w:val="0"/>
                  <w:marBottom w:val="0"/>
                  <w:divBdr>
                    <w:top w:val="none" w:sz="0" w:space="0" w:color="auto"/>
                    <w:left w:val="none" w:sz="0" w:space="0" w:color="auto"/>
                    <w:bottom w:val="none" w:sz="0" w:space="0" w:color="auto"/>
                    <w:right w:val="none" w:sz="0" w:space="0" w:color="auto"/>
                  </w:divBdr>
                </w:div>
                <w:div w:id="1950115675">
                  <w:marLeft w:val="0"/>
                  <w:marRight w:val="0"/>
                  <w:marTop w:val="0"/>
                  <w:marBottom w:val="0"/>
                  <w:divBdr>
                    <w:top w:val="none" w:sz="0" w:space="0" w:color="auto"/>
                    <w:left w:val="none" w:sz="0" w:space="0" w:color="auto"/>
                    <w:bottom w:val="none" w:sz="0" w:space="0" w:color="auto"/>
                    <w:right w:val="none" w:sz="0" w:space="0" w:color="auto"/>
                  </w:divBdr>
                </w:div>
                <w:div w:id="908148244">
                  <w:marLeft w:val="0"/>
                  <w:marRight w:val="0"/>
                  <w:marTop w:val="0"/>
                  <w:marBottom w:val="0"/>
                  <w:divBdr>
                    <w:top w:val="none" w:sz="0" w:space="0" w:color="auto"/>
                    <w:left w:val="none" w:sz="0" w:space="0" w:color="auto"/>
                    <w:bottom w:val="none" w:sz="0" w:space="0" w:color="auto"/>
                    <w:right w:val="none" w:sz="0" w:space="0" w:color="auto"/>
                  </w:divBdr>
                </w:div>
                <w:div w:id="711997983">
                  <w:marLeft w:val="0"/>
                  <w:marRight w:val="0"/>
                  <w:marTop w:val="0"/>
                  <w:marBottom w:val="0"/>
                  <w:divBdr>
                    <w:top w:val="none" w:sz="0" w:space="0" w:color="auto"/>
                    <w:left w:val="none" w:sz="0" w:space="0" w:color="auto"/>
                    <w:bottom w:val="none" w:sz="0" w:space="0" w:color="auto"/>
                    <w:right w:val="none" w:sz="0" w:space="0" w:color="auto"/>
                  </w:divBdr>
                </w:div>
                <w:div w:id="1150555213">
                  <w:marLeft w:val="0"/>
                  <w:marRight w:val="0"/>
                  <w:marTop w:val="0"/>
                  <w:marBottom w:val="0"/>
                  <w:divBdr>
                    <w:top w:val="none" w:sz="0" w:space="0" w:color="auto"/>
                    <w:left w:val="none" w:sz="0" w:space="0" w:color="auto"/>
                    <w:bottom w:val="none" w:sz="0" w:space="0" w:color="auto"/>
                    <w:right w:val="none" w:sz="0" w:space="0" w:color="auto"/>
                  </w:divBdr>
                </w:div>
                <w:div w:id="1701321240">
                  <w:marLeft w:val="0"/>
                  <w:marRight w:val="0"/>
                  <w:marTop w:val="0"/>
                  <w:marBottom w:val="0"/>
                  <w:divBdr>
                    <w:top w:val="none" w:sz="0" w:space="0" w:color="auto"/>
                    <w:left w:val="none" w:sz="0" w:space="0" w:color="auto"/>
                    <w:bottom w:val="none" w:sz="0" w:space="0" w:color="auto"/>
                    <w:right w:val="none" w:sz="0" w:space="0" w:color="auto"/>
                  </w:divBdr>
                </w:div>
                <w:div w:id="539243152">
                  <w:marLeft w:val="0"/>
                  <w:marRight w:val="0"/>
                  <w:marTop w:val="0"/>
                  <w:marBottom w:val="0"/>
                  <w:divBdr>
                    <w:top w:val="none" w:sz="0" w:space="0" w:color="auto"/>
                    <w:left w:val="none" w:sz="0" w:space="0" w:color="auto"/>
                    <w:bottom w:val="none" w:sz="0" w:space="0" w:color="auto"/>
                    <w:right w:val="none" w:sz="0" w:space="0" w:color="auto"/>
                  </w:divBdr>
                </w:div>
                <w:div w:id="1623266447">
                  <w:marLeft w:val="0"/>
                  <w:marRight w:val="0"/>
                  <w:marTop w:val="0"/>
                  <w:marBottom w:val="0"/>
                  <w:divBdr>
                    <w:top w:val="none" w:sz="0" w:space="0" w:color="auto"/>
                    <w:left w:val="none" w:sz="0" w:space="0" w:color="auto"/>
                    <w:bottom w:val="none" w:sz="0" w:space="0" w:color="auto"/>
                    <w:right w:val="none" w:sz="0" w:space="0" w:color="auto"/>
                  </w:divBdr>
                </w:div>
                <w:div w:id="1283657974">
                  <w:marLeft w:val="0"/>
                  <w:marRight w:val="0"/>
                  <w:marTop w:val="0"/>
                  <w:marBottom w:val="0"/>
                  <w:divBdr>
                    <w:top w:val="none" w:sz="0" w:space="0" w:color="auto"/>
                    <w:left w:val="none" w:sz="0" w:space="0" w:color="auto"/>
                    <w:bottom w:val="none" w:sz="0" w:space="0" w:color="auto"/>
                    <w:right w:val="none" w:sz="0" w:space="0" w:color="auto"/>
                  </w:divBdr>
                </w:div>
                <w:div w:id="943616005">
                  <w:marLeft w:val="0"/>
                  <w:marRight w:val="0"/>
                  <w:marTop w:val="0"/>
                  <w:marBottom w:val="0"/>
                  <w:divBdr>
                    <w:top w:val="none" w:sz="0" w:space="0" w:color="auto"/>
                    <w:left w:val="none" w:sz="0" w:space="0" w:color="auto"/>
                    <w:bottom w:val="none" w:sz="0" w:space="0" w:color="auto"/>
                    <w:right w:val="none" w:sz="0" w:space="0" w:color="auto"/>
                  </w:divBdr>
                </w:div>
                <w:div w:id="304511395">
                  <w:marLeft w:val="0"/>
                  <w:marRight w:val="0"/>
                  <w:marTop w:val="0"/>
                  <w:marBottom w:val="0"/>
                  <w:divBdr>
                    <w:top w:val="none" w:sz="0" w:space="0" w:color="auto"/>
                    <w:left w:val="none" w:sz="0" w:space="0" w:color="auto"/>
                    <w:bottom w:val="none" w:sz="0" w:space="0" w:color="auto"/>
                    <w:right w:val="none" w:sz="0" w:space="0" w:color="auto"/>
                  </w:divBdr>
                </w:div>
                <w:div w:id="2129271150">
                  <w:marLeft w:val="0"/>
                  <w:marRight w:val="0"/>
                  <w:marTop w:val="0"/>
                  <w:marBottom w:val="0"/>
                  <w:divBdr>
                    <w:top w:val="none" w:sz="0" w:space="0" w:color="auto"/>
                    <w:left w:val="none" w:sz="0" w:space="0" w:color="auto"/>
                    <w:bottom w:val="none" w:sz="0" w:space="0" w:color="auto"/>
                    <w:right w:val="none" w:sz="0" w:space="0" w:color="auto"/>
                  </w:divBdr>
                </w:div>
                <w:div w:id="639580009">
                  <w:marLeft w:val="0"/>
                  <w:marRight w:val="0"/>
                  <w:marTop w:val="0"/>
                  <w:marBottom w:val="0"/>
                  <w:divBdr>
                    <w:top w:val="none" w:sz="0" w:space="0" w:color="auto"/>
                    <w:left w:val="none" w:sz="0" w:space="0" w:color="auto"/>
                    <w:bottom w:val="none" w:sz="0" w:space="0" w:color="auto"/>
                    <w:right w:val="none" w:sz="0" w:space="0" w:color="auto"/>
                  </w:divBdr>
                </w:div>
                <w:div w:id="1098908913">
                  <w:marLeft w:val="0"/>
                  <w:marRight w:val="0"/>
                  <w:marTop w:val="0"/>
                  <w:marBottom w:val="0"/>
                  <w:divBdr>
                    <w:top w:val="none" w:sz="0" w:space="0" w:color="auto"/>
                    <w:left w:val="none" w:sz="0" w:space="0" w:color="auto"/>
                    <w:bottom w:val="none" w:sz="0" w:space="0" w:color="auto"/>
                    <w:right w:val="none" w:sz="0" w:space="0" w:color="auto"/>
                  </w:divBdr>
                </w:div>
                <w:div w:id="683632036">
                  <w:marLeft w:val="0"/>
                  <w:marRight w:val="0"/>
                  <w:marTop w:val="0"/>
                  <w:marBottom w:val="0"/>
                  <w:divBdr>
                    <w:top w:val="none" w:sz="0" w:space="0" w:color="auto"/>
                    <w:left w:val="none" w:sz="0" w:space="0" w:color="auto"/>
                    <w:bottom w:val="none" w:sz="0" w:space="0" w:color="auto"/>
                    <w:right w:val="none" w:sz="0" w:space="0" w:color="auto"/>
                  </w:divBdr>
                </w:div>
                <w:div w:id="165999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5581">
          <w:marLeft w:val="0"/>
          <w:marRight w:val="0"/>
          <w:marTop w:val="15"/>
          <w:marBottom w:val="0"/>
          <w:divBdr>
            <w:top w:val="single" w:sz="48" w:space="0" w:color="auto"/>
            <w:left w:val="single" w:sz="48" w:space="0" w:color="auto"/>
            <w:bottom w:val="single" w:sz="48" w:space="0" w:color="auto"/>
            <w:right w:val="single" w:sz="48" w:space="0" w:color="auto"/>
          </w:divBdr>
          <w:divsChild>
            <w:div w:id="2120680048">
              <w:marLeft w:val="0"/>
              <w:marRight w:val="0"/>
              <w:marTop w:val="0"/>
              <w:marBottom w:val="0"/>
              <w:divBdr>
                <w:top w:val="none" w:sz="0" w:space="0" w:color="auto"/>
                <w:left w:val="none" w:sz="0" w:space="0" w:color="auto"/>
                <w:bottom w:val="none" w:sz="0" w:space="0" w:color="auto"/>
                <w:right w:val="none" w:sz="0" w:space="0" w:color="auto"/>
              </w:divBdr>
              <w:divsChild>
                <w:div w:id="100876030">
                  <w:marLeft w:val="0"/>
                  <w:marRight w:val="0"/>
                  <w:marTop w:val="0"/>
                  <w:marBottom w:val="0"/>
                  <w:divBdr>
                    <w:top w:val="none" w:sz="0" w:space="0" w:color="auto"/>
                    <w:left w:val="none" w:sz="0" w:space="0" w:color="auto"/>
                    <w:bottom w:val="none" w:sz="0" w:space="0" w:color="auto"/>
                    <w:right w:val="none" w:sz="0" w:space="0" w:color="auto"/>
                  </w:divBdr>
                </w:div>
                <w:div w:id="995574051">
                  <w:marLeft w:val="0"/>
                  <w:marRight w:val="0"/>
                  <w:marTop w:val="0"/>
                  <w:marBottom w:val="0"/>
                  <w:divBdr>
                    <w:top w:val="none" w:sz="0" w:space="0" w:color="auto"/>
                    <w:left w:val="none" w:sz="0" w:space="0" w:color="auto"/>
                    <w:bottom w:val="none" w:sz="0" w:space="0" w:color="auto"/>
                    <w:right w:val="none" w:sz="0" w:space="0" w:color="auto"/>
                  </w:divBdr>
                </w:div>
                <w:div w:id="1825001874">
                  <w:marLeft w:val="0"/>
                  <w:marRight w:val="0"/>
                  <w:marTop w:val="0"/>
                  <w:marBottom w:val="0"/>
                  <w:divBdr>
                    <w:top w:val="none" w:sz="0" w:space="0" w:color="auto"/>
                    <w:left w:val="none" w:sz="0" w:space="0" w:color="auto"/>
                    <w:bottom w:val="none" w:sz="0" w:space="0" w:color="auto"/>
                    <w:right w:val="none" w:sz="0" w:space="0" w:color="auto"/>
                  </w:divBdr>
                </w:div>
                <w:div w:id="2115712130">
                  <w:marLeft w:val="0"/>
                  <w:marRight w:val="0"/>
                  <w:marTop w:val="0"/>
                  <w:marBottom w:val="0"/>
                  <w:divBdr>
                    <w:top w:val="none" w:sz="0" w:space="0" w:color="auto"/>
                    <w:left w:val="none" w:sz="0" w:space="0" w:color="auto"/>
                    <w:bottom w:val="none" w:sz="0" w:space="0" w:color="auto"/>
                    <w:right w:val="none" w:sz="0" w:space="0" w:color="auto"/>
                  </w:divBdr>
                </w:div>
                <w:div w:id="1751921239">
                  <w:marLeft w:val="0"/>
                  <w:marRight w:val="0"/>
                  <w:marTop w:val="0"/>
                  <w:marBottom w:val="0"/>
                  <w:divBdr>
                    <w:top w:val="none" w:sz="0" w:space="0" w:color="auto"/>
                    <w:left w:val="none" w:sz="0" w:space="0" w:color="auto"/>
                    <w:bottom w:val="none" w:sz="0" w:space="0" w:color="auto"/>
                    <w:right w:val="none" w:sz="0" w:space="0" w:color="auto"/>
                  </w:divBdr>
                </w:div>
                <w:div w:id="1445267041">
                  <w:marLeft w:val="0"/>
                  <w:marRight w:val="0"/>
                  <w:marTop w:val="0"/>
                  <w:marBottom w:val="0"/>
                  <w:divBdr>
                    <w:top w:val="none" w:sz="0" w:space="0" w:color="auto"/>
                    <w:left w:val="none" w:sz="0" w:space="0" w:color="auto"/>
                    <w:bottom w:val="none" w:sz="0" w:space="0" w:color="auto"/>
                    <w:right w:val="none" w:sz="0" w:space="0" w:color="auto"/>
                  </w:divBdr>
                </w:div>
                <w:div w:id="1126509051">
                  <w:marLeft w:val="0"/>
                  <w:marRight w:val="0"/>
                  <w:marTop w:val="0"/>
                  <w:marBottom w:val="0"/>
                  <w:divBdr>
                    <w:top w:val="none" w:sz="0" w:space="0" w:color="auto"/>
                    <w:left w:val="none" w:sz="0" w:space="0" w:color="auto"/>
                    <w:bottom w:val="none" w:sz="0" w:space="0" w:color="auto"/>
                    <w:right w:val="none" w:sz="0" w:space="0" w:color="auto"/>
                  </w:divBdr>
                </w:div>
                <w:div w:id="680425663">
                  <w:marLeft w:val="0"/>
                  <w:marRight w:val="0"/>
                  <w:marTop w:val="0"/>
                  <w:marBottom w:val="0"/>
                  <w:divBdr>
                    <w:top w:val="none" w:sz="0" w:space="0" w:color="auto"/>
                    <w:left w:val="none" w:sz="0" w:space="0" w:color="auto"/>
                    <w:bottom w:val="none" w:sz="0" w:space="0" w:color="auto"/>
                    <w:right w:val="none" w:sz="0" w:space="0" w:color="auto"/>
                  </w:divBdr>
                </w:div>
                <w:div w:id="1893732144">
                  <w:marLeft w:val="0"/>
                  <w:marRight w:val="0"/>
                  <w:marTop w:val="0"/>
                  <w:marBottom w:val="0"/>
                  <w:divBdr>
                    <w:top w:val="none" w:sz="0" w:space="0" w:color="auto"/>
                    <w:left w:val="none" w:sz="0" w:space="0" w:color="auto"/>
                    <w:bottom w:val="none" w:sz="0" w:space="0" w:color="auto"/>
                    <w:right w:val="none" w:sz="0" w:space="0" w:color="auto"/>
                  </w:divBdr>
                </w:div>
                <w:div w:id="983966047">
                  <w:marLeft w:val="0"/>
                  <w:marRight w:val="0"/>
                  <w:marTop w:val="0"/>
                  <w:marBottom w:val="0"/>
                  <w:divBdr>
                    <w:top w:val="none" w:sz="0" w:space="0" w:color="auto"/>
                    <w:left w:val="none" w:sz="0" w:space="0" w:color="auto"/>
                    <w:bottom w:val="none" w:sz="0" w:space="0" w:color="auto"/>
                    <w:right w:val="none" w:sz="0" w:space="0" w:color="auto"/>
                  </w:divBdr>
                </w:div>
                <w:div w:id="1238828791">
                  <w:marLeft w:val="0"/>
                  <w:marRight w:val="0"/>
                  <w:marTop w:val="0"/>
                  <w:marBottom w:val="0"/>
                  <w:divBdr>
                    <w:top w:val="none" w:sz="0" w:space="0" w:color="auto"/>
                    <w:left w:val="none" w:sz="0" w:space="0" w:color="auto"/>
                    <w:bottom w:val="none" w:sz="0" w:space="0" w:color="auto"/>
                    <w:right w:val="none" w:sz="0" w:space="0" w:color="auto"/>
                  </w:divBdr>
                </w:div>
                <w:div w:id="10398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162894">
      <w:bodyDiv w:val="1"/>
      <w:marLeft w:val="0"/>
      <w:marRight w:val="0"/>
      <w:marTop w:val="0"/>
      <w:marBottom w:val="0"/>
      <w:divBdr>
        <w:top w:val="none" w:sz="0" w:space="0" w:color="auto"/>
        <w:left w:val="none" w:sz="0" w:space="0" w:color="auto"/>
        <w:bottom w:val="none" w:sz="0" w:space="0" w:color="auto"/>
        <w:right w:val="none" w:sz="0" w:space="0" w:color="auto"/>
      </w:divBdr>
      <w:divsChild>
        <w:div w:id="724109460">
          <w:marLeft w:val="0"/>
          <w:marRight w:val="0"/>
          <w:marTop w:val="0"/>
          <w:marBottom w:val="0"/>
          <w:divBdr>
            <w:top w:val="none" w:sz="0" w:space="0" w:color="auto"/>
            <w:left w:val="none" w:sz="0" w:space="0" w:color="auto"/>
            <w:bottom w:val="none" w:sz="0" w:space="0" w:color="auto"/>
            <w:right w:val="none" w:sz="0" w:space="0" w:color="auto"/>
          </w:divBdr>
        </w:div>
      </w:divsChild>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63040719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973412202">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06364187">
      <w:bodyDiv w:val="1"/>
      <w:marLeft w:val="0"/>
      <w:marRight w:val="0"/>
      <w:marTop w:val="0"/>
      <w:marBottom w:val="0"/>
      <w:divBdr>
        <w:top w:val="none" w:sz="0" w:space="0" w:color="auto"/>
        <w:left w:val="none" w:sz="0" w:space="0" w:color="auto"/>
        <w:bottom w:val="none" w:sz="0" w:space="0" w:color="auto"/>
        <w:right w:val="none" w:sz="0" w:space="0" w:color="auto"/>
      </w:divBdr>
    </w:div>
    <w:div w:id="1532836161">
      <w:bodyDiv w:val="1"/>
      <w:marLeft w:val="0"/>
      <w:marRight w:val="0"/>
      <w:marTop w:val="0"/>
      <w:marBottom w:val="0"/>
      <w:divBdr>
        <w:top w:val="none" w:sz="0" w:space="0" w:color="auto"/>
        <w:left w:val="none" w:sz="0" w:space="0" w:color="auto"/>
        <w:bottom w:val="none" w:sz="0" w:space="0" w:color="auto"/>
        <w:right w:val="none" w:sz="0" w:space="0" w:color="auto"/>
      </w:divBdr>
      <w:divsChild>
        <w:div w:id="436221494">
          <w:marLeft w:val="0"/>
          <w:marRight w:val="0"/>
          <w:marTop w:val="0"/>
          <w:marBottom w:val="0"/>
          <w:divBdr>
            <w:top w:val="none" w:sz="0" w:space="0" w:color="auto"/>
            <w:left w:val="none" w:sz="0" w:space="0" w:color="auto"/>
            <w:bottom w:val="none" w:sz="0" w:space="0" w:color="auto"/>
            <w:right w:val="none" w:sz="0" w:space="0" w:color="auto"/>
          </w:divBdr>
        </w:div>
      </w:divsChild>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 w:id="1990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4.xml><?xml version="1.0" encoding="utf-8"?>
<ds:datastoreItem xmlns:ds="http://schemas.openxmlformats.org/officeDocument/2006/customXml" ds:itemID="{ACDF2EF3-A6FF-466D-A7F3-9219E1ED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10188</Words>
  <Characters>53866</Characters>
  <Application>Microsoft Office Word</Application>
  <DocSecurity>0</DocSecurity>
  <Lines>1047</Lines>
  <Paragraphs>394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63699</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cp:lastPrinted>2020-11-25T05:28:00Z</cp:lastPrinted>
  <dcterms:created xsi:type="dcterms:W3CDTF">2020-12-01T23:31:00Z</dcterms:created>
  <dcterms:modified xsi:type="dcterms:W3CDTF">2020-12-01T23:31:00Z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y fmtid="{D5CDD505-2E9C-101B-9397-08002B2CF9AE}" pid="3" name="DMSID">
    <vt:lpwstr>1272654</vt:lpwstr>
  </property>
  <property fmtid="{D5CDD505-2E9C-101B-9397-08002B2CF9AE}" pid="4" name="CHECKEDOUTFROMJMS">
    <vt:lpwstr/>
  </property>
  <property fmtid="{D5CDD505-2E9C-101B-9397-08002B2CF9AE}" pid="5" name="JMSREQUIREDCHECKIN">
    <vt:lpwstr/>
  </property>
</Properties>
</file>