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A5B5" w14:textId="0234A9D8" w:rsidR="0077621B" w:rsidRDefault="008144DC" w:rsidP="00623887">
      <w:pPr>
        <w:tabs>
          <w:tab w:val="left" w:pos="4820"/>
        </w:tabs>
        <w:spacing w:after="0"/>
        <w:rPr>
          <w:rFonts w:ascii="Arial" w:hAnsi="Arial" w:cs="Arial"/>
          <w:b/>
          <w:bCs/>
          <w:sz w:val="24"/>
          <w:szCs w:val="24"/>
        </w:rPr>
      </w:pPr>
      <w:r>
        <w:rPr>
          <w:rFonts w:ascii="Arial" w:hAnsi="Arial" w:cs="Arial"/>
          <w:b/>
          <w:bCs/>
          <w:sz w:val="24"/>
          <w:szCs w:val="24"/>
        </w:rPr>
        <w:t xml:space="preserve"> </w:t>
      </w:r>
    </w:p>
    <w:p w14:paraId="7C98A8B0" w14:textId="77777777" w:rsidR="002461D1" w:rsidRPr="008C3B92" w:rsidRDefault="002461D1" w:rsidP="0077621B">
      <w:pPr>
        <w:spacing w:after="0"/>
        <w:rPr>
          <w:rFonts w:ascii="Arial" w:hAnsi="Arial" w:cs="Arial"/>
          <w:b/>
          <w:bCs/>
          <w:sz w:val="24"/>
          <w:szCs w:val="24"/>
        </w:rPr>
      </w:pPr>
    </w:p>
    <w:p w14:paraId="437810A8" w14:textId="77777777" w:rsidR="0077621B" w:rsidRPr="008C3B92" w:rsidRDefault="0077621B" w:rsidP="0077621B">
      <w:pPr>
        <w:spacing w:after="0"/>
        <w:rPr>
          <w:rFonts w:ascii="Arial" w:hAnsi="Arial" w:cs="Arial"/>
          <w:b/>
          <w:bCs/>
          <w:sz w:val="24"/>
          <w:szCs w:val="24"/>
        </w:rPr>
      </w:pPr>
    </w:p>
    <w:p w14:paraId="7023D931" w14:textId="77777777" w:rsidR="0077621B" w:rsidRPr="00BB387E" w:rsidRDefault="0077621B" w:rsidP="0077621B">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2A5016AD" w14:textId="77777777" w:rsidR="0077621B" w:rsidRPr="00BB387E" w:rsidRDefault="0077621B" w:rsidP="0077621B">
      <w:pPr>
        <w:spacing w:after="0"/>
        <w:jc w:val="center"/>
        <w:rPr>
          <w:rFonts w:ascii="Arial" w:hAnsi="Arial" w:cs="Arial"/>
          <w:b/>
          <w:sz w:val="24"/>
          <w:szCs w:val="24"/>
        </w:rPr>
      </w:pPr>
    </w:p>
    <w:p w14:paraId="5D82B7A6" w14:textId="77777777" w:rsidR="0077621B" w:rsidRPr="00BB387E" w:rsidRDefault="0077621B" w:rsidP="0077621B">
      <w:pPr>
        <w:spacing w:after="0"/>
        <w:jc w:val="center"/>
        <w:rPr>
          <w:rFonts w:ascii="Arial" w:hAnsi="Arial" w:cs="Arial"/>
          <w:b/>
          <w:sz w:val="24"/>
          <w:szCs w:val="24"/>
        </w:rPr>
      </w:pPr>
    </w:p>
    <w:p w14:paraId="7ACC3C1C" w14:textId="77777777" w:rsidR="0077621B" w:rsidRPr="00BB387E" w:rsidRDefault="0077621B" w:rsidP="0077621B">
      <w:pPr>
        <w:spacing w:after="0"/>
        <w:jc w:val="center"/>
        <w:rPr>
          <w:rFonts w:ascii="Arial" w:hAnsi="Arial" w:cs="Arial"/>
          <w:b/>
          <w:sz w:val="24"/>
          <w:szCs w:val="24"/>
        </w:rPr>
      </w:pPr>
    </w:p>
    <w:p w14:paraId="082AF217" w14:textId="77777777" w:rsidR="0077621B" w:rsidRPr="00BB387E" w:rsidRDefault="0077621B" w:rsidP="0077621B">
      <w:pPr>
        <w:spacing w:after="0"/>
        <w:jc w:val="center"/>
        <w:rPr>
          <w:rFonts w:ascii="Arial" w:hAnsi="Arial" w:cs="Arial"/>
          <w:b/>
          <w:sz w:val="24"/>
          <w:szCs w:val="24"/>
        </w:rPr>
      </w:pPr>
    </w:p>
    <w:p w14:paraId="72960FD4" w14:textId="77777777" w:rsidR="0077621B" w:rsidRPr="00BB387E" w:rsidRDefault="0077621B" w:rsidP="0077621B">
      <w:pPr>
        <w:spacing w:after="0"/>
        <w:jc w:val="center"/>
        <w:rPr>
          <w:rFonts w:ascii="Arial" w:hAnsi="Arial" w:cs="Arial"/>
          <w:b/>
          <w:bCs/>
          <w:sz w:val="24"/>
          <w:szCs w:val="24"/>
        </w:rPr>
      </w:pPr>
    </w:p>
    <w:p w14:paraId="01EA300E" w14:textId="77777777" w:rsidR="0077621B" w:rsidRPr="00BB387E" w:rsidRDefault="0077621B" w:rsidP="0077621B">
      <w:pPr>
        <w:spacing w:after="0"/>
        <w:jc w:val="center"/>
        <w:rPr>
          <w:rFonts w:ascii="Arial" w:hAnsi="Arial" w:cs="Arial"/>
          <w:b/>
          <w:bCs/>
          <w:sz w:val="24"/>
          <w:szCs w:val="24"/>
        </w:rPr>
      </w:pPr>
    </w:p>
    <w:p w14:paraId="10423C44" w14:textId="77777777" w:rsidR="0077621B" w:rsidRPr="00BB387E" w:rsidRDefault="0077621B" w:rsidP="0077621B">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580EB281" w14:textId="77777777" w:rsidR="0077621B" w:rsidRPr="00BB387E" w:rsidRDefault="0077621B" w:rsidP="0077621B">
      <w:pPr>
        <w:spacing w:after="0"/>
        <w:jc w:val="center"/>
        <w:rPr>
          <w:rFonts w:ascii="Arial" w:hAnsi="Arial" w:cs="Arial"/>
          <w:b/>
          <w:sz w:val="24"/>
          <w:szCs w:val="24"/>
        </w:rPr>
      </w:pPr>
      <w:r w:rsidRPr="00BB387E">
        <w:rPr>
          <w:rFonts w:ascii="Arial" w:hAnsi="Arial" w:cs="Arial"/>
          <w:b/>
          <w:bCs/>
          <w:sz w:val="24"/>
          <w:szCs w:val="24"/>
        </w:rPr>
        <w:t>AUSTRALIAN CAPITAL TERRITORY</w:t>
      </w:r>
    </w:p>
    <w:p w14:paraId="46E2D960" w14:textId="77777777" w:rsidR="0077621B" w:rsidRPr="00BB387E" w:rsidRDefault="0077621B" w:rsidP="0077621B">
      <w:pPr>
        <w:spacing w:after="0"/>
        <w:jc w:val="center"/>
        <w:rPr>
          <w:rFonts w:ascii="Arial" w:hAnsi="Arial" w:cs="Arial"/>
          <w:b/>
          <w:sz w:val="24"/>
          <w:szCs w:val="24"/>
        </w:rPr>
      </w:pPr>
    </w:p>
    <w:p w14:paraId="07BA21E7" w14:textId="77777777" w:rsidR="0077621B" w:rsidRPr="00BB387E" w:rsidRDefault="0077621B" w:rsidP="0077621B">
      <w:pPr>
        <w:spacing w:after="0"/>
        <w:jc w:val="center"/>
        <w:rPr>
          <w:rFonts w:ascii="Arial" w:hAnsi="Arial" w:cs="Arial"/>
          <w:b/>
          <w:sz w:val="24"/>
          <w:szCs w:val="24"/>
        </w:rPr>
      </w:pPr>
    </w:p>
    <w:p w14:paraId="0AB34F39" w14:textId="77777777" w:rsidR="0077621B" w:rsidRPr="00BB387E" w:rsidRDefault="0077621B" w:rsidP="0077621B">
      <w:pPr>
        <w:spacing w:after="0"/>
        <w:jc w:val="center"/>
        <w:rPr>
          <w:rFonts w:ascii="Arial" w:hAnsi="Arial" w:cs="Arial"/>
          <w:b/>
          <w:sz w:val="24"/>
          <w:szCs w:val="24"/>
        </w:rPr>
      </w:pPr>
    </w:p>
    <w:p w14:paraId="1BF2E8F1" w14:textId="77777777" w:rsidR="0077621B" w:rsidRPr="00BB387E" w:rsidRDefault="0077621B" w:rsidP="0077621B">
      <w:pPr>
        <w:spacing w:after="0"/>
        <w:jc w:val="center"/>
        <w:rPr>
          <w:rFonts w:ascii="Arial" w:hAnsi="Arial" w:cs="Arial"/>
          <w:b/>
          <w:sz w:val="24"/>
          <w:szCs w:val="24"/>
        </w:rPr>
      </w:pPr>
    </w:p>
    <w:p w14:paraId="50DF37F9" w14:textId="77777777" w:rsidR="0077621B" w:rsidRPr="00BB387E" w:rsidRDefault="0077621B" w:rsidP="0077621B">
      <w:pPr>
        <w:spacing w:after="0"/>
        <w:jc w:val="center"/>
        <w:rPr>
          <w:rFonts w:ascii="Arial" w:hAnsi="Arial" w:cs="Arial"/>
          <w:b/>
          <w:sz w:val="24"/>
          <w:szCs w:val="24"/>
        </w:rPr>
      </w:pPr>
    </w:p>
    <w:p w14:paraId="1E731DCE" w14:textId="77777777" w:rsidR="0077621B" w:rsidRPr="00BB387E" w:rsidRDefault="0077621B" w:rsidP="0077621B">
      <w:pPr>
        <w:spacing w:after="0"/>
        <w:jc w:val="center"/>
        <w:rPr>
          <w:rFonts w:ascii="Arial" w:hAnsi="Arial" w:cs="Arial"/>
          <w:b/>
          <w:sz w:val="24"/>
          <w:szCs w:val="24"/>
        </w:rPr>
      </w:pPr>
    </w:p>
    <w:p w14:paraId="414B3337" w14:textId="77777777" w:rsidR="0077621B" w:rsidRPr="00BB387E" w:rsidRDefault="0077621B" w:rsidP="0077621B">
      <w:pPr>
        <w:spacing w:after="0"/>
        <w:jc w:val="center"/>
        <w:rPr>
          <w:rFonts w:ascii="Arial" w:hAnsi="Arial" w:cs="Arial"/>
          <w:b/>
          <w:sz w:val="24"/>
          <w:szCs w:val="24"/>
        </w:rPr>
      </w:pPr>
    </w:p>
    <w:p w14:paraId="7CF8947A" w14:textId="77777777" w:rsidR="0077621B" w:rsidRPr="00BB387E" w:rsidRDefault="0077621B" w:rsidP="0077621B">
      <w:pPr>
        <w:spacing w:after="0"/>
        <w:jc w:val="center"/>
        <w:rPr>
          <w:rFonts w:ascii="Arial" w:hAnsi="Arial" w:cs="Arial"/>
          <w:b/>
          <w:sz w:val="24"/>
          <w:szCs w:val="24"/>
        </w:rPr>
      </w:pPr>
    </w:p>
    <w:p w14:paraId="676501CE" w14:textId="77777777" w:rsidR="0077621B" w:rsidRPr="00BB387E" w:rsidRDefault="0077621B" w:rsidP="0077621B">
      <w:pPr>
        <w:spacing w:after="0"/>
        <w:jc w:val="center"/>
        <w:rPr>
          <w:rFonts w:ascii="Arial" w:hAnsi="Arial" w:cs="Arial"/>
          <w:b/>
          <w:sz w:val="24"/>
          <w:szCs w:val="24"/>
        </w:rPr>
      </w:pPr>
    </w:p>
    <w:p w14:paraId="290334D9" w14:textId="77777777" w:rsidR="0077621B" w:rsidRPr="00BB387E" w:rsidRDefault="0077621B" w:rsidP="0077621B">
      <w:pPr>
        <w:spacing w:after="0"/>
        <w:jc w:val="center"/>
        <w:rPr>
          <w:rFonts w:ascii="Arial" w:hAnsi="Arial" w:cs="Arial"/>
          <w:b/>
          <w:sz w:val="24"/>
          <w:szCs w:val="24"/>
        </w:rPr>
      </w:pPr>
    </w:p>
    <w:p w14:paraId="7B0F29B7" w14:textId="4FF3E77B" w:rsidR="0077621B" w:rsidRPr="00741C4A" w:rsidRDefault="0077621B" w:rsidP="0077621B">
      <w:pPr>
        <w:spacing w:after="0"/>
        <w:jc w:val="center"/>
        <w:rPr>
          <w:rFonts w:ascii="Arial" w:hAnsi="Arial" w:cs="Arial"/>
          <w:b/>
          <w:bCs/>
          <w:sz w:val="24"/>
          <w:szCs w:val="24"/>
        </w:rPr>
      </w:pPr>
      <w:r>
        <w:rPr>
          <w:rFonts w:ascii="Arial" w:hAnsi="Arial" w:cs="Arial"/>
          <w:b/>
          <w:bCs/>
          <w:sz w:val="24"/>
          <w:szCs w:val="24"/>
        </w:rPr>
        <w:t xml:space="preserve"> </w:t>
      </w:r>
      <w:r w:rsidR="00CB23E5">
        <w:rPr>
          <w:rFonts w:ascii="Arial" w:hAnsi="Arial" w:cs="Arial"/>
          <w:b/>
          <w:bCs/>
          <w:sz w:val="24"/>
          <w:szCs w:val="24"/>
        </w:rPr>
        <w:t>JUSTICE AND COMMUNITY SAFETY LEGISLATION AMENDMENT BILL</w:t>
      </w:r>
      <w:r w:rsidRPr="00741C4A">
        <w:rPr>
          <w:rFonts w:ascii="Arial" w:hAnsi="Arial" w:cs="Arial"/>
          <w:b/>
          <w:bCs/>
          <w:sz w:val="24"/>
          <w:szCs w:val="24"/>
        </w:rPr>
        <w:t xml:space="preserve"> 20</w:t>
      </w:r>
      <w:r>
        <w:rPr>
          <w:rFonts w:ascii="Arial" w:hAnsi="Arial" w:cs="Arial"/>
          <w:b/>
          <w:bCs/>
          <w:sz w:val="24"/>
          <w:szCs w:val="24"/>
        </w:rPr>
        <w:t>20</w:t>
      </w:r>
    </w:p>
    <w:p w14:paraId="0FC05D3A" w14:textId="77777777" w:rsidR="0077621B" w:rsidRPr="00BB387E" w:rsidRDefault="0077621B" w:rsidP="0077621B">
      <w:pPr>
        <w:spacing w:after="0"/>
        <w:jc w:val="center"/>
        <w:rPr>
          <w:rFonts w:ascii="Arial" w:hAnsi="Arial" w:cs="Arial"/>
          <w:b/>
          <w:bCs/>
          <w:sz w:val="24"/>
          <w:szCs w:val="24"/>
        </w:rPr>
      </w:pPr>
    </w:p>
    <w:p w14:paraId="61C52467" w14:textId="77777777" w:rsidR="0077621B" w:rsidRPr="00BB387E" w:rsidRDefault="0077621B" w:rsidP="0077621B">
      <w:pPr>
        <w:spacing w:after="0"/>
        <w:jc w:val="center"/>
        <w:rPr>
          <w:rFonts w:ascii="Arial" w:hAnsi="Arial" w:cs="Arial"/>
          <w:b/>
          <w:sz w:val="24"/>
          <w:szCs w:val="24"/>
        </w:rPr>
      </w:pPr>
    </w:p>
    <w:p w14:paraId="6312754F" w14:textId="77777777" w:rsidR="0077621B" w:rsidRPr="00BB387E" w:rsidRDefault="0077621B" w:rsidP="0077621B">
      <w:pPr>
        <w:spacing w:after="0"/>
        <w:jc w:val="center"/>
        <w:rPr>
          <w:rFonts w:ascii="Arial" w:hAnsi="Arial" w:cs="Arial"/>
          <w:b/>
          <w:bCs/>
          <w:sz w:val="24"/>
          <w:szCs w:val="24"/>
        </w:rPr>
      </w:pPr>
    </w:p>
    <w:p w14:paraId="562B3522" w14:textId="77777777" w:rsidR="0077621B" w:rsidRDefault="0077621B" w:rsidP="0077621B">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52A24699" w14:textId="77777777" w:rsidR="0077621B" w:rsidRDefault="0077621B" w:rsidP="0077621B">
      <w:pPr>
        <w:spacing w:after="0"/>
        <w:jc w:val="center"/>
        <w:rPr>
          <w:rFonts w:ascii="Arial" w:hAnsi="Arial" w:cs="Arial"/>
          <w:b/>
          <w:bCs/>
          <w:sz w:val="24"/>
          <w:szCs w:val="24"/>
        </w:rPr>
      </w:pPr>
      <w:r>
        <w:rPr>
          <w:rFonts w:ascii="Arial" w:hAnsi="Arial" w:cs="Arial"/>
          <w:b/>
          <w:bCs/>
          <w:sz w:val="24"/>
          <w:szCs w:val="24"/>
        </w:rPr>
        <w:t>and</w:t>
      </w:r>
    </w:p>
    <w:p w14:paraId="367B2EFA" w14:textId="77777777" w:rsidR="0077621B" w:rsidRDefault="0077621B" w:rsidP="0077621B">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EC60D08" w14:textId="77777777" w:rsidR="0077621B" w:rsidRPr="00BB387E" w:rsidRDefault="0077621B" w:rsidP="0077621B">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7EEEA812" w14:textId="77777777" w:rsidR="0077621B" w:rsidRPr="00BB387E" w:rsidRDefault="0077621B" w:rsidP="0077621B">
      <w:pPr>
        <w:spacing w:after="0"/>
        <w:jc w:val="center"/>
        <w:rPr>
          <w:rFonts w:ascii="Arial" w:hAnsi="Arial" w:cs="Arial"/>
          <w:b/>
          <w:sz w:val="24"/>
          <w:szCs w:val="24"/>
        </w:rPr>
      </w:pPr>
    </w:p>
    <w:p w14:paraId="24B2B546" w14:textId="77777777" w:rsidR="0077621B" w:rsidRPr="00BB387E" w:rsidRDefault="0077621B" w:rsidP="0077621B">
      <w:pPr>
        <w:spacing w:after="0"/>
        <w:jc w:val="center"/>
        <w:rPr>
          <w:rFonts w:ascii="Arial" w:hAnsi="Arial" w:cs="Arial"/>
          <w:b/>
          <w:sz w:val="24"/>
          <w:szCs w:val="24"/>
        </w:rPr>
      </w:pPr>
    </w:p>
    <w:p w14:paraId="76E10648" w14:textId="77777777" w:rsidR="0077621B" w:rsidRPr="00BB387E" w:rsidRDefault="0077621B" w:rsidP="0077621B">
      <w:pPr>
        <w:spacing w:after="0"/>
        <w:jc w:val="center"/>
        <w:rPr>
          <w:rFonts w:ascii="Arial" w:hAnsi="Arial" w:cs="Arial"/>
          <w:b/>
          <w:sz w:val="24"/>
          <w:szCs w:val="24"/>
        </w:rPr>
      </w:pPr>
    </w:p>
    <w:p w14:paraId="31BAFFC7" w14:textId="77777777" w:rsidR="0077621B" w:rsidRPr="00BB387E" w:rsidRDefault="0077621B" w:rsidP="0077621B">
      <w:pPr>
        <w:spacing w:after="0"/>
        <w:jc w:val="center"/>
        <w:rPr>
          <w:rFonts w:ascii="Arial" w:hAnsi="Arial" w:cs="Arial"/>
          <w:b/>
          <w:sz w:val="24"/>
          <w:szCs w:val="24"/>
        </w:rPr>
      </w:pPr>
    </w:p>
    <w:p w14:paraId="6DF34670" w14:textId="77777777" w:rsidR="0077621B" w:rsidRPr="00BB387E" w:rsidRDefault="0077621B" w:rsidP="0077621B">
      <w:pPr>
        <w:keepNext/>
        <w:widowControl w:val="0"/>
        <w:spacing w:after="0"/>
        <w:jc w:val="center"/>
        <w:outlineLvl w:val="7"/>
        <w:rPr>
          <w:rFonts w:ascii="Arial" w:hAnsi="Arial" w:cs="Arial"/>
          <w:b/>
          <w:bCs/>
          <w:sz w:val="24"/>
          <w:szCs w:val="24"/>
        </w:rPr>
      </w:pPr>
    </w:p>
    <w:p w14:paraId="28E22C07" w14:textId="77777777" w:rsidR="0077621B" w:rsidRPr="00BB387E" w:rsidRDefault="0077621B" w:rsidP="0077621B">
      <w:pPr>
        <w:keepNext/>
        <w:widowControl w:val="0"/>
        <w:spacing w:after="0"/>
        <w:jc w:val="center"/>
        <w:outlineLvl w:val="7"/>
        <w:rPr>
          <w:rFonts w:ascii="Arial" w:hAnsi="Arial" w:cs="Arial"/>
          <w:b/>
          <w:bCs/>
          <w:sz w:val="24"/>
          <w:szCs w:val="24"/>
        </w:rPr>
      </w:pPr>
    </w:p>
    <w:p w14:paraId="07BFCD68" w14:textId="77777777" w:rsidR="0077621B" w:rsidRPr="003076BF" w:rsidRDefault="0077621B" w:rsidP="003076BF">
      <w:pPr>
        <w:spacing w:after="0"/>
        <w:ind w:right="686"/>
        <w:jc w:val="right"/>
        <w:rPr>
          <w:rFonts w:ascii="Arial" w:hAnsi="Arial" w:cs="Arial"/>
          <w:b/>
          <w:bCs/>
          <w:sz w:val="24"/>
          <w:szCs w:val="24"/>
        </w:rPr>
      </w:pPr>
      <w:r w:rsidRPr="003076BF">
        <w:rPr>
          <w:rFonts w:ascii="Arial" w:hAnsi="Arial" w:cs="Arial"/>
          <w:b/>
          <w:bCs/>
          <w:sz w:val="24"/>
          <w:szCs w:val="24"/>
        </w:rPr>
        <w:t>Presented by</w:t>
      </w:r>
    </w:p>
    <w:p w14:paraId="6437BF7C" w14:textId="77777777" w:rsidR="0077621B" w:rsidRDefault="0077621B" w:rsidP="0077621B">
      <w:pPr>
        <w:spacing w:after="0"/>
        <w:ind w:right="686"/>
        <w:jc w:val="right"/>
        <w:rPr>
          <w:rFonts w:ascii="Arial" w:hAnsi="Arial" w:cs="Arial"/>
          <w:b/>
          <w:bCs/>
          <w:sz w:val="24"/>
          <w:szCs w:val="24"/>
        </w:rPr>
      </w:pPr>
      <w:r>
        <w:rPr>
          <w:rFonts w:ascii="Arial" w:hAnsi="Arial" w:cs="Arial"/>
          <w:b/>
          <w:bCs/>
          <w:sz w:val="24"/>
          <w:szCs w:val="24"/>
        </w:rPr>
        <w:t xml:space="preserve">Shane </w:t>
      </w:r>
      <w:proofErr w:type="spellStart"/>
      <w:r>
        <w:rPr>
          <w:rFonts w:ascii="Arial" w:hAnsi="Arial" w:cs="Arial"/>
          <w:b/>
          <w:bCs/>
          <w:sz w:val="24"/>
          <w:szCs w:val="24"/>
        </w:rPr>
        <w:t>Rattenbury</w:t>
      </w:r>
      <w:proofErr w:type="spellEnd"/>
      <w:r>
        <w:rPr>
          <w:rFonts w:ascii="Arial" w:hAnsi="Arial" w:cs="Arial"/>
          <w:b/>
          <w:bCs/>
          <w:sz w:val="24"/>
          <w:szCs w:val="24"/>
        </w:rPr>
        <w:t xml:space="preserve"> MLA</w:t>
      </w:r>
    </w:p>
    <w:p w14:paraId="49B9D46F" w14:textId="2623619C" w:rsidR="0077621B" w:rsidRPr="00BB387E" w:rsidRDefault="00CB23E5" w:rsidP="0077621B">
      <w:pPr>
        <w:spacing w:after="0"/>
        <w:ind w:right="686"/>
        <w:jc w:val="right"/>
        <w:rPr>
          <w:rFonts w:ascii="Arial" w:hAnsi="Arial" w:cs="Arial"/>
          <w:b/>
          <w:bCs/>
          <w:sz w:val="24"/>
          <w:szCs w:val="24"/>
        </w:rPr>
      </w:pPr>
      <w:r>
        <w:rPr>
          <w:rFonts w:ascii="Arial" w:hAnsi="Arial" w:cs="Arial"/>
          <w:b/>
          <w:bCs/>
          <w:sz w:val="24"/>
          <w:szCs w:val="24"/>
        </w:rPr>
        <w:t>Attorney-General</w:t>
      </w:r>
    </w:p>
    <w:p w14:paraId="79177EBD" w14:textId="77777777" w:rsidR="0077621B" w:rsidRPr="008C3B92" w:rsidRDefault="0077621B" w:rsidP="0077621B">
      <w:pPr>
        <w:spacing w:after="0" w:line="240" w:lineRule="auto"/>
        <w:rPr>
          <w:rFonts w:ascii="Arial" w:hAnsi="Arial" w:cs="Arial"/>
          <w:b/>
          <w:bCs/>
          <w:sz w:val="24"/>
          <w:szCs w:val="24"/>
          <w:u w:val="single"/>
        </w:rPr>
        <w:sectPr w:rsidR="0077621B" w:rsidRPr="008C3B92" w:rsidSect="00DC5912">
          <w:footerReference w:type="default" r:id="rId9"/>
          <w:footerReference w:type="first" r:id="rId10"/>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1565FF64" w14:textId="3267E236" w:rsidR="0077621B" w:rsidRPr="00BB387E" w:rsidRDefault="0077621B" w:rsidP="00433BD3">
      <w:pPr>
        <w:pStyle w:val="Heading2"/>
      </w:pPr>
      <w:r>
        <w:lastRenderedPageBreak/>
        <w:t xml:space="preserve">JUSTICE </w:t>
      </w:r>
      <w:r w:rsidR="00F710AA">
        <w:t xml:space="preserve">AND COMMUNITY SAFETY </w:t>
      </w:r>
      <w:r>
        <w:t>LEGISLATION AMENDMENT BILL</w:t>
      </w:r>
      <w:r w:rsidRPr="00BB387E">
        <w:t xml:space="preserve"> 20</w:t>
      </w:r>
      <w:r>
        <w:t>20</w:t>
      </w:r>
    </w:p>
    <w:p w14:paraId="05035402" w14:textId="77777777" w:rsidR="0077621B" w:rsidRPr="00755B06" w:rsidRDefault="0077621B" w:rsidP="0077621B">
      <w:pPr>
        <w:spacing w:after="0"/>
        <w:contextualSpacing/>
        <w:rPr>
          <w:rFonts w:ascii="Arial" w:hAnsi="Arial" w:cs="Arial"/>
          <w:bCs/>
          <w:sz w:val="12"/>
          <w:szCs w:val="12"/>
        </w:rPr>
      </w:pPr>
    </w:p>
    <w:p w14:paraId="6BAB44DD" w14:textId="253EAD9B" w:rsidR="0077621B" w:rsidRPr="006C0A16" w:rsidRDefault="0077621B" w:rsidP="006C0A16">
      <w:pPr>
        <w:jc w:val="both"/>
        <w:rPr>
          <w:rFonts w:ascii="Arial" w:hAnsi="Arial" w:cs="Arial"/>
          <w:sz w:val="24"/>
          <w:szCs w:val="24"/>
        </w:rPr>
      </w:pPr>
      <w:r w:rsidRPr="006C0A16">
        <w:rPr>
          <w:rFonts w:ascii="Arial" w:hAnsi="Arial" w:cs="Arial"/>
          <w:b/>
          <w:sz w:val="24"/>
          <w:szCs w:val="24"/>
        </w:rPr>
        <w:t>The Bill is not a Significant Bill</w:t>
      </w:r>
      <w:r w:rsidRPr="006C0A16">
        <w:rPr>
          <w:rFonts w:ascii="Arial" w:hAnsi="Arial" w:cs="Arial"/>
          <w:sz w:val="24"/>
          <w:szCs w:val="24"/>
        </w:rPr>
        <w:t xml:space="preserve">. Significant Bills are bills that have been assessed as likely to have significant engagement of human rights and require more detailed reasoning in relation to compatibility with the </w:t>
      </w:r>
      <w:r w:rsidRPr="006C0A16">
        <w:rPr>
          <w:rFonts w:ascii="Arial" w:hAnsi="Arial" w:cs="Arial"/>
          <w:i/>
          <w:iCs/>
          <w:sz w:val="24"/>
          <w:szCs w:val="24"/>
        </w:rPr>
        <w:t>Human Rights Act 2004</w:t>
      </w:r>
      <w:r w:rsidRPr="006C0A16">
        <w:rPr>
          <w:rFonts w:ascii="Arial" w:hAnsi="Arial" w:cs="Arial"/>
          <w:sz w:val="24"/>
          <w:szCs w:val="24"/>
        </w:rPr>
        <w:t>.</w:t>
      </w:r>
      <w:r w:rsidR="006C0A16" w:rsidRPr="006C0A16">
        <w:rPr>
          <w:rFonts w:ascii="Arial" w:hAnsi="Arial" w:cs="Arial"/>
          <w:sz w:val="24"/>
          <w:szCs w:val="24"/>
        </w:rPr>
        <w:t xml:space="preserve"> Climate change impacts of the Bill have also been considered and no impacts have been identified.</w:t>
      </w:r>
    </w:p>
    <w:p w14:paraId="092C20BB" w14:textId="497455BD" w:rsidR="0077621B" w:rsidRPr="006C0A16" w:rsidRDefault="0077621B" w:rsidP="006C0A16">
      <w:pPr>
        <w:jc w:val="both"/>
        <w:rPr>
          <w:rFonts w:ascii="Arial" w:hAnsi="Arial" w:cs="Arial"/>
          <w:sz w:val="24"/>
          <w:szCs w:val="24"/>
          <w:lang w:eastAsia="en-AU"/>
        </w:rPr>
      </w:pPr>
      <w:r w:rsidRPr="006C0A16">
        <w:rPr>
          <w:rFonts w:ascii="Arial" w:hAnsi="Arial" w:cs="Arial"/>
          <w:sz w:val="24"/>
          <w:szCs w:val="24"/>
          <w:lang w:eastAsia="en-AU"/>
        </w:rPr>
        <w:t>This explanatory statement relates to the Justice</w:t>
      </w:r>
      <w:r w:rsidR="00D2415C" w:rsidRPr="006C0A16">
        <w:rPr>
          <w:rFonts w:ascii="Arial" w:hAnsi="Arial" w:cs="Arial"/>
          <w:sz w:val="24"/>
          <w:szCs w:val="24"/>
          <w:lang w:eastAsia="en-AU"/>
        </w:rPr>
        <w:t xml:space="preserve"> and Community Safety Legislation Amendment</w:t>
      </w:r>
      <w:r w:rsidRPr="006C0A16">
        <w:rPr>
          <w:rFonts w:ascii="Arial" w:hAnsi="Arial" w:cs="Arial"/>
          <w:sz w:val="24"/>
          <w:szCs w:val="24"/>
          <w:lang w:eastAsia="en-AU"/>
        </w:rPr>
        <w:t xml:space="preserve"> Bill 2020 as presented to the Legislative Assembly. It has been prepared </w:t>
      </w:r>
      <w:r w:rsidR="008144DC" w:rsidRPr="006C0A16">
        <w:rPr>
          <w:rFonts w:ascii="Arial" w:hAnsi="Arial" w:cs="Arial"/>
          <w:sz w:val="24"/>
          <w:szCs w:val="24"/>
          <w:lang w:eastAsia="en-AU"/>
        </w:rPr>
        <w:t>to</w:t>
      </w:r>
      <w:r w:rsidRPr="006C0A16">
        <w:rPr>
          <w:rFonts w:ascii="Arial" w:hAnsi="Arial" w:cs="Arial"/>
          <w:sz w:val="24"/>
          <w:szCs w:val="24"/>
          <w:lang w:eastAsia="en-AU"/>
        </w:rPr>
        <w:t xml:space="preserve"> assist the reader of the Bill and to help inform debate on it. It does not form part of the Bill and has not been endorsed by the Assembly.</w:t>
      </w:r>
    </w:p>
    <w:p w14:paraId="16711B4E" w14:textId="0C3136A3" w:rsidR="006C0A16" w:rsidRPr="006C0A16" w:rsidRDefault="0077621B" w:rsidP="006C0A16">
      <w:pPr>
        <w:jc w:val="both"/>
        <w:rPr>
          <w:rFonts w:ascii="Arial" w:hAnsi="Arial" w:cs="Arial"/>
          <w:sz w:val="24"/>
          <w:szCs w:val="24"/>
          <w:lang w:eastAsia="en-AU"/>
        </w:rPr>
      </w:pPr>
      <w:r w:rsidRPr="006C0A16">
        <w:rPr>
          <w:rFonts w:ascii="Arial" w:hAnsi="Arial" w:cs="Arial"/>
          <w:sz w:val="24"/>
          <w:szCs w:val="24"/>
          <w:lang w:eastAsia="en-AU"/>
        </w:rPr>
        <w:t>The statement is to be read in conjunction with the Bill. It is not, and is not meant to be, a comprehensive description of the Bill.</w:t>
      </w:r>
    </w:p>
    <w:p w14:paraId="2C523AEE" w14:textId="77777777" w:rsidR="0077621B" w:rsidRDefault="0077621B" w:rsidP="0077621B">
      <w:pPr>
        <w:pStyle w:val="Heading2"/>
      </w:pPr>
      <w:r>
        <w:t>OVERVIEW OF THE BILL</w:t>
      </w:r>
    </w:p>
    <w:p w14:paraId="69AB80B8" w14:textId="679402BC" w:rsidR="0077621B" w:rsidRDefault="0077621B" w:rsidP="002374FB">
      <w:pPr>
        <w:spacing w:after="120"/>
        <w:ind w:right="-45"/>
        <w:jc w:val="both"/>
        <w:rPr>
          <w:rFonts w:ascii="Arial" w:hAnsi="Arial" w:cs="Arial"/>
          <w:iCs/>
          <w:sz w:val="24"/>
          <w:szCs w:val="24"/>
        </w:rPr>
      </w:pPr>
      <w:r>
        <w:rPr>
          <w:rFonts w:ascii="Arial" w:hAnsi="Arial" w:cs="Arial"/>
          <w:iCs/>
          <w:sz w:val="24"/>
          <w:szCs w:val="24"/>
        </w:rPr>
        <w:t xml:space="preserve">The Bill is an omnibus bill which amends a range of legislation, </w:t>
      </w:r>
      <w:r w:rsidR="00D2415C">
        <w:rPr>
          <w:rFonts w:ascii="Arial" w:hAnsi="Arial" w:cs="Arial"/>
          <w:iCs/>
          <w:sz w:val="24"/>
          <w:szCs w:val="24"/>
        </w:rPr>
        <w:t>primarily</w:t>
      </w:r>
      <w:r>
        <w:rPr>
          <w:rFonts w:ascii="Arial" w:hAnsi="Arial" w:cs="Arial"/>
          <w:iCs/>
          <w:sz w:val="24"/>
          <w:szCs w:val="24"/>
        </w:rPr>
        <w:t xml:space="preserve"> in </w:t>
      </w:r>
      <w:r w:rsidRPr="00845384">
        <w:rPr>
          <w:rFonts w:ascii="Arial" w:hAnsi="Arial" w:cs="Arial"/>
          <w:iCs/>
          <w:sz w:val="24"/>
          <w:szCs w:val="24"/>
        </w:rPr>
        <w:t xml:space="preserve">the </w:t>
      </w:r>
      <w:r w:rsidR="00D2415C">
        <w:rPr>
          <w:rFonts w:ascii="Arial" w:hAnsi="Arial" w:cs="Arial"/>
          <w:iCs/>
          <w:sz w:val="24"/>
          <w:szCs w:val="24"/>
        </w:rPr>
        <w:t>Attorney-General’s</w:t>
      </w:r>
      <w:r w:rsidRPr="00845384">
        <w:rPr>
          <w:rFonts w:ascii="Arial" w:hAnsi="Arial" w:cs="Arial"/>
          <w:iCs/>
          <w:sz w:val="24"/>
          <w:szCs w:val="24"/>
        </w:rPr>
        <w:t xml:space="preserve"> portfolio</w:t>
      </w:r>
      <w:r w:rsidR="002461D1">
        <w:rPr>
          <w:rFonts w:ascii="Arial" w:hAnsi="Arial" w:cs="Arial"/>
          <w:iCs/>
          <w:sz w:val="24"/>
          <w:szCs w:val="24"/>
        </w:rPr>
        <w:t>, including</w:t>
      </w:r>
      <w:r>
        <w:rPr>
          <w:rFonts w:ascii="Arial" w:hAnsi="Arial" w:cs="Arial"/>
          <w:iCs/>
          <w:sz w:val="24"/>
          <w:szCs w:val="24"/>
        </w:rPr>
        <w:t>:</w:t>
      </w:r>
    </w:p>
    <w:p w14:paraId="7375FEE3" w14:textId="432D2599" w:rsidR="0077621B" w:rsidRDefault="0077621B" w:rsidP="0077621B">
      <w:pPr>
        <w:numPr>
          <w:ilvl w:val="0"/>
          <w:numId w:val="6"/>
        </w:numPr>
        <w:spacing w:after="120"/>
        <w:ind w:right="-45"/>
        <w:rPr>
          <w:rFonts w:ascii="Arial" w:hAnsi="Arial" w:cs="Arial"/>
          <w:i/>
          <w:iCs/>
          <w:sz w:val="24"/>
          <w:szCs w:val="24"/>
        </w:rPr>
      </w:pPr>
      <w:bookmarkStart w:id="0" w:name="_Hlk35593787"/>
      <w:bookmarkStart w:id="1" w:name="_Hlk29465961"/>
      <w:r w:rsidRPr="00845384">
        <w:rPr>
          <w:rFonts w:ascii="Arial" w:hAnsi="Arial" w:cs="Arial"/>
          <w:i/>
          <w:iCs/>
          <w:sz w:val="24"/>
          <w:szCs w:val="24"/>
        </w:rPr>
        <w:t>ACT Civil and Administrative Tribunal</w:t>
      </w:r>
      <w:bookmarkEnd w:id="0"/>
      <w:r w:rsidRPr="00845384">
        <w:rPr>
          <w:rFonts w:ascii="Arial" w:hAnsi="Arial" w:cs="Arial"/>
          <w:i/>
          <w:iCs/>
          <w:sz w:val="24"/>
          <w:szCs w:val="24"/>
        </w:rPr>
        <w:t xml:space="preserve"> Act 2008;</w:t>
      </w:r>
    </w:p>
    <w:p w14:paraId="360827CA" w14:textId="589EB053" w:rsidR="00D2415C" w:rsidRPr="00B64BED" w:rsidRDefault="00D2415C" w:rsidP="0077621B">
      <w:pPr>
        <w:numPr>
          <w:ilvl w:val="0"/>
          <w:numId w:val="6"/>
        </w:numPr>
        <w:spacing w:after="120"/>
        <w:ind w:right="-45"/>
        <w:rPr>
          <w:rFonts w:ascii="Arial" w:hAnsi="Arial" w:cs="Arial"/>
          <w:i/>
          <w:iCs/>
          <w:sz w:val="24"/>
          <w:szCs w:val="24"/>
        </w:rPr>
      </w:pPr>
      <w:r>
        <w:rPr>
          <w:rFonts w:ascii="Arial" w:hAnsi="Arial" w:cs="Arial"/>
          <w:i/>
          <w:iCs/>
          <w:sz w:val="24"/>
          <w:szCs w:val="24"/>
        </w:rPr>
        <w:t>ACT Civil and Administrative Tribunal Regulation 2009</w:t>
      </w:r>
      <w:r>
        <w:rPr>
          <w:rFonts w:ascii="Arial" w:hAnsi="Arial" w:cs="Arial"/>
          <w:sz w:val="24"/>
          <w:szCs w:val="24"/>
        </w:rPr>
        <w:t>;</w:t>
      </w:r>
    </w:p>
    <w:p w14:paraId="5ADF36FE" w14:textId="48F30414"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Administration and Probate Act 1929</w:t>
      </w:r>
      <w:r>
        <w:rPr>
          <w:rFonts w:ascii="Arial" w:hAnsi="Arial" w:cs="Arial"/>
          <w:sz w:val="24"/>
          <w:szCs w:val="24"/>
        </w:rPr>
        <w:t>;</w:t>
      </w:r>
    </w:p>
    <w:p w14:paraId="2DF05499" w14:textId="58018863"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Associations Incorporation Act 1991</w:t>
      </w:r>
      <w:r>
        <w:rPr>
          <w:rFonts w:ascii="Arial" w:hAnsi="Arial" w:cs="Arial"/>
          <w:sz w:val="24"/>
          <w:szCs w:val="24"/>
        </w:rPr>
        <w:t>;</w:t>
      </w:r>
    </w:p>
    <w:p w14:paraId="75C82EFB" w14:textId="5CD7DEFB"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Crimes (Sentence Administration) Act 2005</w:t>
      </w:r>
      <w:r>
        <w:rPr>
          <w:rFonts w:ascii="Arial" w:hAnsi="Arial" w:cs="Arial"/>
          <w:sz w:val="24"/>
          <w:szCs w:val="24"/>
        </w:rPr>
        <w:t>;</w:t>
      </w:r>
    </w:p>
    <w:p w14:paraId="018A6BD5" w14:textId="3783285E"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Guardianship and Management of Property Act 1991</w:t>
      </w:r>
      <w:r>
        <w:rPr>
          <w:rFonts w:ascii="Arial" w:hAnsi="Arial" w:cs="Arial"/>
          <w:sz w:val="24"/>
          <w:szCs w:val="24"/>
        </w:rPr>
        <w:t>;</w:t>
      </w:r>
    </w:p>
    <w:p w14:paraId="3DB05E10" w14:textId="3044763E"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Legal Profession Act 2006</w:t>
      </w:r>
      <w:r>
        <w:rPr>
          <w:rFonts w:ascii="Arial" w:hAnsi="Arial" w:cs="Arial"/>
          <w:sz w:val="24"/>
          <w:szCs w:val="24"/>
        </w:rPr>
        <w:t>;</w:t>
      </w:r>
    </w:p>
    <w:p w14:paraId="4D78F0FB" w14:textId="703FF413"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Legislation Act 2001</w:t>
      </w:r>
      <w:r>
        <w:rPr>
          <w:rFonts w:ascii="Arial" w:hAnsi="Arial" w:cs="Arial"/>
          <w:sz w:val="24"/>
          <w:szCs w:val="24"/>
        </w:rPr>
        <w:t>;</w:t>
      </w:r>
    </w:p>
    <w:p w14:paraId="60837DB4" w14:textId="4683343B"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Lotteries Act 1964</w:t>
      </w:r>
      <w:r>
        <w:rPr>
          <w:rFonts w:ascii="Arial" w:hAnsi="Arial" w:cs="Arial"/>
          <w:sz w:val="24"/>
          <w:szCs w:val="24"/>
        </w:rPr>
        <w:t>;</w:t>
      </w:r>
    </w:p>
    <w:p w14:paraId="5E760E4C" w14:textId="540269AE" w:rsidR="005C0BE3" w:rsidRDefault="005C0BE3" w:rsidP="0077621B">
      <w:pPr>
        <w:numPr>
          <w:ilvl w:val="0"/>
          <w:numId w:val="6"/>
        </w:numPr>
        <w:spacing w:after="120"/>
        <w:ind w:right="-45"/>
        <w:rPr>
          <w:rFonts w:ascii="Arial" w:hAnsi="Arial" w:cs="Arial"/>
          <w:i/>
          <w:iCs/>
          <w:sz w:val="24"/>
          <w:szCs w:val="24"/>
        </w:rPr>
      </w:pPr>
      <w:r>
        <w:rPr>
          <w:rFonts w:ascii="Arial" w:hAnsi="Arial" w:cs="Arial"/>
          <w:i/>
          <w:iCs/>
          <w:sz w:val="24"/>
          <w:szCs w:val="24"/>
        </w:rPr>
        <w:t>Mental Health Act 2015</w:t>
      </w:r>
      <w:r>
        <w:rPr>
          <w:rFonts w:ascii="Arial" w:hAnsi="Arial" w:cs="Arial"/>
          <w:sz w:val="24"/>
          <w:szCs w:val="24"/>
        </w:rPr>
        <w:t>;</w:t>
      </w:r>
    </w:p>
    <w:p w14:paraId="32779280" w14:textId="7EADF69B" w:rsidR="00B64BED" w:rsidRPr="002542CA"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Powers of Attorney Act 2006</w:t>
      </w:r>
      <w:r>
        <w:rPr>
          <w:rFonts w:ascii="Arial" w:hAnsi="Arial" w:cs="Arial"/>
          <w:sz w:val="24"/>
          <w:szCs w:val="24"/>
        </w:rPr>
        <w:t>;</w:t>
      </w:r>
    </w:p>
    <w:p w14:paraId="72DA9FC7" w14:textId="65921923" w:rsidR="002542CA" w:rsidRPr="00B64BED" w:rsidRDefault="002542CA" w:rsidP="0077621B">
      <w:pPr>
        <w:numPr>
          <w:ilvl w:val="0"/>
          <w:numId w:val="6"/>
        </w:numPr>
        <w:spacing w:after="120"/>
        <w:ind w:right="-45"/>
        <w:rPr>
          <w:rFonts w:ascii="Arial" w:hAnsi="Arial" w:cs="Arial"/>
          <w:i/>
          <w:iCs/>
          <w:sz w:val="24"/>
          <w:szCs w:val="24"/>
        </w:rPr>
      </w:pPr>
      <w:r>
        <w:rPr>
          <w:rFonts w:ascii="Arial" w:hAnsi="Arial" w:cs="Arial"/>
          <w:i/>
          <w:iCs/>
          <w:sz w:val="24"/>
          <w:szCs w:val="24"/>
        </w:rPr>
        <w:t>Public Sector Management Act 1994</w:t>
      </w:r>
      <w:r>
        <w:rPr>
          <w:rFonts w:ascii="Arial" w:hAnsi="Arial" w:cs="Arial"/>
          <w:sz w:val="24"/>
          <w:szCs w:val="24"/>
        </w:rPr>
        <w:t>;</w:t>
      </w:r>
    </w:p>
    <w:p w14:paraId="12130E32" w14:textId="521C31A1"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Public Trustee and Guardian Act 1985</w:t>
      </w:r>
      <w:r>
        <w:rPr>
          <w:rFonts w:ascii="Arial" w:hAnsi="Arial" w:cs="Arial"/>
          <w:sz w:val="24"/>
          <w:szCs w:val="24"/>
        </w:rPr>
        <w:t>;</w:t>
      </w:r>
    </w:p>
    <w:p w14:paraId="1EA8C289" w14:textId="74453E6A"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Residential Tenancies Act 1997</w:t>
      </w:r>
      <w:r>
        <w:rPr>
          <w:rFonts w:ascii="Arial" w:hAnsi="Arial" w:cs="Arial"/>
          <w:sz w:val="24"/>
          <w:szCs w:val="24"/>
        </w:rPr>
        <w:t>;</w:t>
      </w:r>
    </w:p>
    <w:p w14:paraId="0A9A91C4" w14:textId="087B8B64" w:rsid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Retirement Villages Regulation 2013</w:t>
      </w:r>
      <w:r>
        <w:rPr>
          <w:rFonts w:ascii="Arial" w:hAnsi="Arial" w:cs="Arial"/>
          <w:sz w:val="24"/>
          <w:szCs w:val="24"/>
        </w:rPr>
        <w:t>;</w:t>
      </w:r>
    </w:p>
    <w:p w14:paraId="1F785C59" w14:textId="13D7DA72" w:rsidR="00B64BED" w:rsidRPr="00B64BED"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Security Industry Regulation 2003</w:t>
      </w:r>
      <w:r>
        <w:rPr>
          <w:rFonts w:ascii="Arial" w:hAnsi="Arial" w:cs="Arial"/>
          <w:sz w:val="24"/>
          <w:szCs w:val="24"/>
        </w:rPr>
        <w:t>;</w:t>
      </w:r>
      <w:r w:rsidR="002E17BF">
        <w:rPr>
          <w:rFonts w:ascii="Arial" w:hAnsi="Arial" w:cs="Arial"/>
          <w:sz w:val="24"/>
          <w:szCs w:val="24"/>
        </w:rPr>
        <w:t xml:space="preserve"> and</w:t>
      </w:r>
    </w:p>
    <w:p w14:paraId="1B425FE4" w14:textId="436A547F" w:rsidR="00B64BED" w:rsidRPr="00845384" w:rsidRDefault="00B64BED" w:rsidP="0077621B">
      <w:pPr>
        <w:numPr>
          <w:ilvl w:val="0"/>
          <w:numId w:val="6"/>
        </w:numPr>
        <w:spacing w:after="120"/>
        <w:ind w:right="-45"/>
        <w:rPr>
          <w:rFonts w:ascii="Arial" w:hAnsi="Arial" w:cs="Arial"/>
          <w:i/>
          <w:iCs/>
          <w:sz w:val="24"/>
          <w:szCs w:val="24"/>
        </w:rPr>
      </w:pPr>
      <w:r>
        <w:rPr>
          <w:rFonts w:ascii="Arial" w:hAnsi="Arial" w:cs="Arial"/>
          <w:i/>
          <w:iCs/>
          <w:sz w:val="24"/>
          <w:szCs w:val="24"/>
        </w:rPr>
        <w:t>Wills Act 1968</w:t>
      </w:r>
      <w:r w:rsidR="002E17BF">
        <w:rPr>
          <w:rFonts w:ascii="Arial" w:hAnsi="Arial" w:cs="Arial"/>
          <w:sz w:val="24"/>
          <w:szCs w:val="24"/>
        </w:rPr>
        <w:t>.</w:t>
      </w:r>
    </w:p>
    <w:bookmarkEnd w:id="1"/>
    <w:p w14:paraId="47CEC0DB" w14:textId="20E997A4" w:rsidR="001B01D7" w:rsidRPr="001B01D7" w:rsidRDefault="0077621B" w:rsidP="001B01D7">
      <w:pPr>
        <w:pStyle w:val="Heading2"/>
      </w:pPr>
      <w:r>
        <w:lastRenderedPageBreak/>
        <w:t>SUMMARY OF AMENDMENTS</w:t>
      </w:r>
    </w:p>
    <w:p w14:paraId="7D60BE2B" w14:textId="79A96F58" w:rsidR="0077621B" w:rsidRDefault="00433BD3" w:rsidP="00521ECF">
      <w:pPr>
        <w:pStyle w:val="Heading2"/>
        <w:rPr>
          <w:i/>
          <w:iCs/>
        </w:rPr>
      </w:pPr>
      <w:r>
        <w:rPr>
          <w:i/>
          <w:iCs/>
        </w:rPr>
        <w:t>ACT Civil and Administrative Tribunal Act 2008</w:t>
      </w:r>
      <w:r>
        <w:t xml:space="preserve"> and </w:t>
      </w:r>
      <w:r>
        <w:rPr>
          <w:i/>
          <w:iCs/>
        </w:rPr>
        <w:t>ACT Civil and Administrative Tribunal Regulation 2009</w:t>
      </w:r>
    </w:p>
    <w:p w14:paraId="569E0828" w14:textId="77777777" w:rsidR="00F30994" w:rsidRDefault="007C2425" w:rsidP="007C2425">
      <w:pPr>
        <w:jc w:val="both"/>
        <w:rPr>
          <w:rFonts w:ascii="Arial" w:hAnsi="Arial" w:cs="Arial"/>
          <w:sz w:val="24"/>
          <w:szCs w:val="24"/>
        </w:rPr>
      </w:pPr>
      <w:r w:rsidRPr="007C2425">
        <w:rPr>
          <w:rFonts w:ascii="Arial" w:hAnsi="Arial" w:cs="Arial"/>
          <w:sz w:val="24"/>
          <w:szCs w:val="24"/>
        </w:rPr>
        <w:t xml:space="preserve">The Bill amends the </w:t>
      </w:r>
      <w:r w:rsidRPr="0029799A">
        <w:rPr>
          <w:rFonts w:ascii="Arial" w:hAnsi="Arial" w:cs="Arial"/>
          <w:i/>
          <w:iCs/>
          <w:sz w:val="24"/>
          <w:szCs w:val="24"/>
        </w:rPr>
        <w:t>ACT Civil and Administrative Tribunal Act 2008</w:t>
      </w:r>
      <w:r w:rsidR="001866AC">
        <w:rPr>
          <w:rFonts w:ascii="Arial" w:hAnsi="Arial" w:cs="Arial"/>
          <w:i/>
          <w:iCs/>
          <w:sz w:val="24"/>
          <w:szCs w:val="24"/>
        </w:rPr>
        <w:t xml:space="preserve"> </w:t>
      </w:r>
      <w:r w:rsidR="001866AC">
        <w:rPr>
          <w:rFonts w:ascii="Arial" w:hAnsi="Arial" w:cs="Arial"/>
          <w:sz w:val="24"/>
          <w:szCs w:val="24"/>
        </w:rPr>
        <w:t>(ACAT Act)</w:t>
      </w:r>
      <w:r w:rsidRPr="007C2425">
        <w:rPr>
          <w:rFonts w:ascii="Arial" w:hAnsi="Arial" w:cs="Arial"/>
          <w:sz w:val="24"/>
          <w:szCs w:val="24"/>
        </w:rPr>
        <w:t xml:space="preserve"> and </w:t>
      </w:r>
      <w:r w:rsidRPr="0029799A">
        <w:rPr>
          <w:rFonts w:ascii="Arial" w:hAnsi="Arial" w:cs="Arial"/>
          <w:i/>
          <w:iCs/>
          <w:sz w:val="24"/>
          <w:szCs w:val="24"/>
        </w:rPr>
        <w:t>ACT Civil and Administrative Tribunal Regulation 2009</w:t>
      </w:r>
      <w:r w:rsidRPr="007C2425">
        <w:rPr>
          <w:rFonts w:ascii="Arial" w:hAnsi="Arial" w:cs="Arial"/>
          <w:sz w:val="24"/>
          <w:szCs w:val="24"/>
        </w:rPr>
        <w:t xml:space="preserve"> </w:t>
      </w:r>
      <w:r w:rsidR="00DA175C">
        <w:rPr>
          <w:rFonts w:ascii="Arial" w:hAnsi="Arial" w:cs="Arial"/>
          <w:sz w:val="24"/>
          <w:szCs w:val="24"/>
        </w:rPr>
        <w:t xml:space="preserve">(ACAT Regulation) </w:t>
      </w:r>
      <w:r w:rsidRPr="007C2425">
        <w:rPr>
          <w:rFonts w:ascii="Arial" w:hAnsi="Arial" w:cs="Arial"/>
          <w:sz w:val="24"/>
          <w:szCs w:val="24"/>
        </w:rPr>
        <w:t>to allow amounts which are received by the trust account of the ACT Civil and Administrative Tribunal (ACAT</w:t>
      </w:r>
      <w:r w:rsidR="001B01D7">
        <w:rPr>
          <w:rFonts w:ascii="Arial" w:hAnsi="Arial" w:cs="Arial"/>
          <w:sz w:val="24"/>
          <w:szCs w:val="24"/>
        </w:rPr>
        <w:t xml:space="preserve"> Trust</w:t>
      </w:r>
      <w:r w:rsidRPr="007C2425">
        <w:rPr>
          <w:rFonts w:ascii="Arial" w:hAnsi="Arial" w:cs="Arial"/>
          <w:sz w:val="24"/>
          <w:szCs w:val="24"/>
        </w:rPr>
        <w:t xml:space="preserve">) to be used </w:t>
      </w:r>
      <w:r w:rsidR="002461D1">
        <w:rPr>
          <w:rFonts w:ascii="Arial" w:hAnsi="Arial" w:cs="Arial"/>
          <w:sz w:val="24"/>
          <w:szCs w:val="24"/>
        </w:rPr>
        <w:t xml:space="preserve">across prescribed purposes under </w:t>
      </w:r>
      <w:r w:rsidRPr="007C2425">
        <w:rPr>
          <w:rFonts w:ascii="Arial" w:hAnsi="Arial" w:cs="Arial"/>
          <w:sz w:val="24"/>
          <w:szCs w:val="24"/>
        </w:rPr>
        <w:t>any</w:t>
      </w:r>
      <w:r w:rsidR="00F30994">
        <w:rPr>
          <w:rFonts w:ascii="Arial" w:hAnsi="Arial" w:cs="Arial"/>
          <w:sz w:val="24"/>
          <w:szCs w:val="24"/>
        </w:rPr>
        <w:t xml:space="preserve"> of the ACAT Trust’s</w:t>
      </w:r>
      <w:r w:rsidRPr="007C2425">
        <w:rPr>
          <w:rFonts w:ascii="Arial" w:hAnsi="Arial" w:cs="Arial"/>
          <w:sz w:val="24"/>
          <w:szCs w:val="24"/>
        </w:rPr>
        <w:t xml:space="preserve"> authorising laws.</w:t>
      </w:r>
      <w:r w:rsidR="00DA175C">
        <w:rPr>
          <w:rFonts w:ascii="Arial" w:hAnsi="Arial" w:cs="Arial"/>
          <w:sz w:val="24"/>
          <w:szCs w:val="24"/>
        </w:rPr>
        <w:t xml:space="preserve"> </w:t>
      </w:r>
    </w:p>
    <w:p w14:paraId="7C57AC42" w14:textId="02F6B80A" w:rsidR="00AA485D" w:rsidRDefault="00DA175C" w:rsidP="00747687">
      <w:pPr>
        <w:jc w:val="both"/>
        <w:rPr>
          <w:rFonts w:ascii="Arial" w:hAnsi="Arial" w:cs="Arial"/>
          <w:sz w:val="24"/>
          <w:szCs w:val="24"/>
        </w:rPr>
      </w:pPr>
      <w:r w:rsidRPr="00174A8C">
        <w:rPr>
          <w:rFonts w:ascii="Arial" w:hAnsi="Arial" w:cs="Arial"/>
          <w:sz w:val="24"/>
          <w:szCs w:val="24"/>
        </w:rPr>
        <w:t>The amendment</w:t>
      </w:r>
      <w:r w:rsidR="00127532">
        <w:rPr>
          <w:rFonts w:ascii="Arial" w:hAnsi="Arial" w:cs="Arial"/>
          <w:sz w:val="24"/>
          <w:szCs w:val="24"/>
        </w:rPr>
        <w:t>s</w:t>
      </w:r>
      <w:r w:rsidRPr="00174A8C">
        <w:rPr>
          <w:rFonts w:ascii="Arial" w:hAnsi="Arial" w:cs="Arial"/>
          <w:sz w:val="24"/>
          <w:szCs w:val="24"/>
        </w:rPr>
        <w:t xml:space="preserve"> will </w:t>
      </w:r>
      <w:r w:rsidR="00F30994">
        <w:rPr>
          <w:rFonts w:ascii="Arial" w:hAnsi="Arial" w:cs="Arial"/>
          <w:sz w:val="24"/>
          <w:szCs w:val="24"/>
        </w:rPr>
        <w:t>support the sustainability of the ACAT Trust</w:t>
      </w:r>
      <w:r w:rsidRPr="00174A8C">
        <w:rPr>
          <w:rFonts w:ascii="Arial" w:hAnsi="Arial" w:cs="Arial"/>
          <w:sz w:val="24"/>
          <w:szCs w:val="24"/>
        </w:rPr>
        <w:t xml:space="preserve"> and allow the specific streams of funding received by the ACAT Trust to be more flexibly applied across its prescribed purposes.</w:t>
      </w:r>
      <w:r w:rsidR="00AA485D">
        <w:rPr>
          <w:rFonts w:ascii="Arial" w:hAnsi="Arial" w:cs="Arial"/>
          <w:sz w:val="24"/>
          <w:szCs w:val="24"/>
        </w:rPr>
        <w:t xml:space="preserve"> </w:t>
      </w:r>
      <w:r w:rsidR="00AA485D" w:rsidRPr="00AA485D">
        <w:rPr>
          <w:rFonts w:ascii="Arial" w:hAnsi="Arial" w:cs="Arial"/>
          <w:sz w:val="24"/>
          <w:szCs w:val="24"/>
        </w:rPr>
        <w:t>The Bill further</w:t>
      </w:r>
      <w:r w:rsidR="00521ECF">
        <w:rPr>
          <w:rFonts w:ascii="Arial" w:hAnsi="Arial" w:cs="Arial"/>
          <w:sz w:val="24"/>
          <w:szCs w:val="24"/>
        </w:rPr>
        <w:t xml:space="preserve"> amends the ACAT </w:t>
      </w:r>
      <w:r w:rsidR="001C5151">
        <w:rPr>
          <w:rFonts w:ascii="Arial" w:hAnsi="Arial" w:cs="Arial"/>
          <w:sz w:val="24"/>
          <w:szCs w:val="24"/>
        </w:rPr>
        <w:t xml:space="preserve">Regulation </w:t>
      </w:r>
      <w:r w:rsidR="00521ECF">
        <w:rPr>
          <w:rFonts w:ascii="Arial" w:hAnsi="Arial" w:cs="Arial"/>
          <w:sz w:val="24"/>
          <w:szCs w:val="24"/>
        </w:rPr>
        <w:t xml:space="preserve">to clarify </w:t>
      </w:r>
      <w:r w:rsidR="00AA485D" w:rsidRPr="00AA485D">
        <w:rPr>
          <w:rFonts w:ascii="Arial" w:hAnsi="Arial" w:cs="Arial"/>
          <w:sz w:val="24"/>
          <w:szCs w:val="24"/>
        </w:rPr>
        <w:t xml:space="preserve">that the prescribed purposes of trust amounts paid into the interest trust account in accordance with section 28(3) of the </w:t>
      </w:r>
      <w:r w:rsidR="00AA485D" w:rsidRPr="00AA485D">
        <w:rPr>
          <w:rFonts w:ascii="Arial" w:hAnsi="Arial" w:cs="Arial"/>
          <w:i/>
          <w:iCs/>
          <w:sz w:val="24"/>
          <w:szCs w:val="24"/>
        </w:rPr>
        <w:t xml:space="preserve">Residential Tenancies Act 1997 </w:t>
      </w:r>
      <w:r w:rsidR="00AA485D" w:rsidRPr="00AA485D">
        <w:rPr>
          <w:rFonts w:ascii="Arial" w:hAnsi="Arial" w:cs="Arial"/>
          <w:sz w:val="24"/>
          <w:szCs w:val="24"/>
        </w:rPr>
        <w:t xml:space="preserve">apply to trust amounts paid into the ACAT Trust in accordance with the </w:t>
      </w:r>
      <w:r w:rsidR="00AA485D" w:rsidRPr="00AA485D">
        <w:rPr>
          <w:rFonts w:ascii="Arial" w:hAnsi="Arial" w:cs="Arial"/>
          <w:i/>
          <w:iCs/>
          <w:sz w:val="24"/>
          <w:szCs w:val="24"/>
        </w:rPr>
        <w:t>Residential Tenancies Act 1997</w:t>
      </w:r>
      <w:r w:rsidR="00AA485D" w:rsidRPr="00AA485D">
        <w:rPr>
          <w:rFonts w:ascii="Arial" w:hAnsi="Arial" w:cs="Arial"/>
          <w:sz w:val="24"/>
          <w:szCs w:val="24"/>
        </w:rPr>
        <w:t>.</w:t>
      </w:r>
      <w:r w:rsidR="00E9743F">
        <w:rPr>
          <w:rFonts w:ascii="Arial" w:hAnsi="Arial" w:cs="Arial"/>
          <w:sz w:val="24"/>
          <w:szCs w:val="24"/>
        </w:rPr>
        <w:t xml:space="preserve"> </w:t>
      </w:r>
      <w:bookmarkStart w:id="2" w:name="_Hlk57215314"/>
      <w:r w:rsidR="00623887">
        <w:rPr>
          <w:rFonts w:ascii="Arial" w:hAnsi="Arial" w:cs="Arial"/>
          <w:sz w:val="24"/>
          <w:szCs w:val="24"/>
        </w:rPr>
        <w:t>It is a</w:t>
      </w:r>
      <w:r w:rsidR="00C36A6C">
        <w:rPr>
          <w:rFonts w:ascii="Arial" w:hAnsi="Arial" w:cs="Arial"/>
          <w:sz w:val="24"/>
          <w:szCs w:val="24"/>
        </w:rPr>
        <w:t xml:space="preserve"> technical amendment that is designed to clarify the operation of </w:t>
      </w:r>
      <w:r w:rsidR="00747687">
        <w:rPr>
          <w:rFonts w:ascii="Arial" w:hAnsi="Arial" w:cs="Arial"/>
          <w:sz w:val="24"/>
          <w:szCs w:val="24"/>
        </w:rPr>
        <w:t>what the law has been</w:t>
      </w:r>
      <w:r w:rsidR="00C36A6C">
        <w:rPr>
          <w:rFonts w:ascii="Arial" w:hAnsi="Arial" w:cs="Arial"/>
          <w:sz w:val="24"/>
          <w:szCs w:val="24"/>
        </w:rPr>
        <w:t>. It is not an amendment that impacts negatively on rights</w:t>
      </w:r>
      <w:r w:rsidR="00747687">
        <w:rPr>
          <w:rFonts w:ascii="Arial" w:hAnsi="Arial" w:cs="Arial"/>
          <w:sz w:val="24"/>
          <w:szCs w:val="24"/>
        </w:rPr>
        <w:t xml:space="preserve"> or individuals.</w:t>
      </w:r>
      <w:r w:rsidR="00C36A6C">
        <w:rPr>
          <w:rFonts w:ascii="Arial" w:hAnsi="Arial" w:cs="Arial"/>
          <w:sz w:val="24"/>
          <w:szCs w:val="24"/>
        </w:rPr>
        <w:t xml:space="preserve"> </w:t>
      </w:r>
    </w:p>
    <w:bookmarkEnd w:id="2"/>
    <w:p w14:paraId="339BBE02" w14:textId="77777777" w:rsidR="00DC72C3" w:rsidRPr="00A70D02" w:rsidRDefault="00DC72C3" w:rsidP="00DC72C3">
      <w:pPr>
        <w:pStyle w:val="Heading2"/>
        <w:rPr>
          <w:b w:val="0"/>
          <w:bCs/>
        </w:rPr>
      </w:pPr>
      <w:r w:rsidRPr="00C92BE2">
        <w:rPr>
          <w:i/>
          <w:iCs/>
        </w:rPr>
        <w:t>Crimes (Sentence Administration) Act 2005</w:t>
      </w:r>
      <w:r>
        <w:rPr>
          <w:i/>
          <w:iCs/>
        </w:rPr>
        <w:t xml:space="preserve"> </w:t>
      </w:r>
      <w:r>
        <w:t xml:space="preserve">and </w:t>
      </w:r>
      <w:r>
        <w:rPr>
          <w:i/>
          <w:iCs/>
        </w:rPr>
        <w:t>Mental Health Act 2015</w:t>
      </w:r>
    </w:p>
    <w:p w14:paraId="104FFD4E" w14:textId="325F58C1" w:rsidR="001E49AA" w:rsidRDefault="007F3C18" w:rsidP="001E49AA">
      <w:pPr>
        <w:jc w:val="both"/>
        <w:rPr>
          <w:rFonts w:ascii="Arial" w:hAnsi="Arial" w:cs="Arial"/>
          <w:sz w:val="24"/>
          <w:szCs w:val="24"/>
        </w:rPr>
      </w:pPr>
      <w:r w:rsidRPr="007F3C18">
        <w:rPr>
          <w:rFonts w:ascii="Arial" w:hAnsi="Arial" w:cs="Arial"/>
          <w:sz w:val="24"/>
          <w:szCs w:val="24"/>
        </w:rPr>
        <w:t xml:space="preserve">The Bill amends the </w:t>
      </w:r>
      <w:r w:rsidRPr="007F3C18">
        <w:rPr>
          <w:rFonts w:ascii="Arial" w:hAnsi="Arial" w:cs="Arial"/>
          <w:i/>
          <w:iCs/>
          <w:sz w:val="24"/>
          <w:szCs w:val="24"/>
        </w:rPr>
        <w:t>Crimes (Sentence Administration) Act 2005</w:t>
      </w:r>
      <w:r w:rsidRPr="007F3C18">
        <w:rPr>
          <w:rFonts w:ascii="Arial" w:hAnsi="Arial" w:cs="Arial"/>
          <w:sz w:val="24"/>
          <w:szCs w:val="24"/>
        </w:rPr>
        <w:t xml:space="preserve"> (CSA Act) to remove the definitions of director-general </w:t>
      </w:r>
      <w:r>
        <w:rPr>
          <w:rFonts w:ascii="Arial" w:hAnsi="Arial" w:cs="Arial"/>
          <w:sz w:val="24"/>
          <w:szCs w:val="24"/>
        </w:rPr>
        <w:t>where the definition refers to</w:t>
      </w:r>
      <w:r w:rsidRPr="007F3C18">
        <w:rPr>
          <w:rFonts w:ascii="Arial" w:hAnsi="Arial" w:cs="Arial"/>
          <w:sz w:val="24"/>
          <w:szCs w:val="24"/>
        </w:rPr>
        <w:t xml:space="preserve"> the director-general responsible for the </w:t>
      </w:r>
      <w:r w:rsidRPr="00350B20">
        <w:rPr>
          <w:rFonts w:ascii="Arial" w:hAnsi="Arial" w:cs="Arial"/>
          <w:i/>
          <w:iCs/>
          <w:sz w:val="24"/>
          <w:szCs w:val="24"/>
        </w:rPr>
        <w:t>Children and Young People Act 2008</w:t>
      </w:r>
      <w:r w:rsidRPr="007F3C18">
        <w:rPr>
          <w:rFonts w:ascii="Arial" w:hAnsi="Arial" w:cs="Arial"/>
          <w:sz w:val="24"/>
          <w:szCs w:val="24"/>
        </w:rPr>
        <w:t xml:space="preserve"> to ensure the Director-General of the Justice and Community Safety Directorate (JACS) is responsible for the Youth Justice Victims Register</w:t>
      </w:r>
      <w:r>
        <w:rPr>
          <w:rFonts w:ascii="Arial" w:hAnsi="Arial" w:cs="Arial"/>
          <w:sz w:val="24"/>
          <w:szCs w:val="24"/>
        </w:rPr>
        <w:t xml:space="preserve">. </w:t>
      </w:r>
      <w:r w:rsidR="00DC72C3">
        <w:rPr>
          <w:rFonts w:ascii="Arial" w:hAnsi="Arial" w:cs="Arial"/>
          <w:sz w:val="24"/>
          <w:szCs w:val="24"/>
        </w:rPr>
        <w:t xml:space="preserve">The Bill also amends the </w:t>
      </w:r>
      <w:r w:rsidR="00394D5D" w:rsidRPr="00394D5D">
        <w:rPr>
          <w:rFonts w:ascii="Arial" w:hAnsi="Arial" w:cs="Arial"/>
          <w:i/>
          <w:iCs/>
          <w:sz w:val="24"/>
          <w:szCs w:val="24"/>
        </w:rPr>
        <w:t>Mental Health Act 2015</w:t>
      </w:r>
      <w:r w:rsidR="00394D5D">
        <w:rPr>
          <w:rFonts w:ascii="Arial" w:hAnsi="Arial" w:cs="Arial"/>
          <w:i/>
          <w:iCs/>
          <w:sz w:val="24"/>
          <w:szCs w:val="24"/>
        </w:rPr>
        <w:t xml:space="preserve"> </w:t>
      </w:r>
      <w:r w:rsidR="00394D5D">
        <w:rPr>
          <w:rFonts w:ascii="Arial" w:hAnsi="Arial" w:cs="Arial"/>
          <w:sz w:val="24"/>
          <w:szCs w:val="24"/>
        </w:rPr>
        <w:t>(MH Act)</w:t>
      </w:r>
      <w:r w:rsidR="00394D5D" w:rsidRPr="00394D5D">
        <w:rPr>
          <w:rFonts w:ascii="Arial" w:hAnsi="Arial" w:cs="Arial"/>
          <w:sz w:val="24"/>
          <w:szCs w:val="24"/>
        </w:rPr>
        <w:t xml:space="preserve"> </w:t>
      </w:r>
      <w:r w:rsidR="00DC72C3">
        <w:rPr>
          <w:rFonts w:ascii="Arial" w:hAnsi="Arial" w:cs="Arial"/>
          <w:sz w:val="24"/>
          <w:szCs w:val="24"/>
        </w:rPr>
        <w:t xml:space="preserve">so that the </w:t>
      </w:r>
      <w:r w:rsidR="00D9363F">
        <w:rPr>
          <w:rFonts w:ascii="Arial" w:hAnsi="Arial" w:cs="Arial"/>
          <w:sz w:val="24"/>
          <w:szCs w:val="24"/>
        </w:rPr>
        <w:t>Victims of Crime Commissioner</w:t>
      </w:r>
      <w:r w:rsidR="00D9363F" w:rsidRPr="00892FC3">
        <w:rPr>
          <w:rFonts w:ascii="Arial" w:hAnsi="Arial" w:cs="Arial"/>
          <w:sz w:val="24"/>
          <w:szCs w:val="24"/>
        </w:rPr>
        <w:t xml:space="preserve"> </w:t>
      </w:r>
      <w:r w:rsidR="00D9363F">
        <w:rPr>
          <w:rFonts w:ascii="Arial" w:hAnsi="Arial" w:cs="Arial"/>
          <w:sz w:val="24"/>
          <w:szCs w:val="24"/>
        </w:rPr>
        <w:t xml:space="preserve">(VOCC) </w:t>
      </w:r>
      <w:r w:rsidR="00DC72C3">
        <w:rPr>
          <w:rFonts w:ascii="Arial" w:hAnsi="Arial" w:cs="Arial"/>
          <w:sz w:val="24"/>
          <w:szCs w:val="24"/>
        </w:rPr>
        <w:t>is empowered to</w:t>
      </w:r>
      <w:r w:rsidR="00DC72C3" w:rsidRPr="00A70D02">
        <w:rPr>
          <w:rFonts w:ascii="Arial" w:hAnsi="Arial" w:cs="Arial"/>
          <w:sz w:val="24"/>
          <w:szCs w:val="24"/>
        </w:rPr>
        <w:t xml:space="preserve"> give written notice of the intention to remove a victim from the </w:t>
      </w:r>
      <w:r w:rsidR="00DC72C3">
        <w:rPr>
          <w:rFonts w:ascii="Arial" w:hAnsi="Arial" w:cs="Arial"/>
          <w:sz w:val="24"/>
          <w:szCs w:val="24"/>
        </w:rPr>
        <w:t>Affected Person Register,</w:t>
      </w:r>
      <w:r w:rsidR="00DC72C3" w:rsidRPr="00A70D02">
        <w:rPr>
          <w:rFonts w:ascii="Arial" w:hAnsi="Arial" w:cs="Arial"/>
          <w:sz w:val="24"/>
          <w:szCs w:val="24"/>
        </w:rPr>
        <w:t xml:space="preserve"> and that </w:t>
      </w:r>
      <w:r w:rsidR="00394D5D">
        <w:rPr>
          <w:rFonts w:ascii="Arial" w:hAnsi="Arial" w:cs="Arial"/>
          <w:sz w:val="24"/>
          <w:szCs w:val="24"/>
        </w:rPr>
        <w:t>a</w:t>
      </w:r>
      <w:r w:rsidR="00DC72C3" w:rsidRPr="00A70D02">
        <w:rPr>
          <w:rFonts w:ascii="Arial" w:hAnsi="Arial" w:cs="Arial"/>
          <w:sz w:val="24"/>
          <w:szCs w:val="24"/>
        </w:rPr>
        <w:t xml:space="preserve"> victim has 28 days to respond to the notice in writing to the VOCC if it is believed the victim should remain on the </w:t>
      </w:r>
      <w:r w:rsidR="00DC72C3">
        <w:rPr>
          <w:rFonts w:ascii="Arial" w:hAnsi="Arial" w:cs="Arial"/>
          <w:sz w:val="24"/>
          <w:szCs w:val="24"/>
        </w:rPr>
        <w:t>Affected Person Register</w:t>
      </w:r>
      <w:r w:rsidR="00DC72C3" w:rsidRPr="00A70D02">
        <w:rPr>
          <w:rFonts w:ascii="Arial" w:hAnsi="Arial" w:cs="Arial"/>
          <w:sz w:val="24"/>
          <w:szCs w:val="24"/>
        </w:rPr>
        <w:t>.</w:t>
      </w:r>
    </w:p>
    <w:p w14:paraId="2B4D67D2" w14:textId="2921D727" w:rsidR="001E49AA" w:rsidRDefault="001E49AA" w:rsidP="001E49AA">
      <w:pPr>
        <w:jc w:val="both"/>
        <w:rPr>
          <w:rFonts w:ascii="Arial" w:hAnsi="Arial" w:cs="Arial"/>
          <w:sz w:val="24"/>
          <w:szCs w:val="24"/>
        </w:rPr>
      </w:pPr>
      <w:r>
        <w:rPr>
          <w:rFonts w:ascii="Arial" w:hAnsi="Arial" w:cs="Arial"/>
          <w:sz w:val="24"/>
          <w:szCs w:val="24"/>
        </w:rPr>
        <w:t>The amendments to the CSA Ac</w:t>
      </w:r>
      <w:r w:rsidR="00394D5D">
        <w:rPr>
          <w:rFonts w:ascii="Arial" w:hAnsi="Arial" w:cs="Arial"/>
          <w:sz w:val="24"/>
          <w:szCs w:val="24"/>
        </w:rPr>
        <w:t xml:space="preserve">t </w:t>
      </w:r>
      <w:r>
        <w:rPr>
          <w:rFonts w:ascii="Arial" w:hAnsi="Arial" w:cs="Arial"/>
          <w:sz w:val="24"/>
          <w:szCs w:val="24"/>
        </w:rPr>
        <w:t>and MH Act</w:t>
      </w:r>
      <w:r w:rsidR="00394D5D">
        <w:rPr>
          <w:rFonts w:ascii="Arial" w:hAnsi="Arial" w:cs="Arial"/>
          <w:sz w:val="24"/>
          <w:szCs w:val="24"/>
        </w:rPr>
        <w:t xml:space="preserve"> </w:t>
      </w:r>
      <w:r w:rsidRPr="00892FC3">
        <w:rPr>
          <w:rFonts w:ascii="Arial" w:hAnsi="Arial" w:cs="Arial"/>
          <w:sz w:val="24"/>
          <w:szCs w:val="24"/>
        </w:rPr>
        <w:t xml:space="preserve">reflect the relocation of the Youth Justice Victims Register and Affected Persons Register from the Community Services Directorate and </w:t>
      </w:r>
      <w:r>
        <w:rPr>
          <w:rFonts w:ascii="Arial" w:hAnsi="Arial" w:cs="Arial"/>
          <w:sz w:val="24"/>
          <w:szCs w:val="24"/>
        </w:rPr>
        <w:t>ACT Civil and Administrative Tribunal</w:t>
      </w:r>
      <w:r w:rsidRPr="00892FC3">
        <w:rPr>
          <w:rFonts w:ascii="Arial" w:hAnsi="Arial" w:cs="Arial"/>
          <w:sz w:val="24"/>
          <w:szCs w:val="24"/>
        </w:rPr>
        <w:t xml:space="preserve">, respectively, to the </w:t>
      </w:r>
      <w:r>
        <w:rPr>
          <w:rFonts w:ascii="Arial" w:hAnsi="Arial" w:cs="Arial"/>
          <w:sz w:val="24"/>
          <w:szCs w:val="24"/>
        </w:rPr>
        <w:t xml:space="preserve">VOCC </w:t>
      </w:r>
      <w:r w:rsidRPr="00892FC3">
        <w:rPr>
          <w:rFonts w:ascii="Arial" w:hAnsi="Arial" w:cs="Arial"/>
          <w:sz w:val="24"/>
          <w:szCs w:val="24"/>
        </w:rPr>
        <w:t>at Victim Support ACT.</w:t>
      </w:r>
      <w:r>
        <w:rPr>
          <w:rFonts w:ascii="Arial" w:hAnsi="Arial" w:cs="Arial"/>
          <w:sz w:val="24"/>
          <w:szCs w:val="24"/>
        </w:rPr>
        <w:t xml:space="preserve"> </w:t>
      </w:r>
      <w:r w:rsidRPr="004D1133">
        <w:rPr>
          <w:rFonts w:ascii="Arial" w:hAnsi="Arial" w:cs="Arial"/>
          <w:sz w:val="24"/>
          <w:szCs w:val="24"/>
        </w:rPr>
        <w:t xml:space="preserve">The VOCC will be administering the </w:t>
      </w:r>
      <w:r>
        <w:rPr>
          <w:rFonts w:ascii="Arial" w:hAnsi="Arial" w:cs="Arial"/>
          <w:sz w:val="24"/>
          <w:szCs w:val="24"/>
        </w:rPr>
        <w:t>Youth Justice Register and A</w:t>
      </w:r>
      <w:r w:rsidRPr="004D1133">
        <w:rPr>
          <w:rFonts w:ascii="Arial" w:hAnsi="Arial" w:cs="Arial"/>
          <w:sz w:val="24"/>
          <w:szCs w:val="24"/>
        </w:rPr>
        <w:t xml:space="preserve">ffected </w:t>
      </w:r>
      <w:r>
        <w:rPr>
          <w:rFonts w:ascii="Arial" w:hAnsi="Arial" w:cs="Arial"/>
          <w:sz w:val="24"/>
          <w:szCs w:val="24"/>
        </w:rPr>
        <w:t>P</w:t>
      </w:r>
      <w:r w:rsidRPr="004D1133">
        <w:rPr>
          <w:rFonts w:ascii="Arial" w:hAnsi="Arial" w:cs="Arial"/>
          <w:sz w:val="24"/>
          <w:szCs w:val="24"/>
        </w:rPr>
        <w:t xml:space="preserve">erson </w:t>
      </w:r>
      <w:r>
        <w:rPr>
          <w:rFonts w:ascii="Arial" w:hAnsi="Arial" w:cs="Arial"/>
          <w:sz w:val="24"/>
          <w:szCs w:val="24"/>
        </w:rPr>
        <w:t>R</w:t>
      </w:r>
      <w:r w:rsidRPr="004D1133">
        <w:rPr>
          <w:rFonts w:ascii="Arial" w:hAnsi="Arial" w:cs="Arial"/>
          <w:sz w:val="24"/>
          <w:szCs w:val="24"/>
        </w:rPr>
        <w:t>egister</w:t>
      </w:r>
      <w:r>
        <w:rPr>
          <w:rFonts w:ascii="Arial" w:hAnsi="Arial" w:cs="Arial"/>
          <w:sz w:val="24"/>
          <w:szCs w:val="24"/>
        </w:rPr>
        <w:t xml:space="preserve"> </w:t>
      </w:r>
      <w:r w:rsidRPr="004D1133">
        <w:rPr>
          <w:rFonts w:ascii="Arial" w:hAnsi="Arial" w:cs="Arial"/>
          <w:sz w:val="24"/>
          <w:szCs w:val="24"/>
        </w:rPr>
        <w:t xml:space="preserve">on behalf of </w:t>
      </w:r>
      <w:r>
        <w:rPr>
          <w:rFonts w:ascii="Arial" w:hAnsi="Arial" w:cs="Arial"/>
          <w:sz w:val="24"/>
          <w:szCs w:val="24"/>
        </w:rPr>
        <w:t xml:space="preserve">the </w:t>
      </w:r>
      <w:r w:rsidRPr="004D1133">
        <w:rPr>
          <w:rFonts w:ascii="Arial" w:hAnsi="Arial" w:cs="Arial"/>
          <w:sz w:val="24"/>
          <w:szCs w:val="24"/>
        </w:rPr>
        <w:t>D</w:t>
      </w:r>
      <w:r>
        <w:rPr>
          <w:rFonts w:ascii="Arial" w:hAnsi="Arial" w:cs="Arial"/>
          <w:sz w:val="24"/>
          <w:szCs w:val="24"/>
        </w:rPr>
        <w:t xml:space="preserve">irector-General of </w:t>
      </w:r>
      <w:r w:rsidR="00767969">
        <w:rPr>
          <w:rFonts w:ascii="Arial" w:hAnsi="Arial" w:cs="Arial"/>
          <w:sz w:val="24"/>
          <w:szCs w:val="24"/>
        </w:rPr>
        <w:t>JACS</w:t>
      </w:r>
      <w:r>
        <w:rPr>
          <w:rFonts w:ascii="Arial" w:hAnsi="Arial" w:cs="Arial"/>
          <w:sz w:val="24"/>
          <w:szCs w:val="24"/>
        </w:rPr>
        <w:t>.</w:t>
      </w:r>
    </w:p>
    <w:p w14:paraId="74E71842" w14:textId="411C540F" w:rsidR="0077621B" w:rsidRDefault="00433BD3" w:rsidP="00433BD3">
      <w:pPr>
        <w:pStyle w:val="Heading2"/>
        <w:rPr>
          <w:i/>
          <w:iCs/>
        </w:rPr>
      </w:pPr>
      <w:r>
        <w:rPr>
          <w:i/>
          <w:iCs/>
        </w:rPr>
        <w:t>Administration and Probate Act 1929</w:t>
      </w:r>
    </w:p>
    <w:p w14:paraId="226D5202" w14:textId="7E173B91" w:rsidR="00272F82" w:rsidRDefault="00272F82" w:rsidP="00272F82">
      <w:pPr>
        <w:jc w:val="both"/>
        <w:rPr>
          <w:rFonts w:ascii="Arial" w:hAnsi="Arial" w:cs="Arial"/>
          <w:sz w:val="24"/>
          <w:szCs w:val="24"/>
        </w:rPr>
      </w:pPr>
      <w:bookmarkStart w:id="3" w:name="_Hlk57105961"/>
      <w:r>
        <w:rPr>
          <w:rFonts w:ascii="Arial" w:hAnsi="Arial" w:cs="Arial"/>
          <w:sz w:val="24"/>
          <w:szCs w:val="24"/>
        </w:rPr>
        <w:t xml:space="preserve">The Bill amends the </w:t>
      </w:r>
      <w:r w:rsidRPr="0029799A">
        <w:rPr>
          <w:rFonts w:ascii="Arial" w:hAnsi="Arial" w:cs="Arial"/>
          <w:i/>
          <w:iCs/>
          <w:sz w:val="24"/>
          <w:szCs w:val="24"/>
        </w:rPr>
        <w:t>Administration and Probate Act 1929</w:t>
      </w:r>
      <w:r>
        <w:rPr>
          <w:rFonts w:ascii="Arial" w:hAnsi="Arial" w:cs="Arial"/>
          <w:i/>
          <w:iCs/>
          <w:sz w:val="24"/>
          <w:szCs w:val="24"/>
        </w:rPr>
        <w:t xml:space="preserve"> </w:t>
      </w:r>
      <w:r>
        <w:rPr>
          <w:rFonts w:ascii="Arial" w:hAnsi="Arial" w:cs="Arial"/>
          <w:sz w:val="24"/>
          <w:szCs w:val="24"/>
        </w:rPr>
        <w:t>(AP Act) to</w:t>
      </w:r>
      <w:r w:rsidRPr="0029799A">
        <w:rPr>
          <w:rFonts w:ascii="Arial" w:hAnsi="Arial" w:cs="Arial"/>
          <w:sz w:val="24"/>
          <w:szCs w:val="24"/>
        </w:rPr>
        <w:t xml:space="preserve"> </w:t>
      </w:r>
      <w:r w:rsidR="00A74D74">
        <w:rPr>
          <w:rFonts w:ascii="Arial" w:hAnsi="Arial" w:cs="Arial"/>
          <w:sz w:val="24"/>
          <w:szCs w:val="24"/>
        </w:rPr>
        <w:t xml:space="preserve">update the language of the provision and to clarify the role of the Public Trustee and Guardian (PTG) in the administration of a deceased person’s estate. It confirms that </w:t>
      </w:r>
      <w:r w:rsidR="00FB526E">
        <w:rPr>
          <w:rFonts w:ascii="Arial" w:hAnsi="Arial" w:cs="Arial"/>
          <w:sz w:val="24"/>
          <w:szCs w:val="24"/>
        </w:rPr>
        <w:t>upon a person’s death</w:t>
      </w:r>
      <w:r w:rsidR="000153C4">
        <w:rPr>
          <w:rFonts w:ascii="Arial" w:hAnsi="Arial" w:cs="Arial"/>
          <w:sz w:val="24"/>
          <w:szCs w:val="24"/>
        </w:rPr>
        <w:t>,</w:t>
      </w:r>
      <w:r w:rsidR="00FB526E">
        <w:rPr>
          <w:rFonts w:ascii="Arial" w:hAnsi="Arial" w:cs="Arial"/>
          <w:sz w:val="24"/>
          <w:szCs w:val="24"/>
        </w:rPr>
        <w:t xml:space="preserve"> their real and personal property vests in </w:t>
      </w:r>
      <w:r>
        <w:rPr>
          <w:rFonts w:ascii="Arial" w:hAnsi="Arial" w:cs="Arial"/>
          <w:sz w:val="24"/>
          <w:szCs w:val="24"/>
        </w:rPr>
        <w:t xml:space="preserve">the PTG </w:t>
      </w:r>
      <w:r w:rsidR="00A74D74">
        <w:rPr>
          <w:rFonts w:ascii="Arial" w:hAnsi="Arial" w:cs="Arial"/>
          <w:sz w:val="24"/>
          <w:szCs w:val="24"/>
        </w:rPr>
        <w:t xml:space="preserve">in accordance with the common law </w:t>
      </w:r>
      <w:r w:rsidR="00FB526E">
        <w:rPr>
          <w:rFonts w:ascii="Arial" w:hAnsi="Arial" w:cs="Arial"/>
          <w:sz w:val="24"/>
          <w:szCs w:val="24"/>
        </w:rPr>
        <w:t xml:space="preserve">until an administrator or executor is appointed. The amendment clarifies that the PTG </w:t>
      </w:r>
      <w:r w:rsidRPr="008D25E1">
        <w:rPr>
          <w:rFonts w:ascii="Arial" w:hAnsi="Arial" w:cs="Arial"/>
          <w:i/>
          <w:iCs/>
          <w:sz w:val="24"/>
          <w:szCs w:val="24"/>
        </w:rPr>
        <w:t>may</w:t>
      </w:r>
      <w:r>
        <w:rPr>
          <w:rFonts w:ascii="Arial" w:hAnsi="Arial" w:cs="Arial"/>
          <w:sz w:val="24"/>
          <w:szCs w:val="24"/>
        </w:rPr>
        <w:t xml:space="preserve"> administer a person’s estate where a person </w:t>
      </w:r>
      <w:r w:rsidR="00E17202">
        <w:rPr>
          <w:rFonts w:ascii="Arial" w:hAnsi="Arial" w:cs="Arial"/>
          <w:sz w:val="24"/>
          <w:szCs w:val="24"/>
        </w:rPr>
        <w:t>dies</w:t>
      </w:r>
      <w:r>
        <w:rPr>
          <w:rFonts w:ascii="Arial" w:hAnsi="Arial" w:cs="Arial"/>
          <w:sz w:val="24"/>
          <w:szCs w:val="24"/>
        </w:rPr>
        <w:t xml:space="preserve"> and no one is appointed as the executor or administrator of the person’s estate. </w:t>
      </w:r>
      <w:r w:rsidR="00FB526E">
        <w:rPr>
          <w:rFonts w:ascii="Arial" w:hAnsi="Arial" w:cs="Arial"/>
          <w:sz w:val="24"/>
          <w:szCs w:val="24"/>
        </w:rPr>
        <w:t>However, t</w:t>
      </w:r>
      <w:r>
        <w:rPr>
          <w:rFonts w:ascii="Arial" w:hAnsi="Arial" w:cs="Arial"/>
          <w:sz w:val="24"/>
          <w:szCs w:val="24"/>
        </w:rPr>
        <w:t xml:space="preserve">he Bill also clarifies that </w:t>
      </w:r>
      <w:r w:rsidRPr="0029799A">
        <w:rPr>
          <w:rFonts w:ascii="Arial" w:hAnsi="Arial" w:cs="Arial"/>
          <w:sz w:val="24"/>
          <w:szCs w:val="24"/>
        </w:rPr>
        <w:t xml:space="preserve">the </w:t>
      </w:r>
      <w:r>
        <w:rPr>
          <w:rFonts w:ascii="Arial" w:hAnsi="Arial" w:cs="Arial"/>
          <w:sz w:val="24"/>
          <w:szCs w:val="24"/>
        </w:rPr>
        <w:t>PTG</w:t>
      </w:r>
      <w:r w:rsidRPr="0029799A">
        <w:rPr>
          <w:rFonts w:ascii="Arial" w:hAnsi="Arial" w:cs="Arial"/>
          <w:sz w:val="24"/>
          <w:szCs w:val="24"/>
        </w:rPr>
        <w:t xml:space="preserve"> is </w:t>
      </w:r>
      <w:r w:rsidRPr="008D25E1">
        <w:rPr>
          <w:rFonts w:ascii="Arial" w:hAnsi="Arial" w:cs="Arial"/>
          <w:i/>
          <w:iCs/>
          <w:sz w:val="24"/>
          <w:szCs w:val="24"/>
        </w:rPr>
        <w:t>not required</w:t>
      </w:r>
      <w:r w:rsidRPr="0029799A">
        <w:rPr>
          <w:rFonts w:ascii="Arial" w:hAnsi="Arial" w:cs="Arial"/>
          <w:sz w:val="24"/>
          <w:szCs w:val="24"/>
        </w:rPr>
        <w:t xml:space="preserve"> to</w:t>
      </w:r>
      <w:r>
        <w:rPr>
          <w:rFonts w:ascii="Arial" w:hAnsi="Arial" w:cs="Arial"/>
          <w:sz w:val="24"/>
          <w:szCs w:val="24"/>
        </w:rPr>
        <w:t xml:space="preserve"> administer a</w:t>
      </w:r>
      <w:r w:rsidRPr="0029799A">
        <w:rPr>
          <w:rFonts w:ascii="Arial" w:hAnsi="Arial" w:cs="Arial"/>
          <w:sz w:val="24"/>
          <w:szCs w:val="24"/>
        </w:rPr>
        <w:t xml:space="preserve"> deceased person</w:t>
      </w:r>
      <w:r>
        <w:rPr>
          <w:rFonts w:ascii="Arial" w:hAnsi="Arial" w:cs="Arial"/>
          <w:sz w:val="24"/>
          <w:szCs w:val="24"/>
        </w:rPr>
        <w:t xml:space="preserve">’s estate, </w:t>
      </w:r>
      <w:r>
        <w:rPr>
          <w:rFonts w:ascii="Arial" w:hAnsi="Arial" w:cs="Arial"/>
          <w:sz w:val="24"/>
          <w:szCs w:val="24"/>
        </w:rPr>
        <w:lastRenderedPageBreak/>
        <w:t xml:space="preserve">act as trustee in any trust created by a deceased person’s will, or </w:t>
      </w:r>
      <w:r w:rsidRPr="0029799A">
        <w:rPr>
          <w:rFonts w:ascii="Arial" w:hAnsi="Arial" w:cs="Arial"/>
          <w:sz w:val="24"/>
          <w:szCs w:val="24"/>
        </w:rPr>
        <w:t>exercise any discretions, powers, or authorities of a personal representative, trustee or devisee</w:t>
      </w:r>
      <w:r>
        <w:rPr>
          <w:rFonts w:ascii="Arial" w:hAnsi="Arial" w:cs="Arial"/>
          <w:sz w:val="24"/>
          <w:szCs w:val="24"/>
        </w:rPr>
        <w:t xml:space="preserve">. </w:t>
      </w:r>
      <w:bookmarkEnd w:id="3"/>
    </w:p>
    <w:p w14:paraId="56EFE5C6" w14:textId="77777777" w:rsidR="00272F82" w:rsidRDefault="00272F82" w:rsidP="00272F82">
      <w:pPr>
        <w:jc w:val="both"/>
        <w:rPr>
          <w:rFonts w:ascii="Arial" w:hAnsi="Arial" w:cs="Arial"/>
          <w:sz w:val="24"/>
          <w:szCs w:val="24"/>
        </w:rPr>
      </w:pPr>
      <w:r>
        <w:rPr>
          <w:rFonts w:ascii="Arial" w:hAnsi="Arial" w:cs="Arial"/>
          <w:sz w:val="24"/>
          <w:szCs w:val="24"/>
        </w:rPr>
        <w:t>The Bill also amends the AP Act</w:t>
      </w:r>
      <w:r w:rsidRPr="0029799A">
        <w:rPr>
          <w:rFonts w:ascii="Arial" w:hAnsi="Arial" w:cs="Arial"/>
          <w:sz w:val="24"/>
          <w:szCs w:val="24"/>
        </w:rPr>
        <w:t xml:space="preserve"> to</w:t>
      </w:r>
      <w:r>
        <w:rPr>
          <w:rFonts w:ascii="Arial" w:hAnsi="Arial" w:cs="Arial"/>
          <w:sz w:val="24"/>
          <w:szCs w:val="24"/>
        </w:rPr>
        <w:t xml:space="preserve"> allow </w:t>
      </w:r>
      <w:r w:rsidRPr="0029799A">
        <w:rPr>
          <w:rFonts w:ascii="Arial" w:hAnsi="Arial" w:cs="Arial"/>
          <w:sz w:val="24"/>
          <w:szCs w:val="24"/>
        </w:rPr>
        <w:t xml:space="preserve">intestate estates </w:t>
      </w:r>
      <w:r>
        <w:rPr>
          <w:rFonts w:ascii="Arial" w:hAnsi="Arial" w:cs="Arial"/>
          <w:sz w:val="24"/>
          <w:szCs w:val="24"/>
        </w:rPr>
        <w:t xml:space="preserve">to vest absolutely (as opposed to contingently) </w:t>
      </w:r>
      <w:r w:rsidRPr="0029799A">
        <w:rPr>
          <w:rFonts w:ascii="Arial" w:hAnsi="Arial" w:cs="Arial"/>
          <w:sz w:val="24"/>
          <w:szCs w:val="24"/>
        </w:rPr>
        <w:t>in</w:t>
      </w:r>
      <w:r>
        <w:rPr>
          <w:rFonts w:ascii="Arial" w:hAnsi="Arial" w:cs="Arial"/>
          <w:sz w:val="24"/>
          <w:szCs w:val="24"/>
        </w:rPr>
        <w:t xml:space="preserve"> unmarried</w:t>
      </w:r>
      <w:r w:rsidRPr="0029799A">
        <w:rPr>
          <w:rFonts w:ascii="Arial" w:hAnsi="Arial" w:cs="Arial"/>
          <w:sz w:val="24"/>
          <w:szCs w:val="24"/>
        </w:rPr>
        <w:t xml:space="preserve"> persons under </w:t>
      </w:r>
      <w:r>
        <w:rPr>
          <w:rFonts w:ascii="Arial" w:hAnsi="Arial" w:cs="Arial"/>
          <w:sz w:val="24"/>
          <w:szCs w:val="24"/>
        </w:rPr>
        <w:t>the age of 18</w:t>
      </w:r>
      <w:r w:rsidRPr="0029799A">
        <w:rPr>
          <w:rFonts w:ascii="Arial" w:hAnsi="Arial" w:cs="Arial"/>
          <w:sz w:val="24"/>
          <w:szCs w:val="24"/>
        </w:rPr>
        <w:t>.</w:t>
      </w:r>
    </w:p>
    <w:p w14:paraId="14FF8F6A" w14:textId="77777777" w:rsidR="004D1FB5" w:rsidRPr="00433BD3" w:rsidRDefault="004D1FB5" w:rsidP="004D1FB5">
      <w:pPr>
        <w:pStyle w:val="Heading2"/>
        <w:rPr>
          <w:i/>
          <w:iCs/>
        </w:rPr>
      </w:pPr>
      <w:r w:rsidRPr="00433BD3">
        <w:rPr>
          <w:i/>
          <w:iCs/>
        </w:rPr>
        <w:t>Wills Act 1968</w:t>
      </w:r>
    </w:p>
    <w:p w14:paraId="3D60B004" w14:textId="77777777" w:rsidR="00272F82" w:rsidRPr="00497873" w:rsidRDefault="00272F82" w:rsidP="00272F82">
      <w:pPr>
        <w:jc w:val="both"/>
        <w:rPr>
          <w:rFonts w:ascii="Arial" w:hAnsi="Arial" w:cs="Arial"/>
          <w:sz w:val="24"/>
          <w:szCs w:val="24"/>
        </w:rPr>
      </w:pPr>
      <w:r w:rsidRPr="00FE56D3">
        <w:rPr>
          <w:rFonts w:ascii="Arial" w:hAnsi="Arial" w:cs="Arial"/>
          <w:sz w:val="24"/>
          <w:szCs w:val="24"/>
        </w:rPr>
        <w:t xml:space="preserve">The Bill amends the </w:t>
      </w:r>
      <w:r w:rsidRPr="00FE56D3">
        <w:rPr>
          <w:rFonts w:ascii="Arial" w:hAnsi="Arial" w:cs="Arial"/>
          <w:i/>
          <w:iCs/>
          <w:sz w:val="24"/>
          <w:szCs w:val="24"/>
        </w:rPr>
        <w:t xml:space="preserve">Wills Act 1968 </w:t>
      </w:r>
      <w:r w:rsidRPr="00FE56D3">
        <w:rPr>
          <w:rFonts w:ascii="Arial" w:hAnsi="Arial" w:cs="Arial"/>
          <w:sz w:val="24"/>
          <w:szCs w:val="24"/>
        </w:rPr>
        <w:t>(Wills Act)</w:t>
      </w:r>
      <w:r w:rsidRPr="00FE56D3">
        <w:rPr>
          <w:rFonts w:ascii="Arial" w:hAnsi="Arial" w:cs="Arial"/>
          <w:i/>
          <w:iCs/>
          <w:sz w:val="24"/>
          <w:szCs w:val="24"/>
        </w:rPr>
        <w:t xml:space="preserve"> </w:t>
      </w:r>
      <w:r w:rsidRPr="00FE56D3">
        <w:rPr>
          <w:rFonts w:ascii="Arial" w:hAnsi="Arial" w:cs="Arial"/>
          <w:sz w:val="24"/>
          <w:szCs w:val="24"/>
        </w:rPr>
        <w:t>to provide a 30-day survivorship to apply to all persons entitled to take on intestacy</w:t>
      </w:r>
      <w:r>
        <w:rPr>
          <w:rFonts w:ascii="Arial" w:hAnsi="Arial" w:cs="Arial"/>
          <w:sz w:val="24"/>
          <w:szCs w:val="24"/>
        </w:rPr>
        <w:t>.  It also clarifies that this 30-day survivorship requirement</w:t>
      </w:r>
      <w:r w:rsidRPr="00FE56D3">
        <w:rPr>
          <w:rFonts w:ascii="Arial" w:hAnsi="Arial" w:cs="Arial"/>
          <w:sz w:val="24"/>
          <w:szCs w:val="24"/>
        </w:rPr>
        <w:t xml:space="preserve"> appl</w:t>
      </w:r>
      <w:r>
        <w:rPr>
          <w:rFonts w:ascii="Arial" w:hAnsi="Arial" w:cs="Arial"/>
          <w:sz w:val="24"/>
          <w:szCs w:val="24"/>
        </w:rPr>
        <w:t>ies</w:t>
      </w:r>
      <w:r w:rsidRPr="00FE56D3">
        <w:rPr>
          <w:rFonts w:ascii="Arial" w:hAnsi="Arial" w:cs="Arial"/>
          <w:sz w:val="24"/>
          <w:szCs w:val="24"/>
        </w:rPr>
        <w:t xml:space="preserve"> to people born after the death of the intestate who were a foetus in utero at the time of the intestate’s death</w:t>
      </w:r>
      <w:r>
        <w:rPr>
          <w:rFonts w:ascii="Arial" w:hAnsi="Arial" w:cs="Arial"/>
          <w:sz w:val="24"/>
          <w:szCs w:val="24"/>
        </w:rPr>
        <w:t>.  However</w:t>
      </w:r>
      <w:r w:rsidRPr="00FE56D3">
        <w:rPr>
          <w:rFonts w:ascii="Arial" w:hAnsi="Arial" w:cs="Arial"/>
          <w:sz w:val="24"/>
          <w:szCs w:val="24"/>
        </w:rPr>
        <w:t xml:space="preserve">, </w:t>
      </w:r>
      <w:r>
        <w:rPr>
          <w:rFonts w:ascii="Arial" w:hAnsi="Arial" w:cs="Arial"/>
          <w:sz w:val="24"/>
          <w:szCs w:val="24"/>
        </w:rPr>
        <w:t xml:space="preserve">the amendments also provide that the 30-day survivorship rule will </w:t>
      </w:r>
      <w:r w:rsidRPr="00FE56D3">
        <w:rPr>
          <w:rFonts w:ascii="Arial" w:hAnsi="Arial" w:cs="Arial"/>
          <w:sz w:val="24"/>
          <w:szCs w:val="24"/>
        </w:rPr>
        <w:t>not apply where the effect would be that the intestate estate passes to the Territory under section 49CA of the AP Act.</w:t>
      </w:r>
      <w:r>
        <w:rPr>
          <w:rFonts w:ascii="Arial" w:hAnsi="Arial" w:cs="Arial"/>
          <w:sz w:val="24"/>
          <w:szCs w:val="24"/>
        </w:rPr>
        <w:t xml:space="preserve"> </w:t>
      </w:r>
      <w:r w:rsidRPr="006B5906">
        <w:rPr>
          <w:rFonts w:ascii="Arial" w:hAnsi="Arial" w:cs="Arial"/>
          <w:sz w:val="24"/>
          <w:szCs w:val="24"/>
        </w:rPr>
        <w:t xml:space="preserve">The amendments </w:t>
      </w:r>
      <w:r>
        <w:rPr>
          <w:rFonts w:ascii="Arial" w:hAnsi="Arial" w:cs="Arial"/>
          <w:sz w:val="24"/>
          <w:szCs w:val="24"/>
        </w:rPr>
        <w:t xml:space="preserve">introduce the survivorship clauses in cases of intestacy to promote consistency between testate and intestate estates, </w:t>
      </w:r>
      <w:r w:rsidRPr="006B5906">
        <w:rPr>
          <w:rFonts w:ascii="Arial" w:hAnsi="Arial" w:cs="Arial"/>
          <w:sz w:val="24"/>
          <w:szCs w:val="24"/>
        </w:rPr>
        <w:t>reduce delays in the administration of an estate</w:t>
      </w:r>
      <w:r>
        <w:rPr>
          <w:rFonts w:ascii="Arial" w:hAnsi="Arial" w:cs="Arial"/>
          <w:sz w:val="24"/>
          <w:szCs w:val="24"/>
        </w:rPr>
        <w:t xml:space="preserve">, </w:t>
      </w:r>
      <w:r w:rsidRPr="006B5906">
        <w:rPr>
          <w:rFonts w:ascii="Arial" w:hAnsi="Arial" w:cs="Arial"/>
          <w:sz w:val="24"/>
          <w:szCs w:val="24"/>
        </w:rPr>
        <w:t>and</w:t>
      </w:r>
      <w:r>
        <w:rPr>
          <w:rFonts w:ascii="Arial" w:hAnsi="Arial" w:cs="Arial"/>
          <w:sz w:val="24"/>
          <w:szCs w:val="24"/>
        </w:rPr>
        <w:t xml:space="preserve"> to</w:t>
      </w:r>
      <w:r w:rsidRPr="006B5906">
        <w:rPr>
          <w:rFonts w:ascii="Arial" w:hAnsi="Arial" w:cs="Arial"/>
          <w:sz w:val="24"/>
          <w:szCs w:val="24"/>
        </w:rPr>
        <w:t xml:space="preserve"> align with Recommendation 40 of the </w:t>
      </w:r>
      <w:r w:rsidRPr="006B5906">
        <w:rPr>
          <w:rFonts w:ascii="Arial" w:hAnsi="Arial" w:cs="Arial"/>
          <w:i/>
          <w:iCs/>
          <w:sz w:val="24"/>
          <w:szCs w:val="24"/>
        </w:rPr>
        <w:t xml:space="preserve">National Committee for Uniform Succession Laws Intestacy Report </w:t>
      </w:r>
      <w:r>
        <w:rPr>
          <w:rFonts w:ascii="Arial" w:hAnsi="Arial" w:cs="Arial"/>
          <w:sz w:val="24"/>
          <w:szCs w:val="24"/>
        </w:rPr>
        <w:t>(</w:t>
      </w:r>
      <w:r w:rsidRPr="006B5906">
        <w:rPr>
          <w:rFonts w:ascii="Arial" w:hAnsi="Arial" w:cs="Arial"/>
          <w:sz w:val="24"/>
          <w:szCs w:val="24"/>
        </w:rPr>
        <w:t>March 2007</w:t>
      </w:r>
      <w:r>
        <w:rPr>
          <w:rFonts w:ascii="Arial" w:hAnsi="Arial" w:cs="Arial"/>
          <w:sz w:val="24"/>
          <w:szCs w:val="24"/>
        </w:rPr>
        <w:t>)</w:t>
      </w:r>
      <w:r w:rsidRPr="006B5906">
        <w:rPr>
          <w:rFonts w:ascii="Arial" w:hAnsi="Arial" w:cs="Arial"/>
          <w:sz w:val="24"/>
          <w:szCs w:val="24"/>
        </w:rPr>
        <w:t>.</w:t>
      </w:r>
    </w:p>
    <w:p w14:paraId="5C3F8F7A" w14:textId="77777777" w:rsidR="00463107" w:rsidRDefault="00463107" w:rsidP="00463107">
      <w:pPr>
        <w:pStyle w:val="Heading2"/>
        <w:rPr>
          <w:i/>
          <w:iCs/>
        </w:rPr>
      </w:pPr>
      <w:r w:rsidRPr="00433BD3">
        <w:rPr>
          <w:i/>
          <w:iCs/>
        </w:rPr>
        <w:t>Guardianship and Management of Property Act 1991</w:t>
      </w:r>
    </w:p>
    <w:p w14:paraId="22D11613" w14:textId="4EE678B9" w:rsidR="00463107" w:rsidRPr="00D25526" w:rsidRDefault="00463107" w:rsidP="00463107">
      <w:pPr>
        <w:jc w:val="both"/>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 xml:space="preserve">Guardianship and Management of Property Act 1991 </w:t>
      </w:r>
      <w:r>
        <w:rPr>
          <w:rFonts w:ascii="Arial" w:hAnsi="Arial" w:cs="Arial"/>
          <w:sz w:val="24"/>
          <w:szCs w:val="24"/>
        </w:rPr>
        <w:t>(GMP Act) to remove the requirement for a principal under an enduring power of attorney (EPOA) to have impaired decision-making capacity before:</w:t>
      </w:r>
    </w:p>
    <w:p w14:paraId="4A4890BF" w14:textId="77777777" w:rsidR="00463107" w:rsidRDefault="00463107" w:rsidP="00463107">
      <w:pPr>
        <w:pStyle w:val="ListParagraph"/>
        <w:numPr>
          <w:ilvl w:val="0"/>
          <w:numId w:val="6"/>
        </w:numPr>
        <w:jc w:val="both"/>
        <w:rPr>
          <w:rFonts w:ascii="Arial" w:hAnsi="Arial" w:cs="Arial"/>
          <w:sz w:val="24"/>
          <w:szCs w:val="24"/>
        </w:rPr>
      </w:pPr>
      <w:r w:rsidRPr="00FE1AF5">
        <w:rPr>
          <w:rFonts w:ascii="Arial" w:hAnsi="Arial" w:cs="Arial"/>
          <w:sz w:val="24"/>
          <w:szCs w:val="24"/>
        </w:rPr>
        <w:t>allow</w:t>
      </w:r>
      <w:r>
        <w:rPr>
          <w:rFonts w:ascii="Arial" w:hAnsi="Arial" w:cs="Arial"/>
          <w:sz w:val="24"/>
          <w:szCs w:val="24"/>
        </w:rPr>
        <w:t>ing</w:t>
      </w:r>
      <w:r w:rsidRPr="00FE1AF5">
        <w:rPr>
          <w:rFonts w:ascii="Arial" w:hAnsi="Arial" w:cs="Arial"/>
          <w:sz w:val="24"/>
          <w:szCs w:val="24"/>
        </w:rPr>
        <w:t xml:space="preserve"> ACAT to make certain directions </w:t>
      </w:r>
      <w:r>
        <w:rPr>
          <w:rFonts w:ascii="Arial" w:hAnsi="Arial" w:cs="Arial"/>
          <w:sz w:val="24"/>
          <w:szCs w:val="24"/>
        </w:rPr>
        <w:t>such as revoking or suspending an EPOA</w:t>
      </w:r>
    </w:p>
    <w:p w14:paraId="5CE5D1EA" w14:textId="77777777" w:rsidR="00463107" w:rsidRDefault="00463107" w:rsidP="00463107">
      <w:pPr>
        <w:pStyle w:val="ListParagraph"/>
        <w:numPr>
          <w:ilvl w:val="0"/>
          <w:numId w:val="6"/>
        </w:numPr>
        <w:spacing w:after="240"/>
        <w:jc w:val="both"/>
        <w:rPr>
          <w:rFonts w:ascii="Arial" w:hAnsi="Arial" w:cs="Arial"/>
          <w:sz w:val="24"/>
          <w:szCs w:val="24"/>
        </w:rPr>
      </w:pPr>
      <w:r w:rsidRPr="00C24EF8">
        <w:rPr>
          <w:rFonts w:ascii="Arial" w:hAnsi="Arial" w:cs="Arial"/>
          <w:sz w:val="24"/>
          <w:szCs w:val="24"/>
        </w:rPr>
        <w:t>allowing the Public Advocate (PA) and PTG to request an attorney under an</w:t>
      </w:r>
      <w:r w:rsidRPr="00FE1AF5">
        <w:rPr>
          <w:rFonts w:ascii="Arial" w:hAnsi="Arial" w:cs="Arial"/>
          <w:sz w:val="24"/>
          <w:szCs w:val="24"/>
        </w:rPr>
        <w:t xml:space="preserve"> </w:t>
      </w:r>
      <w:r>
        <w:rPr>
          <w:rFonts w:ascii="Arial" w:hAnsi="Arial" w:cs="Arial"/>
          <w:sz w:val="24"/>
          <w:szCs w:val="24"/>
        </w:rPr>
        <w:t>EPOA</w:t>
      </w:r>
      <w:r w:rsidRPr="00FE1AF5">
        <w:rPr>
          <w:rFonts w:ascii="Arial" w:hAnsi="Arial" w:cs="Arial"/>
          <w:sz w:val="24"/>
          <w:szCs w:val="24"/>
        </w:rPr>
        <w:t xml:space="preserve"> to produce records of transactions carried out by the attorney for the principal, where the principal does not have impaired decision-making capacity.</w:t>
      </w:r>
    </w:p>
    <w:p w14:paraId="77B2F8BD" w14:textId="44A14520" w:rsidR="00463107" w:rsidRPr="000B6D44" w:rsidRDefault="00463107" w:rsidP="00463107">
      <w:pPr>
        <w:jc w:val="both"/>
        <w:rPr>
          <w:rFonts w:ascii="Arial" w:hAnsi="Arial" w:cs="Arial"/>
          <w:sz w:val="24"/>
          <w:szCs w:val="24"/>
        </w:rPr>
      </w:pPr>
      <w:r>
        <w:rPr>
          <w:rFonts w:ascii="Arial" w:hAnsi="Arial" w:cs="Arial"/>
          <w:sz w:val="24"/>
          <w:szCs w:val="24"/>
        </w:rPr>
        <w:t>However, t</w:t>
      </w:r>
      <w:r w:rsidRPr="00FA15D9">
        <w:rPr>
          <w:rFonts w:ascii="Arial" w:hAnsi="Arial" w:cs="Arial"/>
          <w:sz w:val="24"/>
          <w:szCs w:val="24"/>
        </w:rPr>
        <w:t xml:space="preserve">he Bill </w:t>
      </w:r>
      <w:r>
        <w:rPr>
          <w:rFonts w:ascii="Arial" w:hAnsi="Arial" w:cs="Arial"/>
          <w:sz w:val="24"/>
          <w:szCs w:val="24"/>
        </w:rPr>
        <w:t>maintains the requirement that the principal must have impaired decision</w:t>
      </w:r>
      <w:r w:rsidR="000B6D44">
        <w:rPr>
          <w:rFonts w:ascii="Arial" w:hAnsi="Arial" w:cs="Arial"/>
          <w:sz w:val="24"/>
          <w:szCs w:val="24"/>
        </w:rPr>
        <w:t>-</w:t>
      </w:r>
      <w:r>
        <w:rPr>
          <w:rFonts w:ascii="Arial" w:hAnsi="Arial" w:cs="Arial"/>
          <w:sz w:val="24"/>
          <w:szCs w:val="24"/>
        </w:rPr>
        <w:t>making capacity before the ACAT can</w:t>
      </w:r>
      <w:r w:rsidRPr="00FA15D9">
        <w:rPr>
          <w:rFonts w:ascii="Arial" w:hAnsi="Arial" w:cs="Arial"/>
          <w:sz w:val="24"/>
          <w:szCs w:val="24"/>
        </w:rPr>
        <w:t xml:space="preserve"> </w:t>
      </w:r>
      <w:r w:rsidRPr="00F343E3">
        <w:rPr>
          <w:rFonts w:ascii="Arial" w:hAnsi="Arial" w:cs="Arial"/>
          <w:sz w:val="24"/>
          <w:szCs w:val="24"/>
        </w:rPr>
        <w:t>appoint a guardian or manager for the principal under the EPOA</w:t>
      </w:r>
      <w:r w:rsidRPr="00FA15D9">
        <w:rPr>
          <w:rFonts w:ascii="Arial" w:hAnsi="Arial" w:cs="Arial"/>
          <w:sz w:val="24"/>
          <w:szCs w:val="24"/>
        </w:rPr>
        <w:t>.</w:t>
      </w:r>
      <w:r w:rsidRPr="003B6BEC">
        <w:t xml:space="preserve"> </w:t>
      </w:r>
      <w:r w:rsidRPr="003B6BEC">
        <w:rPr>
          <w:rFonts w:ascii="Arial" w:hAnsi="Arial" w:cs="Arial"/>
          <w:sz w:val="24"/>
          <w:szCs w:val="24"/>
        </w:rPr>
        <w:t xml:space="preserve">The amendments </w:t>
      </w:r>
      <w:r w:rsidRPr="00A60540">
        <w:rPr>
          <w:rFonts w:ascii="Arial" w:hAnsi="Arial" w:cs="Arial"/>
          <w:sz w:val="24"/>
          <w:szCs w:val="24"/>
        </w:rPr>
        <w:t xml:space="preserve">strengthen the safeguards in the GMP Act and improve protection of older members of our community, including those </w:t>
      </w:r>
      <w:r>
        <w:rPr>
          <w:rFonts w:ascii="Arial" w:hAnsi="Arial" w:cs="Arial"/>
          <w:sz w:val="24"/>
          <w:szCs w:val="24"/>
        </w:rPr>
        <w:t xml:space="preserve">who may have capacity but are </w:t>
      </w:r>
      <w:r w:rsidRPr="00A60540">
        <w:rPr>
          <w:rFonts w:ascii="Arial" w:hAnsi="Arial" w:cs="Arial"/>
          <w:sz w:val="24"/>
          <w:szCs w:val="24"/>
        </w:rPr>
        <w:t xml:space="preserve">reliant on other persons to </w:t>
      </w:r>
      <w:r w:rsidRPr="00A60540">
        <w:rPr>
          <w:rFonts w:ascii="Arial" w:hAnsi="Arial" w:cs="Arial"/>
          <w:bCs/>
          <w:iCs/>
          <w:sz w:val="24"/>
          <w:szCs w:val="24"/>
        </w:rPr>
        <w:t>carry out important transactions on their behalf</w:t>
      </w:r>
      <w:r w:rsidRPr="00A60540">
        <w:rPr>
          <w:rFonts w:ascii="Arial" w:hAnsi="Arial" w:cs="Arial"/>
          <w:sz w:val="24"/>
          <w:szCs w:val="24"/>
        </w:rPr>
        <w:t>.</w:t>
      </w:r>
      <w:r>
        <w:rPr>
          <w:rFonts w:ascii="Arial" w:hAnsi="Arial" w:cs="Arial"/>
          <w:sz w:val="24"/>
          <w:szCs w:val="24"/>
        </w:rPr>
        <w:t xml:space="preserve"> </w:t>
      </w:r>
      <w:r w:rsidR="000153C4">
        <w:rPr>
          <w:rFonts w:ascii="Arial" w:hAnsi="Arial" w:cs="Arial"/>
          <w:sz w:val="24"/>
          <w:szCs w:val="24"/>
        </w:rPr>
        <w:t>These amendments are</w:t>
      </w:r>
      <w:r>
        <w:rPr>
          <w:rFonts w:ascii="Arial" w:hAnsi="Arial" w:cs="Arial"/>
          <w:sz w:val="24"/>
          <w:szCs w:val="24"/>
        </w:rPr>
        <w:t xml:space="preserve"> also</w:t>
      </w:r>
      <w:r w:rsidRPr="003B6BEC">
        <w:rPr>
          <w:rFonts w:ascii="Arial" w:hAnsi="Arial" w:cs="Arial"/>
          <w:sz w:val="24"/>
          <w:szCs w:val="24"/>
        </w:rPr>
        <w:t xml:space="preserve"> consistent with the overall objectives of the National Plan to Respond to the Abuse of Older Australians (Elder Abuse) 2019- 2023.</w:t>
      </w:r>
    </w:p>
    <w:p w14:paraId="27FD58BB" w14:textId="77777777" w:rsidR="00463107" w:rsidRDefault="00463107" w:rsidP="00463107">
      <w:pPr>
        <w:pStyle w:val="Heading2"/>
        <w:rPr>
          <w:i/>
          <w:iCs/>
        </w:rPr>
      </w:pPr>
      <w:r w:rsidRPr="00433BD3">
        <w:rPr>
          <w:i/>
          <w:iCs/>
        </w:rPr>
        <w:t>Powers of Attorney Act 2006</w:t>
      </w:r>
    </w:p>
    <w:p w14:paraId="3D41D154" w14:textId="77777777" w:rsidR="00463107" w:rsidRDefault="00463107" w:rsidP="00463107">
      <w:pPr>
        <w:jc w:val="both"/>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 xml:space="preserve">Powers of Attorney Act 2006 </w:t>
      </w:r>
      <w:r>
        <w:rPr>
          <w:rFonts w:ascii="Arial" w:hAnsi="Arial" w:cs="Arial"/>
          <w:sz w:val="24"/>
          <w:szCs w:val="24"/>
        </w:rPr>
        <w:t>(POA Act)</w:t>
      </w:r>
      <w:r>
        <w:rPr>
          <w:rFonts w:ascii="Arial" w:hAnsi="Arial" w:cs="Arial"/>
          <w:i/>
          <w:iCs/>
          <w:sz w:val="24"/>
          <w:szCs w:val="24"/>
        </w:rPr>
        <w:t xml:space="preserve"> </w:t>
      </w:r>
      <w:r>
        <w:rPr>
          <w:rFonts w:ascii="Arial" w:hAnsi="Arial" w:cs="Arial"/>
          <w:sz w:val="24"/>
          <w:szCs w:val="24"/>
        </w:rPr>
        <w:t>to remove, on a permanent basis, the need for a principal under an EPOA to have impaired decision-making capacity before:</w:t>
      </w:r>
    </w:p>
    <w:p w14:paraId="59E692BD" w14:textId="77777777" w:rsidR="00463107" w:rsidRDefault="00463107" w:rsidP="00463107">
      <w:pPr>
        <w:pStyle w:val="ListParagraph"/>
        <w:numPr>
          <w:ilvl w:val="0"/>
          <w:numId w:val="6"/>
        </w:numPr>
        <w:jc w:val="both"/>
        <w:rPr>
          <w:rFonts w:ascii="Arial" w:hAnsi="Arial" w:cs="Arial"/>
          <w:sz w:val="24"/>
          <w:szCs w:val="24"/>
        </w:rPr>
      </w:pPr>
      <w:r>
        <w:rPr>
          <w:rFonts w:ascii="Arial" w:hAnsi="Arial" w:cs="Arial"/>
          <w:sz w:val="24"/>
          <w:szCs w:val="24"/>
        </w:rPr>
        <w:t xml:space="preserve">an attorney is required </w:t>
      </w:r>
      <w:r w:rsidRPr="0055569F">
        <w:rPr>
          <w:rFonts w:ascii="Arial" w:hAnsi="Arial" w:cs="Arial"/>
          <w:sz w:val="24"/>
          <w:szCs w:val="24"/>
        </w:rPr>
        <w:t>to keep accurate records and accounts of all dealings and transactions made under the EPOA</w:t>
      </w:r>
      <w:r>
        <w:rPr>
          <w:rFonts w:ascii="Arial" w:hAnsi="Arial" w:cs="Arial"/>
          <w:sz w:val="24"/>
          <w:szCs w:val="24"/>
        </w:rPr>
        <w:t>; and</w:t>
      </w:r>
    </w:p>
    <w:p w14:paraId="7D983107" w14:textId="77777777" w:rsidR="00463107" w:rsidRPr="0055569F" w:rsidRDefault="00463107" w:rsidP="00463107">
      <w:pPr>
        <w:pStyle w:val="ListParagraph"/>
        <w:numPr>
          <w:ilvl w:val="0"/>
          <w:numId w:val="6"/>
        </w:numPr>
        <w:spacing w:after="240"/>
        <w:jc w:val="both"/>
        <w:rPr>
          <w:rFonts w:ascii="Arial" w:hAnsi="Arial" w:cs="Arial"/>
          <w:sz w:val="24"/>
          <w:szCs w:val="24"/>
        </w:rPr>
      </w:pPr>
      <w:r>
        <w:rPr>
          <w:rFonts w:ascii="Arial" w:hAnsi="Arial" w:cs="Arial"/>
          <w:sz w:val="24"/>
          <w:szCs w:val="24"/>
        </w:rPr>
        <w:t xml:space="preserve">an attorney for a property matter under an EPOA is required </w:t>
      </w:r>
      <w:r w:rsidRPr="0055569F">
        <w:rPr>
          <w:rFonts w:ascii="Arial" w:hAnsi="Arial" w:cs="Arial"/>
          <w:sz w:val="24"/>
          <w:szCs w:val="24"/>
        </w:rPr>
        <w:t>to keep the attorney’s property separate from the principal’s property.</w:t>
      </w:r>
    </w:p>
    <w:p w14:paraId="529DC79D" w14:textId="73F601D9" w:rsidR="00463107" w:rsidRPr="00E36BDA" w:rsidRDefault="00463107" w:rsidP="00463107">
      <w:pPr>
        <w:jc w:val="both"/>
        <w:rPr>
          <w:rFonts w:ascii="Arial" w:hAnsi="Arial" w:cs="Arial"/>
          <w:sz w:val="24"/>
          <w:szCs w:val="24"/>
        </w:rPr>
      </w:pPr>
      <w:r>
        <w:rPr>
          <w:rFonts w:ascii="Arial" w:hAnsi="Arial" w:cs="Arial"/>
          <w:sz w:val="24"/>
          <w:szCs w:val="24"/>
        </w:rPr>
        <w:lastRenderedPageBreak/>
        <w:t xml:space="preserve">Prior to the </w:t>
      </w:r>
      <w:r w:rsidRPr="004A2C60">
        <w:rPr>
          <w:rFonts w:ascii="Arial" w:hAnsi="Arial" w:cs="Arial"/>
          <w:i/>
          <w:iCs/>
          <w:sz w:val="24"/>
          <w:szCs w:val="24"/>
        </w:rPr>
        <w:t>COVID-19 Emergency Response Legislation Amendment Act 2020</w:t>
      </w:r>
      <w:r>
        <w:rPr>
          <w:rFonts w:ascii="Arial" w:hAnsi="Arial" w:cs="Arial"/>
          <w:i/>
          <w:iCs/>
          <w:sz w:val="24"/>
          <w:szCs w:val="24"/>
        </w:rPr>
        <w:t xml:space="preserve"> </w:t>
      </w:r>
      <w:r>
        <w:rPr>
          <w:rFonts w:ascii="Arial" w:hAnsi="Arial" w:cs="Arial"/>
          <w:sz w:val="24"/>
          <w:szCs w:val="24"/>
        </w:rPr>
        <w:t xml:space="preserve">(COVID-19 Emergency Response Amendment Act), the attorney only had the obligations while a principal under the EPOA had impaired decision-making capacity. </w:t>
      </w:r>
      <w:r w:rsidRPr="00522860">
        <w:rPr>
          <w:rFonts w:ascii="Arial" w:hAnsi="Arial" w:cs="Arial"/>
          <w:sz w:val="24"/>
          <w:szCs w:val="24"/>
        </w:rPr>
        <w:t>Th</w:t>
      </w:r>
      <w:r>
        <w:rPr>
          <w:rFonts w:ascii="Arial" w:hAnsi="Arial" w:cs="Arial"/>
          <w:sz w:val="24"/>
          <w:szCs w:val="24"/>
        </w:rPr>
        <w:t xml:space="preserve">is condition was removed from the POA Act </w:t>
      </w:r>
      <w:r w:rsidRPr="00522860">
        <w:rPr>
          <w:rFonts w:ascii="Arial" w:hAnsi="Arial" w:cs="Arial"/>
          <w:sz w:val="24"/>
          <w:szCs w:val="24"/>
        </w:rPr>
        <w:t xml:space="preserve">on a temporary basis </w:t>
      </w:r>
      <w:r>
        <w:rPr>
          <w:rFonts w:ascii="Arial" w:hAnsi="Arial" w:cs="Arial"/>
          <w:sz w:val="24"/>
          <w:szCs w:val="24"/>
        </w:rPr>
        <w:t>by</w:t>
      </w:r>
      <w:r w:rsidRPr="00522860">
        <w:rPr>
          <w:rFonts w:ascii="Arial" w:hAnsi="Arial" w:cs="Arial"/>
          <w:sz w:val="24"/>
          <w:szCs w:val="24"/>
        </w:rPr>
        <w:t xml:space="preserve"> the COVID-19 </w:t>
      </w:r>
      <w:r>
        <w:rPr>
          <w:rFonts w:ascii="Arial" w:hAnsi="Arial" w:cs="Arial"/>
          <w:sz w:val="24"/>
          <w:szCs w:val="24"/>
        </w:rPr>
        <w:t>Emergency Response Amendment Act</w:t>
      </w:r>
      <w:r w:rsidRPr="00522860">
        <w:rPr>
          <w:rFonts w:ascii="Arial" w:hAnsi="Arial" w:cs="Arial"/>
          <w:sz w:val="24"/>
          <w:szCs w:val="24"/>
        </w:rPr>
        <w:t>.</w:t>
      </w:r>
      <w:r>
        <w:rPr>
          <w:rFonts w:ascii="Arial" w:hAnsi="Arial" w:cs="Arial"/>
          <w:sz w:val="24"/>
          <w:szCs w:val="24"/>
        </w:rPr>
        <w:t xml:space="preserve"> The amendments now seek to enable the provisions to operate on </w:t>
      </w:r>
      <w:r w:rsidRPr="00522860">
        <w:rPr>
          <w:rFonts w:ascii="Arial" w:hAnsi="Arial" w:cs="Arial"/>
          <w:sz w:val="24"/>
          <w:szCs w:val="24"/>
        </w:rPr>
        <w:t>a permanent</w:t>
      </w:r>
      <w:r>
        <w:rPr>
          <w:rFonts w:ascii="Arial" w:hAnsi="Arial" w:cs="Arial"/>
          <w:sz w:val="24"/>
          <w:szCs w:val="24"/>
        </w:rPr>
        <w:t>, rather than temporary,</w:t>
      </w:r>
      <w:r w:rsidRPr="00522860">
        <w:rPr>
          <w:rFonts w:ascii="Arial" w:hAnsi="Arial" w:cs="Arial"/>
          <w:sz w:val="24"/>
          <w:szCs w:val="24"/>
        </w:rPr>
        <w:t xml:space="preserve"> basi</w:t>
      </w:r>
      <w:r>
        <w:rPr>
          <w:rFonts w:ascii="Arial" w:hAnsi="Arial" w:cs="Arial"/>
          <w:sz w:val="24"/>
          <w:szCs w:val="24"/>
        </w:rPr>
        <w:t>s and maintain the</w:t>
      </w:r>
      <w:r w:rsidRPr="00E36BDA">
        <w:rPr>
          <w:rFonts w:ascii="Arial" w:hAnsi="Arial" w:cs="Arial"/>
          <w:sz w:val="24"/>
          <w:szCs w:val="24"/>
          <w:lang w:eastAsia="en-AU"/>
        </w:rPr>
        <w:t xml:space="preserve"> increase </w:t>
      </w:r>
      <w:r>
        <w:rPr>
          <w:rFonts w:ascii="Arial" w:hAnsi="Arial" w:cs="Arial"/>
          <w:sz w:val="24"/>
          <w:szCs w:val="24"/>
          <w:lang w:eastAsia="en-AU"/>
        </w:rPr>
        <w:t xml:space="preserve">in </w:t>
      </w:r>
      <w:r w:rsidRPr="00E36BDA">
        <w:rPr>
          <w:rFonts w:ascii="Arial" w:hAnsi="Arial" w:cs="Arial"/>
          <w:sz w:val="24"/>
          <w:szCs w:val="24"/>
          <w:lang w:eastAsia="en-AU"/>
        </w:rPr>
        <w:t>safeguards around the potential for financial abuse</w:t>
      </w:r>
      <w:r>
        <w:rPr>
          <w:rFonts w:ascii="Arial" w:hAnsi="Arial" w:cs="Arial"/>
          <w:sz w:val="24"/>
          <w:szCs w:val="24"/>
          <w:lang w:eastAsia="en-AU"/>
        </w:rPr>
        <w:t xml:space="preserve"> of a principal under an EPOA</w:t>
      </w:r>
      <w:r w:rsidRPr="00E36BDA">
        <w:rPr>
          <w:rFonts w:ascii="Arial" w:hAnsi="Arial" w:cs="Arial"/>
          <w:sz w:val="24"/>
          <w:szCs w:val="24"/>
          <w:lang w:eastAsia="en-AU"/>
        </w:rPr>
        <w:t>.</w:t>
      </w:r>
    </w:p>
    <w:p w14:paraId="09FFA56F" w14:textId="77777777" w:rsidR="00463107" w:rsidRDefault="00463107" w:rsidP="00463107">
      <w:pPr>
        <w:pStyle w:val="Heading2"/>
        <w:rPr>
          <w:i/>
          <w:iCs/>
        </w:rPr>
      </w:pPr>
      <w:r w:rsidRPr="00433BD3">
        <w:rPr>
          <w:i/>
          <w:iCs/>
        </w:rPr>
        <w:t>Public Trustee and Guardian Act 1985</w:t>
      </w:r>
    </w:p>
    <w:p w14:paraId="2F7A4D2C" w14:textId="79E5BDCE" w:rsidR="00463107" w:rsidRDefault="00463107" w:rsidP="00463107">
      <w:pPr>
        <w:jc w:val="both"/>
        <w:rPr>
          <w:rFonts w:ascii="Arial" w:hAnsi="Arial" w:cs="Arial"/>
          <w:sz w:val="24"/>
          <w:szCs w:val="24"/>
        </w:rPr>
      </w:pPr>
      <w:r>
        <w:rPr>
          <w:rFonts w:ascii="Arial" w:hAnsi="Arial" w:cs="Arial"/>
          <w:sz w:val="24"/>
          <w:szCs w:val="24"/>
        </w:rPr>
        <w:t xml:space="preserve">The Bill amends the </w:t>
      </w:r>
      <w:r w:rsidRPr="00135E92">
        <w:rPr>
          <w:rFonts w:ascii="Arial" w:hAnsi="Arial" w:cs="Arial"/>
          <w:i/>
          <w:iCs/>
          <w:sz w:val="24"/>
          <w:szCs w:val="24"/>
        </w:rPr>
        <w:t>Public Trustee and Guardian Act 1985</w:t>
      </w:r>
      <w:r>
        <w:rPr>
          <w:rFonts w:ascii="Arial" w:hAnsi="Arial" w:cs="Arial"/>
          <w:i/>
          <w:iCs/>
          <w:sz w:val="24"/>
          <w:szCs w:val="24"/>
        </w:rPr>
        <w:t xml:space="preserve"> </w:t>
      </w:r>
      <w:r>
        <w:rPr>
          <w:rFonts w:ascii="Arial" w:hAnsi="Arial" w:cs="Arial"/>
          <w:sz w:val="24"/>
          <w:szCs w:val="24"/>
        </w:rPr>
        <w:t xml:space="preserve">(PTG Act) to </w:t>
      </w:r>
      <w:r w:rsidRPr="00135E92">
        <w:rPr>
          <w:rFonts w:ascii="Arial" w:hAnsi="Arial" w:cs="Arial"/>
          <w:sz w:val="24"/>
          <w:szCs w:val="24"/>
        </w:rPr>
        <w:t xml:space="preserve">remove </w:t>
      </w:r>
      <w:r>
        <w:rPr>
          <w:rFonts w:ascii="Arial" w:hAnsi="Arial" w:cs="Arial"/>
          <w:sz w:val="24"/>
          <w:szCs w:val="24"/>
        </w:rPr>
        <w:t>the</w:t>
      </w:r>
      <w:r w:rsidRPr="00135E92">
        <w:rPr>
          <w:rFonts w:ascii="Arial" w:hAnsi="Arial" w:cs="Arial"/>
          <w:sz w:val="24"/>
          <w:szCs w:val="24"/>
        </w:rPr>
        <w:t xml:space="preserve"> legal impediment</w:t>
      </w:r>
      <w:r>
        <w:rPr>
          <w:rFonts w:ascii="Arial" w:hAnsi="Arial" w:cs="Arial"/>
          <w:sz w:val="24"/>
          <w:szCs w:val="24"/>
        </w:rPr>
        <w:t>s</w:t>
      </w:r>
      <w:r w:rsidRPr="00135E92">
        <w:rPr>
          <w:rFonts w:ascii="Arial" w:hAnsi="Arial" w:cs="Arial"/>
          <w:sz w:val="24"/>
          <w:szCs w:val="24"/>
        </w:rPr>
        <w:t xml:space="preserve"> for the </w:t>
      </w:r>
      <w:r>
        <w:rPr>
          <w:rFonts w:ascii="Arial" w:hAnsi="Arial" w:cs="Arial"/>
          <w:sz w:val="24"/>
          <w:szCs w:val="24"/>
        </w:rPr>
        <w:t>PTG</w:t>
      </w:r>
      <w:r w:rsidRPr="00135E92">
        <w:rPr>
          <w:rFonts w:ascii="Arial" w:hAnsi="Arial" w:cs="Arial"/>
          <w:sz w:val="24"/>
          <w:szCs w:val="24"/>
        </w:rPr>
        <w:t xml:space="preserve"> to establish its own Wills Bank</w:t>
      </w:r>
      <w:r>
        <w:rPr>
          <w:rFonts w:ascii="Arial" w:hAnsi="Arial" w:cs="Arial"/>
          <w:sz w:val="24"/>
          <w:szCs w:val="24"/>
        </w:rPr>
        <w:t xml:space="preserve"> in the future.</w:t>
      </w:r>
    </w:p>
    <w:p w14:paraId="01EF4D28" w14:textId="5DCC286E" w:rsidR="00463107" w:rsidRDefault="00463107" w:rsidP="00463107">
      <w:pPr>
        <w:jc w:val="both"/>
        <w:rPr>
          <w:rFonts w:ascii="Arial" w:hAnsi="Arial" w:cs="Arial"/>
          <w:sz w:val="24"/>
          <w:szCs w:val="24"/>
        </w:rPr>
      </w:pPr>
      <w:r w:rsidRPr="00135E92">
        <w:rPr>
          <w:rFonts w:ascii="Arial" w:hAnsi="Arial" w:cs="Arial"/>
          <w:sz w:val="24"/>
          <w:szCs w:val="24"/>
        </w:rPr>
        <w:t xml:space="preserve">The Bill </w:t>
      </w:r>
      <w:r>
        <w:rPr>
          <w:rFonts w:ascii="Arial" w:hAnsi="Arial" w:cs="Arial"/>
          <w:sz w:val="24"/>
          <w:szCs w:val="24"/>
        </w:rPr>
        <w:t xml:space="preserve">also </w:t>
      </w:r>
      <w:r w:rsidRPr="00135E92">
        <w:rPr>
          <w:rFonts w:ascii="Arial" w:hAnsi="Arial" w:cs="Arial"/>
          <w:sz w:val="24"/>
          <w:szCs w:val="24"/>
        </w:rPr>
        <w:t xml:space="preserve">amends the </w:t>
      </w:r>
      <w:r>
        <w:rPr>
          <w:rFonts w:ascii="Arial" w:hAnsi="Arial" w:cs="Arial"/>
          <w:sz w:val="24"/>
          <w:szCs w:val="24"/>
        </w:rPr>
        <w:t>PTG Act</w:t>
      </w:r>
      <w:r w:rsidRPr="00135E92">
        <w:rPr>
          <w:rFonts w:ascii="Arial" w:hAnsi="Arial" w:cs="Arial"/>
          <w:sz w:val="24"/>
          <w:szCs w:val="24"/>
        </w:rPr>
        <w:t xml:space="preserve"> to </w:t>
      </w:r>
      <w:r>
        <w:rPr>
          <w:rFonts w:ascii="Arial" w:hAnsi="Arial" w:cs="Arial"/>
          <w:sz w:val="24"/>
          <w:szCs w:val="24"/>
        </w:rPr>
        <w:t>enable the PTG to require an individual to provide the PTG with information or documents relevant to the exercise of the PTG’s functions under the PTG Act or another Territory law, on a permanent basis. T</w:t>
      </w:r>
      <w:r w:rsidRPr="004A2C60">
        <w:rPr>
          <w:rFonts w:ascii="Arial" w:hAnsi="Arial" w:cs="Arial"/>
          <w:sz w:val="24"/>
          <w:szCs w:val="24"/>
        </w:rPr>
        <w:t xml:space="preserve">he </w:t>
      </w:r>
      <w:r>
        <w:rPr>
          <w:rFonts w:ascii="Arial" w:hAnsi="Arial" w:cs="Arial"/>
          <w:sz w:val="24"/>
          <w:szCs w:val="24"/>
        </w:rPr>
        <w:t xml:space="preserve">COVID-19 Emergency Response Amendment Act amended the provisions of the PTG Act for this requirement to also apply to individuals, but only </w:t>
      </w:r>
      <w:r w:rsidRPr="004A2C60">
        <w:rPr>
          <w:rFonts w:ascii="Arial" w:hAnsi="Arial" w:cs="Arial"/>
          <w:sz w:val="24"/>
          <w:szCs w:val="24"/>
        </w:rPr>
        <w:t xml:space="preserve">during the COVID-19 </w:t>
      </w:r>
      <w:r>
        <w:rPr>
          <w:rFonts w:ascii="Arial" w:hAnsi="Arial" w:cs="Arial"/>
          <w:sz w:val="24"/>
          <w:szCs w:val="24"/>
        </w:rPr>
        <w:t>e</w:t>
      </w:r>
      <w:r w:rsidRPr="004A2C60">
        <w:rPr>
          <w:rFonts w:ascii="Arial" w:hAnsi="Arial" w:cs="Arial"/>
          <w:sz w:val="24"/>
          <w:szCs w:val="24"/>
        </w:rPr>
        <w:t>mergency period</w:t>
      </w:r>
      <w:r>
        <w:rPr>
          <w:rFonts w:ascii="Arial" w:hAnsi="Arial" w:cs="Arial"/>
          <w:sz w:val="24"/>
          <w:szCs w:val="24"/>
        </w:rPr>
        <w:t xml:space="preserve">. The amendment will provide </w:t>
      </w:r>
      <w:r w:rsidR="00DA10D5">
        <w:rPr>
          <w:rFonts w:ascii="Arial" w:hAnsi="Arial" w:cs="Arial"/>
          <w:sz w:val="24"/>
          <w:szCs w:val="24"/>
        </w:rPr>
        <w:t xml:space="preserve">the </w:t>
      </w:r>
      <w:r w:rsidRPr="00FB32C2">
        <w:rPr>
          <w:rFonts w:ascii="Arial" w:hAnsi="Arial" w:cs="Arial"/>
          <w:sz w:val="24"/>
          <w:szCs w:val="24"/>
        </w:rPr>
        <w:t>PTG</w:t>
      </w:r>
      <w:r>
        <w:rPr>
          <w:rFonts w:ascii="Arial" w:hAnsi="Arial" w:cs="Arial"/>
          <w:sz w:val="24"/>
          <w:szCs w:val="24"/>
        </w:rPr>
        <w:t xml:space="preserve"> the continued ability </w:t>
      </w:r>
      <w:r w:rsidRPr="00FB32C2">
        <w:rPr>
          <w:rFonts w:ascii="Arial" w:hAnsi="Arial" w:cs="Arial"/>
          <w:sz w:val="24"/>
          <w:szCs w:val="24"/>
        </w:rPr>
        <w:t xml:space="preserve">to enforce the rights of a protected person by </w:t>
      </w:r>
      <w:r>
        <w:rPr>
          <w:rFonts w:ascii="Arial" w:hAnsi="Arial" w:cs="Arial"/>
          <w:sz w:val="24"/>
          <w:szCs w:val="24"/>
        </w:rPr>
        <w:t xml:space="preserve">enabling </w:t>
      </w:r>
      <w:r w:rsidR="00DA10D5">
        <w:rPr>
          <w:rFonts w:ascii="Arial" w:hAnsi="Arial" w:cs="Arial"/>
          <w:sz w:val="24"/>
          <w:szCs w:val="24"/>
        </w:rPr>
        <w:t xml:space="preserve">the </w:t>
      </w:r>
      <w:r>
        <w:rPr>
          <w:rFonts w:ascii="Arial" w:hAnsi="Arial" w:cs="Arial"/>
          <w:sz w:val="24"/>
          <w:szCs w:val="24"/>
        </w:rPr>
        <w:t xml:space="preserve">PTG to </w:t>
      </w:r>
      <w:r w:rsidRPr="00FB32C2">
        <w:rPr>
          <w:rFonts w:ascii="Arial" w:hAnsi="Arial" w:cs="Arial"/>
          <w:sz w:val="24"/>
          <w:szCs w:val="24"/>
        </w:rPr>
        <w:t>requir</w:t>
      </w:r>
      <w:r>
        <w:rPr>
          <w:rFonts w:ascii="Arial" w:hAnsi="Arial" w:cs="Arial"/>
          <w:sz w:val="24"/>
          <w:szCs w:val="24"/>
        </w:rPr>
        <w:t>e</w:t>
      </w:r>
      <w:r w:rsidRPr="00FB32C2">
        <w:rPr>
          <w:rFonts w:ascii="Arial" w:hAnsi="Arial" w:cs="Arial"/>
          <w:sz w:val="24"/>
          <w:szCs w:val="24"/>
        </w:rPr>
        <w:t xml:space="preserve"> </w:t>
      </w:r>
      <w:r>
        <w:rPr>
          <w:rFonts w:ascii="Arial" w:hAnsi="Arial" w:cs="Arial"/>
          <w:sz w:val="24"/>
          <w:szCs w:val="24"/>
        </w:rPr>
        <w:t xml:space="preserve">individuals, such as </w:t>
      </w:r>
      <w:r w:rsidRPr="00FB32C2">
        <w:rPr>
          <w:rFonts w:ascii="Arial" w:hAnsi="Arial" w:cs="Arial"/>
          <w:sz w:val="24"/>
          <w:szCs w:val="24"/>
        </w:rPr>
        <w:t xml:space="preserve">external </w:t>
      </w:r>
      <w:r>
        <w:rPr>
          <w:rFonts w:ascii="Arial" w:hAnsi="Arial" w:cs="Arial"/>
          <w:sz w:val="24"/>
          <w:szCs w:val="24"/>
        </w:rPr>
        <w:t xml:space="preserve">financial </w:t>
      </w:r>
      <w:r w:rsidRPr="00FB32C2">
        <w:rPr>
          <w:rFonts w:ascii="Arial" w:hAnsi="Arial" w:cs="Arial"/>
          <w:sz w:val="24"/>
          <w:szCs w:val="24"/>
        </w:rPr>
        <w:t>managers</w:t>
      </w:r>
      <w:r>
        <w:rPr>
          <w:rFonts w:ascii="Arial" w:hAnsi="Arial" w:cs="Arial"/>
          <w:sz w:val="24"/>
          <w:szCs w:val="24"/>
        </w:rPr>
        <w:t>,</w:t>
      </w:r>
      <w:r w:rsidRPr="00FB32C2">
        <w:rPr>
          <w:rFonts w:ascii="Arial" w:hAnsi="Arial" w:cs="Arial"/>
          <w:sz w:val="24"/>
          <w:szCs w:val="24"/>
        </w:rPr>
        <w:t xml:space="preserve"> to provide information or documents</w:t>
      </w:r>
      <w:r>
        <w:rPr>
          <w:rFonts w:ascii="Arial" w:hAnsi="Arial" w:cs="Arial"/>
          <w:sz w:val="24"/>
          <w:szCs w:val="24"/>
        </w:rPr>
        <w:t xml:space="preserve"> beyond the COVID-19 emergency period. The power also assists in increasing PTG’s operational efficiencies, allowing PTG to undertake its statutory functions under section 26 and 27 of the GMP Act, </w:t>
      </w:r>
      <w:r w:rsidRPr="00FB32C2">
        <w:rPr>
          <w:rFonts w:ascii="Arial" w:hAnsi="Arial" w:cs="Arial"/>
          <w:sz w:val="24"/>
          <w:szCs w:val="24"/>
        </w:rPr>
        <w:t>reduc</w:t>
      </w:r>
      <w:r>
        <w:rPr>
          <w:rFonts w:ascii="Arial" w:hAnsi="Arial" w:cs="Arial"/>
          <w:sz w:val="24"/>
          <w:szCs w:val="24"/>
        </w:rPr>
        <w:t>ing</w:t>
      </w:r>
      <w:r w:rsidRPr="00FB32C2">
        <w:rPr>
          <w:rFonts w:ascii="Arial" w:hAnsi="Arial" w:cs="Arial"/>
          <w:sz w:val="24"/>
          <w:szCs w:val="24"/>
        </w:rPr>
        <w:t xml:space="preserve"> delay</w:t>
      </w:r>
      <w:r>
        <w:rPr>
          <w:rFonts w:ascii="Arial" w:hAnsi="Arial" w:cs="Arial"/>
          <w:sz w:val="24"/>
          <w:szCs w:val="24"/>
        </w:rPr>
        <w:t>s</w:t>
      </w:r>
      <w:r w:rsidRPr="00FB32C2">
        <w:rPr>
          <w:rFonts w:ascii="Arial" w:hAnsi="Arial" w:cs="Arial"/>
          <w:sz w:val="24"/>
          <w:szCs w:val="24"/>
        </w:rPr>
        <w:t xml:space="preserve"> in the</w:t>
      </w:r>
      <w:r>
        <w:rPr>
          <w:rFonts w:ascii="Arial" w:hAnsi="Arial" w:cs="Arial"/>
          <w:sz w:val="24"/>
          <w:szCs w:val="24"/>
        </w:rPr>
        <w:t xml:space="preserve"> </w:t>
      </w:r>
      <w:r w:rsidRPr="00FB32C2">
        <w:rPr>
          <w:rFonts w:ascii="Arial" w:hAnsi="Arial" w:cs="Arial"/>
          <w:sz w:val="24"/>
          <w:szCs w:val="24"/>
        </w:rPr>
        <w:t xml:space="preserve">enforcement of </w:t>
      </w:r>
      <w:r>
        <w:rPr>
          <w:rFonts w:ascii="Arial" w:hAnsi="Arial" w:cs="Arial"/>
          <w:sz w:val="24"/>
          <w:szCs w:val="24"/>
        </w:rPr>
        <w:t>a</w:t>
      </w:r>
      <w:r w:rsidRPr="00FB32C2">
        <w:rPr>
          <w:rFonts w:ascii="Arial" w:hAnsi="Arial" w:cs="Arial"/>
          <w:sz w:val="24"/>
          <w:szCs w:val="24"/>
        </w:rPr>
        <w:t xml:space="preserve"> protected person’s rights.</w:t>
      </w:r>
    </w:p>
    <w:p w14:paraId="57B94F69" w14:textId="77777777" w:rsidR="007259E6" w:rsidRDefault="007259E6" w:rsidP="007259E6">
      <w:pPr>
        <w:pStyle w:val="Heading2"/>
        <w:rPr>
          <w:i/>
          <w:iCs/>
        </w:rPr>
      </w:pPr>
      <w:r w:rsidRPr="00433BD3">
        <w:rPr>
          <w:i/>
          <w:iCs/>
        </w:rPr>
        <w:t>Associations Incorporation Act 1991</w:t>
      </w:r>
    </w:p>
    <w:p w14:paraId="7B2865FA" w14:textId="7A2132AC" w:rsidR="007259E6" w:rsidRPr="006E4AF8" w:rsidRDefault="007259E6" w:rsidP="007259E6">
      <w:pPr>
        <w:jc w:val="both"/>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Associations Incorporation Act 1991</w:t>
      </w:r>
      <w:r>
        <w:rPr>
          <w:rFonts w:ascii="Arial" w:hAnsi="Arial" w:cs="Arial"/>
          <w:sz w:val="24"/>
          <w:szCs w:val="24"/>
        </w:rPr>
        <w:t xml:space="preserve"> (AI Act) to </w:t>
      </w:r>
      <w:r w:rsidR="009813E9">
        <w:rPr>
          <w:rFonts w:ascii="Arial" w:hAnsi="Arial" w:cs="Arial"/>
          <w:sz w:val="24"/>
          <w:szCs w:val="24"/>
        </w:rPr>
        <w:t>a</w:t>
      </w:r>
      <w:r>
        <w:rPr>
          <w:rFonts w:ascii="Arial" w:hAnsi="Arial" w:cs="Arial"/>
          <w:sz w:val="24"/>
          <w:szCs w:val="24"/>
        </w:rPr>
        <w:t>llow members of small not-for-profit organisations to review their organisation’s statement of accounts.</w:t>
      </w:r>
      <w:r w:rsidR="00AD2E0F">
        <w:rPr>
          <w:rFonts w:ascii="Arial" w:hAnsi="Arial" w:cs="Arial"/>
          <w:sz w:val="24"/>
          <w:szCs w:val="24"/>
        </w:rPr>
        <w:t xml:space="preserve"> The amendment restores the position of </w:t>
      </w:r>
      <w:r w:rsidR="004A6A28">
        <w:rPr>
          <w:rFonts w:ascii="Arial" w:hAnsi="Arial" w:cs="Arial"/>
          <w:sz w:val="24"/>
          <w:szCs w:val="24"/>
        </w:rPr>
        <w:t xml:space="preserve">a prior </w:t>
      </w:r>
      <w:r w:rsidR="00AD2E0F">
        <w:rPr>
          <w:rFonts w:ascii="Arial" w:hAnsi="Arial" w:cs="Arial"/>
          <w:sz w:val="24"/>
          <w:szCs w:val="24"/>
        </w:rPr>
        <w:t>AI Act, where m</w:t>
      </w:r>
      <w:r w:rsidR="00AD2E0F" w:rsidRPr="00334D72">
        <w:rPr>
          <w:rFonts w:ascii="Arial" w:hAnsi="Arial" w:cs="Arial"/>
          <w:sz w:val="24"/>
          <w:szCs w:val="24"/>
        </w:rPr>
        <w:t>embers</w:t>
      </w:r>
      <w:r w:rsidR="00AD2E0F">
        <w:rPr>
          <w:rFonts w:ascii="Arial" w:hAnsi="Arial" w:cs="Arial"/>
          <w:sz w:val="24"/>
          <w:szCs w:val="24"/>
        </w:rPr>
        <w:t xml:space="preserve"> of small associations</w:t>
      </w:r>
      <w:r w:rsidR="00AD2E0F" w:rsidRPr="00334D72">
        <w:rPr>
          <w:rFonts w:ascii="Arial" w:hAnsi="Arial" w:cs="Arial"/>
          <w:sz w:val="24"/>
          <w:szCs w:val="24"/>
        </w:rPr>
        <w:t xml:space="preserve"> were</w:t>
      </w:r>
      <w:r w:rsidR="00AD2E0F">
        <w:rPr>
          <w:rFonts w:ascii="Arial" w:hAnsi="Arial" w:cs="Arial"/>
          <w:sz w:val="24"/>
          <w:szCs w:val="24"/>
        </w:rPr>
        <w:t xml:space="preserve"> previously</w:t>
      </w:r>
      <w:r w:rsidR="00AD2E0F" w:rsidRPr="00334D72">
        <w:rPr>
          <w:rFonts w:ascii="Arial" w:hAnsi="Arial" w:cs="Arial"/>
          <w:sz w:val="24"/>
          <w:szCs w:val="24"/>
        </w:rPr>
        <w:t xml:space="preserve"> allowed to conduct </w:t>
      </w:r>
      <w:r w:rsidR="00AD2E0F">
        <w:rPr>
          <w:rFonts w:ascii="Arial" w:hAnsi="Arial" w:cs="Arial"/>
          <w:sz w:val="24"/>
          <w:szCs w:val="24"/>
        </w:rPr>
        <w:t>the</w:t>
      </w:r>
      <w:r w:rsidR="00AD2E0F" w:rsidRPr="00334D72">
        <w:rPr>
          <w:rFonts w:ascii="Arial" w:hAnsi="Arial" w:cs="Arial"/>
          <w:sz w:val="24"/>
          <w:szCs w:val="24"/>
        </w:rPr>
        <w:t xml:space="preserve"> review</w:t>
      </w:r>
      <w:r w:rsidR="00552E2E">
        <w:rPr>
          <w:rFonts w:ascii="Arial" w:hAnsi="Arial" w:cs="Arial"/>
          <w:sz w:val="24"/>
          <w:szCs w:val="24"/>
        </w:rPr>
        <w:t xml:space="preserve">. The position was changed inadvertently by </w:t>
      </w:r>
      <w:r w:rsidR="00AD2E0F" w:rsidRPr="00334D72">
        <w:rPr>
          <w:rFonts w:ascii="Arial" w:hAnsi="Arial" w:cs="Arial"/>
          <w:sz w:val="24"/>
          <w:szCs w:val="24"/>
        </w:rPr>
        <w:t>amendment</w:t>
      </w:r>
      <w:r w:rsidR="00AD2E0F">
        <w:rPr>
          <w:rFonts w:ascii="Arial" w:hAnsi="Arial" w:cs="Arial"/>
          <w:sz w:val="24"/>
          <w:szCs w:val="24"/>
        </w:rPr>
        <w:t>s introduced</w:t>
      </w:r>
      <w:r w:rsidR="00AD2E0F" w:rsidRPr="00334D72">
        <w:rPr>
          <w:rFonts w:ascii="Arial" w:hAnsi="Arial" w:cs="Arial"/>
          <w:sz w:val="24"/>
          <w:szCs w:val="24"/>
        </w:rPr>
        <w:t xml:space="preserve"> by the </w:t>
      </w:r>
      <w:r w:rsidR="00AD2E0F" w:rsidRPr="00334D72">
        <w:rPr>
          <w:rFonts w:ascii="Arial" w:hAnsi="Arial" w:cs="Arial"/>
          <w:i/>
          <w:iCs/>
          <w:sz w:val="24"/>
          <w:szCs w:val="24"/>
        </w:rPr>
        <w:t>Red Tape Reduction Legislation Amendment Act 2018</w:t>
      </w:r>
      <w:r w:rsidR="004A6A28">
        <w:rPr>
          <w:rFonts w:ascii="Arial" w:hAnsi="Arial" w:cs="Arial"/>
          <w:i/>
          <w:iCs/>
          <w:sz w:val="24"/>
          <w:szCs w:val="24"/>
        </w:rPr>
        <w:t xml:space="preserve"> </w:t>
      </w:r>
      <w:r w:rsidR="004A6A28" w:rsidRPr="004A6A28">
        <w:rPr>
          <w:rFonts w:ascii="Arial" w:hAnsi="Arial" w:cs="Arial"/>
          <w:sz w:val="24"/>
          <w:szCs w:val="24"/>
        </w:rPr>
        <w:t xml:space="preserve">with the intention of aligning ACT legislation with the </w:t>
      </w:r>
      <w:r w:rsidR="004A6A28" w:rsidRPr="004A6A28">
        <w:rPr>
          <w:rFonts w:ascii="Arial" w:hAnsi="Arial" w:cs="Arial"/>
          <w:i/>
          <w:iCs/>
          <w:sz w:val="24"/>
          <w:szCs w:val="24"/>
        </w:rPr>
        <w:t xml:space="preserve">Australian Charities and Not-for-profits Commission Act 2012 </w:t>
      </w:r>
      <w:r w:rsidR="004A6A28" w:rsidRPr="004A6A28">
        <w:rPr>
          <w:rFonts w:ascii="Arial" w:hAnsi="Arial" w:cs="Arial"/>
          <w:sz w:val="24"/>
          <w:szCs w:val="24"/>
        </w:rPr>
        <w:t>(</w:t>
      </w:r>
      <w:proofErr w:type="spellStart"/>
      <w:r w:rsidR="004A6A28" w:rsidRPr="004A6A28">
        <w:rPr>
          <w:rFonts w:ascii="Arial" w:hAnsi="Arial" w:cs="Arial"/>
          <w:sz w:val="24"/>
          <w:szCs w:val="24"/>
        </w:rPr>
        <w:t>Cth</w:t>
      </w:r>
      <w:proofErr w:type="spellEnd"/>
      <w:r w:rsidR="004A6A28" w:rsidRPr="004A6A28">
        <w:rPr>
          <w:rFonts w:ascii="Arial" w:hAnsi="Arial" w:cs="Arial"/>
          <w:sz w:val="24"/>
          <w:szCs w:val="24"/>
        </w:rPr>
        <w:t>).</w:t>
      </w:r>
    </w:p>
    <w:p w14:paraId="60A9E260" w14:textId="77777777" w:rsidR="007259E6" w:rsidRDefault="007259E6" w:rsidP="007259E6">
      <w:pPr>
        <w:pStyle w:val="Heading2"/>
        <w:rPr>
          <w:i/>
          <w:iCs/>
        </w:rPr>
      </w:pPr>
      <w:r w:rsidRPr="00433BD3">
        <w:rPr>
          <w:i/>
          <w:iCs/>
        </w:rPr>
        <w:t>Legal Profession Act 2006</w:t>
      </w:r>
    </w:p>
    <w:p w14:paraId="705E5FC7" w14:textId="683EC0E7" w:rsidR="007259E6" w:rsidRDefault="007259E6" w:rsidP="007259E6">
      <w:pPr>
        <w:jc w:val="both"/>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Legal Profession Act 2006</w:t>
      </w:r>
      <w:r w:rsidR="000460A6">
        <w:rPr>
          <w:rFonts w:ascii="Arial" w:hAnsi="Arial" w:cs="Arial"/>
          <w:i/>
          <w:iCs/>
          <w:sz w:val="24"/>
          <w:szCs w:val="24"/>
        </w:rPr>
        <w:t xml:space="preserve"> </w:t>
      </w:r>
      <w:r w:rsidR="000460A6">
        <w:rPr>
          <w:rFonts w:ascii="Arial" w:hAnsi="Arial" w:cs="Arial"/>
          <w:sz w:val="24"/>
          <w:szCs w:val="24"/>
        </w:rPr>
        <w:t>(LP Act)</w:t>
      </w:r>
      <w:r>
        <w:rPr>
          <w:rFonts w:ascii="Arial" w:hAnsi="Arial" w:cs="Arial"/>
          <w:sz w:val="24"/>
          <w:szCs w:val="24"/>
        </w:rPr>
        <w:t xml:space="preserve"> to include</w:t>
      </w:r>
      <w:r w:rsidRPr="006C122A">
        <w:rPr>
          <w:rFonts w:ascii="Arial" w:hAnsi="Arial" w:cs="Arial"/>
          <w:sz w:val="24"/>
          <w:szCs w:val="24"/>
        </w:rPr>
        <w:t xml:space="preserve"> </w:t>
      </w:r>
      <w:r>
        <w:rPr>
          <w:rFonts w:ascii="Arial" w:hAnsi="Arial" w:cs="Arial"/>
          <w:sz w:val="24"/>
          <w:szCs w:val="24"/>
        </w:rPr>
        <w:t xml:space="preserve">as a ‘suitability matter’ and ‘show-cause event’, for the purposes of deciding whether a person is a fit and proper person to </w:t>
      </w:r>
      <w:r w:rsidR="007C6530">
        <w:rPr>
          <w:rFonts w:ascii="Arial" w:hAnsi="Arial" w:cs="Arial"/>
          <w:sz w:val="24"/>
          <w:szCs w:val="24"/>
        </w:rPr>
        <w:t xml:space="preserve">be admitted to the Territory legal profession or </w:t>
      </w:r>
      <w:r>
        <w:rPr>
          <w:rFonts w:ascii="Arial" w:hAnsi="Arial" w:cs="Arial"/>
          <w:sz w:val="24"/>
          <w:szCs w:val="24"/>
        </w:rPr>
        <w:t xml:space="preserve">hold a local practising certificate, </w:t>
      </w:r>
      <w:r w:rsidRPr="006C122A">
        <w:rPr>
          <w:rFonts w:ascii="Arial" w:hAnsi="Arial" w:cs="Arial"/>
          <w:sz w:val="24"/>
          <w:szCs w:val="24"/>
        </w:rPr>
        <w:t>circumstances where a legal practitioner is</w:t>
      </w:r>
      <w:r w:rsidR="007C6530">
        <w:rPr>
          <w:rFonts w:ascii="Arial" w:hAnsi="Arial" w:cs="Arial"/>
          <w:sz w:val="24"/>
          <w:szCs w:val="24"/>
        </w:rPr>
        <w:t xml:space="preserve"> or has been</w:t>
      </w:r>
      <w:r w:rsidRPr="006C122A">
        <w:rPr>
          <w:rFonts w:ascii="Arial" w:hAnsi="Arial" w:cs="Arial"/>
          <w:sz w:val="24"/>
          <w:szCs w:val="24"/>
        </w:rPr>
        <w:t xml:space="preserve"> a director of an incorporated legal practice which </w:t>
      </w:r>
      <w:r w:rsidR="007C6530">
        <w:rPr>
          <w:rFonts w:ascii="Arial" w:hAnsi="Arial" w:cs="Arial"/>
          <w:sz w:val="24"/>
          <w:szCs w:val="24"/>
        </w:rPr>
        <w:t>is or has been</w:t>
      </w:r>
      <w:r w:rsidRPr="006C122A">
        <w:rPr>
          <w:rFonts w:ascii="Arial" w:hAnsi="Arial" w:cs="Arial"/>
          <w:sz w:val="24"/>
          <w:szCs w:val="24"/>
        </w:rPr>
        <w:t xml:space="preserve"> </w:t>
      </w:r>
      <w:r w:rsidR="007C6530">
        <w:rPr>
          <w:rFonts w:ascii="Arial" w:hAnsi="Arial" w:cs="Arial"/>
          <w:sz w:val="24"/>
          <w:szCs w:val="24"/>
        </w:rPr>
        <w:t>under</w:t>
      </w:r>
      <w:r w:rsidRPr="006C122A">
        <w:rPr>
          <w:rFonts w:ascii="Arial" w:hAnsi="Arial" w:cs="Arial"/>
          <w:sz w:val="24"/>
          <w:szCs w:val="24"/>
        </w:rPr>
        <w:t xml:space="preserve"> external administration</w:t>
      </w:r>
      <w:r w:rsidR="00DA10D5">
        <w:rPr>
          <w:rFonts w:ascii="Arial" w:hAnsi="Arial" w:cs="Arial"/>
          <w:sz w:val="24"/>
          <w:szCs w:val="24"/>
        </w:rPr>
        <w:t xml:space="preserve">, such as </w:t>
      </w:r>
      <w:r w:rsidRPr="006C122A">
        <w:rPr>
          <w:rFonts w:ascii="Arial" w:hAnsi="Arial" w:cs="Arial"/>
          <w:sz w:val="24"/>
          <w:szCs w:val="24"/>
        </w:rPr>
        <w:t>administration</w:t>
      </w:r>
      <w:r w:rsidR="00DA10D5">
        <w:rPr>
          <w:rFonts w:ascii="Arial" w:hAnsi="Arial" w:cs="Arial"/>
          <w:sz w:val="24"/>
          <w:szCs w:val="24"/>
        </w:rPr>
        <w:t xml:space="preserve"> or</w:t>
      </w:r>
      <w:r w:rsidRPr="006C122A">
        <w:rPr>
          <w:rFonts w:ascii="Arial" w:hAnsi="Arial" w:cs="Arial"/>
          <w:sz w:val="24"/>
          <w:szCs w:val="24"/>
        </w:rPr>
        <w:t xml:space="preserve"> receivership</w:t>
      </w:r>
      <w:r w:rsidR="006D057A">
        <w:rPr>
          <w:rFonts w:ascii="Arial" w:hAnsi="Arial" w:cs="Arial"/>
          <w:sz w:val="24"/>
          <w:szCs w:val="24"/>
        </w:rPr>
        <w:t xml:space="preserve"> </w:t>
      </w:r>
      <w:r w:rsidR="00324665">
        <w:rPr>
          <w:rFonts w:ascii="Arial" w:hAnsi="Arial" w:cs="Arial"/>
          <w:sz w:val="24"/>
          <w:szCs w:val="24"/>
        </w:rPr>
        <w:t xml:space="preserve">in accordance with the </w:t>
      </w:r>
      <w:r w:rsidR="00324665">
        <w:rPr>
          <w:rFonts w:ascii="Arial" w:hAnsi="Arial" w:cs="Arial"/>
          <w:i/>
          <w:iCs/>
          <w:sz w:val="24"/>
          <w:szCs w:val="24"/>
        </w:rPr>
        <w:t>Corporations Act 2001</w:t>
      </w:r>
      <w:r w:rsidRPr="006C122A">
        <w:rPr>
          <w:rFonts w:ascii="Arial" w:hAnsi="Arial" w:cs="Arial"/>
          <w:sz w:val="24"/>
          <w:szCs w:val="24"/>
        </w:rPr>
        <w:t>.</w:t>
      </w:r>
      <w:r>
        <w:rPr>
          <w:rFonts w:ascii="Arial" w:hAnsi="Arial" w:cs="Arial"/>
          <w:sz w:val="24"/>
          <w:szCs w:val="24"/>
        </w:rPr>
        <w:t xml:space="preserve"> </w:t>
      </w:r>
      <w:r w:rsidRPr="00251EC8">
        <w:rPr>
          <w:rFonts w:ascii="Arial" w:hAnsi="Arial" w:cs="Arial"/>
          <w:sz w:val="24"/>
          <w:szCs w:val="24"/>
        </w:rPr>
        <w:t xml:space="preserve">The amendments place the onus on the individual to make appropriate disclosures and justify why they are a fit and proper person to practice law, despite their circumstances. The amendments also aim to protect constituents from dishonest legal </w:t>
      </w:r>
      <w:r w:rsidRPr="00251EC8">
        <w:rPr>
          <w:rFonts w:ascii="Arial" w:hAnsi="Arial" w:cs="Arial"/>
          <w:sz w:val="24"/>
          <w:szCs w:val="24"/>
        </w:rPr>
        <w:lastRenderedPageBreak/>
        <w:t xml:space="preserve">practitioners, and safeguard and maintain the integrity of, and public confidence in, the </w:t>
      </w:r>
      <w:r>
        <w:rPr>
          <w:rFonts w:ascii="Arial" w:hAnsi="Arial" w:cs="Arial"/>
          <w:sz w:val="24"/>
          <w:szCs w:val="24"/>
        </w:rPr>
        <w:t>Territory’s</w:t>
      </w:r>
      <w:r w:rsidRPr="00251EC8">
        <w:rPr>
          <w:rFonts w:ascii="Arial" w:hAnsi="Arial" w:cs="Arial"/>
          <w:sz w:val="24"/>
          <w:szCs w:val="24"/>
        </w:rPr>
        <w:t xml:space="preserve"> legal profession.</w:t>
      </w:r>
    </w:p>
    <w:p w14:paraId="415FE16E" w14:textId="73071783" w:rsidR="000460A6" w:rsidRDefault="000460A6" w:rsidP="007259E6">
      <w:pPr>
        <w:jc w:val="both"/>
        <w:rPr>
          <w:rFonts w:ascii="Arial" w:hAnsi="Arial" w:cs="Arial"/>
          <w:sz w:val="24"/>
          <w:szCs w:val="24"/>
        </w:rPr>
      </w:pPr>
      <w:r>
        <w:rPr>
          <w:rFonts w:ascii="Arial" w:hAnsi="Arial" w:cs="Arial"/>
          <w:sz w:val="24"/>
          <w:szCs w:val="24"/>
        </w:rPr>
        <w:t xml:space="preserve">The Bill also amends </w:t>
      </w:r>
      <w:r w:rsidR="0067210D">
        <w:rPr>
          <w:rFonts w:ascii="Arial" w:hAnsi="Arial" w:cs="Arial"/>
          <w:sz w:val="24"/>
          <w:szCs w:val="24"/>
        </w:rPr>
        <w:t xml:space="preserve">the LP Act to require the relevant law councils in the Territory </w:t>
      </w:r>
      <w:r>
        <w:rPr>
          <w:rFonts w:ascii="Arial" w:hAnsi="Arial" w:cs="Arial"/>
          <w:sz w:val="24"/>
          <w:szCs w:val="24"/>
        </w:rPr>
        <w:t xml:space="preserve">to remove information </w:t>
      </w:r>
      <w:r w:rsidR="0067210D">
        <w:rPr>
          <w:rFonts w:ascii="Arial" w:hAnsi="Arial" w:cs="Arial"/>
          <w:sz w:val="24"/>
          <w:szCs w:val="24"/>
        </w:rPr>
        <w:t xml:space="preserve">about a </w:t>
      </w:r>
      <w:r w:rsidR="00EB63D5">
        <w:rPr>
          <w:rFonts w:ascii="Arial" w:hAnsi="Arial" w:cs="Arial"/>
          <w:sz w:val="24"/>
          <w:szCs w:val="24"/>
        </w:rPr>
        <w:t xml:space="preserve">person </w:t>
      </w:r>
      <w:r w:rsidR="0067210D">
        <w:rPr>
          <w:rFonts w:ascii="Arial" w:hAnsi="Arial" w:cs="Arial"/>
          <w:sz w:val="24"/>
          <w:szCs w:val="24"/>
        </w:rPr>
        <w:t xml:space="preserve">in the Territory </w:t>
      </w:r>
      <w:r>
        <w:rPr>
          <w:rFonts w:ascii="Arial" w:hAnsi="Arial" w:cs="Arial"/>
          <w:sz w:val="24"/>
          <w:szCs w:val="24"/>
        </w:rPr>
        <w:t>from the register of disciplinary action</w:t>
      </w:r>
      <w:r w:rsidR="0067210D">
        <w:rPr>
          <w:rFonts w:ascii="Arial" w:hAnsi="Arial" w:cs="Arial"/>
          <w:sz w:val="24"/>
          <w:szCs w:val="24"/>
        </w:rPr>
        <w:t xml:space="preserve"> upon the death of the </w:t>
      </w:r>
      <w:r w:rsidR="00EB63D5">
        <w:rPr>
          <w:rFonts w:ascii="Arial" w:hAnsi="Arial" w:cs="Arial"/>
          <w:sz w:val="24"/>
          <w:szCs w:val="24"/>
        </w:rPr>
        <w:t>person</w:t>
      </w:r>
      <w:r w:rsidR="0067210D">
        <w:rPr>
          <w:rFonts w:ascii="Arial" w:hAnsi="Arial" w:cs="Arial"/>
          <w:sz w:val="24"/>
          <w:szCs w:val="24"/>
        </w:rPr>
        <w:t>, as the information is no longer required to</w:t>
      </w:r>
      <w:r>
        <w:rPr>
          <w:rFonts w:ascii="Arial" w:hAnsi="Arial" w:cs="Arial"/>
          <w:sz w:val="24"/>
          <w:szCs w:val="24"/>
        </w:rPr>
        <w:t xml:space="preserve"> serve the public interest to protect the Territory community and the integrity of and public confidence in the Territory’s legal profession.</w:t>
      </w:r>
    </w:p>
    <w:p w14:paraId="0693FE7D" w14:textId="3746AD48" w:rsidR="007259E6" w:rsidRPr="0083327D" w:rsidRDefault="007259E6" w:rsidP="007259E6">
      <w:pPr>
        <w:pStyle w:val="Heading2"/>
      </w:pPr>
      <w:r w:rsidRPr="00433BD3">
        <w:rPr>
          <w:i/>
          <w:iCs/>
        </w:rPr>
        <w:t>Legislation Act 2001</w:t>
      </w:r>
      <w:r w:rsidR="0083327D">
        <w:rPr>
          <w:i/>
          <w:iCs/>
        </w:rPr>
        <w:t xml:space="preserve"> </w:t>
      </w:r>
      <w:r w:rsidR="0083327D">
        <w:t xml:space="preserve">and </w:t>
      </w:r>
      <w:r w:rsidR="0083327D">
        <w:rPr>
          <w:i/>
          <w:iCs/>
        </w:rPr>
        <w:t>Public Sector Management Act 1994</w:t>
      </w:r>
    </w:p>
    <w:p w14:paraId="7696A29A" w14:textId="52897238" w:rsidR="007259E6" w:rsidRDefault="007259E6" w:rsidP="007259E6">
      <w:pPr>
        <w:jc w:val="both"/>
        <w:rPr>
          <w:rFonts w:ascii="Arial" w:hAnsi="Arial" w:cs="Arial"/>
          <w:sz w:val="24"/>
          <w:szCs w:val="24"/>
        </w:rPr>
      </w:pPr>
      <w:r w:rsidRPr="00433BD3">
        <w:rPr>
          <w:rFonts w:ascii="Arial" w:hAnsi="Arial" w:cs="Arial"/>
          <w:sz w:val="24"/>
          <w:szCs w:val="24"/>
        </w:rPr>
        <w:t xml:space="preserve">The Bill amends the </w:t>
      </w:r>
      <w:r>
        <w:rPr>
          <w:rFonts w:ascii="Arial" w:hAnsi="Arial" w:cs="Arial"/>
          <w:i/>
          <w:iCs/>
          <w:sz w:val="24"/>
          <w:szCs w:val="24"/>
        </w:rPr>
        <w:t>Legislation Act 2001</w:t>
      </w:r>
      <w:r w:rsidR="00CA50CD">
        <w:rPr>
          <w:rFonts w:ascii="Arial" w:hAnsi="Arial" w:cs="Arial"/>
          <w:i/>
          <w:iCs/>
          <w:sz w:val="24"/>
          <w:szCs w:val="24"/>
        </w:rPr>
        <w:t xml:space="preserve"> </w:t>
      </w:r>
      <w:r w:rsidR="00CA50CD">
        <w:rPr>
          <w:rFonts w:ascii="Arial" w:hAnsi="Arial" w:cs="Arial"/>
          <w:sz w:val="24"/>
          <w:szCs w:val="24"/>
        </w:rPr>
        <w:t>(Legislation Act)</w:t>
      </w:r>
      <w:r>
        <w:rPr>
          <w:rFonts w:ascii="Arial" w:hAnsi="Arial" w:cs="Arial"/>
          <w:sz w:val="24"/>
          <w:szCs w:val="24"/>
        </w:rPr>
        <w:t xml:space="preserve"> to require </w:t>
      </w:r>
      <w:r w:rsidRPr="00754D9E">
        <w:rPr>
          <w:rFonts w:ascii="Arial" w:hAnsi="Arial" w:cs="Arial"/>
          <w:sz w:val="24"/>
          <w:szCs w:val="24"/>
        </w:rPr>
        <w:t xml:space="preserve">the signature of the </w:t>
      </w:r>
      <w:r>
        <w:rPr>
          <w:rFonts w:ascii="Arial" w:hAnsi="Arial" w:cs="Arial"/>
          <w:sz w:val="24"/>
          <w:szCs w:val="24"/>
        </w:rPr>
        <w:t xml:space="preserve">Chief Minister and the </w:t>
      </w:r>
      <w:r w:rsidRPr="00754D9E">
        <w:rPr>
          <w:rFonts w:ascii="Arial" w:hAnsi="Arial" w:cs="Arial"/>
          <w:sz w:val="24"/>
          <w:szCs w:val="24"/>
        </w:rPr>
        <w:t>Minister</w:t>
      </w:r>
      <w:r w:rsidR="000B04DC">
        <w:rPr>
          <w:rFonts w:ascii="Arial" w:hAnsi="Arial" w:cs="Arial"/>
          <w:sz w:val="24"/>
          <w:szCs w:val="24"/>
        </w:rPr>
        <w:t xml:space="preserve"> </w:t>
      </w:r>
      <w:r>
        <w:rPr>
          <w:rFonts w:ascii="Arial" w:hAnsi="Arial" w:cs="Arial"/>
          <w:sz w:val="24"/>
          <w:szCs w:val="24"/>
        </w:rPr>
        <w:t>in order for a statutory instrument</w:t>
      </w:r>
      <w:r w:rsidR="000B04DC">
        <w:rPr>
          <w:rFonts w:ascii="Arial" w:hAnsi="Arial" w:cs="Arial"/>
          <w:sz w:val="24"/>
          <w:szCs w:val="24"/>
        </w:rPr>
        <w:t xml:space="preserve"> </w:t>
      </w:r>
      <w:r>
        <w:rPr>
          <w:rFonts w:ascii="Arial" w:hAnsi="Arial" w:cs="Arial"/>
          <w:sz w:val="24"/>
          <w:szCs w:val="24"/>
        </w:rPr>
        <w:t xml:space="preserve">to be taken to </w:t>
      </w:r>
      <w:r w:rsidR="00AF0B32">
        <w:rPr>
          <w:rFonts w:ascii="Arial" w:hAnsi="Arial" w:cs="Arial"/>
          <w:sz w:val="24"/>
          <w:szCs w:val="24"/>
        </w:rPr>
        <w:t>be</w:t>
      </w:r>
      <w:r>
        <w:rPr>
          <w:rFonts w:ascii="Arial" w:hAnsi="Arial" w:cs="Arial"/>
          <w:sz w:val="24"/>
          <w:szCs w:val="24"/>
        </w:rPr>
        <w:t xml:space="preserve"> signed by the Executive. The amendments seek to </w:t>
      </w:r>
      <w:r w:rsidRPr="00754D9E">
        <w:rPr>
          <w:rFonts w:ascii="Arial" w:hAnsi="Arial" w:cs="Arial"/>
          <w:sz w:val="24"/>
          <w:szCs w:val="24"/>
        </w:rPr>
        <w:t xml:space="preserve">ensure a higher degree of oversight </w:t>
      </w:r>
      <w:r>
        <w:rPr>
          <w:rFonts w:ascii="Arial" w:hAnsi="Arial" w:cs="Arial"/>
          <w:sz w:val="24"/>
          <w:szCs w:val="24"/>
        </w:rPr>
        <w:t>over</w:t>
      </w:r>
      <w:r w:rsidRPr="00754D9E">
        <w:rPr>
          <w:rFonts w:ascii="Arial" w:hAnsi="Arial" w:cs="Arial"/>
          <w:sz w:val="24"/>
          <w:szCs w:val="24"/>
        </w:rPr>
        <w:t xml:space="preserve"> the </w:t>
      </w:r>
      <w:r w:rsidR="000B04DC">
        <w:rPr>
          <w:rFonts w:ascii="Arial" w:hAnsi="Arial" w:cs="Arial"/>
          <w:sz w:val="24"/>
          <w:szCs w:val="24"/>
        </w:rPr>
        <w:t xml:space="preserve">delegated legislation </w:t>
      </w:r>
      <w:r w:rsidRPr="00754D9E">
        <w:rPr>
          <w:rFonts w:ascii="Arial" w:hAnsi="Arial" w:cs="Arial"/>
          <w:sz w:val="24"/>
          <w:szCs w:val="24"/>
        </w:rPr>
        <w:t>making powers of the Executive.</w:t>
      </w:r>
    </w:p>
    <w:p w14:paraId="37AEB80F" w14:textId="7DEFC015" w:rsidR="0083327D" w:rsidRDefault="0083327D" w:rsidP="007259E6">
      <w:pPr>
        <w:jc w:val="both"/>
        <w:rPr>
          <w:rFonts w:ascii="Arial" w:hAnsi="Arial" w:cs="Arial"/>
          <w:sz w:val="24"/>
          <w:szCs w:val="24"/>
        </w:rPr>
      </w:pPr>
      <w:bookmarkStart w:id="4" w:name="_Hlk57132720"/>
      <w:r>
        <w:rPr>
          <w:rFonts w:ascii="Arial" w:hAnsi="Arial" w:cs="Arial"/>
          <w:sz w:val="24"/>
          <w:szCs w:val="24"/>
        </w:rPr>
        <w:t xml:space="preserve">The Bill also amends the </w:t>
      </w:r>
      <w:r>
        <w:rPr>
          <w:rFonts w:ascii="Arial" w:hAnsi="Arial" w:cs="Arial"/>
          <w:i/>
          <w:iCs/>
          <w:sz w:val="24"/>
          <w:szCs w:val="24"/>
        </w:rPr>
        <w:t>Public Sector Management Act 1994</w:t>
      </w:r>
      <w:r>
        <w:rPr>
          <w:rFonts w:ascii="Arial" w:hAnsi="Arial" w:cs="Arial"/>
          <w:sz w:val="24"/>
          <w:szCs w:val="24"/>
        </w:rPr>
        <w:t xml:space="preserve"> </w:t>
      </w:r>
      <w:r w:rsidR="000B04DC">
        <w:rPr>
          <w:rFonts w:ascii="Arial" w:hAnsi="Arial" w:cs="Arial"/>
          <w:sz w:val="24"/>
          <w:szCs w:val="24"/>
        </w:rPr>
        <w:t xml:space="preserve">(the Public Sector Management Act) </w:t>
      </w:r>
      <w:r>
        <w:rPr>
          <w:rFonts w:ascii="Arial" w:hAnsi="Arial" w:cs="Arial"/>
          <w:sz w:val="24"/>
          <w:szCs w:val="24"/>
        </w:rPr>
        <w:t xml:space="preserve">to provide that, where a Minister is </w:t>
      </w:r>
      <w:r w:rsidR="00B928F5">
        <w:rPr>
          <w:rFonts w:ascii="Arial" w:hAnsi="Arial" w:cs="Arial"/>
          <w:sz w:val="24"/>
          <w:szCs w:val="24"/>
        </w:rPr>
        <w:t>authorised</w:t>
      </w:r>
      <w:r>
        <w:rPr>
          <w:rFonts w:ascii="Arial" w:hAnsi="Arial" w:cs="Arial"/>
          <w:sz w:val="24"/>
          <w:szCs w:val="24"/>
        </w:rPr>
        <w:t xml:space="preserve"> to act on the Chief Minister’s behalf or on another Minister’s behalf pursuant to section 14(3), this is subject to the requirements of sections 41 and 253 of </w:t>
      </w:r>
      <w:r w:rsidRPr="0083327D">
        <w:rPr>
          <w:rFonts w:ascii="Arial" w:hAnsi="Arial" w:cs="Arial"/>
          <w:sz w:val="24"/>
          <w:szCs w:val="24"/>
        </w:rPr>
        <w:t>the Legislation Act</w:t>
      </w:r>
      <w:r>
        <w:rPr>
          <w:rFonts w:ascii="Arial" w:hAnsi="Arial" w:cs="Arial"/>
          <w:sz w:val="24"/>
          <w:szCs w:val="24"/>
        </w:rPr>
        <w:t>.</w:t>
      </w:r>
      <w:r w:rsidR="00B928F5">
        <w:rPr>
          <w:rFonts w:ascii="Arial" w:hAnsi="Arial" w:cs="Arial"/>
          <w:sz w:val="24"/>
          <w:szCs w:val="24"/>
        </w:rPr>
        <w:t xml:space="preserve"> The amendment will clarify the operation of section 14 </w:t>
      </w:r>
      <w:r w:rsidR="000153C4">
        <w:rPr>
          <w:rFonts w:ascii="Arial" w:hAnsi="Arial" w:cs="Arial"/>
          <w:sz w:val="24"/>
          <w:szCs w:val="24"/>
        </w:rPr>
        <w:t xml:space="preserve">of the Public Sector Management Act </w:t>
      </w:r>
      <w:r w:rsidR="00B928F5">
        <w:rPr>
          <w:rFonts w:ascii="Arial" w:hAnsi="Arial" w:cs="Arial"/>
          <w:sz w:val="24"/>
          <w:szCs w:val="24"/>
        </w:rPr>
        <w:t>in light of the amendments to sections 41 and 253 of the Legislation Act.</w:t>
      </w:r>
    </w:p>
    <w:bookmarkEnd w:id="4"/>
    <w:p w14:paraId="2EB08B77" w14:textId="77777777" w:rsidR="00C703BB" w:rsidRDefault="00C703BB" w:rsidP="00C703BB">
      <w:pPr>
        <w:pStyle w:val="Heading2"/>
        <w:rPr>
          <w:i/>
          <w:iCs/>
        </w:rPr>
      </w:pPr>
      <w:r w:rsidRPr="00433BD3">
        <w:rPr>
          <w:i/>
          <w:iCs/>
        </w:rPr>
        <w:t>Lotteries Act 1964</w:t>
      </w:r>
    </w:p>
    <w:p w14:paraId="45E31737" w14:textId="77777777" w:rsidR="00C703BB" w:rsidRDefault="00C703BB" w:rsidP="00C703BB">
      <w:pPr>
        <w:jc w:val="both"/>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 xml:space="preserve">Lotteries Act 1964 </w:t>
      </w:r>
      <w:r>
        <w:rPr>
          <w:rFonts w:ascii="Arial" w:hAnsi="Arial" w:cs="Arial"/>
          <w:sz w:val="24"/>
          <w:szCs w:val="24"/>
        </w:rPr>
        <w:t>(Lotteries Act)</w:t>
      </w:r>
      <w:r>
        <w:rPr>
          <w:rFonts w:ascii="Arial" w:hAnsi="Arial" w:cs="Arial"/>
          <w:i/>
          <w:iCs/>
          <w:sz w:val="24"/>
          <w:szCs w:val="24"/>
        </w:rPr>
        <w:t xml:space="preserve"> </w:t>
      </w:r>
      <w:r>
        <w:rPr>
          <w:rFonts w:ascii="Arial" w:hAnsi="Arial" w:cs="Arial"/>
          <w:sz w:val="24"/>
          <w:szCs w:val="24"/>
        </w:rPr>
        <w:t>to transfer the power to determine fees under the Lotteries Act from the Gambling and Racing Commission to the Minister administering the Lotteries Act.</w:t>
      </w:r>
      <w:r w:rsidRPr="006D057A">
        <w:rPr>
          <w:rFonts w:ascii="Arial" w:hAnsi="Arial" w:cs="Arial"/>
          <w:sz w:val="24"/>
          <w:szCs w:val="24"/>
        </w:rPr>
        <w:t xml:space="preserve"> </w:t>
      </w:r>
      <w:r>
        <w:rPr>
          <w:rFonts w:ascii="Arial" w:hAnsi="Arial" w:cs="Arial"/>
          <w:sz w:val="24"/>
          <w:szCs w:val="24"/>
        </w:rPr>
        <w:t xml:space="preserve">The amendment will align the Lotteries Act with other gaming laws where the Minister is provided with the power to determine fees and will lead </w:t>
      </w:r>
      <w:r w:rsidRPr="009C5D27">
        <w:rPr>
          <w:rFonts w:ascii="Arial" w:hAnsi="Arial" w:cs="Arial"/>
          <w:sz w:val="24"/>
          <w:szCs w:val="24"/>
        </w:rPr>
        <w:t xml:space="preserve">to greater administrative efficiencies for the </w:t>
      </w:r>
      <w:r>
        <w:rPr>
          <w:rFonts w:ascii="Arial" w:hAnsi="Arial" w:cs="Arial"/>
          <w:sz w:val="24"/>
          <w:szCs w:val="24"/>
        </w:rPr>
        <w:t>Territory</w:t>
      </w:r>
      <w:r w:rsidRPr="009C5D27">
        <w:rPr>
          <w:rFonts w:ascii="Arial" w:hAnsi="Arial" w:cs="Arial"/>
          <w:sz w:val="24"/>
          <w:szCs w:val="24"/>
        </w:rPr>
        <w:t xml:space="preserve"> Government</w:t>
      </w:r>
      <w:r>
        <w:rPr>
          <w:rFonts w:ascii="Arial" w:hAnsi="Arial" w:cs="Arial"/>
          <w:sz w:val="24"/>
          <w:szCs w:val="24"/>
        </w:rPr>
        <w:t>.</w:t>
      </w:r>
    </w:p>
    <w:p w14:paraId="06D62C6C" w14:textId="74DF1CD2" w:rsidR="00433BD3" w:rsidRDefault="00433BD3" w:rsidP="00433BD3">
      <w:pPr>
        <w:pStyle w:val="Heading2"/>
        <w:rPr>
          <w:i/>
          <w:iCs/>
        </w:rPr>
      </w:pPr>
      <w:r w:rsidRPr="00433BD3">
        <w:rPr>
          <w:i/>
          <w:iCs/>
        </w:rPr>
        <w:t>Residential Tenancies Act 1997</w:t>
      </w:r>
    </w:p>
    <w:p w14:paraId="0EDD64C2" w14:textId="3B6802B3" w:rsidR="00272F82" w:rsidRPr="00BF1F58" w:rsidRDefault="00272F82" w:rsidP="00272F82">
      <w:pPr>
        <w:jc w:val="both"/>
        <w:rPr>
          <w:rFonts w:ascii="Arial" w:hAnsi="Arial" w:cs="Arial"/>
          <w:sz w:val="24"/>
          <w:szCs w:val="24"/>
        </w:rPr>
      </w:pPr>
      <w:r w:rsidRPr="002948F5">
        <w:rPr>
          <w:rFonts w:ascii="Arial" w:hAnsi="Arial" w:cs="Arial"/>
          <w:sz w:val="24"/>
          <w:szCs w:val="24"/>
        </w:rPr>
        <w:t xml:space="preserve">The Bill amends the </w:t>
      </w:r>
      <w:r w:rsidRPr="002948F5">
        <w:rPr>
          <w:rFonts w:ascii="Arial" w:hAnsi="Arial" w:cs="Arial"/>
          <w:i/>
          <w:iCs/>
          <w:sz w:val="24"/>
          <w:szCs w:val="24"/>
        </w:rPr>
        <w:t>Residential Tenancies Act 1997</w:t>
      </w:r>
      <w:r>
        <w:rPr>
          <w:rFonts w:ascii="Arial" w:hAnsi="Arial" w:cs="Arial"/>
          <w:i/>
          <w:iCs/>
          <w:sz w:val="24"/>
          <w:szCs w:val="24"/>
        </w:rPr>
        <w:t xml:space="preserve"> </w:t>
      </w:r>
      <w:r>
        <w:rPr>
          <w:rFonts w:ascii="Arial" w:hAnsi="Arial" w:cs="Arial"/>
          <w:sz w:val="24"/>
          <w:szCs w:val="24"/>
        </w:rPr>
        <w:t>(RT Act)</w:t>
      </w:r>
      <w:r w:rsidRPr="002948F5">
        <w:rPr>
          <w:rFonts w:ascii="Arial" w:hAnsi="Arial" w:cs="Arial"/>
          <w:sz w:val="24"/>
          <w:szCs w:val="24"/>
        </w:rPr>
        <w:t xml:space="preserve"> to </w:t>
      </w:r>
      <w:r>
        <w:rPr>
          <w:rFonts w:ascii="Arial" w:hAnsi="Arial" w:cs="Arial"/>
          <w:sz w:val="24"/>
          <w:szCs w:val="24"/>
        </w:rPr>
        <w:t xml:space="preserve">change the person who is able to authorise </w:t>
      </w:r>
      <w:r w:rsidRPr="002948F5">
        <w:rPr>
          <w:rFonts w:ascii="Arial" w:hAnsi="Arial" w:cs="Arial"/>
          <w:sz w:val="24"/>
          <w:szCs w:val="24"/>
        </w:rPr>
        <w:t>an information booklet</w:t>
      </w:r>
      <w:r>
        <w:rPr>
          <w:rFonts w:ascii="Arial" w:hAnsi="Arial" w:cs="Arial"/>
          <w:sz w:val="24"/>
          <w:szCs w:val="24"/>
        </w:rPr>
        <w:t xml:space="preserve"> </w:t>
      </w:r>
      <w:r w:rsidRPr="002948F5">
        <w:rPr>
          <w:rFonts w:ascii="Arial" w:hAnsi="Arial" w:cs="Arial"/>
          <w:sz w:val="24"/>
          <w:szCs w:val="24"/>
        </w:rPr>
        <w:t xml:space="preserve">that a lessor must provide to a </w:t>
      </w:r>
      <w:r w:rsidRPr="00BF1F58">
        <w:rPr>
          <w:rFonts w:ascii="Arial" w:hAnsi="Arial" w:cs="Arial"/>
          <w:sz w:val="24"/>
          <w:szCs w:val="24"/>
        </w:rPr>
        <w:t xml:space="preserve">tenant. This information currently takes the form of the ‘Renting Book’. </w:t>
      </w:r>
      <w:r>
        <w:rPr>
          <w:rFonts w:ascii="Arial" w:hAnsi="Arial" w:cs="Arial"/>
          <w:sz w:val="24"/>
          <w:szCs w:val="24"/>
        </w:rPr>
        <w:t xml:space="preserve">The information booklet was previously authorised by the Commissioner for Fair Trading. This amendment will change the person who authorises the information booklet to the </w:t>
      </w:r>
      <w:r w:rsidRPr="002948F5">
        <w:rPr>
          <w:rFonts w:ascii="Arial" w:hAnsi="Arial" w:cs="Arial"/>
          <w:sz w:val="24"/>
          <w:szCs w:val="24"/>
        </w:rPr>
        <w:t>Director-General for the Directorate administering the RT Act</w:t>
      </w:r>
      <w:r>
        <w:rPr>
          <w:rFonts w:ascii="Arial" w:hAnsi="Arial" w:cs="Arial"/>
          <w:sz w:val="24"/>
          <w:szCs w:val="24"/>
        </w:rPr>
        <w:t xml:space="preserve">. </w:t>
      </w:r>
      <w:r w:rsidRPr="00BF1F58">
        <w:rPr>
          <w:rFonts w:ascii="Arial" w:hAnsi="Arial" w:cs="Arial"/>
          <w:sz w:val="24"/>
          <w:szCs w:val="24"/>
        </w:rPr>
        <w:t>Th</w:t>
      </w:r>
      <w:r>
        <w:rPr>
          <w:rFonts w:ascii="Arial" w:hAnsi="Arial" w:cs="Arial"/>
          <w:sz w:val="24"/>
          <w:szCs w:val="24"/>
        </w:rPr>
        <w:t xml:space="preserve">is is so the Directorate who has responsibility for developing and implementing changes to the RT Act will also be </w:t>
      </w:r>
      <w:r w:rsidRPr="00BF1F58">
        <w:rPr>
          <w:rFonts w:ascii="Arial" w:hAnsi="Arial" w:cs="Arial"/>
          <w:sz w:val="24"/>
          <w:szCs w:val="24"/>
        </w:rPr>
        <w:t>responsible for updating the Renting Book.</w:t>
      </w:r>
    </w:p>
    <w:p w14:paraId="64353613" w14:textId="0A23939E" w:rsidR="00784F47" w:rsidRDefault="00160A8D" w:rsidP="002948F5">
      <w:pPr>
        <w:jc w:val="both"/>
        <w:rPr>
          <w:rFonts w:ascii="Arial" w:hAnsi="Arial" w:cs="Arial"/>
          <w:sz w:val="24"/>
          <w:szCs w:val="24"/>
        </w:rPr>
      </w:pPr>
      <w:r>
        <w:rPr>
          <w:rFonts w:ascii="Arial" w:hAnsi="Arial" w:cs="Arial"/>
          <w:sz w:val="24"/>
          <w:szCs w:val="24"/>
        </w:rPr>
        <w:t xml:space="preserve">The Bill also amends </w:t>
      </w:r>
      <w:r w:rsidR="00784F47">
        <w:rPr>
          <w:rFonts w:ascii="Arial" w:hAnsi="Arial" w:cs="Arial"/>
          <w:sz w:val="24"/>
          <w:szCs w:val="24"/>
        </w:rPr>
        <w:t>the</w:t>
      </w:r>
      <w:r>
        <w:rPr>
          <w:rFonts w:ascii="Arial" w:hAnsi="Arial" w:cs="Arial"/>
          <w:sz w:val="24"/>
          <w:szCs w:val="24"/>
        </w:rPr>
        <w:t xml:space="preserve"> RT Act to </w:t>
      </w:r>
      <w:r w:rsidR="002948F5" w:rsidRPr="002948F5">
        <w:rPr>
          <w:rFonts w:ascii="Arial" w:hAnsi="Arial" w:cs="Arial"/>
          <w:sz w:val="24"/>
          <w:szCs w:val="24"/>
        </w:rPr>
        <w:t xml:space="preserve">clarify that an </w:t>
      </w:r>
      <w:r w:rsidR="00784F47">
        <w:rPr>
          <w:rFonts w:ascii="Arial" w:hAnsi="Arial" w:cs="Arial"/>
          <w:sz w:val="24"/>
          <w:szCs w:val="24"/>
        </w:rPr>
        <w:t>‘</w:t>
      </w:r>
      <w:r w:rsidR="002948F5" w:rsidRPr="002948F5">
        <w:rPr>
          <w:rFonts w:ascii="Arial" w:hAnsi="Arial" w:cs="Arial"/>
          <w:sz w:val="24"/>
          <w:szCs w:val="24"/>
        </w:rPr>
        <w:t>occupancy agreement</w:t>
      </w:r>
      <w:r w:rsidR="00784F47">
        <w:rPr>
          <w:rFonts w:ascii="Arial" w:hAnsi="Arial" w:cs="Arial"/>
          <w:sz w:val="24"/>
          <w:szCs w:val="24"/>
        </w:rPr>
        <w:t xml:space="preserve">’ </w:t>
      </w:r>
      <w:r w:rsidR="002948F5" w:rsidRPr="002948F5">
        <w:rPr>
          <w:rFonts w:ascii="Arial" w:hAnsi="Arial" w:cs="Arial"/>
          <w:sz w:val="24"/>
          <w:szCs w:val="24"/>
        </w:rPr>
        <w:t>does not include an agreement to give a person a right to occupy premises where the person given the right to occupy is party to an agreement entered into honestly for the sale or purchase of the premises.</w:t>
      </w:r>
      <w:r w:rsidR="00784F47">
        <w:rPr>
          <w:rFonts w:ascii="Arial" w:hAnsi="Arial" w:cs="Arial"/>
          <w:sz w:val="24"/>
          <w:szCs w:val="24"/>
        </w:rPr>
        <w:t xml:space="preserve"> The definition of ‘occupancy agreement’ was introduced by the </w:t>
      </w:r>
      <w:r w:rsidR="00784F47">
        <w:rPr>
          <w:rFonts w:ascii="Arial" w:hAnsi="Arial" w:cs="Arial"/>
          <w:i/>
          <w:iCs/>
          <w:sz w:val="24"/>
          <w:szCs w:val="24"/>
        </w:rPr>
        <w:t>Residential Tenancies Amendment Act 2020 (No 2)</w:t>
      </w:r>
      <w:r w:rsidR="00784F47">
        <w:rPr>
          <w:rFonts w:ascii="Arial" w:hAnsi="Arial" w:cs="Arial"/>
          <w:sz w:val="24"/>
          <w:szCs w:val="24"/>
        </w:rPr>
        <w:t xml:space="preserve"> and it was not intended to apply to a right to occupy premises during a sale or purchase of premises.</w:t>
      </w:r>
    </w:p>
    <w:p w14:paraId="6172D724" w14:textId="0294497B" w:rsidR="00433BD3" w:rsidRDefault="00433BD3" w:rsidP="00433BD3">
      <w:pPr>
        <w:pStyle w:val="Heading2"/>
        <w:rPr>
          <w:i/>
          <w:iCs/>
        </w:rPr>
      </w:pPr>
      <w:r w:rsidRPr="00433BD3">
        <w:rPr>
          <w:i/>
          <w:iCs/>
        </w:rPr>
        <w:lastRenderedPageBreak/>
        <w:t>Retirement Villages Regulation 2013</w:t>
      </w:r>
    </w:p>
    <w:p w14:paraId="366F6E16" w14:textId="77777777" w:rsidR="00272F82" w:rsidRDefault="00272F82" w:rsidP="00272F82">
      <w:pPr>
        <w:jc w:val="both"/>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Retirement Villages Regulation 2013</w:t>
      </w:r>
      <w:r>
        <w:rPr>
          <w:rFonts w:ascii="Arial" w:hAnsi="Arial" w:cs="Arial"/>
          <w:sz w:val="24"/>
          <w:szCs w:val="24"/>
        </w:rPr>
        <w:t xml:space="preserve"> (RV Regulation) to update the references to provisions of the </w:t>
      </w:r>
      <w:r>
        <w:rPr>
          <w:rFonts w:ascii="Arial" w:hAnsi="Arial" w:cs="Arial"/>
          <w:i/>
          <w:iCs/>
          <w:sz w:val="24"/>
          <w:szCs w:val="24"/>
        </w:rPr>
        <w:t>Retirement Villages Act 2012</w:t>
      </w:r>
      <w:r>
        <w:rPr>
          <w:rFonts w:ascii="Arial" w:hAnsi="Arial" w:cs="Arial"/>
          <w:sz w:val="24"/>
          <w:szCs w:val="24"/>
        </w:rPr>
        <w:t xml:space="preserve">. </w:t>
      </w:r>
      <w:r w:rsidRPr="009A55D9">
        <w:rPr>
          <w:rFonts w:ascii="Arial" w:hAnsi="Arial" w:cs="Arial"/>
          <w:sz w:val="24"/>
          <w:szCs w:val="24"/>
        </w:rPr>
        <w:t xml:space="preserve">The </w:t>
      </w:r>
      <w:r>
        <w:rPr>
          <w:rFonts w:ascii="Arial" w:hAnsi="Arial" w:cs="Arial"/>
          <w:sz w:val="24"/>
          <w:szCs w:val="24"/>
        </w:rPr>
        <w:t xml:space="preserve">amendments </w:t>
      </w:r>
      <w:r w:rsidRPr="009A55D9">
        <w:rPr>
          <w:rFonts w:ascii="Arial" w:hAnsi="Arial" w:cs="Arial"/>
          <w:sz w:val="24"/>
          <w:szCs w:val="24"/>
        </w:rPr>
        <w:t>correct the references which resulted</w:t>
      </w:r>
      <w:r>
        <w:rPr>
          <w:rFonts w:ascii="Arial" w:hAnsi="Arial" w:cs="Arial"/>
          <w:sz w:val="24"/>
          <w:szCs w:val="24"/>
        </w:rPr>
        <w:t xml:space="preserve"> from the insertion of section 159(4) into the </w:t>
      </w:r>
      <w:r>
        <w:rPr>
          <w:rFonts w:ascii="Arial" w:hAnsi="Arial" w:cs="Arial"/>
          <w:i/>
          <w:iCs/>
          <w:sz w:val="24"/>
          <w:szCs w:val="24"/>
        </w:rPr>
        <w:t>Retirement Villages Act 2012</w:t>
      </w:r>
      <w:r>
        <w:rPr>
          <w:rFonts w:ascii="Arial" w:hAnsi="Arial" w:cs="Arial"/>
          <w:sz w:val="24"/>
          <w:szCs w:val="24"/>
        </w:rPr>
        <w:t xml:space="preserve"> by the </w:t>
      </w:r>
      <w:r>
        <w:rPr>
          <w:rFonts w:ascii="Arial" w:hAnsi="Arial" w:cs="Arial"/>
          <w:i/>
          <w:iCs/>
          <w:sz w:val="24"/>
          <w:szCs w:val="24"/>
        </w:rPr>
        <w:t>Retirement Villages Legislation Amendment Act 2019</w:t>
      </w:r>
      <w:r>
        <w:rPr>
          <w:rFonts w:ascii="Arial" w:hAnsi="Arial" w:cs="Arial"/>
          <w:sz w:val="24"/>
          <w:szCs w:val="24"/>
        </w:rPr>
        <w:t xml:space="preserve">. The insertion of section 159(4) changed the numbering of the paragraphs in section 159. The amendments thereby </w:t>
      </w:r>
      <w:r w:rsidRPr="009A55D9">
        <w:rPr>
          <w:rFonts w:ascii="Arial" w:hAnsi="Arial" w:cs="Arial"/>
          <w:sz w:val="24"/>
          <w:szCs w:val="24"/>
        </w:rPr>
        <w:t>increase the clarity of the legislation.</w:t>
      </w:r>
    </w:p>
    <w:p w14:paraId="0DB46ADB" w14:textId="7784AA8B" w:rsidR="00433BD3" w:rsidRDefault="00433BD3" w:rsidP="00433BD3">
      <w:pPr>
        <w:pStyle w:val="Heading2"/>
        <w:rPr>
          <w:i/>
          <w:iCs/>
        </w:rPr>
      </w:pPr>
      <w:r w:rsidRPr="00433BD3">
        <w:rPr>
          <w:i/>
          <w:iCs/>
        </w:rPr>
        <w:t>Security Industry Regulation 2003</w:t>
      </w:r>
    </w:p>
    <w:p w14:paraId="378FA024" w14:textId="32390400" w:rsidR="00587BCF" w:rsidRPr="00587BCF" w:rsidRDefault="00587BCF" w:rsidP="002374FB">
      <w:pPr>
        <w:jc w:val="both"/>
        <w:rPr>
          <w:rFonts w:ascii="Arial" w:hAnsi="Arial" w:cs="Arial"/>
          <w:sz w:val="24"/>
          <w:szCs w:val="24"/>
        </w:rPr>
      </w:pPr>
      <w:r w:rsidRPr="00587BCF">
        <w:rPr>
          <w:rFonts w:ascii="Arial" w:hAnsi="Arial" w:cs="Arial"/>
          <w:sz w:val="24"/>
          <w:szCs w:val="24"/>
        </w:rPr>
        <w:t xml:space="preserve">The Bill amends the </w:t>
      </w:r>
      <w:r w:rsidRPr="00587BCF">
        <w:rPr>
          <w:rFonts w:ascii="Arial" w:hAnsi="Arial" w:cs="Arial"/>
          <w:i/>
          <w:iCs/>
          <w:sz w:val="24"/>
          <w:szCs w:val="24"/>
        </w:rPr>
        <w:t>Security Industry Regulation 2003</w:t>
      </w:r>
      <w:r w:rsidRPr="00587BCF">
        <w:rPr>
          <w:rFonts w:ascii="Arial" w:hAnsi="Arial" w:cs="Arial"/>
          <w:sz w:val="24"/>
          <w:szCs w:val="24"/>
        </w:rPr>
        <w:t xml:space="preserve"> </w:t>
      </w:r>
      <w:r w:rsidR="00C53818">
        <w:rPr>
          <w:rFonts w:ascii="Arial" w:hAnsi="Arial" w:cs="Arial"/>
          <w:sz w:val="24"/>
          <w:szCs w:val="24"/>
        </w:rPr>
        <w:t xml:space="preserve">(SI Regulation) </w:t>
      </w:r>
      <w:r w:rsidRPr="00587BCF">
        <w:rPr>
          <w:rFonts w:ascii="Arial" w:hAnsi="Arial" w:cs="Arial"/>
          <w:sz w:val="24"/>
          <w:szCs w:val="24"/>
        </w:rPr>
        <w:t xml:space="preserve">to update a reference </w:t>
      </w:r>
      <w:r>
        <w:rPr>
          <w:rFonts w:ascii="Arial" w:hAnsi="Arial" w:cs="Arial"/>
          <w:sz w:val="24"/>
          <w:szCs w:val="24"/>
        </w:rPr>
        <w:t>from</w:t>
      </w:r>
      <w:r w:rsidRPr="00587BCF">
        <w:rPr>
          <w:rFonts w:ascii="Arial" w:hAnsi="Arial" w:cs="Arial"/>
          <w:sz w:val="24"/>
          <w:szCs w:val="24"/>
        </w:rPr>
        <w:t xml:space="preserve"> the </w:t>
      </w:r>
      <w:r w:rsidRPr="00587BCF">
        <w:rPr>
          <w:rFonts w:ascii="Arial" w:hAnsi="Arial" w:cs="Arial"/>
          <w:i/>
          <w:iCs/>
          <w:sz w:val="24"/>
          <w:szCs w:val="24"/>
        </w:rPr>
        <w:t>Casino Control Act 1988</w:t>
      </w:r>
      <w:r w:rsidRPr="00587BCF">
        <w:rPr>
          <w:rFonts w:ascii="Arial" w:hAnsi="Arial" w:cs="Arial"/>
          <w:sz w:val="24"/>
          <w:szCs w:val="24"/>
        </w:rPr>
        <w:t xml:space="preserve"> to the </w:t>
      </w:r>
      <w:r w:rsidRPr="00587BCF">
        <w:rPr>
          <w:rFonts w:ascii="Arial" w:hAnsi="Arial" w:cs="Arial"/>
          <w:i/>
          <w:iCs/>
          <w:sz w:val="24"/>
          <w:szCs w:val="24"/>
        </w:rPr>
        <w:t>Casino Control Act 2006</w:t>
      </w:r>
      <w:r w:rsidRPr="00587BCF">
        <w:rPr>
          <w:rFonts w:ascii="Arial" w:hAnsi="Arial" w:cs="Arial"/>
          <w:sz w:val="24"/>
          <w:szCs w:val="24"/>
        </w:rPr>
        <w:t>.</w:t>
      </w:r>
      <w:r w:rsidR="009A55D9" w:rsidRPr="009A55D9">
        <w:t xml:space="preserve"> </w:t>
      </w:r>
      <w:r w:rsidR="009A55D9" w:rsidRPr="009A55D9">
        <w:rPr>
          <w:rFonts w:ascii="Arial" w:hAnsi="Arial" w:cs="Arial"/>
          <w:sz w:val="24"/>
          <w:szCs w:val="24"/>
        </w:rPr>
        <w:t xml:space="preserve">The </w:t>
      </w:r>
      <w:r w:rsidR="009A55D9">
        <w:rPr>
          <w:rFonts w:ascii="Arial" w:hAnsi="Arial" w:cs="Arial"/>
          <w:sz w:val="24"/>
          <w:szCs w:val="24"/>
        </w:rPr>
        <w:t xml:space="preserve">reference is required to be updated as </w:t>
      </w:r>
      <w:r w:rsidR="009A55D9" w:rsidRPr="009A55D9">
        <w:rPr>
          <w:rFonts w:ascii="Arial" w:hAnsi="Arial" w:cs="Arial"/>
          <w:sz w:val="24"/>
          <w:szCs w:val="24"/>
        </w:rPr>
        <w:t xml:space="preserve">the </w:t>
      </w:r>
      <w:r w:rsidR="009A55D9" w:rsidRPr="00C53818">
        <w:rPr>
          <w:rFonts w:ascii="Arial" w:hAnsi="Arial" w:cs="Arial"/>
          <w:i/>
          <w:iCs/>
          <w:sz w:val="24"/>
          <w:szCs w:val="24"/>
        </w:rPr>
        <w:t>Casino Control Act 1998</w:t>
      </w:r>
      <w:r w:rsidR="009A55D9" w:rsidRPr="009A55D9">
        <w:rPr>
          <w:rFonts w:ascii="Arial" w:hAnsi="Arial" w:cs="Arial"/>
          <w:sz w:val="24"/>
          <w:szCs w:val="24"/>
        </w:rPr>
        <w:t xml:space="preserve"> was repealed by the </w:t>
      </w:r>
      <w:r w:rsidR="009A55D9" w:rsidRPr="00C53818">
        <w:rPr>
          <w:rFonts w:ascii="Arial" w:hAnsi="Arial" w:cs="Arial"/>
          <w:i/>
          <w:iCs/>
          <w:sz w:val="24"/>
          <w:szCs w:val="24"/>
        </w:rPr>
        <w:t>Casino Control Act 2006</w:t>
      </w:r>
      <w:r w:rsidR="009A55D9" w:rsidRPr="009A55D9">
        <w:rPr>
          <w:rFonts w:ascii="Arial" w:hAnsi="Arial" w:cs="Arial"/>
          <w:sz w:val="24"/>
          <w:szCs w:val="24"/>
        </w:rPr>
        <w:t xml:space="preserve">.  </w:t>
      </w:r>
    </w:p>
    <w:p w14:paraId="4125E736" w14:textId="77777777" w:rsidR="0077621B" w:rsidRPr="007A3419" w:rsidRDefault="0077621B" w:rsidP="001E2A10">
      <w:pPr>
        <w:pStyle w:val="Heading2"/>
        <w:rPr>
          <w:i/>
          <w:iCs/>
        </w:rPr>
      </w:pPr>
      <w:r w:rsidRPr="007A3419">
        <w:rPr>
          <w:i/>
          <w:iCs/>
        </w:rPr>
        <w:t>Consequential amendments</w:t>
      </w:r>
    </w:p>
    <w:p w14:paraId="0C8C3805" w14:textId="32EBCCA0" w:rsidR="00A46159" w:rsidRDefault="0077621B" w:rsidP="00C92BE2">
      <w:pPr>
        <w:spacing w:after="120"/>
        <w:ind w:right="-45"/>
        <w:jc w:val="both"/>
        <w:rPr>
          <w:rFonts w:ascii="Arial" w:hAnsi="Arial" w:cs="Arial"/>
          <w:iCs/>
          <w:sz w:val="24"/>
          <w:szCs w:val="24"/>
        </w:rPr>
      </w:pPr>
      <w:r w:rsidRPr="007A3419">
        <w:rPr>
          <w:rFonts w:ascii="Arial" w:hAnsi="Arial" w:cs="Arial"/>
          <w:iCs/>
          <w:sz w:val="24"/>
          <w:szCs w:val="24"/>
        </w:rPr>
        <w:t xml:space="preserve">The Bill also makes consequential amendments to </w:t>
      </w:r>
      <w:r w:rsidR="00A46159">
        <w:rPr>
          <w:rFonts w:ascii="Arial" w:hAnsi="Arial" w:cs="Arial"/>
          <w:iCs/>
          <w:sz w:val="24"/>
          <w:szCs w:val="24"/>
        </w:rPr>
        <w:t xml:space="preserve">section 125(6) and the definition of ‘Chapter 5 body Corporate’ in the dictionary of the LP Act, and to section 14(4) of the </w:t>
      </w:r>
      <w:r w:rsidR="00F34D13">
        <w:rPr>
          <w:rFonts w:ascii="Arial" w:hAnsi="Arial" w:cs="Arial"/>
          <w:sz w:val="24"/>
          <w:szCs w:val="24"/>
        </w:rPr>
        <w:t>Public Sector Management Act</w:t>
      </w:r>
      <w:r w:rsidR="00A46159">
        <w:rPr>
          <w:rFonts w:ascii="Arial" w:hAnsi="Arial" w:cs="Arial"/>
          <w:iCs/>
          <w:sz w:val="24"/>
          <w:szCs w:val="24"/>
        </w:rPr>
        <w:t>.</w:t>
      </w:r>
    </w:p>
    <w:p w14:paraId="066901BA" w14:textId="77777777" w:rsidR="0077621B" w:rsidRDefault="0077621B" w:rsidP="00433BD3">
      <w:pPr>
        <w:pStyle w:val="Heading2"/>
      </w:pPr>
      <w:r w:rsidRPr="00AC59DF">
        <w:t>CONSULTATION ON THE PROPOSED APPROACH</w:t>
      </w:r>
    </w:p>
    <w:p w14:paraId="0573EB08" w14:textId="2A2CB620" w:rsidR="0077621B" w:rsidRPr="00FA7DCB" w:rsidRDefault="0077621B" w:rsidP="00F04A4F">
      <w:pPr>
        <w:jc w:val="both"/>
        <w:rPr>
          <w:rFonts w:ascii="Arial" w:hAnsi="Arial" w:cs="Arial"/>
          <w:iCs/>
          <w:sz w:val="24"/>
          <w:szCs w:val="24"/>
        </w:rPr>
      </w:pPr>
      <w:r>
        <w:rPr>
          <w:rFonts w:ascii="Arial" w:hAnsi="Arial" w:cs="Arial"/>
          <w:iCs/>
          <w:sz w:val="24"/>
          <w:szCs w:val="24"/>
        </w:rPr>
        <w:t xml:space="preserve">The proposed amendments are the result of consultation with </w:t>
      </w:r>
      <w:r w:rsidR="00665C3E">
        <w:rPr>
          <w:rFonts w:ascii="Arial" w:hAnsi="Arial" w:cs="Arial"/>
          <w:iCs/>
          <w:sz w:val="24"/>
          <w:szCs w:val="24"/>
        </w:rPr>
        <w:t xml:space="preserve">and input from </w:t>
      </w:r>
      <w:r>
        <w:rPr>
          <w:rFonts w:ascii="Arial" w:hAnsi="Arial" w:cs="Arial"/>
          <w:iCs/>
          <w:sz w:val="24"/>
          <w:szCs w:val="24"/>
        </w:rPr>
        <w:t>relevant stakeholders.</w:t>
      </w:r>
    </w:p>
    <w:p w14:paraId="76116E06" w14:textId="77777777" w:rsidR="002A255D" w:rsidRDefault="002A255D" w:rsidP="002A255D">
      <w:pPr>
        <w:pStyle w:val="Heading2"/>
      </w:pPr>
      <w:bookmarkStart w:id="5" w:name="OLE_LINK1"/>
      <w:r>
        <w:t xml:space="preserve">CONSISTENCY WITH </w:t>
      </w:r>
      <w:r w:rsidRPr="008C225D">
        <w:t>HUMAN RIGHTS</w:t>
      </w:r>
    </w:p>
    <w:p w14:paraId="15B6E29B" w14:textId="77777777" w:rsidR="002A255D" w:rsidRDefault="002A255D" w:rsidP="002A255D">
      <w:pPr>
        <w:shd w:val="clear" w:color="auto" w:fill="FFFFFF"/>
        <w:rPr>
          <w:rFonts w:ascii="Arial" w:hAnsi="Arial" w:cs="Arial"/>
          <w:iCs/>
          <w:sz w:val="24"/>
          <w:szCs w:val="24"/>
        </w:rPr>
      </w:pPr>
      <w:r>
        <w:rPr>
          <w:rFonts w:ascii="Arial" w:hAnsi="Arial" w:cs="Arial"/>
          <w:b/>
          <w:bCs/>
          <w:i/>
          <w:sz w:val="24"/>
          <w:szCs w:val="24"/>
        </w:rPr>
        <w:t>Administration and Probate Act 1929</w:t>
      </w:r>
    </w:p>
    <w:p w14:paraId="242002B1" w14:textId="743E5C03" w:rsidR="002A255D" w:rsidRDefault="008071E7" w:rsidP="002A255D">
      <w:pPr>
        <w:shd w:val="clear" w:color="auto" w:fill="FFFFFF"/>
        <w:jc w:val="both"/>
        <w:rPr>
          <w:rFonts w:ascii="Arial" w:hAnsi="Arial" w:cs="Arial"/>
          <w:iCs/>
          <w:sz w:val="24"/>
          <w:szCs w:val="24"/>
        </w:rPr>
      </w:pPr>
      <w:r>
        <w:rPr>
          <w:rFonts w:ascii="Arial" w:hAnsi="Arial" w:cs="Arial"/>
          <w:iCs/>
          <w:sz w:val="24"/>
          <w:szCs w:val="24"/>
        </w:rPr>
        <w:t>Section 38A of t</w:t>
      </w:r>
      <w:r w:rsidR="002A255D">
        <w:rPr>
          <w:rFonts w:ascii="Arial" w:hAnsi="Arial" w:cs="Arial"/>
          <w:iCs/>
          <w:sz w:val="24"/>
          <w:szCs w:val="24"/>
        </w:rPr>
        <w:t>he AP Act currently provides that if a person who is entitled to an intestate estate is under 18 years of age and not married or in a civil union</w:t>
      </w:r>
      <w:r w:rsidR="000153C4">
        <w:rPr>
          <w:rFonts w:ascii="Arial" w:hAnsi="Arial" w:cs="Arial"/>
          <w:iCs/>
          <w:sz w:val="24"/>
          <w:szCs w:val="24"/>
        </w:rPr>
        <w:t>,</w:t>
      </w:r>
      <w:r w:rsidR="002A255D">
        <w:rPr>
          <w:rFonts w:ascii="Arial" w:hAnsi="Arial" w:cs="Arial"/>
          <w:iCs/>
          <w:sz w:val="24"/>
          <w:szCs w:val="24"/>
        </w:rPr>
        <w:t xml:space="preserve"> the person is entitled to take a beneficial interest in the intestate estate on marrying, entering a civil union or turning 18.  That is, vesting of the intestate estate is contingent on them turning 18, marrying or entering a civil union. The amendment to</w:t>
      </w:r>
      <w:r>
        <w:rPr>
          <w:rFonts w:ascii="Arial" w:hAnsi="Arial" w:cs="Arial"/>
          <w:iCs/>
          <w:sz w:val="24"/>
          <w:szCs w:val="24"/>
        </w:rPr>
        <w:t xml:space="preserve"> section 38A of</w:t>
      </w:r>
      <w:r w:rsidR="002A255D">
        <w:rPr>
          <w:rFonts w:ascii="Arial" w:hAnsi="Arial" w:cs="Arial"/>
          <w:iCs/>
          <w:sz w:val="24"/>
          <w:szCs w:val="24"/>
        </w:rPr>
        <w:t xml:space="preserve"> the AP Act</w:t>
      </w:r>
      <w:r>
        <w:rPr>
          <w:rFonts w:ascii="Arial" w:hAnsi="Arial" w:cs="Arial"/>
          <w:iCs/>
          <w:sz w:val="24"/>
          <w:szCs w:val="24"/>
        </w:rPr>
        <w:t xml:space="preserve"> by clause 7 of the Bill</w:t>
      </w:r>
      <w:r w:rsidR="002A255D">
        <w:rPr>
          <w:rFonts w:ascii="Arial" w:hAnsi="Arial" w:cs="Arial"/>
          <w:iCs/>
          <w:sz w:val="24"/>
          <w:szCs w:val="24"/>
        </w:rPr>
        <w:t xml:space="preserve"> provides for absolute (as opposed to contingent) vesting of an intestate estate in unmarried people under the age of 18.  It thereby </w:t>
      </w:r>
      <w:r w:rsidR="000B04DC">
        <w:rPr>
          <w:rFonts w:ascii="Arial" w:hAnsi="Arial" w:cs="Arial"/>
          <w:iCs/>
          <w:sz w:val="24"/>
          <w:szCs w:val="24"/>
        </w:rPr>
        <w:t>engages and promotes</w:t>
      </w:r>
      <w:r w:rsidR="002A255D">
        <w:rPr>
          <w:rFonts w:ascii="Arial" w:hAnsi="Arial" w:cs="Arial"/>
          <w:iCs/>
          <w:sz w:val="24"/>
          <w:szCs w:val="24"/>
        </w:rPr>
        <w:t xml:space="preserve"> the right to equality and non-discrimination in section 8 of the </w:t>
      </w:r>
      <w:r w:rsidR="002A255D">
        <w:rPr>
          <w:rFonts w:ascii="Arial" w:hAnsi="Arial" w:cs="Arial"/>
          <w:i/>
          <w:sz w:val="24"/>
          <w:szCs w:val="24"/>
        </w:rPr>
        <w:t xml:space="preserve">Human Rights Act 2004 </w:t>
      </w:r>
      <w:r w:rsidR="002A255D">
        <w:rPr>
          <w:rFonts w:ascii="Arial" w:hAnsi="Arial" w:cs="Arial"/>
          <w:iCs/>
          <w:sz w:val="24"/>
          <w:szCs w:val="24"/>
        </w:rPr>
        <w:t>(HR Act). Section 8 includes the right of everyone to enjoy their human rights without distinction or discrimination of any kind. The amendment removes discrimination on the basis of age and relationship status by allowing an intestate estate to vest absolutely in people who are both unmarried and under the age of 18.</w:t>
      </w:r>
    </w:p>
    <w:p w14:paraId="7B14047B" w14:textId="77777777" w:rsidR="002A255D" w:rsidRDefault="002A255D" w:rsidP="002A255D">
      <w:pPr>
        <w:pStyle w:val="Heading2"/>
        <w:rPr>
          <w:rFonts w:cs="Arial"/>
          <w:i/>
          <w:szCs w:val="24"/>
        </w:rPr>
      </w:pPr>
      <w:r>
        <w:rPr>
          <w:rFonts w:cs="Arial"/>
          <w:i/>
          <w:szCs w:val="24"/>
        </w:rPr>
        <w:t>Legal Profession Act 2006</w:t>
      </w:r>
    </w:p>
    <w:p w14:paraId="49FCEE20" w14:textId="1189510B" w:rsidR="002A255D" w:rsidRPr="00BC3FD6" w:rsidRDefault="002A255D" w:rsidP="002A255D">
      <w:pPr>
        <w:jc w:val="both"/>
        <w:rPr>
          <w:rFonts w:ascii="Arial" w:hAnsi="Arial" w:cs="Arial"/>
          <w:sz w:val="24"/>
          <w:szCs w:val="24"/>
        </w:rPr>
      </w:pPr>
      <w:r>
        <w:rPr>
          <w:rFonts w:ascii="Arial" w:hAnsi="Arial" w:cs="Arial"/>
          <w:sz w:val="24"/>
          <w:szCs w:val="24"/>
        </w:rPr>
        <w:t>The amendments</w:t>
      </w:r>
      <w:r w:rsidR="008071E7">
        <w:rPr>
          <w:rFonts w:ascii="Arial" w:hAnsi="Arial" w:cs="Arial"/>
          <w:sz w:val="24"/>
          <w:szCs w:val="24"/>
        </w:rPr>
        <w:t xml:space="preserve"> by clauses 16</w:t>
      </w:r>
      <w:r w:rsidR="00BC3FD6">
        <w:rPr>
          <w:rFonts w:ascii="Arial" w:hAnsi="Arial" w:cs="Arial"/>
          <w:sz w:val="24"/>
          <w:szCs w:val="24"/>
        </w:rPr>
        <w:t xml:space="preserve"> and 20 </w:t>
      </w:r>
      <w:r w:rsidR="008071E7">
        <w:rPr>
          <w:rFonts w:ascii="Arial" w:hAnsi="Arial" w:cs="Arial"/>
          <w:sz w:val="24"/>
          <w:szCs w:val="24"/>
        </w:rPr>
        <w:t>of the Bill</w:t>
      </w:r>
      <w:r>
        <w:rPr>
          <w:rFonts w:ascii="Arial" w:hAnsi="Arial" w:cs="Arial"/>
          <w:sz w:val="24"/>
          <w:szCs w:val="24"/>
        </w:rPr>
        <w:t xml:space="preserve"> to </w:t>
      </w:r>
      <w:r w:rsidR="008071E7">
        <w:rPr>
          <w:rFonts w:ascii="Arial" w:hAnsi="Arial" w:cs="Arial"/>
          <w:sz w:val="24"/>
          <w:szCs w:val="24"/>
        </w:rPr>
        <w:t xml:space="preserve">section 11 and the dictionary of </w:t>
      </w:r>
      <w:r>
        <w:rPr>
          <w:rFonts w:ascii="Arial" w:hAnsi="Arial" w:cs="Arial"/>
          <w:sz w:val="24"/>
          <w:szCs w:val="24"/>
        </w:rPr>
        <w:t xml:space="preserve">the LP Act require relevant persons to disclose, and for relevant legal authorities in the Territory to consider, an additional ‘suitability matter’ or ‘show-cause event’ in deciding if a person is a </w:t>
      </w:r>
      <w:r w:rsidR="000B04DC">
        <w:rPr>
          <w:rFonts w:ascii="Arial" w:hAnsi="Arial" w:cs="Arial"/>
          <w:sz w:val="24"/>
          <w:szCs w:val="24"/>
        </w:rPr>
        <w:t>‘</w:t>
      </w:r>
      <w:r>
        <w:rPr>
          <w:rFonts w:ascii="Arial" w:hAnsi="Arial" w:cs="Arial"/>
          <w:sz w:val="24"/>
          <w:szCs w:val="24"/>
        </w:rPr>
        <w:t>fit and proper</w:t>
      </w:r>
      <w:r w:rsidR="000B04DC">
        <w:rPr>
          <w:rFonts w:ascii="Arial" w:hAnsi="Arial" w:cs="Arial"/>
          <w:sz w:val="24"/>
          <w:szCs w:val="24"/>
        </w:rPr>
        <w:t>’</w:t>
      </w:r>
      <w:r>
        <w:rPr>
          <w:rFonts w:ascii="Arial" w:hAnsi="Arial" w:cs="Arial"/>
          <w:sz w:val="24"/>
          <w:szCs w:val="24"/>
        </w:rPr>
        <w:t xml:space="preserve"> person to be admitted to the legal profession or </w:t>
      </w:r>
      <w:r w:rsidR="008071E7">
        <w:rPr>
          <w:rFonts w:ascii="Arial" w:hAnsi="Arial" w:cs="Arial"/>
          <w:sz w:val="24"/>
          <w:szCs w:val="24"/>
        </w:rPr>
        <w:t xml:space="preserve">to </w:t>
      </w:r>
      <w:r>
        <w:rPr>
          <w:rFonts w:ascii="Arial" w:hAnsi="Arial" w:cs="Arial"/>
          <w:sz w:val="24"/>
          <w:szCs w:val="24"/>
        </w:rPr>
        <w:t>hold a local practising certificate as a solicitor or barrister. Where</w:t>
      </w:r>
      <w:r w:rsidRPr="00497FCF">
        <w:rPr>
          <w:rFonts w:ascii="Arial" w:hAnsi="Arial" w:cs="Arial"/>
          <w:sz w:val="24"/>
          <w:szCs w:val="24"/>
        </w:rPr>
        <w:t xml:space="preserve"> </w:t>
      </w:r>
      <w:r>
        <w:rPr>
          <w:rFonts w:ascii="Arial" w:hAnsi="Arial" w:cs="Arial"/>
          <w:sz w:val="24"/>
          <w:szCs w:val="24"/>
        </w:rPr>
        <w:t>a</w:t>
      </w:r>
      <w:r w:rsidRPr="00497FCF">
        <w:rPr>
          <w:rFonts w:ascii="Arial" w:hAnsi="Arial" w:cs="Arial"/>
          <w:sz w:val="24"/>
          <w:szCs w:val="24"/>
        </w:rPr>
        <w:t xml:space="preserve"> legal practitioner is</w:t>
      </w:r>
      <w:r>
        <w:rPr>
          <w:rFonts w:ascii="Arial" w:hAnsi="Arial" w:cs="Arial"/>
          <w:sz w:val="24"/>
          <w:szCs w:val="24"/>
        </w:rPr>
        <w:t xml:space="preserve"> or </w:t>
      </w:r>
      <w:r w:rsidR="008071E7">
        <w:rPr>
          <w:rFonts w:ascii="Arial" w:hAnsi="Arial" w:cs="Arial"/>
          <w:sz w:val="24"/>
          <w:szCs w:val="24"/>
        </w:rPr>
        <w:lastRenderedPageBreak/>
        <w:t>was</w:t>
      </w:r>
      <w:r w:rsidRPr="00497FCF">
        <w:rPr>
          <w:rFonts w:ascii="Arial" w:hAnsi="Arial" w:cs="Arial"/>
          <w:sz w:val="24"/>
          <w:szCs w:val="24"/>
        </w:rPr>
        <w:t xml:space="preserve"> a director of an incorporated legal practice which </w:t>
      </w:r>
      <w:r>
        <w:rPr>
          <w:rFonts w:ascii="Arial" w:hAnsi="Arial" w:cs="Arial"/>
          <w:sz w:val="24"/>
          <w:szCs w:val="24"/>
        </w:rPr>
        <w:t xml:space="preserve">is in or </w:t>
      </w:r>
      <w:r w:rsidR="008071E7">
        <w:rPr>
          <w:rFonts w:ascii="Arial" w:hAnsi="Arial" w:cs="Arial"/>
          <w:sz w:val="24"/>
          <w:szCs w:val="24"/>
        </w:rPr>
        <w:t>was</w:t>
      </w:r>
      <w:r>
        <w:rPr>
          <w:rFonts w:ascii="Arial" w:hAnsi="Arial" w:cs="Arial"/>
          <w:sz w:val="24"/>
          <w:szCs w:val="24"/>
        </w:rPr>
        <w:t xml:space="preserve"> a</w:t>
      </w:r>
      <w:r w:rsidR="008071E7">
        <w:rPr>
          <w:rFonts w:ascii="Arial" w:hAnsi="Arial" w:cs="Arial"/>
          <w:sz w:val="24"/>
          <w:szCs w:val="24"/>
        </w:rPr>
        <w:t xml:space="preserve"> Chapter 5</w:t>
      </w:r>
      <w:r>
        <w:rPr>
          <w:rFonts w:ascii="Arial" w:hAnsi="Arial" w:cs="Arial"/>
          <w:sz w:val="24"/>
          <w:szCs w:val="24"/>
        </w:rPr>
        <w:t xml:space="preserve"> body corporate, these circumstances must be disclosed and considered by the relevant persons and Territory legal authorities, respectively.</w:t>
      </w:r>
      <w:r w:rsidR="00BC3FD6">
        <w:rPr>
          <w:rFonts w:ascii="Arial" w:hAnsi="Arial" w:cs="Arial"/>
          <w:sz w:val="24"/>
          <w:szCs w:val="24"/>
        </w:rPr>
        <w:t xml:space="preserve"> The amendments to section 125(6) and the dictionary of the LP Act by clauses 17 and 19 of the Bill clarify that a ‘Chapter 5 body corporate’ is defined by section 9 of the </w:t>
      </w:r>
      <w:r w:rsidR="00BC3FD6">
        <w:rPr>
          <w:rFonts w:ascii="Arial" w:hAnsi="Arial" w:cs="Arial"/>
          <w:i/>
          <w:iCs/>
          <w:sz w:val="24"/>
          <w:szCs w:val="24"/>
        </w:rPr>
        <w:t>Corporations Act 2001</w:t>
      </w:r>
      <w:r w:rsidR="00BC3FD6">
        <w:rPr>
          <w:rFonts w:ascii="Arial" w:hAnsi="Arial" w:cs="Arial"/>
          <w:sz w:val="24"/>
          <w:szCs w:val="24"/>
        </w:rPr>
        <w:t xml:space="preserve"> (</w:t>
      </w:r>
      <w:proofErr w:type="spellStart"/>
      <w:r w:rsidR="00BC3FD6">
        <w:rPr>
          <w:rFonts w:ascii="Arial" w:hAnsi="Arial" w:cs="Arial"/>
          <w:sz w:val="24"/>
          <w:szCs w:val="24"/>
        </w:rPr>
        <w:t>Cth</w:t>
      </w:r>
      <w:proofErr w:type="spellEnd"/>
      <w:r w:rsidR="00BC3FD6">
        <w:rPr>
          <w:rFonts w:ascii="Arial" w:hAnsi="Arial" w:cs="Arial"/>
          <w:sz w:val="24"/>
          <w:szCs w:val="24"/>
        </w:rPr>
        <w:t>).</w:t>
      </w:r>
    </w:p>
    <w:p w14:paraId="74863392" w14:textId="660592B3" w:rsidR="002A255D" w:rsidRDefault="002A255D" w:rsidP="002A255D">
      <w:pPr>
        <w:jc w:val="both"/>
        <w:rPr>
          <w:rFonts w:ascii="Arial" w:hAnsi="Arial" w:cs="Arial"/>
          <w:sz w:val="24"/>
          <w:szCs w:val="24"/>
        </w:rPr>
      </w:pPr>
      <w:r>
        <w:rPr>
          <w:rFonts w:ascii="Arial" w:hAnsi="Arial" w:cs="Arial"/>
          <w:sz w:val="24"/>
          <w:szCs w:val="24"/>
        </w:rPr>
        <w:t xml:space="preserve">The measure engages the right to work in section 27B(1) of the HR Act insofar </w:t>
      </w:r>
      <w:r w:rsidR="000B04DC">
        <w:rPr>
          <w:rFonts w:ascii="Arial" w:hAnsi="Arial" w:cs="Arial"/>
          <w:sz w:val="24"/>
          <w:szCs w:val="24"/>
        </w:rPr>
        <w:t xml:space="preserve">as </w:t>
      </w:r>
      <w:r>
        <w:rPr>
          <w:rFonts w:ascii="Arial" w:hAnsi="Arial" w:cs="Arial"/>
          <w:sz w:val="24"/>
          <w:szCs w:val="24"/>
        </w:rPr>
        <w:t>it places conditions on a person’</w:t>
      </w:r>
      <w:r w:rsidR="00CA58C6">
        <w:rPr>
          <w:rFonts w:ascii="Arial" w:hAnsi="Arial" w:cs="Arial"/>
          <w:sz w:val="24"/>
          <w:szCs w:val="24"/>
        </w:rPr>
        <w:t>s</w:t>
      </w:r>
      <w:r>
        <w:rPr>
          <w:rFonts w:ascii="Arial" w:hAnsi="Arial" w:cs="Arial"/>
          <w:sz w:val="24"/>
          <w:szCs w:val="24"/>
        </w:rPr>
        <w:t xml:space="preserve"> ability to be a member of the legal profession.</w:t>
      </w:r>
      <w:r w:rsidR="007D7779">
        <w:rPr>
          <w:rFonts w:ascii="Arial" w:hAnsi="Arial" w:cs="Arial"/>
          <w:sz w:val="24"/>
          <w:szCs w:val="24"/>
        </w:rPr>
        <w:t xml:space="preserve"> </w:t>
      </w:r>
      <w:r>
        <w:rPr>
          <w:rFonts w:ascii="Arial" w:hAnsi="Arial" w:cs="Arial"/>
          <w:sz w:val="24"/>
          <w:szCs w:val="24"/>
        </w:rPr>
        <w:t>Any limitation on this right is reasonable and demonstrably justified in accordance with section 28 of the HR Act. The measure seeks to achieve the legitimate purpose</w:t>
      </w:r>
      <w:r w:rsidR="006741F7">
        <w:rPr>
          <w:rFonts w:ascii="Arial" w:hAnsi="Arial" w:cs="Arial"/>
          <w:sz w:val="24"/>
          <w:szCs w:val="24"/>
        </w:rPr>
        <w:t>s</w:t>
      </w:r>
      <w:r>
        <w:rPr>
          <w:rFonts w:ascii="Arial" w:hAnsi="Arial" w:cs="Arial"/>
          <w:sz w:val="24"/>
          <w:szCs w:val="24"/>
        </w:rPr>
        <w:t xml:space="preserve"> of enhancing public safety and maintaining the integrity of, and public confidence in, the Territory’s legal profession. The measure is rationally connected to the legitimate purpose, as requiring disclosure or consideration of the additional suitability matter or show-cause event will assist in </w:t>
      </w:r>
      <w:r w:rsidRPr="00497FCF">
        <w:rPr>
          <w:rFonts w:ascii="Arial" w:hAnsi="Arial" w:cs="Arial"/>
          <w:sz w:val="24"/>
          <w:szCs w:val="24"/>
        </w:rPr>
        <w:t>protect</w:t>
      </w:r>
      <w:r>
        <w:rPr>
          <w:rFonts w:ascii="Arial" w:hAnsi="Arial" w:cs="Arial"/>
          <w:sz w:val="24"/>
          <w:szCs w:val="24"/>
        </w:rPr>
        <w:t>ing</w:t>
      </w:r>
      <w:r w:rsidRPr="00497FCF">
        <w:rPr>
          <w:rFonts w:ascii="Arial" w:hAnsi="Arial" w:cs="Arial"/>
          <w:sz w:val="24"/>
          <w:szCs w:val="24"/>
        </w:rPr>
        <w:t xml:space="preserve"> constituents from dishonest legal practitioners.</w:t>
      </w:r>
      <w:r>
        <w:rPr>
          <w:rFonts w:ascii="Arial" w:hAnsi="Arial" w:cs="Arial"/>
          <w:sz w:val="24"/>
          <w:szCs w:val="24"/>
        </w:rPr>
        <w:t xml:space="preserve">  The measure does not mean that a person affected by the measure will be automatically precluded from admission as a legal practitioner or denied the holding of a practising certificate as a solicitor or barrister. Rather, the additional suitability matter and show-cause event is only one circumstance which must be disclosed to and considered by relevant legal authorities for the purposes of the fit and proper person test to decide if a person is to gain admission to the legal profession and hold a practising certificate as a solicitor or barrister in the Territory. This is the least restrictive means reasonably available to achieve the legitimate objectives of the measure.</w:t>
      </w:r>
    </w:p>
    <w:p w14:paraId="5B756A57" w14:textId="77777777" w:rsidR="002A255D" w:rsidRDefault="002A255D" w:rsidP="002A255D">
      <w:pPr>
        <w:pStyle w:val="Heading2"/>
        <w:rPr>
          <w:rFonts w:cs="Arial"/>
          <w:i/>
          <w:szCs w:val="24"/>
        </w:rPr>
      </w:pPr>
      <w:r>
        <w:rPr>
          <w:rFonts w:cs="Arial"/>
          <w:i/>
          <w:szCs w:val="24"/>
        </w:rPr>
        <w:t>Guardianship and Management of Property Act 1991</w:t>
      </w:r>
    </w:p>
    <w:p w14:paraId="427D60A6" w14:textId="78FAC09E" w:rsidR="002A255D" w:rsidRDefault="002A255D" w:rsidP="002A255D">
      <w:pPr>
        <w:jc w:val="both"/>
        <w:rPr>
          <w:rFonts w:ascii="Arial" w:hAnsi="Arial" w:cs="Arial"/>
          <w:sz w:val="24"/>
          <w:szCs w:val="24"/>
        </w:rPr>
      </w:pPr>
      <w:r w:rsidRPr="00B71621">
        <w:rPr>
          <w:rFonts w:ascii="Arial" w:hAnsi="Arial" w:cs="Arial"/>
          <w:sz w:val="24"/>
          <w:szCs w:val="24"/>
        </w:rPr>
        <w:t>The</w:t>
      </w:r>
      <w:r>
        <w:rPr>
          <w:rFonts w:ascii="Arial" w:hAnsi="Arial" w:cs="Arial"/>
          <w:sz w:val="24"/>
          <w:szCs w:val="24"/>
        </w:rPr>
        <w:t xml:space="preserve"> amendments to </w:t>
      </w:r>
      <w:r w:rsidR="008071E7">
        <w:rPr>
          <w:rFonts w:ascii="Arial" w:hAnsi="Arial" w:cs="Arial"/>
          <w:sz w:val="24"/>
          <w:szCs w:val="24"/>
        </w:rPr>
        <w:t xml:space="preserve">sections 62 and 64 </w:t>
      </w:r>
      <w:r>
        <w:rPr>
          <w:rFonts w:ascii="Arial" w:hAnsi="Arial" w:cs="Arial"/>
          <w:sz w:val="24"/>
          <w:szCs w:val="24"/>
        </w:rPr>
        <w:t>the GMP Act</w:t>
      </w:r>
      <w:r w:rsidR="00BC3FD6">
        <w:rPr>
          <w:rFonts w:ascii="Arial" w:hAnsi="Arial" w:cs="Arial"/>
          <w:sz w:val="24"/>
          <w:szCs w:val="24"/>
        </w:rPr>
        <w:t xml:space="preserve"> by clauses 12 to 15 of the Bill</w:t>
      </w:r>
      <w:r>
        <w:rPr>
          <w:rFonts w:ascii="Arial" w:hAnsi="Arial" w:cs="Arial"/>
          <w:sz w:val="24"/>
          <w:szCs w:val="24"/>
        </w:rPr>
        <w:t xml:space="preserve">, which remove the requirement for a principal under an EPOA to have impaired decision-making capacity before </w:t>
      </w:r>
      <w:r w:rsidR="00A119B6">
        <w:rPr>
          <w:rFonts w:ascii="Arial" w:hAnsi="Arial" w:cs="Arial"/>
          <w:sz w:val="24"/>
          <w:szCs w:val="24"/>
        </w:rPr>
        <w:t>certain</w:t>
      </w:r>
      <w:r>
        <w:rPr>
          <w:rFonts w:ascii="Arial" w:hAnsi="Arial" w:cs="Arial"/>
          <w:sz w:val="24"/>
          <w:szCs w:val="24"/>
        </w:rPr>
        <w:t xml:space="preserve"> provisions of the GMP ACT may apply, </w:t>
      </w:r>
      <w:r w:rsidR="000B04DC">
        <w:rPr>
          <w:rFonts w:ascii="Arial" w:hAnsi="Arial" w:cs="Arial"/>
          <w:sz w:val="24"/>
          <w:szCs w:val="24"/>
        </w:rPr>
        <w:t>engages and promotes</w:t>
      </w:r>
      <w:r w:rsidRPr="00B71621">
        <w:rPr>
          <w:rFonts w:ascii="Arial" w:hAnsi="Arial" w:cs="Arial"/>
          <w:sz w:val="24"/>
          <w:szCs w:val="24"/>
        </w:rPr>
        <w:t xml:space="preserve"> the right to equality and non-discrimination in section 8 of the HR Act</w:t>
      </w:r>
      <w:r>
        <w:rPr>
          <w:rFonts w:ascii="Arial" w:hAnsi="Arial" w:cs="Arial"/>
          <w:sz w:val="24"/>
          <w:szCs w:val="24"/>
        </w:rPr>
        <w:t xml:space="preserve"> and the right to freedom of expression in section 16 of the HR Act. As </w:t>
      </w:r>
      <w:r w:rsidRPr="007D2D83">
        <w:rPr>
          <w:rFonts w:ascii="Arial" w:hAnsi="Arial" w:cs="Arial"/>
          <w:sz w:val="24"/>
          <w:szCs w:val="24"/>
        </w:rPr>
        <w:t>principal</w:t>
      </w:r>
      <w:r>
        <w:rPr>
          <w:rFonts w:ascii="Arial" w:hAnsi="Arial" w:cs="Arial"/>
          <w:sz w:val="24"/>
          <w:szCs w:val="24"/>
        </w:rPr>
        <w:t>s</w:t>
      </w:r>
      <w:r w:rsidRPr="007D2D83">
        <w:rPr>
          <w:rFonts w:ascii="Arial" w:hAnsi="Arial" w:cs="Arial"/>
          <w:sz w:val="24"/>
          <w:szCs w:val="24"/>
        </w:rPr>
        <w:t xml:space="preserve"> under an EPOA</w:t>
      </w:r>
      <w:r>
        <w:rPr>
          <w:rFonts w:ascii="Arial" w:hAnsi="Arial" w:cs="Arial"/>
          <w:sz w:val="24"/>
          <w:szCs w:val="24"/>
        </w:rPr>
        <w:t xml:space="preserve"> with decision-making capacity</w:t>
      </w:r>
      <w:r w:rsidRPr="007D2D83">
        <w:rPr>
          <w:rFonts w:ascii="Arial" w:hAnsi="Arial" w:cs="Arial"/>
          <w:sz w:val="24"/>
          <w:szCs w:val="24"/>
        </w:rPr>
        <w:t xml:space="preserve"> </w:t>
      </w:r>
      <w:r>
        <w:rPr>
          <w:rFonts w:ascii="Arial" w:hAnsi="Arial" w:cs="Arial"/>
          <w:sz w:val="24"/>
          <w:szCs w:val="24"/>
        </w:rPr>
        <w:t xml:space="preserve">may </w:t>
      </w:r>
      <w:r w:rsidRPr="007D2D83">
        <w:rPr>
          <w:rFonts w:ascii="Arial" w:hAnsi="Arial" w:cs="Arial"/>
          <w:sz w:val="24"/>
          <w:szCs w:val="24"/>
        </w:rPr>
        <w:t>face difficulties protecting themselves under an EPOA without any external assistance or intervention</w:t>
      </w:r>
      <w:r>
        <w:rPr>
          <w:rFonts w:ascii="Arial" w:hAnsi="Arial" w:cs="Arial"/>
          <w:sz w:val="24"/>
          <w:szCs w:val="24"/>
        </w:rPr>
        <w:t>, such as from elder abuse, the measure ensures that they may seek and receive information from an attorney and are able to enforce their rights on an equal basis with others, including with principals who have impaired decision-making capacity.</w:t>
      </w:r>
    </w:p>
    <w:p w14:paraId="5EF1A05C" w14:textId="32EF97DD" w:rsidR="002A255D" w:rsidRDefault="002A255D" w:rsidP="002A255D">
      <w:pPr>
        <w:shd w:val="clear" w:color="auto" w:fill="FFFFFF"/>
        <w:jc w:val="both"/>
        <w:rPr>
          <w:rFonts w:ascii="Arial" w:hAnsi="Arial" w:cs="Arial"/>
          <w:sz w:val="24"/>
          <w:szCs w:val="24"/>
        </w:rPr>
      </w:pPr>
      <w:r>
        <w:rPr>
          <w:rFonts w:ascii="Arial" w:hAnsi="Arial" w:cs="Arial"/>
          <w:sz w:val="24"/>
          <w:szCs w:val="24"/>
        </w:rPr>
        <w:t>The measure also engages and potentially limits the right to privacy under section 12 of the HR Act of principals and attorneys under an EPOA.</w:t>
      </w:r>
      <w:r>
        <w:rPr>
          <w:rStyle w:val="FootnoteReference"/>
          <w:rFonts w:ascii="Arial" w:hAnsi="Arial"/>
          <w:sz w:val="24"/>
          <w:szCs w:val="24"/>
        </w:rPr>
        <w:footnoteReference w:id="2"/>
      </w:r>
      <w:r>
        <w:rPr>
          <w:rFonts w:ascii="Arial" w:hAnsi="Arial" w:cs="Arial"/>
          <w:sz w:val="24"/>
          <w:szCs w:val="24"/>
        </w:rPr>
        <w:t xml:space="preserve"> The measure limits the right as it expands the circumstances where ACAT and the PA or PTG may require an attorney to produce stated books, accounts or other records and these documents may contain personal or sensitive information. Moreover, by broadening ACAT’s </w:t>
      </w:r>
      <w:r>
        <w:rPr>
          <w:rFonts w:ascii="Arial" w:hAnsi="Arial" w:cs="Arial"/>
          <w:sz w:val="24"/>
          <w:szCs w:val="24"/>
        </w:rPr>
        <w:lastRenderedPageBreak/>
        <w:t>powers, and the circumstances interested persons and someone else with leave may make an application to ACAT, the measure interferes with the personal decision of a principal to have an EPOA</w:t>
      </w:r>
      <w:r w:rsidR="00817231">
        <w:rPr>
          <w:rFonts w:ascii="Arial" w:hAnsi="Arial" w:cs="Arial"/>
          <w:sz w:val="24"/>
          <w:szCs w:val="24"/>
        </w:rPr>
        <w:t>.</w:t>
      </w:r>
    </w:p>
    <w:p w14:paraId="76A1E460" w14:textId="77777777" w:rsidR="002A255D" w:rsidRDefault="002A255D" w:rsidP="002A255D">
      <w:pPr>
        <w:shd w:val="clear" w:color="auto" w:fill="FFFFFF"/>
        <w:jc w:val="both"/>
        <w:rPr>
          <w:rFonts w:ascii="Arial" w:hAnsi="Arial" w:cs="Arial"/>
          <w:sz w:val="24"/>
          <w:szCs w:val="24"/>
        </w:rPr>
      </w:pPr>
      <w:r>
        <w:rPr>
          <w:rFonts w:ascii="Arial" w:hAnsi="Arial" w:cs="Arial"/>
          <w:sz w:val="24"/>
          <w:szCs w:val="24"/>
        </w:rPr>
        <w:t>However,</w:t>
      </w:r>
      <w:r w:rsidRPr="00571DDA">
        <w:t xml:space="preserve"> </w:t>
      </w:r>
      <w:r>
        <w:rPr>
          <w:rFonts w:ascii="Arial" w:hAnsi="Arial" w:cs="Arial"/>
          <w:sz w:val="24"/>
          <w:szCs w:val="24"/>
        </w:rPr>
        <w:t xml:space="preserve">any interference with the right is reasonable and demonstrably justified in accordance with section 28 of the HR Act. The measure seeks to achieve the legitimate purpose of protecting principals under an EPOA and of detecting, reducing and responding to an attorney’s misuse of an EPOA. The measure is reasonable, necessary and rationally connected to the legitimate purpose as it may assist in addressing elder abuse and other situations of abuse where significant imbalances of power exist between attorneys and principals under an EPOA. The measure also ensures the same level of accountability and transparency are maintained by attorneys when keeping records for principals with or without impaired decision-making capacity. </w:t>
      </w:r>
    </w:p>
    <w:p w14:paraId="3BC339DA" w14:textId="77777777" w:rsidR="002A255D" w:rsidRDefault="002A255D" w:rsidP="002A255D">
      <w:pPr>
        <w:shd w:val="clear" w:color="auto" w:fill="FFFFFF"/>
        <w:jc w:val="both"/>
        <w:rPr>
          <w:rFonts w:ascii="Arial" w:hAnsi="Arial" w:cs="Arial"/>
          <w:sz w:val="24"/>
          <w:szCs w:val="24"/>
        </w:rPr>
      </w:pPr>
      <w:r>
        <w:rPr>
          <w:rFonts w:ascii="Arial" w:hAnsi="Arial" w:cs="Arial"/>
          <w:sz w:val="24"/>
          <w:szCs w:val="24"/>
        </w:rPr>
        <w:t>Further, the measure is narrow in its scope, enabling ACAT, the PA, the PTG and others to make orders, require records or make an application to ACAT, respectively, only in relation to matters and records arising from relevant EPOAs. Additionally, public sector agencies, such as ACAT, the PA and the PTG, are</w:t>
      </w:r>
      <w:r w:rsidRPr="001C191B">
        <w:rPr>
          <w:rFonts w:ascii="Arial" w:hAnsi="Arial" w:cs="Arial"/>
          <w:sz w:val="24"/>
          <w:szCs w:val="24"/>
        </w:rPr>
        <w:t xml:space="preserve"> </w:t>
      </w:r>
      <w:r>
        <w:rPr>
          <w:rFonts w:ascii="Arial" w:hAnsi="Arial" w:cs="Arial"/>
          <w:sz w:val="24"/>
          <w:szCs w:val="24"/>
        </w:rPr>
        <w:t xml:space="preserve">required to comply with </w:t>
      </w:r>
      <w:r w:rsidRPr="001C191B">
        <w:rPr>
          <w:rFonts w:ascii="Arial" w:hAnsi="Arial" w:cs="Arial"/>
          <w:sz w:val="24"/>
          <w:szCs w:val="24"/>
        </w:rPr>
        <w:t xml:space="preserve">the </w:t>
      </w:r>
      <w:r>
        <w:rPr>
          <w:rFonts w:ascii="Arial" w:hAnsi="Arial" w:cs="Arial"/>
          <w:i/>
          <w:iCs/>
          <w:sz w:val="24"/>
          <w:szCs w:val="24"/>
        </w:rPr>
        <w:t xml:space="preserve">Information Privacy Act 2014 </w:t>
      </w:r>
      <w:r>
        <w:rPr>
          <w:rFonts w:ascii="Arial" w:hAnsi="Arial" w:cs="Arial"/>
          <w:sz w:val="24"/>
          <w:szCs w:val="24"/>
        </w:rPr>
        <w:t>(IP Act)</w:t>
      </w:r>
      <w:r>
        <w:rPr>
          <w:rFonts w:ascii="Arial" w:hAnsi="Arial" w:cs="Arial"/>
          <w:i/>
          <w:iCs/>
          <w:sz w:val="24"/>
          <w:szCs w:val="24"/>
        </w:rPr>
        <w:t xml:space="preserve"> </w:t>
      </w:r>
      <w:r>
        <w:rPr>
          <w:rFonts w:ascii="Arial" w:hAnsi="Arial" w:cs="Arial"/>
          <w:sz w:val="24"/>
          <w:szCs w:val="24"/>
        </w:rPr>
        <w:t xml:space="preserve">and its </w:t>
      </w:r>
      <w:r w:rsidRPr="000C0AC6">
        <w:rPr>
          <w:rFonts w:ascii="Arial" w:hAnsi="Arial" w:cs="Arial"/>
          <w:sz w:val="24"/>
          <w:szCs w:val="24"/>
        </w:rPr>
        <w:t>Territory Privacy Principles</w:t>
      </w:r>
      <w:r>
        <w:rPr>
          <w:rFonts w:ascii="Arial" w:hAnsi="Arial" w:cs="Arial"/>
          <w:sz w:val="24"/>
          <w:szCs w:val="24"/>
        </w:rPr>
        <w:t xml:space="preserve"> (TPP). The TPP </w:t>
      </w:r>
      <w:r w:rsidRPr="001C191B">
        <w:rPr>
          <w:rFonts w:ascii="Arial" w:hAnsi="Arial" w:cs="Arial"/>
          <w:sz w:val="24"/>
          <w:szCs w:val="24"/>
        </w:rPr>
        <w:t>restrict the use and disclosure of personal information held by public sector agenc</w:t>
      </w:r>
      <w:r>
        <w:rPr>
          <w:rFonts w:ascii="Arial" w:hAnsi="Arial" w:cs="Arial"/>
          <w:sz w:val="24"/>
          <w:szCs w:val="24"/>
        </w:rPr>
        <w:t>ies</w:t>
      </w:r>
      <w:r w:rsidRPr="001C191B">
        <w:rPr>
          <w:rFonts w:ascii="Arial" w:hAnsi="Arial" w:cs="Arial"/>
          <w:sz w:val="24"/>
          <w:szCs w:val="24"/>
        </w:rPr>
        <w:t>, to the extent that the information is not required under another Territory law.</w:t>
      </w:r>
      <w:r w:rsidRPr="00720912">
        <w:t xml:space="preserve"> </w:t>
      </w:r>
    </w:p>
    <w:p w14:paraId="3DB8D329" w14:textId="77777777" w:rsidR="00FA6A5C" w:rsidRPr="00BF5CD4" w:rsidRDefault="00FA6A5C" w:rsidP="00FA6A5C">
      <w:pPr>
        <w:pStyle w:val="Heading2"/>
        <w:rPr>
          <w:rFonts w:cs="Arial"/>
          <w:b w:val="0"/>
          <w:bCs/>
          <w:iCs/>
          <w:szCs w:val="24"/>
        </w:rPr>
      </w:pPr>
      <w:r>
        <w:rPr>
          <w:rFonts w:cs="Arial"/>
          <w:i/>
          <w:szCs w:val="24"/>
        </w:rPr>
        <w:t>Powers of Attorney Act 2006</w:t>
      </w:r>
    </w:p>
    <w:p w14:paraId="76899C97" w14:textId="51505F1F" w:rsidR="00FA6A5C" w:rsidRDefault="00FA6A5C" w:rsidP="00FA6A5C">
      <w:pPr>
        <w:jc w:val="both"/>
        <w:rPr>
          <w:rFonts w:ascii="Arial" w:hAnsi="Arial" w:cs="Arial"/>
          <w:sz w:val="24"/>
          <w:szCs w:val="24"/>
        </w:rPr>
      </w:pPr>
      <w:r>
        <w:rPr>
          <w:rFonts w:ascii="Arial" w:hAnsi="Arial" w:cs="Arial"/>
          <w:sz w:val="24"/>
          <w:szCs w:val="24"/>
        </w:rPr>
        <w:t>The amendments to</w:t>
      </w:r>
      <w:r w:rsidR="008071E7">
        <w:rPr>
          <w:rFonts w:ascii="Arial" w:hAnsi="Arial" w:cs="Arial"/>
          <w:sz w:val="24"/>
          <w:szCs w:val="24"/>
        </w:rPr>
        <w:t xml:space="preserve"> sections 47 and 48 of</w:t>
      </w:r>
      <w:r>
        <w:rPr>
          <w:rFonts w:ascii="Arial" w:hAnsi="Arial" w:cs="Arial"/>
          <w:sz w:val="24"/>
          <w:szCs w:val="24"/>
        </w:rPr>
        <w:t xml:space="preserve"> the </w:t>
      </w:r>
      <w:r w:rsidRPr="00225BC6">
        <w:rPr>
          <w:rFonts w:ascii="Arial" w:hAnsi="Arial" w:cs="Arial"/>
          <w:sz w:val="24"/>
          <w:szCs w:val="24"/>
        </w:rPr>
        <w:t>POA Act</w:t>
      </w:r>
      <w:r>
        <w:rPr>
          <w:rFonts w:ascii="Arial" w:hAnsi="Arial" w:cs="Arial"/>
          <w:sz w:val="24"/>
          <w:szCs w:val="24"/>
        </w:rPr>
        <w:t xml:space="preserve"> </w:t>
      </w:r>
      <w:r w:rsidR="00BC3FD6">
        <w:rPr>
          <w:rFonts w:ascii="Arial" w:hAnsi="Arial" w:cs="Arial"/>
          <w:sz w:val="24"/>
          <w:szCs w:val="24"/>
        </w:rPr>
        <w:t xml:space="preserve">by clauses 27 to 30 of the Bill </w:t>
      </w:r>
      <w:r w:rsidRPr="00225BC6">
        <w:rPr>
          <w:rFonts w:ascii="Arial" w:hAnsi="Arial" w:cs="Arial"/>
          <w:sz w:val="24"/>
          <w:szCs w:val="24"/>
        </w:rPr>
        <w:t>remove a requirement for a principal under an EPOA to have impaired decision-making capacity before</w:t>
      </w:r>
      <w:r>
        <w:rPr>
          <w:rFonts w:ascii="Arial" w:hAnsi="Arial" w:cs="Arial"/>
          <w:sz w:val="24"/>
          <w:szCs w:val="24"/>
        </w:rPr>
        <w:t xml:space="preserve"> requiring an attorney for a property matter to keep accurate records and accounts of all dealings and transactions made under the EPOA and </w:t>
      </w:r>
      <w:r w:rsidR="00350B20">
        <w:rPr>
          <w:rFonts w:ascii="Arial" w:hAnsi="Arial" w:cs="Arial"/>
          <w:sz w:val="24"/>
          <w:szCs w:val="24"/>
        </w:rPr>
        <w:t>to keep</w:t>
      </w:r>
      <w:r>
        <w:rPr>
          <w:rFonts w:ascii="Arial" w:hAnsi="Arial" w:cs="Arial"/>
          <w:sz w:val="24"/>
          <w:szCs w:val="24"/>
        </w:rPr>
        <w:t xml:space="preserve"> the attorney’s property separate from the principal</w:t>
      </w:r>
      <w:r w:rsidR="00350B20">
        <w:rPr>
          <w:rFonts w:ascii="Arial" w:hAnsi="Arial" w:cs="Arial"/>
          <w:sz w:val="24"/>
          <w:szCs w:val="24"/>
        </w:rPr>
        <w:t>’</w:t>
      </w:r>
      <w:r>
        <w:rPr>
          <w:rFonts w:ascii="Arial" w:hAnsi="Arial" w:cs="Arial"/>
          <w:sz w:val="24"/>
          <w:szCs w:val="24"/>
        </w:rPr>
        <w:t>s property.</w:t>
      </w:r>
      <w:r w:rsidRPr="00225BC6">
        <w:rPr>
          <w:rFonts w:ascii="Arial" w:hAnsi="Arial" w:cs="Arial"/>
          <w:sz w:val="24"/>
          <w:szCs w:val="24"/>
        </w:rPr>
        <w:t xml:space="preserve"> </w:t>
      </w:r>
      <w:r>
        <w:rPr>
          <w:rFonts w:ascii="Arial" w:hAnsi="Arial" w:cs="Arial"/>
          <w:sz w:val="24"/>
          <w:szCs w:val="24"/>
        </w:rPr>
        <w:t>These amendments engage</w:t>
      </w:r>
      <w:r w:rsidR="000B04DC">
        <w:rPr>
          <w:rFonts w:ascii="Arial" w:hAnsi="Arial" w:cs="Arial"/>
          <w:sz w:val="24"/>
          <w:szCs w:val="24"/>
        </w:rPr>
        <w:t xml:space="preserve"> and promote</w:t>
      </w:r>
      <w:r>
        <w:rPr>
          <w:rFonts w:ascii="Arial" w:hAnsi="Arial" w:cs="Arial"/>
          <w:sz w:val="24"/>
          <w:szCs w:val="24"/>
        </w:rPr>
        <w:t xml:space="preserve"> the right to equality and non-discrimination in section 8 of the HR Act and the right to freedom of expression in section 16 of the HR Act, including the freedom to seek and receive information. The measures ensure principals affected by the measure </w:t>
      </w:r>
      <w:r w:rsidR="001A2E4B">
        <w:rPr>
          <w:rFonts w:ascii="Arial" w:hAnsi="Arial" w:cs="Arial"/>
          <w:sz w:val="24"/>
          <w:szCs w:val="24"/>
        </w:rPr>
        <w:t xml:space="preserve">have </w:t>
      </w:r>
      <w:r>
        <w:rPr>
          <w:rFonts w:ascii="Arial" w:hAnsi="Arial" w:cs="Arial"/>
          <w:sz w:val="24"/>
          <w:szCs w:val="24"/>
        </w:rPr>
        <w:t xml:space="preserve">the ability to enforce their rights on an equal basis with others, such as principals and attorneys where the principal has impaired decision-making capacity. </w:t>
      </w:r>
      <w:r w:rsidRPr="00F343E3">
        <w:rPr>
          <w:rFonts w:ascii="Arial" w:hAnsi="Arial" w:cs="Arial"/>
          <w:sz w:val="24"/>
          <w:szCs w:val="24"/>
        </w:rPr>
        <w:t>Stronger protections for vulnerable persons in circumstances where they are dependent on others to undertake transactions on their behalf ensures their voices will be heard on an equal basis with others, promoting the rights to freedom of expression and equality before the law.</w:t>
      </w:r>
    </w:p>
    <w:p w14:paraId="18493EC0" w14:textId="2CA1D1C7" w:rsidR="00FA6A5C" w:rsidRDefault="00FA6A5C" w:rsidP="00FA6A5C">
      <w:pPr>
        <w:jc w:val="both"/>
        <w:rPr>
          <w:rFonts w:ascii="Arial" w:hAnsi="Arial" w:cs="Arial"/>
          <w:sz w:val="24"/>
          <w:szCs w:val="24"/>
        </w:rPr>
      </w:pPr>
      <w:r>
        <w:rPr>
          <w:rFonts w:ascii="Arial" w:hAnsi="Arial" w:cs="Arial"/>
          <w:sz w:val="24"/>
          <w:szCs w:val="24"/>
        </w:rPr>
        <w:t xml:space="preserve">The measure engages and potentially limits the right of principals and attorneys to privacy in section 12 of the HR Act. The measure limits the right as it regulates the manner in which attorneys are to keep records and that the attorneys must keep records separate to principals. Despite the measure, the interference with the right is lawful and does not amount to an arbitrary interference. The measure is a </w:t>
      </w:r>
      <w:r w:rsidRPr="00571DDA">
        <w:rPr>
          <w:rFonts w:ascii="Arial" w:hAnsi="Arial" w:cs="Arial"/>
          <w:sz w:val="24"/>
          <w:szCs w:val="24"/>
        </w:rPr>
        <w:t xml:space="preserve">permissible limitation </w:t>
      </w:r>
      <w:r>
        <w:rPr>
          <w:rFonts w:ascii="Arial" w:hAnsi="Arial" w:cs="Arial"/>
          <w:sz w:val="24"/>
          <w:szCs w:val="24"/>
        </w:rPr>
        <w:t xml:space="preserve">that is reasonable and demonstrably justified in line with section 28 of the </w:t>
      </w:r>
      <w:r>
        <w:rPr>
          <w:rFonts w:ascii="Arial" w:hAnsi="Arial" w:cs="Arial"/>
          <w:sz w:val="24"/>
          <w:szCs w:val="24"/>
        </w:rPr>
        <w:lastRenderedPageBreak/>
        <w:t>HR Act. The measure seeks to achieve the legitimate purpose</w:t>
      </w:r>
      <w:r w:rsidR="005715E5">
        <w:rPr>
          <w:rFonts w:ascii="Arial" w:hAnsi="Arial" w:cs="Arial"/>
          <w:sz w:val="24"/>
          <w:szCs w:val="24"/>
        </w:rPr>
        <w:t>s</w:t>
      </w:r>
      <w:r>
        <w:rPr>
          <w:rFonts w:ascii="Arial" w:hAnsi="Arial" w:cs="Arial"/>
          <w:sz w:val="24"/>
          <w:szCs w:val="24"/>
        </w:rPr>
        <w:t xml:space="preserve"> of safeguarding principals under an EPOA and detecting, reducing and responding to the misuse of an EPOA by an attorney, such as financial abuse. The measure is reasonable, necessary and rationally connected to the legitimate purpose as it requires, on a permanent basis, attorneys under an EPOA to maintain the same level of responsibility and transparency in keeping records irrespective of a principal’s decision-making capacity.</w:t>
      </w:r>
    </w:p>
    <w:p w14:paraId="6948CB10" w14:textId="6B95ECF0" w:rsidR="00A119B6" w:rsidRDefault="00A119B6" w:rsidP="00A119B6">
      <w:pPr>
        <w:jc w:val="both"/>
        <w:rPr>
          <w:rFonts w:ascii="Arial" w:hAnsi="Arial" w:cs="Arial"/>
          <w:sz w:val="24"/>
          <w:szCs w:val="24"/>
        </w:rPr>
      </w:pPr>
      <w:r>
        <w:rPr>
          <w:rFonts w:ascii="Arial" w:hAnsi="Arial" w:cs="Arial"/>
          <w:sz w:val="24"/>
          <w:szCs w:val="24"/>
        </w:rPr>
        <w:t>The measure is proportionate to the legitimate purpose of the amendment and there are no less restrictive means reasonably available to achieve the objective of the amendments. The measure is also reasonable given the requirement</w:t>
      </w:r>
      <w:r w:rsidR="006741F7">
        <w:rPr>
          <w:rFonts w:ascii="Arial" w:hAnsi="Arial" w:cs="Arial"/>
          <w:sz w:val="24"/>
          <w:szCs w:val="24"/>
        </w:rPr>
        <w:t>s</w:t>
      </w:r>
      <w:r>
        <w:rPr>
          <w:rFonts w:ascii="Arial" w:hAnsi="Arial" w:cs="Arial"/>
          <w:sz w:val="24"/>
          <w:szCs w:val="24"/>
        </w:rPr>
        <w:t xml:space="preserve"> are limited to particular circumstances. The measure only requires attorneys under an EPOA to keep accurate records and accounts, and keep their property separate from the principal’s property, where there is a property matter and the attorney has decision-making capacity. Further, the proposed amendments do not create any additional powers for principals with decision-making capacity under an EPOA. Currently, principals with decision-making capacity under an EPOA can exercise their discretion to vary an EPOA or create limitations to a new EPOA as they see fit. This discretion to limit an EPOA could currently include a requirement for attorneys to keep accurate records and accounts, and to keep their property separate from the principal, in property matters and when the principal has decision-making capacity.</w:t>
      </w:r>
    </w:p>
    <w:p w14:paraId="07EE1F8A" w14:textId="77777777" w:rsidR="00FA6A5C" w:rsidRDefault="00FA6A5C" w:rsidP="00FA6A5C">
      <w:pPr>
        <w:rPr>
          <w:rFonts w:ascii="Arial" w:hAnsi="Arial" w:cs="Arial"/>
          <w:sz w:val="24"/>
          <w:szCs w:val="24"/>
        </w:rPr>
      </w:pPr>
      <w:r>
        <w:rPr>
          <w:rFonts w:ascii="Arial" w:hAnsi="Arial" w:cs="Arial"/>
          <w:b/>
          <w:bCs/>
          <w:i/>
          <w:iCs/>
          <w:sz w:val="24"/>
          <w:szCs w:val="24"/>
        </w:rPr>
        <w:t>Public Trustee and Guardian Act 1985</w:t>
      </w:r>
    </w:p>
    <w:p w14:paraId="2BC6C6F2" w14:textId="7C4AADDE" w:rsidR="00A119B6" w:rsidRDefault="00A119B6" w:rsidP="00A119B6">
      <w:pPr>
        <w:jc w:val="both"/>
        <w:rPr>
          <w:rFonts w:ascii="Arial" w:hAnsi="Arial" w:cs="Arial"/>
          <w:sz w:val="24"/>
          <w:szCs w:val="24"/>
        </w:rPr>
      </w:pPr>
      <w:r>
        <w:rPr>
          <w:rFonts w:ascii="Arial" w:hAnsi="Arial" w:cs="Arial"/>
          <w:sz w:val="24"/>
          <w:szCs w:val="24"/>
        </w:rPr>
        <w:t xml:space="preserve">The amendments to </w:t>
      </w:r>
      <w:r w:rsidR="008071E7">
        <w:rPr>
          <w:rFonts w:ascii="Arial" w:hAnsi="Arial" w:cs="Arial"/>
          <w:sz w:val="24"/>
          <w:szCs w:val="24"/>
        </w:rPr>
        <w:t xml:space="preserve">section 66 of </w:t>
      </w:r>
      <w:r>
        <w:rPr>
          <w:rFonts w:ascii="Arial" w:hAnsi="Arial" w:cs="Arial"/>
          <w:sz w:val="24"/>
          <w:szCs w:val="24"/>
        </w:rPr>
        <w:t xml:space="preserve">the PTG Act </w:t>
      </w:r>
      <w:r w:rsidR="00BC3FD6">
        <w:rPr>
          <w:rFonts w:ascii="Arial" w:hAnsi="Arial" w:cs="Arial"/>
          <w:sz w:val="24"/>
          <w:szCs w:val="24"/>
        </w:rPr>
        <w:t xml:space="preserve">by clauses 33 and 34 of the Bill </w:t>
      </w:r>
      <w:r>
        <w:rPr>
          <w:rFonts w:ascii="Arial" w:hAnsi="Arial" w:cs="Arial"/>
          <w:sz w:val="24"/>
          <w:szCs w:val="24"/>
        </w:rPr>
        <w:t>engage</w:t>
      </w:r>
      <w:r w:rsidR="000E0C19">
        <w:rPr>
          <w:rFonts w:ascii="Arial" w:hAnsi="Arial" w:cs="Arial"/>
          <w:sz w:val="24"/>
          <w:szCs w:val="24"/>
        </w:rPr>
        <w:t xml:space="preserve"> and promote</w:t>
      </w:r>
      <w:r>
        <w:rPr>
          <w:rFonts w:ascii="Arial" w:hAnsi="Arial" w:cs="Arial"/>
          <w:sz w:val="24"/>
          <w:szCs w:val="24"/>
        </w:rPr>
        <w:t xml:space="preserve"> the right to equality and non-discrimination in section 8 of the HR Act</w:t>
      </w:r>
      <w:r w:rsidR="00350B20">
        <w:rPr>
          <w:rFonts w:ascii="Arial" w:hAnsi="Arial" w:cs="Arial"/>
          <w:sz w:val="24"/>
          <w:szCs w:val="24"/>
        </w:rPr>
        <w:t>. They extend t</w:t>
      </w:r>
      <w:r>
        <w:rPr>
          <w:rFonts w:ascii="Arial" w:hAnsi="Arial" w:cs="Arial"/>
          <w:sz w:val="24"/>
          <w:szCs w:val="24"/>
        </w:rPr>
        <w:t>he power of the PTG on a permanent basis to require an individual, such as external financial managers, to provide it with information or documents relevant to its functions</w:t>
      </w:r>
      <w:r w:rsidR="00350B20">
        <w:rPr>
          <w:rFonts w:ascii="Arial" w:hAnsi="Arial" w:cs="Arial"/>
          <w:sz w:val="24"/>
          <w:szCs w:val="24"/>
        </w:rPr>
        <w:t>,</w:t>
      </w:r>
      <w:r>
        <w:rPr>
          <w:rFonts w:ascii="Arial" w:hAnsi="Arial" w:cs="Arial"/>
          <w:sz w:val="24"/>
          <w:szCs w:val="24"/>
        </w:rPr>
        <w:t xml:space="preserve"> and</w:t>
      </w:r>
      <w:r w:rsidR="00350B20">
        <w:rPr>
          <w:rFonts w:ascii="Arial" w:hAnsi="Arial" w:cs="Arial"/>
          <w:sz w:val="24"/>
          <w:szCs w:val="24"/>
        </w:rPr>
        <w:t xml:space="preserve"> they</w:t>
      </w:r>
      <w:r>
        <w:rPr>
          <w:rFonts w:ascii="Arial" w:hAnsi="Arial" w:cs="Arial"/>
          <w:sz w:val="24"/>
          <w:szCs w:val="24"/>
        </w:rPr>
        <w:t xml:space="preserve"> assist in the safeguarding and enforcement of the rights of protected persons on an equal basis with others.</w:t>
      </w:r>
    </w:p>
    <w:p w14:paraId="03CB0F5B" w14:textId="56F986A0" w:rsidR="00A119B6" w:rsidRDefault="00A119B6" w:rsidP="00A119B6">
      <w:pPr>
        <w:jc w:val="both"/>
        <w:rPr>
          <w:rFonts w:ascii="Arial" w:hAnsi="Arial" w:cs="Arial"/>
          <w:sz w:val="24"/>
          <w:szCs w:val="24"/>
        </w:rPr>
      </w:pPr>
      <w:r>
        <w:rPr>
          <w:rFonts w:ascii="Arial" w:hAnsi="Arial" w:cs="Arial"/>
          <w:sz w:val="24"/>
          <w:szCs w:val="24"/>
        </w:rPr>
        <w:t xml:space="preserve">The amendments to the PTG Act engage and potentially limit the right to privacy in section 12 of the HR Act. The amendments enable the PTG to access third party information from an individual that may be relevant to the exercise of the PTG’s functions under the PTG Act or another Territory law. Nonetheless, the measure is reasonable and demonstrably justified in accordance with section 28 of the HR Act. The measure seeks to achieve the legitimate purposes of providing </w:t>
      </w:r>
      <w:r w:rsidRPr="00E66084">
        <w:rPr>
          <w:rFonts w:ascii="Arial" w:hAnsi="Arial" w:cs="Arial"/>
          <w:sz w:val="24"/>
          <w:szCs w:val="24"/>
        </w:rPr>
        <w:t xml:space="preserve">the PTG </w:t>
      </w:r>
      <w:r>
        <w:rPr>
          <w:rFonts w:ascii="Arial" w:hAnsi="Arial" w:cs="Arial"/>
          <w:sz w:val="24"/>
          <w:szCs w:val="24"/>
        </w:rPr>
        <w:t xml:space="preserve">the ability, on a permanent basis, </w:t>
      </w:r>
      <w:r w:rsidRPr="00E66084">
        <w:rPr>
          <w:rFonts w:ascii="Arial" w:hAnsi="Arial" w:cs="Arial"/>
          <w:sz w:val="24"/>
          <w:szCs w:val="24"/>
        </w:rPr>
        <w:t xml:space="preserve">to </w:t>
      </w:r>
      <w:r>
        <w:rPr>
          <w:rFonts w:ascii="Arial" w:hAnsi="Arial" w:cs="Arial"/>
          <w:sz w:val="24"/>
          <w:szCs w:val="24"/>
        </w:rPr>
        <w:t>enforce</w:t>
      </w:r>
      <w:r w:rsidRPr="00E66084">
        <w:rPr>
          <w:rFonts w:ascii="Arial" w:hAnsi="Arial" w:cs="Arial"/>
          <w:sz w:val="24"/>
          <w:szCs w:val="24"/>
        </w:rPr>
        <w:t xml:space="preserve"> the rights of a protected person </w:t>
      </w:r>
      <w:r>
        <w:rPr>
          <w:rFonts w:ascii="Arial" w:hAnsi="Arial" w:cs="Arial"/>
          <w:sz w:val="24"/>
          <w:szCs w:val="24"/>
        </w:rPr>
        <w:t>and to reduce any delay in the enforcement of those rights. The measure is rationally connected to the legitimate purpose as it would allow the PTG to comply with its role to examine external managers’ accounts under sections 26 and 27 of the GMP Act.</w:t>
      </w:r>
      <w:r>
        <w:rPr>
          <w:rStyle w:val="FootnoteReference"/>
          <w:rFonts w:ascii="Arial" w:hAnsi="Arial"/>
          <w:sz w:val="24"/>
          <w:szCs w:val="24"/>
        </w:rPr>
        <w:footnoteReference w:id="3"/>
      </w:r>
      <w:r>
        <w:rPr>
          <w:rFonts w:ascii="Arial" w:hAnsi="Arial" w:cs="Arial"/>
          <w:sz w:val="24"/>
          <w:szCs w:val="24"/>
        </w:rPr>
        <w:t xml:space="preserve"> The measure would also allow the PTG to comply with its obligations related to its appointment, such as where it has been appointed as trustee, as administrator for intestate estates, as </w:t>
      </w:r>
      <w:r>
        <w:rPr>
          <w:rFonts w:ascii="Arial" w:hAnsi="Arial" w:cs="Arial"/>
          <w:sz w:val="24"/>
          <w:szCs w:val="24"/>
        </w:rPr>
        <w:lastRenderedPageBreak/>
        <w:t xml:space="preserve">executor and to examine financial accounts. Prior to the introduction of the temporary amendments under the </w:t>
      </w:r>
      <w:r w:rsidRPr="002600E9">
        <w:rPr>
          <w:rFonts w:ascii="Arial" w:hAnsi="Arial" w:cs="Arial"/>
          <w:sz w:val="24"/>
          <w:szCs w:val="24"/>
        </w:rPr>
        <w:t>COVID-19 Emergency Response Amendment Act</w:t>
      </w:r>
      <w:r>
        <w:rPr>
          <w:rFonts w:ascii="Arial" w:hAnsi="Arial" w:cs="Arial"/>
          <w:sz w:val="24"/>
          <w:szCs w:val="24"/>
        </w:rPr>
        <w:t>, the PTG was prevented from fulfilling the PTG’s role of examining external managers’ accounts under sections 26 and 27 of the GMP Act. The PTG was also unable to compel and experienced difficulty obtaining information from individuals, such as financial managers, to provide information to the PTG in order to enforce a protected person’s rights.</w:t>
      </w:r>
    </w:p>
    <w:p w14:paraId="392801AF" w14:textId="58B564C3" w:rsidR="00256C99" w:rsidRPr="009E231F" w:rsidRDefault="00FA6A5C" w:rsidP="00FA6A5C">
      <w:pPr>
        <w:jc w:val="both"/>
        <w:rPr>
          <w:rFonts w:ascii="Arial" w:hAnsi="Arial" w:cs="Arial"/>
          <w:sz w:val="24"/>
          <w:szCs w:val="24"/>
        </w:rPr>
      </w:pPr>
      <w:r>
        <w:rPr>
          <w:rFonts w:ascii="Arial" w:hAnsi="Arial" w:cs="Arial"/>
          <w:sz w:val="24"/>
          <w:szCs w:val="24"/>
        </w:rPr>
        <w:t>The measure is proportionate to the legitimate purposes and there are no less restrictive means reasonably available to achieve the purpose the measure seeks to achieve. The measure neither permits the PTG to require individuals to provide third party information which is not relevant to the exercise of the PTG’s functions nor provides any offence provisions for non-compliance with the requirement. Further, the PTG Act and other Territory laws provide safeguards on the use of the information by the PTG. Section 65A of the PTG Act makes it an offence for the information holder (which includes anyone who exercises or has exercised functions under the PTG Act) to disclose protected information (being information disclosed to or obtained by an information holder) because of the exercise of a function under the PTG Act by an information holder or someone else. Additionally</w:t>
      </w:r>
      <w:r w:rsidRPr="001C191B">
        <w:rPr>
          <w:rFonts w:ascii="Arial" w:hAnsi="Arial" w:cs="Arial"/>
          <w:sz w:val="24"/>
          <w:szCs w:val="24"/>
        </w:rPr>
        <w:t xml:space="preserve">, </w:t>
      </w:r>
      <w:r>
        <w:rPr>
          <w:rFonts w:ascii="Arial" w:hAnsi="Arial" w:cs="Arial"/>
          <w:sz w:val="24"/>
          <w:szCs w:val="24"/>
        </w:rPr>
        <w:t xml:space="preserve">as </w:t>
      </w:r>
      <w:r w:rsidRPr="001C191B">
        <w:rPr>
          <w:rFonts w:ascii="Arial" w:hAnsi="Arial" w:cs="Arial"/>
          <w:sz w:val="24"/>
          <w:szCs w:val="24"/>
        </w:rPr>
        <w:t xml:space="preserve">the PTG is bound by the </w:t>
      </w:r>
      <w:r>
        <w:rPr>
          <w:rFonts w:ascii="Arial" w:hAnsi="Arial" w:cs="Arial"/>
          <w:sz w:val="24"/>
          <w:szCs w:val="24"/>
        </w:rPr>
        <w:t>TPP</w:t>
      </w:r>
      <w:r w:rsidRPr="001C191B">
        <w:rPr>
          <w:rFonts w:ascii="Arial" w:hAnsi="Arial" w:cs="Arial"/>
          <w:sz w:val="24"/>
          <w:szCs w:val="24"/>
        </w:rPr>
        <w:t xml:space="preserve"> contained in the</w:t>
      </w:r>
      <w:r>
        <w:rPr>
          <w:rFonts w:ascii="Arial" w:hAnsi="Arial" w:cs="Arial"/>
          <w:sz w:val="24"/>
          <w:szCs w:val="24"/>
        </w:rPr>
        <w:t xml:space="preserve"> IP Act, the PTG is unable to use and disclose any personal they receive without limits</w:t>
      </w:r>
      <w:r w:rsidRPr="001C191B">
        <w:rPr>
          <w:rFonts w:ascii="Arial" w:hAnsi="Arial" w:cs="Arial"/>
          <w:sz w:val="24"/>
          <w:szCs w:val="24"/>
        </w:rPr>
        <w:t>.</w:t>
      </w:r>
    </w:p>
    <w:p w14:paraId="3473E762" w14:textId="4ED55776" w:rsidR="0077621B" w:rsidRDefault="0077621B" w:rsidP="0077621B">
      <w:pPr>
        <w:shd w:val="clear" w:color="auto" w:fill="FFFFFF"/>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5D8078EF" w14:textId="77777777" w:rsidR="0077621B" w:rsidRDefault="0077621B" w:rsidP="0077621B">
      <w:pPr>
        <w:pStyle w:val="Heading2"/>
        <w:ind w:left="-108"/>
        <w:jc w:val="center"/>
        <w:rPr>
          <w:rFonts w:asciiTheme="minorHAnsi" w:hAnsiTheme="minorHAnsi" w:cs="Arial"/>
          <w:b w:val="0"/>
          <w:sz w:val="28"/>
          <w:szCs w:val="28"/>
          <w:lang w:eastAsia="en-AU"/>
        </w:rPr>
      </w:pPr>
    </w:p>
    <w:p w14:paraId="24AC5CF7" w14:textId="5683AA2F" w:rsidR="0077621B" w:rsidRPr="00943C7F" w:rsidRDefault="0077621B" w:rsidP="0077621B">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Justice </w:t>
      </w:r>
      <w:r w:rsidR="00256C99">
        <w:rPr>
          <w:rFonts w:asciiTheme="minorHAnsi" w:hAnsiTheme="minorHAnsi" w:cs="Arial"/>
          <w:b w:val="0"/>
          <w:sz w:val="28"/>
          <w:szCs w:val="28"/>
          <w:lang w:eastAsia="en-AU"/>
        </w:rPr>
        <w:t xml:space="preserve">and Community Safety </w:t>
      </w:r>
      <w:r>
        <w:rPr>
          <w:rFonts w:asciiTheme="minorHAnsi" w:hAnsiTheme="minorHAnsi" w:cs="Arial"/>
          <w:b w:val="0"/>
          <w:sz w:val="28"/>
          <w:szCs w:val="28"/>
          <w:lang w:eastAsia="en-AU"/>
        </w:rPr>
        <w:t>Legislation Amendment</w:t>
      </w:r>
      <w:r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20</w:t>
      </w:r>
    </w:p>
    <w:bookmarkEnd w:id="5"/>
    <w:p w14:paraId="0377380A" w14:textId="77777777" w:rsidR="0077621B" w:rsidRPr="003E5EE6" w:rsidRDefault="0077621B" w:rsidP="0077621B">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0FAD95FA" w14:textId="77777777" w:rsidR="0077621B" w:rsidRDefault="0077621B" w:rsidP="0077621B"/>
    <w:p w14:paraId="115F5018" w14:textId="77777777" w:rsidR="0077621B" w:rsidRPr="00D77995" w:rsidRDefault="0077621B" w:rsidP="0077621B"/>
    <w:p w14:paraId="10906C02" w14:textId="7B5D6042" w:rsidR="0077621B" w:rsidRDefault="0077621B" w:rsidP="0077621B">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Justice</w:t>
      </w:r>
      <w:r w:rsidR="00256C99">
        <w:rPr>
          <w:rFonts w:asciiTheme="minorHAnsi" w:hAnsiTheme="minorHAnsi"/>
          <w:b/>
        </w:rPr>
        <w:t xml:space="preserve"> and Community Safety</w:t>
      </w:r>
      <w:r>
        <w:rPr>
          <w:rFonts w:asciiTheme="minorHAnsi" w:hAnsiTheme="minorHAnsi"/>
          <w:b/>
        </w:rPr>
        <w:t xml:space="preserve"> Legislation Amendment Bill 2020</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C907F6">
        <w:rPr>
          <w:rFonts w:asciiTheme="minorHAnsi" w:hAnsiTheme="minorHAnsi"/>
        </w:rPr>
        <w:t>Assembly</w:t>
      </w:r>
      <w:r w:rsidRPr="00C907F6">
        <w:rPr>
          <w:rFonts w:asciiTheme="minorHAnsi" w:hAnsiTheme="minorHAnsi"/>
          <w:b/>
        </w:rPr>
        <w:t xml:space="preserve"> is </w:t>
      </w:r>
      <w:r w:rsidRPr="00C907F6">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0F8C408D" w14:textId="77777777" w:rsidR="0077621B" w:rsidRDefault="0077621B" w:rsidP="0077621B">
      <w:pPr>
        <w:rPr>
          <w:rFonts w:asciiTheme="minorHAnsi" w:hAnsiTheme="minorHAnsi" w:cstheme="minorHAnsi"/>
        </w:rPr>
      </w:pPr>
    </w:p>
    <w:p w14:paraId="12952111" w14:textId="77777777" w:rsidR="0077621B" w:rsidRDefault="0077621B" w:rsidP="0077621B">
      <w:pPr>
        <w:rPr>
          <w:rFonts w:asciiTheme="minorHAnsi" w:hAnsiTheme="minorHAnsi" w:cstheme="minorHAnsi"/>
        </w:rPr>
      </w:pPr>
    </w:p>
    <w:p w14:paraId="7E22335B" w14:textId="77777777" w:rsidR="0077621B" w:rsidRDefault="0077621B" w:rsidP="0077621B">
      <w:pPr>
        <w:rPr>
          <w:rFonts w:asciiTheme="minorHAnsi" w:hAnsiTheme="minorHAnsi" w:cstheme="minorHAnsi"/>
        </w:rPr>
      </w:pPr>
      <w:r>
        <w:rPr>
          <w:rFonts w:asciiTheme="minorHAnsi" w:hAnsiTheme="minorHAnsi" w:cstheme="minorHAnsi"/>
        </w:rPr>
        <w:t>………………………………………………….</w:t>
      </w:r>
    </w:p>
    <w:p w14:paraId="01193461" w14:textId="428708C6" w:rsidR="0077621B" w:rsidRDefault="002374FB" w:rsidP="0077621B">
      <w:pPr>
        <w:rPr>
          <w:rFonts w:asciiTheme="minorHAnsi" w:hAnsiTheme="minorHAnsi" w:cstheme="minorHAnsi"/>
        </w:rPr>
      </w:pPr>
      <w:r>
        <w:rPr>
          <w:rFonts w:asciiTheme="minorHAnsi" w:hAnsiTheme="minorHAnsi" w:cstheme="minorHAnsi"/>
        </w:rPr>
        <w:t xml:space="preserve">Shane </w:t>
      </w:r>
      <w:proofErr w:type="spellStart"/>
      <w:r>
        <w:rPr>
          <w:rFonts w:asciiTheme="minorHAnsi" w:hAnsiTheme="minorHAnsi" w:cstheme="minorHAnsi"/>
        </w:rPr>
        <w:t>Rattenbury</w:t>
      </w:r>
      <w:proofErr w:type="spellEnd"/>
      <w:r w:rsidR="0077621B">
        <w:rPr>
          <w:rFonts w:asciiTheme="minorHAnsi" w:hAnsiTheme="minorHAnsi" w:cstheme="minorHAnsi"/>
        </w:rPr>
        <w:t xml:space="preserve"> MLA</w:t>
      </w:r>
      <w:r w:rsidR="0077621B">
        <w:rPr>
          <w:rFonts w:asciiTheme="minorHAnsi" w:hAnsiTheme="minorHAnsi" w:cstheme="minorHAnsi"/>
        </w:rPr>
        <w:br/>
        <w:t>Attorney-General</w:t>
      </w:r>
    </w:p>
    <w:p w14:paraId="3EFB2CB4" w14:textId="77777777" w:rsidR="0077621B" w:rsidRPr="006D52AC" w:rsidRDefault="0077621B" w:rsidP="0077621B">
      <w:pPr>
        <w:spacing w:before="200"/>
        <w:rPr>
          <w:rFonts w:ascii="Arial" w:hAnsi="Arial" w:cs="Arial"/>
          <w:sz w:val="24"/>
          <w:szCs w:val="24"/>
        </w:rPr>
      </w:pPr>
    </w:p>
    <w:p w14:paraId="44EEC976" w14:textId="4B0617FE" w:rsidR="0077621B" w:rsidRDefault="0077621B" w:rsidP="0077621B">
      <w:pPr>
        <w:pStyle w:val="Heading2"/>
        <w:pageBreakBefore/>
        <w:spacing w:before="240" w:after="240"/>
      </w:pPr>
      <w:r w:rsidRPr="008C225D">
        <w:lastRenderedPageBreak/>
        <w:t>CLAUSE NOTES</w:t>
      </w:r>
    </w:p>
    <w:p w14:paraId="5D98D29C" w14:textId="6A0F02AC" w:rsidR="00AD60C5" w:rsidRDefault="00AD60C5" w:rsidP="0077621B">
      <w:pPr>
        <w:rPr>
          <w:rFonts w:ascii="Arial" w:hAnsi="Arial" w:cs="Arial"/>
          <w:b/>
          <w:bCs/>
          <w:sz w:val="24"/>
          <w:szCs w:val="24"/>
        </w:rPr>
      </w:pPr>
      <w:r>
        <w:rPr>
          <w:rFonts w:ascii="Arial" w:hAnsi="Arial" w:cs="Arial"/>
          <w:b/>
          <w:bCs/>
          <w:sz w:val="24"/>
          <w:szCs w:val="24"/>
        </w:rPr>
        <w:t>Part 1</w:t>
      </w:r>
      <w:r>
        <w:rPr>
          <w:rFonts w:ascii="Arial" w:hAnsi="Arial" w:cs="Arial"/>
          <w:b/>
          <w:bCs/>
          <w:sz w:val="24"/>
          <w:szCs w:val="24"/>
        </w:rPr>
        <w:tab/>
      </w:r>
      <w:r>
        <w:rPr>
          <w:rFonts w:ascii="Arial" w:hAnsi="Arial" w:cs="Arial"/>
          <w:b/>
          <w:bCs/>
          <w:sz w:val="24"/>
          <w:szCs w:val="24"/>
        </w:rPr>
        <w:tab/>
        <w:t>Preliminary</w:t>
      </w:r>
    </w:p>
    <w:p w14:paraId="17B39188" w14:textId="6305B5C7" w:rsidR="0077621B" w:rsidRPr="0074496A" w:rsidRDefault="0077621B" w:rsidP="004579F3">
      <w:pPr>
        <w:jc w:val="both"/>
        <w:rPr>
          <w:rFonts w:ascii="Arial" w:hAnsi="Arial" w:cs="Arial"/>
          <w:b/>
          <w:bCs/>
          <w:sz w:val="24"/>
          <w:szCs w:val="24"/>
        </w:rPr>
      </w:pPr>
      <w:r w:rsidRPr="0074496A">
        <w:rPr>
          <w:rFonts w:ascii="Arial" w:hAnsi="Arial" w:cs="Arial"/>
          <w:b/>
          <w:bCs/>
          <w:sz w:val="24"/>
          <w:szCs w:val="24"/>
        </w:rPr>
        <w:t>Clause</w:t>
      </w:r>
      <w:r w:rsidR="0035623D">
        <w:rPr>
          <w:rFonts w:ascii="Arial" w:hAnsi="Arial" w:cs="Arial"/>
          <w:b/>
          <w:bCs/>
          <w:sz w:val="24"/>
          <w:szCs w:val="24"/>
        </w:rPr>
        <w:t xml:space="preserve"> 1</w:t>
      </w:r>
      <w:r w:rsidRPr="0074496A">
        <w:rPr>
          <w:rFonts w:ascii="Arial" w:hAnsi="Arial" w:cs="Arial"/>
          <w:b/>
          <w:bCs/>
          <w:sz w:val="24"/>
          <w:szCs w:val="24"/>
        </w:rPr>
        <w:tab/>
        <w:t>Name of Act</w:t>
      </w:r>
    </w:p>
    <w:p w14:paraId="5EE2C3D4" w14:textId="1A96D812" w:rsidR="0077621B" w:rsidRPr="007D69CA" w:rsidRDefault="0077621B" w:rsidP="005C0BE3">
      <w:pPr>
        <w:jc w:val="both"/>
        <w:rPr>
          <w:rFonts w:ascii="Arial" w:hAnsi="Arial" w:cs="Arial"/>
          <w:sz w:val="24"/>
          <w:szCs w:val="24"/>
        </w:rPr>
      </w:pPr>
      <w:r w:rsidRPr="0074496A">
        <w:rPr>
          <w:rFonts w:ascii="Arial" w:hAnsi="Arial" w:cs="Arial"/>
          <w:sz w:val="24"/>
          <w:szCs w:val="24"/>
        </w:rPr>
        <w:t xml:space="preserve">This clause is a formal provision setting out the name of the Act as the </w:t>
      </w:r>
      <w:r w:rsidRPr="0074496A">
        <w:rPr>
          <w:rFonts w:ascii="Arial" w:hAnsi="Arial" w:cs="Arial"/>
          <w:i/>
          <w:iCs/>
          <w:sz w:val="24"/>
          <w:szCs w:val="24"/>
        </w:rPr>
        <w:t xml:space="preserve">Justice </w:t>
      </w:r>
      <w:r w:rsidR="00B61E7D">
        <w:rPr>
          <w:rFonts w:ascii="Arial" w:hAnsi="Arial" w:cs="Arial"/>
          <w:i/>
          <w:iCs/>
          <w:sz w:val="24"/>
          <w:szCs w:val="24"/>
        </w:rPr>
        <w:t xml:space="preserve">and Community Safety </w:t>
      </w:r>
      <w:r w:rsidRPr="007D69CA">
        <w:rPr>
          <w:rFonts w:ascii="Arial" w:hAnsi="Arial" w:cs="Arial"/>
          <w:i/>
          <w:iCs/>
          <w:sz w:val="24"/>
          <w:szCs w:val="24"/>
        </w:rPr>
        <w:t xml:space="preserve">Legislation Amendment Bill 2020 </w:t>
      </w:r>
      <w:r w:rsidRPr="007D69CA">
        <w:rPr>
          <w:rFonts w:ascii="Arial" w:hAnsi="Arial" w:cs="Arial"/>
          <w:sz w:val="24"/>
          <w:szCs w:val="24"/>
        </w:rPr>
        <w:t>(the Act).</w:t>
      </w:r>
    </w:p>
    <w:p w14:paraId="3C7F8969" w14:textId="44FB5E8D" w:rsidR="0077621B" w:rsidRPr="0035623D" w:rsidRDefault="0077621B" w:rsidP="0035623D">
      <w:pPr>
        <w:jc w:val="both"/>
        <w:rPr>
          <w:rFonts w:ascii="Arial" w:hAnsi="Arial" w:cs="Arial"/>
          <w:b/>
          <w:bCs/>
          <w:noProof/>
          <w:sz w:val="24"/>
          <w:szCs w:val="24"/>
        </w:rPr>
      </w:pPr>
      <w:r w:rsidRPr="007D69CA">
        <w:rPr>
          <w:rFonts w:ascii="Arial" w:hAnsi="Arial" w:cs="Arial"/>
          <w:b/>
          <w:bCs/>
          <w:sz w:val="24"/>
          <w:szCs w:val="24"/>
        </w:rPr>
        <w:t xml:space="preserve">Clause </w:t>
      </w:r>
      <w:r w:rsidR="0035623D">
        <w:rPr>
          <w:rFonts w:ascii="Arial" w:hAnsi="Arial" w:cs="Arial"/>
          <w:b/>
          <w:bCs/>
          <w:noProof/>
          <w:sz w:val="24"/>
          <w:szCs w:val="24"/>
        </w:rPr>
        <w:fldChar w:fldCharType="begin"/>
      </w:r>
      <w:r w:rsidR="0035623D">
        <w:rPr>
          <w:rFonts w:ascii="Arial" w:hAnsi="Arial" w:cs="Arial"/>
          <w:b/>
          <w:bCs/>
          <w:noProof/>
          <w:sz w:val="24"/>
          <w:szCs w:val="24"/>
        </w:rPr>
        <w:instrText xml:space="preserve"> seq figures </w:instrText>
      </w:r>
      <w:r w:rsidR="0035623D">
        <w:rPr>
          <w:rFonts w:ascii="Arial" w:hAnsi="Arial" w:cs="Arial"/>
          <w:b/>
          <w:bCs/>
          <w:noProof/>
          <w:sz w:val="24"/>
          <w:szCs w:val="24"/>
        </w:rPr>
        <w:fldChar w:fldCharType="separate"/>
      </w:r>
      <w:r w:rsidR="0035623D">
        <w:rPr>
          <w:rFonts w:ascii="Arial" w:hAnsi="Arial" w:cs="Arial"/>
          <w:b/>
          <w:bCs/>
          <w:noProof/>
          <w:sz w:val="24"/>
          <w:szCs w:val="24"/>
        </w:rPr>
        <w:t>2</w:t>
      </w:r>
      <w:r w:rsidR="0035623D">
        <w:rPr>
          <w:rFonts w:ascii="Arial" w:hAnsi="Arial" w:cs="Arial"/>
          <w:b/>
          <w:bCs/>
          <w:noProof/>
          <w:sz w:val="24"/>
          <w:szCs w:val="24"/>
        </w:rPr>
        <w:fldChar w:fldCharType="end"/>
      </w:r>
      <w:r w:rsidRPr="007D69CA">
        <w:rPr>
          <w:rFonts w:ascii="Arial" w:hAnsi="Arial" w:cs="Arial"/>
          <w:b/>
          <w:bCs/>
          <w:sz w:val="24"/>
          <w:szCs w:val="24"/>
        </w:rPr>
        <w:tab/>
        <w:t>Commencement</w:t>
      </w:r>
    </w:p>
    <w:p w14:paraId="03C7627B" w14:textId="3A197810" w:rsidR="0077621B" w:rsidRDefault="0077621B" w:rsidP="005C0BE3">
      <w:pPr>
        <w:jc w:val="both"/>
        <w:rPr>
          <w:rFonts w:ascii="Arial" w:hAnsi="Arial" w:cs="Arial"/>
          <w:sz w:val="24"/>
          <w:szCs w:val="24"/>
        </w:rPr>
      </w:pPr>
      <w:r w:rsidRPr="0074496A">
        <w:rPr>
          <w:rFonts w:ascii="Arial" w:hAnsi="Arial" w:cs="Arial"/>
          <w:sz w:val="24"/>
          <w:szCs w:val="24"/>
        </w:rPr>
        <w:t xml:space="preserve">This clause provides </w:t>
      </w:r>
      <w:r>
        <w:rPr>
          <w:rFonts w:ascii="Arial" w:hAnsi="Arial" w:cs="Arial"/>
          <w:sz w:val="24"/>
          <w:szCs w:val="24"/>
        </w:rPr>
        <w:t>for commencement of different provisions in the Act.</w:t>
      </w:r>
    </w:p>
    <w:p w14:paraId="3FAA36CD" w14:textId="4842CD9F" w:rsidR="0077621B" w:rsidRDefault="007A58EB" w:rsidP="005C0BE3">
      <w:pPr>
        <w:jc w:val="both"/>
        <w:rPr>
          <w:rFonts w:ascii="Arial" w:hAnsi="Arial" w:cs="Arial"/>
          <w:sz w:val="24"/>
          <w:szCs w:val="24"/>
        </w:rPr>
      </w:pPr>
      <w:r>
        <w:rPr>
          <w:rFonts w:ascii="Arial" w:hAnsi="Arial" w:cs="Arial"/>
          <w:sz w:val="24"/>
          <w:szCs w:val="24"/>
        </w:rPr>
        <w:t>The</w:t>
      </w:r>
      <w:r w:rsidR="0077621B">
        <w:rPr>
          <w:rFonts w:ascii="Arial" w:hAnsi="Arial" w:cs="Arial"/>
          <w:sz w:val="24"/>
          <w:szCs w:val="24"/>
        </w:rPr>
        <w:t xml:space="preserve"> provisions in the Act</w:t>
      </w:r>
      <w:r>
        <w:rPr>
          <w:rFonts w:ascii="Arial" w:hAnsi="Arial" w:cs="Arial"/>
          <w:sz w:val="24"/>
          <w:szCs w:val="24"/>
        </w:rPr>
        <w:t xml:space="preserve">, except for section </w:t>
      </w:r>
      <w:r w:rsidR="00F30994">
        <w:rPr>
          <w:rFonts w:ascii="Arial" w:hAnsi="Arial" w:cs="Arial"/>
          <w:sz w:val="24"/>
          <w:szCs w:val="24"/>
        </w:rPr>
        <w:t>35</w:t>
      </w:r>
      <w:r>
        <w:rPr>
          <w:rFonts w:ascii="Arial" w:hAnsi="Arial" w:cs="Arial"/>
          <w:sz w:val="24"/>
          <w:szCs w:val="24"/>
        </w:rPr>
        <w:t>,</w:t>
      </w:r>
      <w:r w:rsidR="0077621B">
        <w:rPr>
          <w:rFonts w:ascii="Arial" w:hAnsi="Arial" w:cs="Arial"/>
          <w:sz w:val="24"/>
          <w:szCs w:val="24"/>
        </w:rPr>
        <w:t xml:space="preserve"> commence </w:t>
      </w:r>
      <w:r w:rsidR="0077621B" w:rsidRPr="00E05F7D">
        <w:rPr>
          <w:rFonts w:ascii="Arial" w:hAnsi="Arial" w:cs="Arial"/>
          <w:sz w:val="24"/>
          <w:szCs w:val="24"/>
        </w:rPr>
        <w:t xml:space="preserve">on the </w:t>
      </w:r>
      <w:r w:rsidR="00B61E7D" w:rsidRPr="00E05F7D">
        <w:rPr>
          <w:rFonts w:ascii="Arial" w:hAnsi="Arial" w:cs="Arial"/>
          <w:sz w:val="24"/>
          <w:szCs w:val="24"/>
        </w:rPr>
        <w:t>7</w:t>
      </w:r>
      <w:r w:rsidR="00B61E7D" w:rsidRPr="00E05F7D">
        <w:rPr>
          <w:rFonts w:ascii="Arial" w:hAnsi="Arial" w:cs="Arial"/>
          <w:sz w:val="24"/>
          <w:szCs w:val="24"/>
          <w:vertAlign w:val="superscript"/>
        </w:rPr>
        <w:t>th</w:t>
      </w:r>
      <w:r w:rsidR="00B61E7D" w:rsidRPr="00E05F7D">
        <w:rPr>
          <w:rFonts w:ascii="Arial" w:hAnsi="Arial" w:cs="Arial"/>
          <w:sz w:val="24"/>
          <w:szCs w:val="24"/>
        </w:rPr>
        <w:t xml:space="preserve"> </w:t>
      </w:r>
      <w:r w:rsidR="0077621B" w:rsidRPr="00E05F7D">
        <w:rPr>
          <w:rFonts w:ascii="Arial" w:hAnsi="Arial" w:cs="Arial"/>
          <w:sz w:val="24"/>
          <w:szCs w:val="24"/>
        </w:rPr>
        <w:t>day after</w:t>
      </w:r>
      <w:r w:rsidR="0077621B">
        <w:rPr>
          <w:rFonts w:ascii="Arial" w:hAnsi="Arial" w:cs="Arial"/>
          <w:sz w:val="24"/>
          <w:szCs w:val="24"/>
        </w:rPr>
        <w:t xml:space="preserve"> the Act’s notification day</w:t>
      </w:r>
      <w:r>
        <w:rPr>
          <w:rFonts w:ascii="Arial" w:hAnsi="Arial" w:cs="Arial"/>
          <w:sz w:val="24"/>
          <w:szCs w:val="24"/>
        </w:rPr>
        <w:t>.</w:t>
      </w:r>
    </w:p>
    <w:p w14:paraId="7EFA3E45" w14:textId="45D71A2A" w:rsidR="007A58EB" w:rsidRPr="00C63BF4" w:rsidRDefault="007A58EB" w:rsidP="005C0BE3">
      <w:pPr>
        <w:jc w:val="both"/>
        <w:rPr>
          <w:rFonts w:ascii="Arial" w:hAnsi="Arial" w:cs="Arial"/>
          <w:sz w:val="24"/>
          <w:szCs w:val="24"/>
        </w:rPr>
      </w:pPr>
      <w:r>
        <w:rPr>
          <w:rFonts w:ascii="Arial" w:hAnsi="Arial" w:cs="Arial"/>
          <w:sz w:val="24"/>
          <w:szCs w:val="24"/>
        </w:rPr>
        <w:t>S</w:t>
      </w:r>
      <w:r w:rsidRPr="007A58EB">
        <w:rPr>
          <w:rFonts w:ascii="Arial" w:hAnsi="Arial" w:cs="Arial"/>
          <w:sz w:val="24"/>
          <w:szCs w:val="24"/>
        </w:rPr>
        <w:t xml:space="preserve">ection </w:t>
      </w:r>
      <w:r w:rsidR="00F30994">
        <w:rPr>
          <w:rFonts w:ascii="Arial" w:hAnsi="Arial" w:cs="Arial"/>
          <w:sz w:val="24"/>
          <w:szCs w:val="24"/>
        </w:rPr>
        <w:t>35</w:t>
      </w:r>
      <w:r>
        <w:rPr>
          <w:rFonts w:ascii="Arial" w:hAnsi="Arial" w:cs="Arial"/>
          <w:sz w:val="24"/>
          <w:szCs w:val="24"/>
        </w:rPr>
        <w:t xml:space="preserve"> </w:t>
      </w:r>
      <w:r w:rsidRPr="007A58EB">
        <w:rPr>
          <w:rFonts w:ascii="Arial" w:hAnsi="Arial" w:cs="Arial"/>
          <w:sz w:val="24"/>
          <w:szCs w:val="24"/>
        </w:rPr>
        <w:t xml:space="preserve">commences on the commencement of </w:t>
      </w:r>
      <w:r>
        <w:rPr>
          <w:rFonts w:ascii="Arial" w:hAnsi="Arial" w:cs="Arial"/>
          <w:sz w:val="24"/>
          <w:szCs w:val="24"/>
        </w:rPr>
        <w:t xml:space="preserve">section 25 of </w:t>
      </w:r>
      <w:r w:rsidRPr="007A58EB">
        <w:rPr>
          <w:rFonts w:ascii="Arial" w:hAnsi="Arial" w:cs="Arial"/>
          <w:sz w:val="24"/>
          <w:szCs w:val="24"/>
        </w:rPr>
        <w:t xml:space="preserve">the </w:t>
      </w:r>
      <w:r w:rsidRPr="007A58EB">
        <w:rPr>
          <w:rFonts w:ascii="Arial" w:hAnsi="Arial" w:cs="Arial"/>
          <w:i/>
          <w:iCs/>
          <w:sz w:val="24"/>
          <w:szCs w:val="24"/>
        </w:rPr>
        <w:t>Residential Tenancies Amendment Act 2020 (No 2)</w:t>
      </w:r>
      <w:r>
        <w:rPr>
          <w:rFonts w:ascii="Arial" w:hAnsi="Arial" w:cs="Arial"/>
          <w:sz w:val="24"/>
          <w:szCs w:val="24"/>
        </w:rPr>
        <w:t>.</w:t>
      </w:r>
    </w:p>
    <w:p w14:paraId="00051B56" w14:textId="6AA8DD18" w:rsidR="0077621B" w:rsidRPr="0035623D" w:rsidRDefault="0077621B" w:rsidP="0077621B">
      <w:pPr>
        <w:rPr>
          <w:rFonts w:ascii="Arial" w:hAnsi="Arial" w:cs="Arial"/>
          <w:b/>
          <w:bCs/>
          <w:sz w:val="24"/>
          <w:szCs w:val="24"/>
        </w:rPr>
      </w:pPr>
      <w:r w:rsidRPr="0074496A">
        <w:rPr>
          <w:rFonts w:ascii="Arial" w:hAnsi="Arial" w:cs="Arial"/>
          <w:b/>
          <w:bCs/>
          <w:sz w:val="24"/>
          <w:szCs w:val="24"/>
        </w:rPr>
        <w:t>Clause</w:t>
      </w:r>
      <w:r w:rsidR="0035623D">
        <w:rPr>
          <w:rFonts w:ascii="Arial" w:hAnsi="Arial" w:cs="Arial"/>
          <w:b/>
          <w:bCs/>
          <w:sz w:val="24"/>
          <w:szCs w:val="24"/>
        </w:rPr>
        <w:t xml:space="preserve"> </w:t>
      </w:r>
      <w:r w:rsidR="0035623D">
        <w:rPr>
          <w:rFonts w:ascii="Arial" w:hAnsi="Arial" w:cs="Arial"/>
          <w:b/>
          <w:bCs/>
          <w:sz w:val="24"/>
          <w:szCs w:val="24"/>
        </w:rPr>
        <w:fldChar w:fldCharType="begin"/>
      </w:r>
      <w:r w:rsidR="0035623D">
        <w:rPr>
          <w:rFonts w:ascii="Arial" w:hAnsi="Arial" w:cs="Arial"/>
          <w:b/>
          <w:bCs/>
          <w:sz w:val="24"/>
          <w:szCs w:val="24"/>
        </w:rPr>
        <w:instrText xml:space="preserve"> seq figures </w:instrText>
      </w:r>
      <w:r w:rsidR="0035623D">
        <w:rPr>
          <w:rFonts w:ascii="Arial" w:hAnsi="Arial" w:cs="Arial"/>
          <w:b/>
          <w:bCs/>
          <w:sz w:val="24"/>
          <w:szCs w:val="24"/>
        </w:rPr>
        <w:fldChar w:fldCharType="separate"/>
      </w:r>
      <w:r w:rsidR="0035623D">
        <w:rPr>
          <w:rFonts w:ascii="Arial" w:hAnsi="Arial" w:cs="Arial"/>
          <w:b/>
          <w:bCs/>
          <w:noProof/>
          <w:sz w:val="24"/>
          <w:szCs w:val="24"/>
        </w:rPr>
        <w:t>3</w:t>
      </w:r>
      <w:r w:rsidR="0035623D">
        <w:rPr>
          <w:rFonts w:ascii="Arial" w:hAnsi="Arial" w:cs="Arial"/>
          <w:b/>
          <w:bCs/>
          <w:sz w:val="24"/>
          <w:szCs w:val="24"/>
        </w:rPr>
        <w:fldChar w:fldCharType="end"/>
      </w:r>
      <w:r w:rsidRPr="0074496A">
        <w:rPr>
          <w:rFonts w:ascii="Arial" w:hAnsi="Arial" w:cs="Arial"/>
          <w:b/>
          <w:bCs/>
          <w:sz w:val="24"/>
          <w:szCs w:val="24"/>
        </w:rPr>
        <w:tab/>
        <w:t>Legislation amended</w:t>
      </w:r>
    </w:p>
    <w:p w14:paraId="5EF662F2" w14:textId="77777777" w:rsidR="0077621B" w:rsidRPr="0074496A" w:rsidRDefault="0077621B" w:rsidP="005C0BE3">
      <w:pPr>
        <w:jc w:val="both"/>
        <w:rPr>
          <w:rFonts w:ascii="Arial" w:hAnsi="Arial" w:cs="Arial"/>
          <w:sz w:val="24"/>
          <w:szCs w:val="24"/>
        </w:rPr>
      </w:pPr>
      <w:r w:rsidRPr="0074496A">
        <w:rPr>
          <w:rFonts w:ascii="Arial" w:hAnsi="Arial" w:cs="Arial"/>
          <w:sz w:val="24"/>
          <w:szCs w:val="24"/>
        </w:rPr>
        <w:t xml:space="preserve">This clause is a formal provision identifying that the Act amends the following legislation: </w:t>
      </w:r>
    </w:p>
    <w:p w14:paraId="2B055208" w14:textId="77777777" w:rsidR="005C0BE3" w:rsidRDefault="005C0BE3" w:rsidP="005C0BE3">
      <w:pPr>
        <w:numPr>
          <w:ilvl w:val="0"/>
          <w:numId w:val="6"/>
        </w:numPr>
        <w:spacing w:after="0" w:line="240" w:lineRule="auto"/>
        <w:ind w:right="-45"/>
        <w:rPr>
          <w:rFonts w:ascii="Arial" w:hAnsi="Arial" w:cs="Arial"/>
          <w:i/>
          <w:iCs/>
          <w:sz w:val="24"/>
          <w:szCs w:val="24"/>
        </w:rPr>
      </w:pPr>
      <w:r w:rsidRPr="00845384">
        <w:rPr>
          <w:rFonts w:ascii="Arial" w:hAnsi="Arial" w:cs="Arial"/>
          <w:i/>
          <w:iCs/>
          <w:sz w:val="24"/>
          <w:szCs w:val="24"/>
        </w:rPr>
        <w:t>ACT Civil and Administrative Tribunal Act 2008;</w:t>
      </w:r>
    </w:p>
    <w:p w14:paraId="0628D972"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ACT Civil and Administrative Tribunal Regulation 2009</w:t>
      </w:r>
      <w:r>
        <w:rPr>
          <w:rFonts w:ascii="Arial" w:hAnsi="Arial" w:cs="Arial"/>
          <w:sz w:val="24"/>
          <w:szCs w:val="24"/>
        </w:rPr>
        <w:t>;</w:t>
      </w:r>
    </w:p>
    <w:p w14:paraId="682AAA67"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Administration and Probate Act 1929</w:t>
      </w:r>
      <w:r>
        <w:rPr>
          <w:rFonts w:ascii="Arial" w:hAnsi="Arial" w:cs="Arial"/>
          <w:sz w:val="24"/>
          <w:szCs w:val="24"/>
        </w:rPr>
        <w:t>;</w:t>
      </w:r>
    </w:p>
    <w:p w14:paraId="47D80FE7"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Associations Incorporation Act 1991</w:t>
      </w:r>
      <w:r>
        <w:rPr>
          <w:rFonts w:ascii="Arial" w:hAnsi="Arial" w:cs="Arial"/>
          <w:sz w:val="24"/>
          <w:szCs w:val="24"/>
        </w:rPr>
        <w:t>;</w:t>
      </w:r>
    </w:p>
    <w:p w14:paraId="2410C2EB"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Crimes (Sentence Administration) Act 2005</w:t>
      </w:r>
      <w:r>
        <w:rPr>
          <w:rFonts w:ascii="Arial" w:hAnsi="Arial" w:cs="Arial"/>
          <w:sz w:val="24"/>
          <w:szCs w:val="24"/>
        </w:rPr>
        <w:t>;</w:t>
      </w:r>
    </w:p>
    <w:p w14:paraId="08713676"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Guardianship and Management of Property Act 1991</w:t>
      </w:r>
      <w:r>
        <w:rPr>
          <w:rFonts w:ascii="Arial" w:hAnsi="Arial" w:cs="Arial"/>
          <w:sz w:val="24"/>
          <w:szCs w:val="24"/>
        </w:rPr>
        <w:t>;</w:t>
      </w:r>
    </w:p>
    <w:p w14:paraId="7A430D4D"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Legal Profession Act 2006</w:t>
      </w:r>
      <w:r>
        <w:rPr>
          <w:rFonts w:ascii="Arial" w:hAnsi="Arial" w:cs="Arial"/>
          <w:sz w:val="24"/>
          <w:szCs w:val="24"/>
        </w:rPr>
        <w:t>;</w:t>
      </w:r>
    </w:p>
    <w:p w14:paraId="79624B44"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Legislation Act 2001</w:t>
      </w:r>
      <w:r>
        <w:rPr>
          <w:rFonts w:ascii="Arial" w:hAnsi="Arial" w:cs="Arial"/>
          <w:sz w:val="24"/>
          <w:szCs w:val="24"/>
        </w:rPr>
        <w:t>;</w:t>
      </w:r>
    </w:p>
    <w:p w14:paraId="4AEE5920"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Lotteries Act 1964</w:t>
      </w:r>
      <w:r>
        <w:rPr>
          <w:rFonts w:ascii="Arial" w:hAnsi="Arial" w:cs="Arial"/>
          <w:sz w:val="24"/>
          <w:szCs w:val="24"/>
        </w:rPr>
        <w:t>;</w:t>
      </w:r>
    </w:p>
    <w:p w14:paraId="34DE1058" w14:textId="77777777" w:rsidR="005C0BE3"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Mental Health Act 2015</w:t>
      </w:r>
      <w:r>
        <w:rPr>
          <w:rFonts w:ascii="Arial" w:hAnsi="Arial" w:cs="Arial"/>
          <w:sz w:val="24"/>
          <w:szCs w:val="24"/>
        </w:rPr>
        <w:t>;</w:t>
      </w:r>
    </w:p>
    <w:p w14:paraId="4625D324" w14:textId="170662FD" w:rsidR="005C0BE3" w:rsidRPr="007353D3"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Powers of Attorney Act 2006</w:t>
      </w:r>
      <w:r>
        <w:rPr>
          <w:rFonts w:ascii="Arial" w:hAnsi="Arial" w:cs="Arial"/>
          <w:sz w:val="24"/>
          <w:szCs w:val="24"/>
        </w:rPr>
        <w:t>;</w:t>
      </w:r>
    </w:p>
    <w:p w14:paraId="6B1047B8" w14:textId="0F6D48A3" w:rsidR="00F30994" w:rsidRPr="00B64BED" w:rsidRDefault="00F30994"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 xml:space="preserve">Public Sector Management Act 1994; </w:t>
      </w:r>
    </w:p>
    <w:p w14:paraId="3421D762"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Public Trustee and Guardian Act 1985</w:t>
      </w:r>
      <w:r>
        <w:rPr>
          <w:rFonts w:ascii="Arial" w:hAnsi="Arial" w:cs="Arial"/>
          <w:sz w:val="24"/>
          <w:szCs w:val="24"/>
        </w:rPr>
        <w:t>;</w:t>
      </w:r>
    </w:p>
    <w:p w14:paraId="11509323"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Residential Tenancies Act 1997</w:t>
      </w:r>
      <w:r>
        <w:rPr>
          <w:rFonts w:ascii="Arial" w:hAnsi="Arial" w:cs="Arial"/>
          <w:sz w:val="24"/>
          <w:szCs w:val="24"/>
        </w:rPr>
        <w:t>;</w:t>
      </w:r>
    </w:p>
    <w:p w14:paraId="5B295298" w14:textId="77777777" w:rsidR="005C0BE3"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Retirement Villages Regulation 2013</w:t>
      </w:r>
      <w:r>
        <w:rPr>
          <w:rFonts w:ascii="Arial" w:hAnsi="Arial" w:cs="Arial"/>
          <w:sz w:val="24"/>
          <w:szCs w:val="24"/>
        </w:rPr>
        <w:t>;</w:t>
      </w:r>
    </w:p>
    <w:p w14:paraId="5B5289DA" w14:textId="77777777" w:rsidR="005C0BE3" w:rsidRPr="00B64BED" w:rsidRDefault="005C0BE3" w:rsidP="005C0BE3">
      <w:pPr>
        <w:numPr>
          <w:ilvl w:val="0"/>
          <w:numId w:val="6"/>
        </w:numPr>
        <w:spacing w:after="0" w:line="240" w:lineRule="auto"/>
        <w:ind w:right="-45"/>
        <w:rPr>
          <w:rFonts w:ascii="Arial" w:hAnsi="Arial" w:cs="Arial"/>
          <w:i/>
          <w:iCs/>
          <w:sz w:val="24"/>
          <w:szCs w:val="24"/>
        </w:rPr>
      </w:pPr>
      <w:r>
        <w:rPr>
          <w:rFonts w:ascii="Arial" w:hAnsi="Arial" w:cs="Arial"/>
          <w:i/>
          <w:iCs/>
          <w:sz w:val="24"/>
          <w:szCs w:val="24"/>
        </w:rPr>
        <w:t>Security Industry Regulation 2003</w:t>
      </w:r>
      <w:r>
        <w:rPr>
          <w:rFonts w:ascii="Arial" w:hAnsi="Arial" w:cs="Arial"/>
          <w:sz w:val="24"/>
          <w:szCs w:val="24"/>
        </w:rPr>
        <w:t>; and</w:t>
      </w:r>
    </w:p>
    <w:p w14:paraId="73E42EA8" w14:textId="153D5B21" w:rsidR="005C0BE3" w:rsidRPr="005C0BE3" w:rsidRDefault="005C0BE3" w:rsidP="005C0BE3">
      <w:pPr>
        <w:numPr>
          <w:ilvl w:val="0"/>
          <w:numId w:val="6"/>
        </w:numPr>
        <w:spacing w:line="240" w:lineRule="auto"/>
        <w:ind w:right="-45"/>
        <w:rPr>
          <w:rFonts w:ascii="Arial" w:hAnsi="Arial" w:cs="Arial"/>
          <w:i/>
          <w:iCs/>
          <w:sz w:val="24"/>
          <w:szCs w:val="24"/>
        </w:rPr>
      </w:pPr>
      <w:r>
        <w:rPr>
          <w:rFonts w:ascii="Arial" w:hAnsi="Arial" w:cs="Arial"/>
          <w:i/>
          <w:iCs/>
          <w:sz w:val="24"/>
          <w:szCs w:val="24"/>
        </w:rPr>
        <w:t>Wills Act 1968</w:t>
      </w:r>
      <w:r>
        <w:rPr>
          <w:rFonts w:ascii="Arial" w:hAnsi="Arial" w:cs="Arial"/>
          <w:sz w:val="24"/>
          <w:szCs w:val="24"/>
        </w:rPr>
        <w:t>.</w:t>
      </w:r>
    </w:p>
    <w:p w14:paraId="7FBB17D4" w14:textId="64037674" w:rsidR="0077621B" w:rsidRPr="00C70C8E" w:rsidRDefault="0077621B" w:rsidP="0077621B">
      <w:pPr>
        <w:rPr>
          <w:rFonts w:ascii="Arial" w:hAnsi="Arial" w:cs="Arial"/>
          <w:b/>
          <w:bCs/>
          <w:sz w:val="24"/>
          <w:szCs w:val="24"/>
        </w:rPr>
      </w:pPr>
      <w:r w:rsidRPr="00C70C8E">
        <w:rPr>
          <w:rFonts w:ascii="Arial" w:hAnsi="Arial" w:cs="Arial"/>
          <w:b/>
          <w:bCs/>
          <w:sz w:val="24"/>
          <w:szCs w:val="24"/>
        </w:rPr>
        <w:t>Part 2</w:t>
      </w:r>
      <w:r w:rsidRPr="00C70C8E">
        <w:rPr>
          <w:rFonts w:ascii="Arial" w:hAnsi="Arial" w:cs="Arial"/>
          <w:b/>
          <w:bCs/>
          <w:sz w:val="24"/>
          <w:szCs w:val="24"/>
        </w:rPr>
        <w:tab/>
      </w:r>
      <w:r w:rsidRPr="00C70C8E">
        <w:rPr>
          <w:rFonts w:ascii="Arial" w:hAnsi="Arial" w:cs="Arial"/>
          <w:b/>
          <w:bCs/>
          <w:sz w:val="24"/>
          <w:szCs w:val="24"/>
        </w:rPr>
        <w:tab/>
        <w:t>ACT Civil and Administrative Tribunal Act 2008</w:t>
      </w:r>
    </w:p>
    <w:p w14:paraId="478E210B" w14:textId="08C5B0A5" w:rsidR="0077621B" w:rsidRPr="00C70C8E" w:rsidRDefault="0077621B" w:rsidP="005C6F0B">
      <w:pPr>
        <w:rPr>
          <w:rFonts w:ascii="Arial" w:hAnsi="Arial" w:cs="Arial"/>
          <w:b/>
          <w:bCs/>
          <w:sz w:val="24"/>
          <w:szCs w:val="24"/>
        </w:rPr>
      </w:pPr>
      <w:r w:rsidRPr="00962182">
        <w:rPr>
          <w:rFonts w:ascii="Arial" w:hAnsi="Arial" w:cs="Arial"/>
          <w:b/>
          <w:bCs/>
          <w:sz w:val="24"/>
          <w:szCs w:val="24"/>
        </w:rPr>
        <w:t>Clause</w:t>
      </w:r>
      <w:r w:rsidR="0035623D">
        <w:rPr>
          <w:rFonts w:ascii="Arial" w:hAnsi="Arial" w:cs="Arial"/>
          <w:b/>
          <w:bCs/>
          <w:sz w:val="24"/>
          <w:szCs w:val="24"/>
        </w:rPr>
        <w:t xml:space="preserve"> 4</w:t>
      </w:r>
      <w:r w:rsidRPr="00C70C8E">
        <w:rPr>
          <w:rFonts w:ascii="Arial" w:hAnsi="Arial" w:cs="Arial"/>
          <w:b/>
          <w:bCs/>
          <w:sz w:val="24"/>
          <w:szCs w:val="24"/>
        </w:rPr>
        <w:tab/>
      </w:r>
      <w:r w:rsidR="005C6AFF" w:rsidRPr="00C70C8E">
        <w:rPr>
          <w:rFonts w:ascii="Arial" w:hAnsi="Arial" w:cs="Arial"/>
          <w:b/>
          <w:bCs/>
          <w:sz w:val="24"/>
          <w:szCs w:val="24"/>
        </w:rPr>
        <w:t>Section 115C</w:t>
      </w:r>
    </w:p>
    <w:p w14:paraId="548EC8D9" w14:textId="46D9D3E7" w:rsidR="005C6AFF" w:rsidRDefault="005C6AFF" w:rsidP="008E6B79">
      <w:pPr>
        <w:jc w:val="both"/>
        <w:rPr>
          <w:rFonts w:ascii="Arial" w:hAnsi="Arial" w:cs="Arial"/>
          <w:sz w:val="24"/>
          <w:szCs w:val="24"/>
        </w:rPr>
      </w:pPr>
      <w:r w:rsidRPr="00C70C8E">
        <w:rPr>
          <w:rFonts w:ascii="Arial" w:hAnsi="Arial" w:cs="Arial"/>
          <w:sz w:val="24"/>
          <w:szCs w:val="24"/>
        </w:rPr>
        <w:t xml:space="preserve">This clause substitutes section 115C of the </w:t>
      </w:r>
      <w:r w:rsidR="007353D3">
        <w:rPr>
          <w:rFonts w:ascii="Arial" w:hAnsi="Arial" w:cs="Arial"/>
          <w:sz w:val="24"/>
          <w:szCs w:val="24"/>
        </w:rPr>
        <w:t>ACAT Act</w:t>
      </w:r>
      <w:r w:rsidR="0077621B" w:rsidRPr="00C70C8E">
        <w:rPr>
          <w:rFonts w:ascii="Arial" w:hAnsi="Arial" w:cs="Arial"/>
          <w:sz w:val="24"/>
          <w:szCs w:val="24"/>
        </w:rPr>
        <w:t xml:space="preserve"> </w:t>
      </w:r>
      <w:r w:rsidRPr="00C70C8E">
        <w:rPr>
          <w:rFonts w:ascii="Arial" w:hAnsi="Arial" w:cs="Arial"/>
          <w:sz w:val="24"/>
          <w:szCs w:val="24"/>
        </w:rPr>
        <w:t>to</w:t>
      </w:r>
      <w:r w:rsidR="00931324" w:rsidRPr="00C70C8E">
        <w:rPr>
          <w:rFonts w:ascii="Arial" w:hAnsi="Arial" w:cs="Arial"/>
          <w:sz w:val="24"/>
          <w:szCs w:val="24"/>
        </w:rPr>
        <w:t xml:space="preserve"> prescribe the purposes for which a trust amount in the ACAT Trust may be used. The intent of the clause is to</w:t>
      </w:r>
      <w:r w:rsidRPr="00C70C8E">
        <w:rPr>
          <w:rFonts w:ascii="Arial" w:hAnsi="Arial" w:cs="Arial"/>
          <w:sz w:val="24"/>
          <w:szCs w:val="24"/>
        </w:rPr>
        <w:t xml:space="preserve"> </w:t>
      </w:r>
      <w:r w:rsidR="000E0C19">
        <w:rPr>
          <w:rFonts w:ascii="Arial" w:hAnsi="Arial" w:cs="Arial"/>
          <w:sz w:val="24"/>
          <w:szCs w:val="24"/>
        </w:rPr>
        <w:t>clarify</w:t>
      </w:r>
      <w:r w:rsidR="005872E7" w:rsidRPr="00C70C8E">
        <w:rPr>
          <w:rFonts w:ascii="Arial" w:hAnsi="Arial" w:cs="Arial"/>
          <w:sz w:val="24"/>
          <w:szCs w:val="24"/>
        </w:rPr>
        <w:t xml:space="preserve"> </w:t>
      </w:r>
      <w:r w:rsidR="007353D3">
        <w:rPr>
          <w:rFonts w:ascii="Arial" w:hAnsi="Arial" w:cs="Arial"/>
          <w:sz w:val="24"/>
          <w:szCs w:val="24"/>
        </w:rPr>
        <w:t xml:space="preserve">that a </w:t>
      </w:r>
      <w:r w:rsidR="005872E7" w:rsidRPr="00C70C8E">
        <w:rPr>
          <w:rFonts w:ascii="Arial" w:hAnsi="Arial" w:cs="Arial"/>
          <w:sz w:val="24"/>
          <w:szCs w:val="24"/>
        </w:rPr>
        <w:t xml:space="preserve">trust amount in the ACAT </w:t>
      </w:r>
      <w:r w:rsidR="00931324" w:rsidRPr="00C70C8E">
        <w:rPr>
          <w:rFonts w:ascii="Arial" w:hAnsi="Arial" w:cs="Arial"/>
          <w:sz w:val="24"/>
          <w:szCs w:val="24"/>
        </w:rPr>
        <w:t>Tr</w:t>
      </w:r>
      <w:r w:rsidR="005872E7" w:rsidRPr="00C70C8E">
        <w:rPr>
          <w:rFonts w:ascii="Arial" w:hAnsi="Arial" w:cs="Arial"/>
          <w:sz w:val="24"/>
          <w:szCs w:val="24"/>
        </w:rPr>
        <w:t xml:space="preserve">ust </w:t>
      </w:r>
      <w:r w:rsidR="007353D3">
        <w:rPr>
          <w:rFonts w:ascii="Arial" w:hAnsi="Arial" w:cs="Arial"/>
          <w:sz w:val="24"/>
          <w:szCs w:val="24"/>
        </w:rPr>
        <w:t xml:space="preserve">is </w:t>
      </w:r>
      <w:r w:rsidR="00931324" w:rsidRPr="00C70C8E">
        <w:rPr>
          <w:rFonts w:ascii="Arial" w:hAnsi="Arial" w:cs="Arial"/>
          <w:sz w:val="24"/>
          <w:szCs w:val="24"/>
        </w:rPr>
        <w:t>to be flexibly applied across the prescribed purposes identified in the clause.</w:t>
      </w:r>
      <w:r w:rsidR="00174A8C">
        <w:rPr>
          <w:rFonts w:ascii="Arial" w:hAnsi="Arial" w:cs="Arial"/>
          <w:sz w:val="24"/>
          <w:szCs w:val="24"/>
        </w:rPr>
        <w:t xml:space="preserve"> </w:t>
      </w:r>
    </w:p>
    <w:p w14:paraId="51097D61" w14:textId="59415E25" w:rsidR="0077621B" w:rsidRPr="00C70C8E" w:rsidRDefault="0077621B" w:rsidP="0077621B">
      <w:pPr>
        <w:rPr>
          <w:rFonts w:ascii="Arial" w:hAnsi="Arial" w:cs="Arial"/>
          <w:b/>
          <w:bCs/>
          <w:sz w:val="24"/>
          <w:szCs w:val="24"/>
        </w:rPr>
      </w:pPr>
      <w:r w:rsidRPr="00C70C8E">
        <w:rPr>
          <w:rFonts w:ascii="Arial" w:hAnsi="Arial" w:cs="Arial"/>
          <w:b/>
          <w:bCs/>
          <w:sz w:val="24"/>
          <w:szCs w:val="24"/>
        </w:rPr>
        <w:lastRenderedPageBreak/>
        <w:t>Part 3</w:t>
      </w:r>
      <w:r w:rsidRPr="00C70C8E">
        <w:rPr>
          <w:rFonts w:ascii="Arial" w:hAnsi="Arial" w:cs="Arial"/>
          <w:b/>
          <w:bCs/>
          <w:sz w:val="24"/>
          <w:szCs w:val="24"/>
        </w:rPr>
        <w:tab/>
      </w:r>
      <w:r w:rsidRPr="00C70C8E">
        <w:rPr>
          <w:rFonts w:ascii="Arial" w:hAnsi="Arial" w:cs="Arial"/>
          <w:b/>
          <w:bCs/>
          <w:sz w:val="24"/>
          <w:szCs w:val="24"/>
        </w:rPr>
        <w:tab/>
      </w:r>
      <w:r w:rsidR="005C6AFF" w:rsidRPr="00C70C8E">
        <w:rPr>
          <w:rFonts w:ascii="Arial" w:hAnsi="Arial" w:cs="Arial"/>
          <w:b/>
          <w:bCs/>
          <w:sz w:val="24"/>
          <w:szCs w:val="24"/>
        </w:rPr>
        <w:t>ACT Civil and Administrative Tribunal Regulation 2009</w:t>
      </w:r>
    </w:p>
    <w:p w14:paraId="2B2E4E1E" w14:textId="57C2F8D7" w:rsidR="001B64AB" w:rsidRPr="00C70C8E" w:rsidRDefault="0077621B" w:rsidP="0077621B">
      <w:pPr>
        <w:rPr>
          <w:rFonts w:ascii="Arial" w:hAnsi="Arial" w:cs="Arial"/>
          <w:b/>
          <w:bCs/>
          <w:sz w:val="24"/>
          <w:szCs w:val="24"/>
        </w:rPr>
      </w:pPr>
      <w:r w:rsidRPr="00C70C8E">
        <w:rPr>
          <w:rFonts w:ascii="Arial" w:hAnsi="Arial" w:cs="Arial"/>
          <w:b/>
          <w:bCs/>
          <w:sz w:val="24"/>
          <w:szCs w:val="24"/>
        </w:rPr>
        <w:t xml:space="preserve">Clause </w:t>
      </w:r>
      <w:r w:rsidR="001C5151">
        <w:rPr>
          <w:rFonts w:ascii="Arial" w:hAnsi="Arial" w:cs="Arial"/>
          <w:b/>
          <w:bCs/>
          <w:sz w:val="24"/>
          <w:szCs w:val="24"/>
        </w:rPr>
        <w:t>5</w:t>
      </w:r>
      <w:r>
        <w:rPr>
          <w:rFonts w:ascii="Arial" w:hAnsi="Arial" w:cs="Arial"/>
          <w:b/>
          <w:bCs/>
          <w:sz w:val="24"/>
          <w:szCs w:val="24"/>
        </w:rPr>
        <w:tab/>
      </w:r>
      <w:r w:rsidR="001B64AB" w:rsidRPr="00C70C8E">
        <w:rPr>
          <w:rFonts w:ascii="Arial" w:hAnsi="Arial" w:cs="Arial"/>
          <w:b/>
          <w:bCs/>
          <w:sz w:val="24"/>
          <w:szCs w:val="24"/>
        </w:rPr>
        <w:t>Sections 9 and 10</w:t>
      </w:r>
    </w:p>
    <w:p w14:paraId="4921E278" w14:textId="62BDC51E" w:rsidR="00F076A3" w:rsidRDefault="0077621B" w:rsidP="00B61449">
      <w:pPr>
        <w:jc w:val="both"/>
        <w:rPr>
          <w:rFonts w:ascii="Arial" w:hAnsi="Arial" w:cs="Arial"/>
          <w:sz w:val="24"/>
          <w:szCs w:val="24"/>
        </w:rPr>
      </w:pPr>
      <w:r w:rsidRPr="00C70C8E">
        <w:rPr>
          <w:rFonts w:ascii="Arial" w:hAnsi="Arial" w:cs="Arial"/>
          <w:sz w:val="24"/>
          <w:szCs w:val="24"/>
        </w:rPr>
        <w:t xml:space="preserve">This clause substitutes </w:t>
      </w:r>
      <w:r w:rsidR="001B64AB" w:rsidRPr="00C70C8E">
        <w:rPr>
          <w:rFonts w:ascii="Arial" w:hAnsi="Arial" w:cs="Arial"/>
          <w:sz w:val="24"/>
          <w:szCs w:val="24"/>
        </w:rPr>
        <w:t>sections 9 and 10</w:t>
      </w:r>
      <w:r w:rsidRPr="00B61449">
        <w:rPr>
          <w:rFonts w:ascii="Arial" w:hAnsi="Arial" w:cs="Arial"/>
          <w:sz w:val="24"/>
          <w:szCs w:val="24"/>
        </w:rPr>
        <w:t xml:space="preserve"> of the</w:t>
      </w:r>
      <w:r w:rsidR="001B64AB" w:rsidRPr="00B61449">
        <w:rPr>
          <w:rFonts w:ascii="Arial" w:hAnsi="Arial" w:cs="Arial"/>
          <w:sz w:val="24"/>
          <w:szCs w:val="24"/>
        </w:rPr>
        <w:t xml:space="preserve"> </w:t>
      </w:r>
      <w:r w:rsidR="00133A9C">
        <w:rPr>
          <w:rFonts w:ascii="Arial" w:hAnsi="Arial" w:cs="Arial"/>
          <w:sz w:val="24"/>
          <w:szCs w:val="24"/>
        </w:rPr>
        <w:t>ACAT Regulation</w:t>
      </w:r>
      <w:r w:rsidR="001B64AB" w:rsidRPr="00B61449">
        <w:rPr>
          <w:rFonts w:ascii="Arial" w:hAnsi="Arial" w:cs="Arial"/>
          <w:sz w:val="24"/>
          <w:szCs w:val="24"/>
        </w:rPr>
        <w:t xml:space="preserve"> to </w:t>
      </w:r>
      <w:r w:rsidR="00B61449">
        <w:rPr>
          <w:rFonts w:ascii="Arial" w:hAnsi="Arial" w:cs="Arial"/>
          <w:sz w:val="24"/>
          <w:szCs w:val="24"/>
        </w:rPr>
        <w:t>clarify</w:t>
      </w:r>
      <w:r w:rsidR="001B64AB" w:rsidRPr="00B61449">
        <w:rPr>
          <w:rFonts w:ascii="Arial" w:hAnsi="Arial" w:cs="Arial"/>
          <w:sz w:val="24"/>
          <w:szCs w:val="24"/>
        </w:rPr>
        <w:t xml:space="preserve"> </w:t>
      </w:r>
      <w:r w:rsidR="00B61449">
        <w:rPr>
          <w:rFonts w:ascii="Arial" w:hAnsi="Arial" w:cs="Arial"/>
          <w:sz w:val="24"/>
          <w:szCs w:val="24"/>
        </w:rPr>
        <w:t xml:space="preserve">the prescribed purposes for amounts paid under the </w:t>
      </w:r>
      <w:r w:rsidR="00B61449">
        <w:rPr>
          <w:rFonts w:ascii="Arial" w:hAnsi="Arial" w:cs="Arial"/>
          <w:i/>
          <w:iCs/>
          <w:sz w:val="24"/>
          <w:szCs w:val="24"/>
        </w:rPr>
        <w:t xml:space="preserve">Agents Act 2003 </w:t>
      </w:r>
      <w:r w:rsidR="00B61449">
        <w:rPr>
          <w:rFonts w:ascii="Arial" w:hAnsi="Arial" w:cs="Arial"/>
          <w:sz w:val="24"/>
          <w:szCs w:val="24"/>
        </w:rPr>
        <w:t xml:space="preserve">into the ACAT Trust, including to reimburse the Territory for the cost of the ACAT Act, and </w:t>
      </w:r>
      <w:r w:rsidR="005B7DEC">
        <w:rPr>
          <w:rFonts w:ascii="Arial" w:hAnsi="Arial" w:cs="Arial"/>
          <w:sz w:val="24"/>
          <w:szCs w:val="24"/>
        </w:rPr>
        <w:t xml:space="preserve">to </w:t>
      </w:r>
      <w:r w:rsidR="00B61449">
        <w:rPr>
          <w:rFonts w:ascii="Arial" w:hAnsi="Arial" w:cs="Arial"/>
          <w:sz w:val="24"/>
          <w:szCs w:val="24"/>
        </w:rPr>
        <w:t xml:space="preserve">provide that the purposes mentioned in section 28 of the RT Act are </w:t>
      </w:r>
      <w:r w:rsidR="005B7DEC">
        <w:rPr>
          <w:rFonts w:ascii="Arial" w:hAnsi="Arial" w:cs="Arial"/>
          <w:sz w:val="24"/>
          <w:szCs w:val="24"/>
        </w:rPr>
        <w:t xml:space="preserve">also </w:t>
      </w:r>
      <w:r w:rsidR="00B61449">
        <w:rPr>
          <w:rFonts w:ascii="Arial" w:hAnsi="Arial" w:cs="Arial"/>
          <w:sz w:val="24"/>
          <w:szCs w:val="24"/>
        </w:rPr>
        <w:t>prescribed purposes.</w:t>
      </w:r>
      <w:r w:rsidR="00E9743F">
        <w:rPr>
          <w:rFonts w:ascii="Arial" w:hAnsi="Arial" w:cs="Arial"/>
          <w:sz w:val="24"/>
          <w:szCs w:val="24"/>
        </w:rPr>
        <w:t xml:space="preserve"> </w:t>
      </w:r>
    </w:p>
    <w:p w14:paraId="19DB2927" w14:textId="263F3471" w:rsidR="00527F06" w:rsidRDefault="00527F06" w:rsidP="00527F06">
      <w:pPr>
        <w:rPr>
          <w:rFonts w:ascii="Arial" w:hAnsi="Arial" w:cs="Arial"/>
          <w:b/>
          <w:bCs/>
          <w:sz w:val="24"/>
          <w:szCs w:val="24"/>
        </w:rPr>
      </w:pPr>
      <w:r>
        <w:rPr>
          <w:rFonts w:ascii="Arial" w:hAnsi="Arial" w:cs="Arial"/>
          <w:b/>
          <w:bCs/>
          <w:sz w:val="24"/>
          <w:szCs w:val="24"/>
        </w:rPr>
        <w:t>Part 4</w:t>
      </w:r>
      <w:r>
        <w:rPr>
          <w:rFonts w:ascii="Arial" w:hAnsi="Arial" w:cs="Arial"/>
          <w:b/>
          <w:bCs/>
          <w:sz w:val="24"/>
          <w:szCs w:val="24"/>
        </w:rPr>
        <w:tab/>
      </w:r>
      <w:r>
        <w:rPr>
          <w:rFonts w:ascii="Arial" w:hAnsi="Arial" w:cs="Arial"/>
          <w:b/>
          <w:bCs/>
          <w:sz w:val="24"/>
          <w:szCs w:val="24"/>
        </w:rPr>
        <w:tab/>
        <w:t>Administration and Probate Act 1929</w:t>
      </w:r>
    </w:p>
    <w:p w14:paraId="61CBA7B8" w14:textId="6DD12FDD" w:rsidR="00527F06" w:rsidRDefault="00527F06" w:rsidP="00527F06">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6</w:t>
      </w:r>
      <w:r>
        <w:rPr>
          <w:rFonts w:ascii="Arial" w:hAnsi="Arial" w:cs="Arial"/>
          <w:b/>
          <w:bCs/>
          <w:sz w:val="24"/>
          <w:szCs w:val="24"/>
        </w:rPr>
        <w:tab/>
      </w:r>
      <w:r w:rsidR="00115D14">
        <w:rPr>
          <w:rFonts w:ascii="Arial" w:hAnsi="Arial" w:cs="Arial"/>
          <w:b/>
          <w:bCs/>
          <w:sz w:val="24"/>
          <w:szCs w:val="24"/>
        </w:rPr>
        <w:t>Section 38A</w:t>
      </w:r>
    </w:p>
    <w:p w14:paraId="3CCDBD2C" w14:textId="33B5092B" w:rsidR="00872B5E" w:rsidRDefault="00872B5E" w:rsidP="00872B5E">
      <w:pPr>
        <w:jc w:val="both"/>
        <w:rPr>
          <w:rFonts w:ascii="Arial" w:hAnsi="Arial" w:cs="Arial"/>
          <w:sz w:val="24"/>
          <w:szCs w:val="24"/>
        </w:rPr>
      </w:pPr>
      <w:bookmarkStart w:id="6" w:name="_Hlk57106371"/>
      <w:r>
        <w:rPr>
          <w:rFonts w:ascii="Arial" w:hAnsi="Arial" w:cs="Arial"/>
          <w:sz w:val="24"/>
          <w:szCs w:val="24"/>
        </w:rPr>
        <w:t>The current provision outlines the role of the PTG by reference to the ‘</w:t>
      </w:r>
      <w:r w:rsidRPr="00DF18EB">
        <w:rPr>
          <w:rFonts w:ascii="Arial" w:hAnsi="Arial" w:cs="Arial"/>
          <w:sz w:val="24"/>
          <w:szCs w:val="24"/>
        </w:rPr>
        <w:t>Ordinary in England’</w:t>
      </w:r>
      <w:r>
        <w:rPr>
          <w:rFonts w:ascii="Arial" w:hAnsi="Arial" w:cs="Arial"/>
          <w:sz w:val="24"/>
          <w:szCs w:val="24"/>
        </w:rPr>
        <w:t>. This language does not aid in general understanding of the PTG’s role.  This clause substitutes section 38A of the AP Act to clarify the role of the PTG</w:t>
      </w:r>
      <w:r w:rsidR="00FB526E">
        <w:rPr>
          <w:rFonts w:ascii="Arial" w:hAnsi="Arial" w:cs="Arial"/>
          <w:sz w:val="24"/>
          <w:szCs w:val="24"/>
        </w:rPr>
        <w:t xml:space="preserve">.  It provides that, upon a person’s death their real and personal property will vest in the PTG </w:t>
      </w:r>
      <w:r w:rsidR="00A74D74">
        <w:rPr>
          <w:rFonts w:ascii="Arial" w:hAnsi="Arial" w:cs="Arial"/>
          <w:sz w:val="24"/>
          <w:szCs w:val="24"/>
        </w:rPr>
        <w:t xml:space="preserve">in accordance with the common law </w:t>
      </w:r>
      <w:r w:rsidR="00FB526E">
        <w:rPr>
          <w:rFonts w:ascii="Arial" w:hAnsi="Arial" w:cs="Arial"/>
          <w:sz w:val="24"/>
          <w:szCs w:val="24"/>
        </w:rPr>
        <w:t xml:space="preserve">until an administrator or executor is appointed. It clarifies that the PTG </w:t>
      </w:r>
      <w:r w:rsidR="00FB526E" w:rsidRPr="008D25E1">
        <w:rPr>
          <w:rFonts w:ascii="Arial" w:hAnsi="Arial" w:cs="Arial"/>
          <w:i/>
          <w:iCs/>
          <w:sz w:val="24"/>
          <w:szCs w:val="24"/>
        </w:rPr>
        <w:t>may</w:t>
      </w:r>
      <w:r w:rsidR="00FB526E">
        <w:rPr>
          <w:rFonts w:ascii="Arial" w:hAnsi="Arial" w:cs="Arial"/>
          <w:sz w:val="24"/>
          <w:szCs w:val="24"/>
        </w:rPr>
        <w:t xml:space="preserve"> undertake the administration of a person’s estate, however, it also provides that the PTG is </w:t>
      </w:r>
      <w:r w:rsidR="00FB526E" w:rsidRPr="008D25E1">
        <w:rPr>
          <w:rFonts w:ascii="Arial" w:hAnsi="Arial" w:cs="Arial"/>
          <w:i/>
          <w:iCs/>
          <w:sz w:val="24"/>
          <w:szCs w:val="24"/>
        </w:rPr>
        <w:t>not required</w:t>
      </w:r>
      <w:r w:rsidR="00FB526E">
        <w:rPr>
          <w:rFonts w:ascii="Arial" w:hAnsi="Arial" w:cs="Arial"/>
          <w:sz w:val="24"/>
          <w:szCs w:val="24"/>
        </w:rPr>
        <w:t xml:space="preserve"> to administer the estate, act as trustee or any trust created by a person’s will or exercise any discretion, power or authority of a personal representative, trustee or devisee. </w:t>
      </w:r>
      <w:r>
        <w:rPr>
          <w:rFonts w:ascii="Arial" w:hAnsi="Arial" w:cs="Arial"/>
          <w:sz w:val="24"/>
          <w:szCs w:val="24"/>
        </w:rPr>
        <w:t xml:space="preserve">The intent of the clause is to align with and not displace the common law which allowed the vesting of an intestate deceased estate in </w:t>
      </w:r>
      <w:r w:rsidRPr="00DF18EB">
        <w:rPr>
          <w:rFonts w:ascii="Arial" w:hAnsi="Arial" w:cs="Arial"/>
          <w:sz w:val="24"/>
          <w:szCs w:val="24"/>
        </w:rPr>
        <w:t xml:space="preserve">the </w:t>
      </w:r>
      <w:r>
        <w:rPr>
          <w:rFonts w:ascii="Arial" w:hAnsi="Arial" w:cs="Arial"/>
          <w:sz w:val="24"/>
          <w:szCs w:val="24"/>
        </w:rPr>
        <w:t>‘</w:t>
      </w:r>
      <w:r w:rsidRPr="00DF18EB">
        <w:rPr>
          <w:rFonts w:ascii="Arial" w:hAnsi="Arial" w:cs="Arial"/>
          <w:sz w:val="24"/>
          <w:szCs w:val="24"/>
        </w:rPr>
        <w:t>Ordinary in England’</w:t>
      </w:r>
      <w:r>
        <w:rPr>
          <w:rFonts w:ascii="Arial" w:hAnsi="Arial" w:cs="Arial"/>
          <w:sz w:val="24"/>
          <w:szCs w:val="24"/>
        </w:rPr>
        <w:t xml:space="preserve"> and, as a result of the vesting, provided the Ordinary with roles and functions for the intestate deceased estate at common law.</w:t>
      </w:r>
    </w:p>
    <w:bookmarkEnd w:id="6"/>
    <w:p w14:paraId="2365A8A4" w14:textId="0D26105F" w:rsidR="00731EE4" w:rsidRDefault="00731EE4" w:rsidP="00194AAA">
      <w:pPr>
        <w:jc w:val="both"/>
        <w:rPr>
          <w:rFonts w:ascii="Arial" w:hAnsi="Arial" w:cs="Arial"/>
          <w:sz w:val="24"/>
          <w:szCs w:val="24"/>
        </w:rPr>
      </w:pPr>
      <w:r>
        <w:rPr>
          <w:rFonts w:ascii="Arial" w:hAnsi="Arial" w:cs="Arial"/>
          <w:b/>
          <w:bCs/>
          <w:sz w:val="24"/>
          <w:szCs w:val="24"/>
        </w:rPr>
        <w:t xml:space="preserve">Clause </w:t>
      </w:r>
      <w:r w:rsidR="001C5151">
        <w:rPr>
          <w:rFonts w:ascii="Arial" w:hAnsi="Arial" w:cs="Arial"/>
          <w:b/>
          <w:bCs/>
          <w:sz w:val="24"/>
          <w:szCs w:val="24"/>
        </w:rPr>
        <w:t>7</w:t>
      </w:r>
      <w:r>
        <w:rPr>
          <w:rFonts w:ascii="Arial" w:hAnsi="Arial" w:cs="Arial"/>
          <w:b/>
          <w:bCs/>
          <w:sz w:val="24"/>
          <w:szCs w:val="24"/>
        </w:rPr>
        <w:tab/>
        <w:t>Section 46</w:t>
      </w:r>
    </w:p>
    <w:p w14:paraId="55CDF165" w14:textId="77777777" w:rsidR="00872B5E" w:rsidRDefault="00872B5E" w:rsidP="00872B5E">
      <w:pPr>
        <w:jc w:val="both"/>
        <w:rPr>
          <w:rFonts w:ascii="Arial" w:hAnsi="Arial" w:cs="Arial"/>
          <w:sz w:val="24"/>
          <w:szCs w:val="24"/>
        </w:rPr>
      </w:pPr>
      <w:r>
        <w:rPr>
          <w:rFonts w:ascii="Arial" w:hAnsi="Arial" w:cs="Arial"/>
          <w:sz w:val="24"/>
          <w:szCs w:val="24"/>
        </w:rPr>
        <w:t>This clause substitutes section 46 of the AP to allow an intestate estate to vest absolutely (as opposed to contingently) in a child. The intention of the clause is to remove any discriminatory language impeding the vesting of an intestate estate in persons who are unmarried and who are under the age of 18.</w:t>
      </w:r>
    </w:p>
    <w:p w14:paraId="4571E1F4" w14:textId="0BDCC4EB" w:rsidR="00527F06" w:rsidRPr="00870439" w:rsidRDefault="00527F06" w:rsidP="00527F06">
      <w:pPr>
        <w:rPr>
          <w:rFonts w:ascii="Arial" w:hAnsi="Arial" w:cs="Arial"/>
          <w:sz w:val="24"/>
          <w:szCs w:val="24"/>
        </w:rPr>
      </w:pPr>
      <w:r w:rsidRPr="00D84201">
        <w:rPr>
          <w:rFonts w:ascii="Arial" w:hAnsi="Arial" w:cs="Arial"/>
          <w:b/>
          <w:bCs/>
          <w:sz w:val="24"/>
          <w:szCs w:val="24"/>
        </w:rPr>
        <w:t xml:space="preserve">Part </w:t>
      </w:r>
      <w:r>
        <w:rPr>
          <w:rFonts w:ascii="Arial" w:hAnsi="Arial" w:cs="Arial"/>
          <w:b/>
          <w:bCs/>
          <w:sz w:val="24"/>
          <w:szCs w:val="24"/>
        </w:rPr>
        <w:t>5</w:t>
      </w:r>
      <w:r w:rsidRPr="00D84201">
        <w:rPr>
          <w:rFonts w:ascii="Arial" w:hAnsi="Arial" w:cs="Arial"/>
          <w:b/>
          <w:bCs/>
          <w:sz w:val="24"/>
          <w:szCs w:val="24"/>
        </w:rPr>
        <w:tab/>
      </w:r>
      <w:r w:rsidRPr="00D84201">
        <w:rPr>
          <w:rFonts w:ascii="Arial" w:hAnsi="Arial" w:cs="Arial"/>
          <w:b/>
          <w:bCs/>
          <w:sz w:val="24"/>
          <w:szCs w:val="24"/>
        </w:rPr>
        <w:tab/>
      </w:r>
      <w:r>
        <w:rPr>
          <w:rFonts w:ascii="Arial" w:hAnsi="Arial" w:cs="Arial"/>
          <w:b/>
          <w:bCs/>
          <w:sz w:val="24"/>
          <w:szCs w:val="24"/>
        </w:rPr>
        <w:t>Associations Incorporation Act 1991</w:t>
      </w:r>
    </w:p>
    <w:p w14:paraId="742E60AE" w14:textId="084ED353" w:rsidR="005C6F0B" w:rsidRDefault="00527F06" w:rsidP="00527F06">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8</w:t>
      </w:r>
      <w:r>
        <w:rPr>
          <w:rFonts w:ascii="Arial" w:hAnsi="Arial" w:cs="Arial"/>
          <w:b/>
          <w:bCs/>
          <w:sz w:val="24"/>
          <w:szCs w:val="24"/>
        </w:rPr>
        <w:tab/>
      </w:r>
      <w:r w:rsidR="005C6F0B" w:rsidRPr="005C6F0B">
        <w:rPr>
          <w:rFonts w:ascii="Arial" w:hAnsi="Arial" w:cs="Arial"/>
          <w:b/>
          <w:bCs/>
          <w:sz w:val="24"/>
          <w:szCs w:val="24"/>
        </w:rPr>
        <w:t>Definitions—</w:t>
      </w:r>
      <w:proofErr w:type="spellStart"/>
      <w:r w:rsidR="005C6F0B" w:rsidRPr="005C6F0B">
        <w:rPr>
          <w:rFonts w:ascii="Arial" w:hAnsi="Arial" w:cs="Arial"/>
          <w:b/>
          <w:bCs/>
          <w:sz w:val="24"/>
          <w:szCs w:val="24"/>
        </w:rPr>
        <w:t>pt</w:t>
      </w:r>
      <w:proofErr w:type="spellEnd"/>
      <w:r w:rsidR="005C6F0B" w:rsidRPr="005C6F0B">
        <w:rPr>
          <w:rFonts w:ascii="Arial" w:hAnsi="Arial" w:cs="Arial"/>
          <w:b/>
          <w:bCs/>
          <w:sz w:val="24"/>
          <w:szCs w:val="24"/>
        </w:rPr>
        <w:t xml:space="preserve"> 5 Section 70B, definition of reviewer, paragraph (a)</w:t>
      </w:r>
    </w:p>
    <w:p w14:paraId="11475276" w14:textId="635A25C2" w:rsidR="005C6AFF" w:rsidRPr="00527F06" w:rsidRDefault="00527F06" w:rsidP="00B33B9C">
      <w:pPr>
        <w:jc w:val="both"/>
        <w:rPr>
          <w:rFonts w:ascii="Arial" w:hAnsi="Arial" w:cs="Arial"/>
          <w:sz w:val="24"/>
          <w:szCs w:val="24"/>
        </w:rPr>
      </w:pPr>
      <w:r>
        <w:rPr>
          <w:rFonts w:ascii="Arial" w:hAnsi="Arial" w:cs="Arial"/>
          <w:sz w:val="24"/>
          <w:szCs w:val="24"/>
        </w:rPr>
        <w:t xml:space="preserve">This clause omits the words ‘a member or’ </w:t>
      </w:r>
      <w:r w:rsidR="0066524C">
        <w:rPr>
          <w:rFonts w:ascii="Arial" w:hAnsi="Arial" w:cs="Arial"/>
          <w:sz w:val="24"/>
          <w:szCs w:val="24"/>
        </w:rPr>
        <w:t xml:space="preserve">and </w:t>
      </w:r>
      <w:r>
        <w:rPr>
          <w:rFonts w:ascii="Arial" w:hAnsi="Arial" w:cs="Arial"/>
          <w:sz w:val="24"/>
          <w:szCs w:val="24"/>
        </w:rPr>
        <w:t>substitutes</w:t>
      </w:r>
      <w:r w:rsidR="0066524C">
        <w:rPr>
          <w:rFonts w:ascii="Arial" w:hAnsi="Arial" w:cs="Arial"/>
          <w:sz w:val="24"/>
          <w:szCs w:val="24"/>
        </w:rPr>
        <w:t xml:space="preserve"> </w:t>
      </w:r>
      <w:r w:rsidR="001C6773">
        <w:rPr>
          <w:rFonts w:ascii="Arial" w:hAnsi="Arial" w:cs="Arial"/>
          <w:sz w:val="24"/>
          <w:szCs w:val="24"/>
        </w:rPr>
        <w:t>them</w:t>
      </w:r>
      <w:r w:rsidR="0066524C">
        <w:rPr>
          <w:rFonts w:ascii="Arial" w:hAnsi="Arial" w:cs="Arial"/>
          <w:sz w:val="24"/>
          <w:szCs w:val="24"/>
        </w:rPr>
        <w:t xml:space="preserve"> with </w:t>
      </w:r>
      <w:r>
        <w:rPr>
          <w:rFonts w:ascii="Arial" w:hAnsi="Arial" w:cs="Arial"/>
          <w:sz w:val="24"/>
          <w:szCs w:val="24"/>
        </w:rPr>
        <w:t xml:space="preserve">‘an’ </w:t>
      </w:r>
      <w:r w:rsidR="00B33B9C">
        <w:rPr>
          <w:rFonts w:ascii="Arial" w:hAnsi="Arial" w:cs="Arial"/>
          <w:sz w:val="24"/>
          <w:szCs w:val="24"/>
        </w:rPr>
        <w:t xml:space="preserve">in section 70B of the </w:t>
      </w:r>
      <w:r w:rsidR="009813E9">
        <w:rPr>
          <w:rFonts w:ascii="Arial" w:hAnsi="Arial" w:cs="Arial"/>
          <w:sz w:val="24"/>
          <w:szCs w:val="24"/>
        </w:rPr>
        <w:t>AI Act</w:t>
      </w:r>
      <w:r w:rsidR="00AD2E0F">
        <w:rPr>
          <w:rFonts w:ascii="Arial" w:hAnsi="Arial" w:cs="Arial"/>
          <w:sz w:val="24"/>
          <w:szCs w:val="24"/>
        </w:rPr>
        <w:t xml:space="preserve">. The intent of the clause is </w:t>
      </w:r>
      <w:r>
        <w:rPr>
          <w:rFonts w:ascii="Arial" w:hAnsi="Arial" w:cs="Arial"/>
          <w:sz w:val="24"/>
          <w:szCs w:val="24"/>
        </w:rPr>
        <w:t xml:space="preserve">to remove the impediment for members </w:t>
      </w:r>
      <w:r w:rsidR="00B33B9C">
        <w:rPr>
          <w:rFonts w:ascii="Arial" w:hAnsi="Arial" w:cs="Arial"/>
          <w:sz w:val="24"/>
          <w:szCs w:val="24"/>
        </w:rPr>
        <w:t xml:space="preserve">of </w:t>
      </w:r>
      <w:r w:rsidR="00F77BB2">
        <w:rPr>
          <w:rFonts w:ascii="Arial" w:hAnsi="Arial" w:cs="Arial"/>
          <w:sz w:val="24"/>
          <w:szCs w:val="24"/>
        </w:rPr>
        <w:t xml:space="preserve">a </w:t>
      </w:r>
      <w:r w:rsidR="00353051">
        <w:rPr>
          <w:rFonts w:ascii="Arial" w:hAnsi="Arial" w:cs="Arial"/>
          <w:sz w:val="24"/>
          <w:szCs w:val="24"/>
        </w:rPr>
        <w:t xml:space="preserve">small association </w:t>
      </w:r>
      <w:r w:rsidR="00B33B9C">
        <w:rPr>
          <w:rFonts w:ascii="Arial" w:hAnsi="Arial" w:cs="Arial"/>
          <w:sz w:val="24"/>
          <w:szCs w:val="24"/>
        </w:rPr>
        <w:t>to review the association’s statement of accounts.</w:t>
      </w:r>
      <w:r w:rsidR="00BD18EB">
        <w:rPr>
          <w:rFonts w:ascii="Arial" w:hAnsi="Arial" w:cs="Arial"/>
          <w:sz w:val="24"/>
          <w:szCs w:val="24"/>
        </w:rPr>
        <w:t xml:space="preserve"> </w:t>
      </w:r>
      <w:r w:rsidR="00BD18EB" w:rsidRPr="00006F78">
        <w:rPr>
          <w:rFonts w:ascii="Arial" w:hAnsi="Arial" w:cs="Arial"/>
          <w:sz w:val="24"/>
          <w:szCs w:val="24"/>
        </w:rPr>
        <w:t>The types of organisations that this amendment is intended to target are community groups that are not registered charities or not-for-profit agencies, such as rotary clubs.</w:t>
      </w:r>
    </w:p>
    <w:p w14:paraId="0F999437" w14:textId="5055D405" w:rsidR="00964A00" w:rsidRDefault="00964A00" w:rsidP="0077621B">
      <w:pPr>
        <w:rPr>
          <w:rFonts w:ascii="Arial" w:hAnsi="Arial" w:cs="Arial"/>
          <w:b/>
          <w:bCs/>
          <w:sz w:val="24"/>
          <w:szCs w:val="24"/>
        </w:rPr>
      </w:pPr>
      <w:r>
        <w:rPr>
          <w:rFonts w:ascii="Arial" w:hAnsi="Arial" w:cs="Arial"/>
          <w:b/>
          <w:bCs/>
          <w:sz w:val="24"/>
          <w:szCs w:val="24"/>
        </w:rPr>
        <w:t xml:space="preserve">Part </w:t>
      </w:r>
      <w:r w:rsidR="00CE16A1">
        <w:rPr>
          <w:rFonts w:ascii="Arial" w:hAnsi="Arial" w:cs="Arial"/>
          <w:b/>
          <w:bCs/>
          <w:sz w:val="24"/>
          <w:szCs w:val="24"/>
        </w:rPr>
        <w:t>6</w:t>
      </w:r>
      <w:r>
        <w:rPr>
          <w:rFonts w:ascii="Arial" w:hAnsi="Arial" w:cs="Arial"/>
          <w:b/>
          <w:bCs/>
          <w:sz w:val="24"/>
          <w:szCs w:val="24"/>
        </w:rPr>
        <w:tab/>
      </w:r>
      <w:r>
        <w:rPr>
          <w:rFonts w:ascii="Arial" w:hAnsi="Arial" w:cs="Arial"/>
          <w:b/>
          <w:bCs/>
          <w:sz w:val="24"/>
          <w:szCs w:val="24"/>
        </w:rPr>
        <w:tab/>
        <w:t>Crimes (Sentence Administration) Act 2005</w:t>
      </w:r>
    </w:p>
    <w:p w14:paraId="1CD14099" w14:textId="530DBD37" w:rsidR="005C6F0B" w:rsidRDefault="00964A00"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9</w:t>
      </w:r>
      <w:r>
        <w:rPr>
          <w:rFonts w:ascii="Arial" w:hAnsi="Arial" w:cs="Arial"/>
          <w:b/>
          <w:bCs/>
          <w:sz w:val="24"/>
          <w:szCs w:val="24"/>
        </w:rPr>
        <w:tab/>
      </w:r>
      <w:r w:rsidR="005C6F0B" w:rsidRPr="005C6F0B">
        <w:rPr>
          <w:rFonts w:ascii="Arial" w:hAnsi="Arial" w:cs="Arial"/>
          <w:b/>
          <w:bCs/>
          <w:sz w:val="24"/>
          <w:szCs w:val="24"/>
        </w:rPr>
        <w:t>Victims register—young offenders</w:t>
      </w:r>
    </w:p>
    <w:p w14:paraId="2853D8DD" w14:textId="2B23F095" w:rsidR="00964A00" w:rsidRDefault="00964A00" w:rsidP="005C6F0B">
      <w:pPr>
        <w:ind w:left="720" w:firstLine="720"/>
        <w:rPr>
          <w:rFonts w:ascii="Arial" w:hAnsi="Arial" w:cs="Arial"/>
          <w:b/>
          <w:bCs/>
          <w:sz w:val="24"/>
          <w:szCs w:val="24"/>
        </w:rPr>
      </w:pPr>
      <w:r>
        <w:rPr>
          <w:rFonts w:ascii="Arial" w:hAnsi="Arial" w:cs="Arial"/>
          <w:b/>
          <w:bCs/>
          <w:sz w:val="24"/>
          <w:szCs w:val="24"/>
        </w:rPr>
        <w:t>Section 215A(6)</w:t>
      </w:r>
    </w:p>
    <w:p w14:paraId="78896561" w14:textId="04572883" w:rsidR="00D61F7E" w:rsidRPr="00FB7046" w:rsidRDefault="00D61F7E" w:rsidP="00D61F7E">
      <w:pPr>
        <w:jc w:val="both"/>
        <w:rPr>
          <w:rFonts w:ascii="Arial" w:hAnsi="Arial" w:cs="Arial"/>
          <w:sz w:val="24"/>
          <w:szCs w:val="24"/>
        </w:rPr>
      </w:pPr>
      <w:r>
        <w:rPr>
          <w:rFonts w:ascii="Arial" w:hAnsi="Arial" w:cs="Arial"/>
          <w:sz w:val="24"/>
          <w:szCs w:val="24"/>
        </w:rPr>
        <w:lastRenderedPageBreak/>
        <w:t xml:space="preserve">This clause omits </w:t>
      </w:r>
      <w:r w:rsidR="0052106E">
        <w:rPr>
          <w:rFonts w:ascii="Arial" w:hAnsi="Arial" w:cs="Arial"/>
          <w:sz w:val="24"/>
          <w:szCs w:val="24"/>
        </w:rPr>
        <w:t>section 215A(6)</w:t>
      </w:r>
      <w:r>
        <w:rPr>
          <w:rFonts w:ascii="Arial" w:hAnsi="Arial" w:cs="Arial"/>
          <w:sz w:val="24"/>
          <w:szCs w:val="24"/>
        </w:rPr>
        <w:t xml:space="preserve"> </w:t>
      </w:r>
      <w:r w:rsidR="0052106E">
        <w:rPr>
          <w:rFonts w:ascii="Arial" w:hAnsi="Arial" w:cs="Arial"/>
          <w:sz w:val="24"/>
          <w:szCs w:val="24"/>
        </w:rPr>
        <w:t xml:space="preserve">of the CSA Act </w:t>
      </w:r>
      <w:r>
        <w:rPr>
          <w:rFonts w:ascii="Arial" w:hAnsi="Arial" w:cs="Arial"/>
          <w:sz w:val="24"/>
          <w:szCs w:val="24"/>
        </w:rPr>
        <w:t xml:space="preserve">in order to remove the definition of the </w:t>
      </w:r>
      <w:r w:rsidR="00870439">
        <w:rPr>
          <w:rFonts w:ascii="Arial" w:hAnsi="Arial" w:cs="Arial"/>
          <w:sz w:val="24"/>
          <w:szCs w:val="24"/>
        </w:rPr>
        <w:t>‘</w:t>
      </w:r>
      <w:r>
        <w:rPr>
          <w:rFonts w:ascii="Arial" w:hAnsi="Arial" w:cs="Arial"/>
          <w:sz w:val="24"/>
          <w:szCs w:val="24"/>
        </w:rPr>
        <w:t>director-general</w:t>
      </w:r>
      <w:r w:rsidR="00870439">
        <w:rPr>
          <w:rFonts w:ascii="Arial" w:hAnsi="Arial" w:cs="Arial"/>
          <w:sz w:val="24"/>
          <w:szCs w:val="24"/>
        </w:rPr>
        <w:t>’</w:t>
      </w:r>
      <w:r>
        <w:rPr>
          <w:rFonts w:ascii="Arial" w:hAnsi="Arial" w:cs="Arial"/>
          <w:sz w:val="24"/>
          <w:szCs w:val="24"/>
        </w:rPr>
        <w:t xml:space="preserve"> in section 215A as the </w:t>
      </w:r>
      <w:r w:rsidR="00870439">
        <w:rPr>
          <w:rFonts w:ascii="Arial" w:hAnsi="Arial" w:cs="Arial"/>
          <w:sz w:val="24"/>
          <w:szCs w:val="24"/>
        </w:rPr>
        <w:t>‘</w:t>
      </w:r>
      <w:r>
        <w:rPr>
          <w:rFonts w:ascii="Arial" w:hAnsi="Arial" w:cs="Arial"/>
          <w:sz w:val="24"/>
          <w:szCs w:val="24"/>
        </w:rPr>
        <w:t xml:space="preserve">director-general responsible for the </w:t>
      </w:r>
      <w:r>
        <w:rPr>
          <w:rFonts w:ascii="Arial" w:hAnsi="Arial" w:cs="Arial"/>
          <w:i/>
          <w:iCs/>
          <w:sz w:val="24"/>
          <w:szCs w:val="24"/>
        </w:rPr>
        <w:t>Children and Young People Act 2008</w:t>
      </w:r>
      <w:r w:rsidR="00870439">
        <w:rPr>
          <w:rFonts w:ascii="Arial" w:hAnsi="Arial" w:cs="Arial"/>
          <w:sz w:val="24"/>
          <w:szCs w:val="24"/>
        </w:rPr>
        <w:t>’</w:t>
      </w:r>
      <w:r>
        <w:rPr>
          <w:rFonts w:ascii="Arial" w:hAnsi="Arial" w:cs="Arial"/>
          <w:sz w:val="24"/>
          <w:szCs w:val="24"/>
        </w:rPr>
        <w:t>. The intent of the clause is to ensure that the reference to director-general in section 215A refers</w:t>
      </w:r>
      <w:r w:rsidR="00FD5781">
        <w:rPr>
          <w:rFonts w:ascii="Arial" w:hAnsi="Arial" w:cs="Arial"/>
          <w:sz w:val="24"/>
          <w:szCs w:val="24"/>
        </w:rPr>
        <w:t xml:space="preserve"> </w:t>
      </w:r>
      <w:r>
        <w:rPr>
          <w:rFonts w:ascii="Arial" w:hAnsi="Arial" w:cs="Arial"/>
          <w:sz w:val="24"/>
          <w:szCs w:val="24"/>
        </w:rPr>
        <w:t>to the Director-General of JACS</w:t>
      </w:r>
      <w:r w:rsidR="00FB7046">
        <w:rPr>
          <w:rFonts w:ascii="Arial" w:hAnsi="Arial" w:cs="Arial"/>
          <w:sz w:val="24"/>
          <w:szCs w:val="24"/>
        </w:rPr>
        <w:t>, as the Director-General of JACS is responsible for the Youth Justice Register.</w:t>
      </w:r>
    </w:p>
    <w:p w14:paraId="4C29666A" w14:textId="722477DA" w:rsidR="005C6F0B" w:rsidRDefault="00964A00" w:rsidP="005C6F0B">
      <w:pPr>
        <w:ind w:left="1440" w:hanging="1440"/>
        <w:rPr>
          <w:rFonts w:ascii="Arial" w:hAnsi="Arial" w:cs="Arial"/>
          <w:b/>
          <w:bCs/>
          <w:sz w:val="24"/>
          <w:szCs w:val="24"/>
        </w:rPr>
      </w:pPr>
      <w:r>
        <w:rPr>
          <w:rFonts w:ascii="Arial" w:hAnsi="Arial" w:cs="Arial"/>
          <w:b/>
          <w:bCs/>
          <w:sz w:val="24"/>
          <w:szCs w:val="24"/>
        </w:rPr>
        <w:t>Clause</w:t>
      </w:r>
      <w:r w:rsidR="00F95D1D">
        <w:rPr>
          <w:rFonts w:ascii="Arial" w:hAnsi="Arial" w:cs="Arial"/>
          <w:b/>
          <w:bCs/>
          <w:sz w:val="24"/>
          <w:szCs w:val="24"/>
        </w:rPr>
        <w:t xml:space="preserve"> </w:t>
      </w:r>
      <w:r w:rsidR="001C5151">
        <w:rPr>
          <w:rFonts w:ascii="Arial" w:hAnsi="Arial" w:cs="Arial"/>
          <w:b/>
          <w:bCs/>
          <w:sz w:val="24"/>
          <w:szCs w:val="24"/>
        </w:rPr>
        <w:t>10</w:t>
      </w:r>
      <w:r>
        <w:rPr>
          <w:rFonts w:ascii="Arial" w:hAnsi="Arial" w:cs="Arial"/>
          <w:b/>
          <w:bCs/>
          <w:sz w:val="24"/>
          <w:szCs w:val="24"/>
        </w:rPr>
        <w:tab/>
      </w:r>
      <w:r w:rsidR="005C6F0B" w:rsidRPr="005C6F0B">
        <w:rPr>
          <w:rFonts w:ascii="Arial" w:hAnsi="Arial" w:cs="Arial"/>
          <w:b/>
          <w:bCs/>
          <w:sz w:val="24"/>
          <w:szCs w:val="24"/>
        </w:rPr>
        <w:t>Disclosures to registered victims—young offenders</w:t>
      </w:r>
    </w:p>
    <w:p w14:paraId="06F4B8CE" w14:textId="034A158D" w:rsidR="00964A00" w:rsidRPr="005C6F0B" w:rsidRDefault="00964A00" w:rsidP="005C6F0B">
      <w:pPr>
        <w:ind w:left="1440"/>
        <w:rPr>
          <w:rFonts w:ascii="Arial" w:hAnsi="Arial" w:cs="Arial"/>
          <w:b/>
          <w:bCs/>
          <w:sz w:val="24"/>
          <w:szCs w:val="24"/>
        </w:rPr>
      </w:pPr>
      <w:r>
        <w:rPr>
          <w:rFonts w:ascii="Arial" w:hAnsi="Arial" w:cs="Arial"/>
          <w:b/>
          <w:bCs/>
          <w:sz w:val="24"/>
          <w:szCs w:val="24"/>
        </w:rPr>
        <w:t xml:space="preserve">Section 216A(5), </w:t>
      </w:r>
      <w:r w:rsidRPr="000A68B6">
        <w:rPr>
          <w:rFonts w:ascii="Arial" w:hAnsi="Arial" w:cs="Arial"/>
          <w:b/>
          <w:bCs/>
          <w:sz w:val="24"/>
          <w:szCs w:val="24"/>
        </w:rPr>
        <w:t>definition of director-general</w:t>
      </w:r>
    </w:p>
    <w:p w14:paraId="5246DC13" w14:textId="54A47A6E" w:rsidR="00D61F7E" w:rsidRPr="00D61F7E" w:rsidRDefault="00D61F7E" w:rsidP="00D61F7E">
      <w:pPr>
        <w:jc w:val="both"/>
        <w:rPr>
          <w:rFonts w:ascii="Arial" w:hAnsi="Arial" w:cs="Arial"/>
          <w:sz w:val="24"/>
          <w:szCs w:val="24"/>
        </w:rPr>
      </w:pPr>
      <w:r>
        <w:rPr>
          <w:rFonts w:ascii="Arial" w:hAnsi="Arial" w:cs="Arial"/>
          <w:sz w:val="24"/>
          <w:szCs w:val="24"/>
        </w:rPr>
        <w:t xml:space="preserve">This clause omits the definition of </w:t>
      </w:r>
      <w:r w:rsidR="00FD5781">
        <w:rPr>
          <w:rFonts w:ascii="Arial" w:hAnsi="Arial" w:cs="Arial"/>
          <w:sz w:val="24"/>
          <w:szCs w:val="24"/>
        </w:rPr>
        <w:t>‘</w:t>
      </w:r>
      <w:r>
        <w:rPr>
          <w:rFonts w:ascii="Arial" w:hAnsi="Arial" w:cs="Arial"/>
          <w:sz w:val="24"/>
          <w:szCs w:val="24"/>
        </w:rPr>
        <w:t>director-general</w:t>
      </w:r>
      <w:r w:rsidR="00FD5781">
        <w:rPr>
          <w:rFonts w:ascii="Arial" w:hAnsi="Arial" w:cs="Arial"/>
          <w:sz w:val="24"/>
          <w:szCs w:val="24"/>
        </w:rPr>
        <w:t>’</w:t>
      </w:r>
      <w:r>
        <w:rPr>
          <w:rFonts w:ascii="Arial" w:hAnsi="Arial" w:cs="Arial"/>
          <w:sz w:val="24"/>
          <w:szCs w:val="24"/>
        </w:rPr>
        <w:t xml:space="preserve"> in </w:t>
      </w:r>
      <w:r w:rsidR="0052106E">
        <w:rPr>
          <w:rFonts w:ascii="Arial" w:hAnsi="Arial" w:cs="Arial"/>
          <w:sz w:val="24"/>
          <w:szCs w:val="24"/>
        </w:rPr>
        <w:t xml:space="preserve">section 216A(5) of the CSA Act </w:t>
      </w:r>
      <w:r>
        <w:rPr>
          <w:rFonts w:ascii="Arial" w:hAnsi="Arial" w:cs="Arial"/>
          <w:sz w:val="24"/>
          <w:szCs w:val="24"/>
        </w:rPr>
        <w:t xml:space="preserve">as the </w:t>
      </w:r>
      <w:r w:rsidR="00FD5781">
        <w:rPr>
          <w:rFonts w:ascii="Arial" w:hAnsi="Arial" w:cs="Arial"/>
          <w:sz w:val="24"/>
          <w:szCs w:val="24"/>
        </w:rPr>
        <w:t>‘</w:t>
      </w:r>
      <w:r>
        <w:rPr>
          <w:rFonts w:ascii="Arial" w:hAnsi="Arial" w:cs="Arial"/>
          <w:sz w:val="24"/>
          <w:szCs w:val="24"/>
        </w:rPr>
        <w:t xml:space="preserve">director-general of the </w:t>
      </w:r>
      <w:r>
        <w:rPr>
          <w:rFonts w:ascii="Arial" w:hAnsi="Arial" w:cs="Arial"/>
          <w:i/>
          <w:iCs/>
          <w:sz w:val="24"/>
          <w:szCs w:val="24"/>
        </w:rPr>
        <w:t>Children and Young People Act 2008</w:t>
      </w:r>
      <w:r w:rsidR="00FD5781">
        <w:rPr>
          <w:rFonts w:ascii="Arial" w:hAnsi="Arial" w:cs="Arial"/>
          <w:sz w:val="24"/>
          <w:szCs w:val="24"/>
        </w:rPr>
        <w:t>’</w:t>
      </w:r>
      <w:r>
        <w:rPr>
          <w:rFonts w:ascii="Arial" w:hAnsi="Arial" w:cs="Arial"/>
          <w:sz w:val="24"/>
          <w:szCs w:val="24"/>
        </w:rPr>
        <w:t>. The intent of the clause is to ensure that the reference to director-general in section 216A</w:t>
      </w:r>
      <w:r w:rsidR="00FD5781">
        <w:rPr>
          <w:rFonts w:ascii="Arial" w:hAnsi="Arial" w:cs="Arial"/>
          <w:sz w:val="24"/>
          <w:szCs w:val="24"/>
        </w:rPr>
        <w:t xml:space="preserve"> </w:t>
      </w:r>
      <w:r>
        <w:rPr>
          <w:rFonts w:ascii="Arial" w:hAnsi="Arial" w:cs="Arial"/>
          <w:sz w:val="24"/>
          <w:szCs w:val="24"/>
        </w:rPr>
        <w:t>refers to the Director-General of JACS</w:t>
      </w:r>
      <w:r w:rsidR="00FB7046">
        <w:rPr>
          <w:rFonts w:ascii="Arial" w:hAnsi="Arial" w:cs="Arial"/>
          <w:sz w:val="24"/>
          <w:szCs w:val="24"/>
        </w:rPr>
        <w:t>, as the Director-General of JACS is responsible for the Youth Justice Register.</w:t>
      </w:r>
    </w:p>
    <w:p w14:paraId="2BEAC2DD" w14:textId="784E3204" w:rsidR="00964A00" w:rsidRDefault="00E90990" w:rsidP="0077621B">
      <w:pPr>
        <w:rPr>
          <w:rFonts w:ascii="Arial" w:hAnsi="Arial" w:cs="Arial"/>
          <w:b/>
          <w:bCs/>
          <w:sz w:val="24"/>
          <w:szCs w:val="24"/>
        </w:rPr>
      </w:pPr>
      <w:r>
        <w:rPr>
          <w:rFonts w:ascii="Arial" w:hAnsi="Arial" w:cs="Arial"/>
          <w:b/>
          <w:bCs/>
          <w:sz w:val="24"/>
          <w:szCs w:val="24"/>
        </w:rPr>
        <w:t xml:space="preserve">Part </w:t>
      </w:r>
      <w:r w:rsidR="00A72B1A">
        <w:rPr>
          <w:rFonts w:ascii="Arial" w:hAnsi="Arial" w:cs="Arial"/>
          <w:b/>
          <w:bCs/>
          <w:sz w:val="24"/>
          <w:szCs w:val="24"/>
        </w:rPr>
        <w:t>7</w:t>
      </w:r>
      <w:r>
        <w:rPr>
          <w:rFonts w:ascii="Arial" w:hAnsi="Arial" w:cs="Arial"/>
          <w:b/>
          <w:bCs/>
          <w:sz w:val="24"/>
          <w:szCs w:val="24"/>
        </w:rPr>
        <w:tab/>
      </w:r>
      <w:r>
        <w:rPr>
          <w:rFonts w:ascii="Arial" w:hAnsi="Arial" w:cs="Arial"/>
          <w:b/>
          <w:bCs/>
          <w:sz w:val="24"/>
          <w:szCs w:val="24"/>
        </w:rPr>
        <w:tab/>
        <w:t>Guardianship and Management of Property Act 1991</w:t>
      </w:r>
    </w:p>
    <w:p w14:paraId="04C30CE6" w14:textId="1546EC2B" w:rsidR="000A68B6" w:rsidRDefault="00E90990"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11</w:t>
      </w:r>
      <w:r>
        <w:rPr>
          <w:rFonts w:ascii="Arial" w:hAnsi="Arial" w:cs="Arial"/>
          <w:b/>
          <w:bCs/>
          <w:sz w:val="24"/>
          <w:szCs w:val="24"/>
        </w:rPr>
        <w:tab/>
      </w:r>
      <w:r w:rsidR="000A68B6" w:rsidRPr="000A68B6">
        <w:rPr>
          <w:rFonts w:ascii="Arial" w:hAnsi="Arial" w:cs="Arial"/>
          <w:b/>
          <w:bCs/>
          <w:sz w:val="24"/>
          <w:szCs w:val="24"/>
        </w:rPr>
        <w:t>ACAT directions etc for enduring powers of attorney</w:t>
      </w:r>
    </w:p>
    <w:p w14:paraId="7A6BDFB4" w14:textId="3E4BFEEB" w:rsidR="00E90990" w:rsidRDefault="00E90990" w:rsidP="000A68B6">
      <w:pPr>
        <w:ind w:left="720" w:firstLine="720"/>
        <w:rPr>
          <w:rFonts w:ascii="Arial" w:hAnsi="Arial" w:cs="Arial"/>
          <w:b/>
          <w:bCs/>
          <w:sz w:val="24"/>
          <w:szCs w:val="24"/>
        </w:rPr>
      </w:pPr>
      <w:r>
        <w:rPr>
          <w:rFonts w:ascii="Arial" w:hAnsi="Arial" w:cs="Arial"/>
          <w:b/>
          <w:bCs/>
          <w:sz w:val="24"/>
          <w:szCs w:val="24"/>
        </w:rPr>
        <w:t>Section 62(1)</w:t>
      </w:r>
    </w:p>
    <w:p w14:paraId="46DEE49A" w14:textId="6A67F78B" w:rsidR="00CD0A91" w:rsidRPr="003B6BEC" w:rsidRDefault="00E05F7D" w:rsidP="00E05F7D">
      <w:pPr>
        <w:jc w:val="both"/>
        <w:rPr>
          <w:rFonts w:ascii="Arial" w:hAnsi="Arial" w:cs="Arial"/>
          <w:sz w:val="24"/>
          <w:szCs w:val="24"/>
        </w:rPr>
      </w:pPr>
      <w:r>
        <w:rPr>
          <w:rFonts w:ascii="Arial" w:hAnsi="Arial" w:cs="Arial"/>
          <w:bCs/>
          <w:sz w:val="24"/>
          <w:szCs w:val="24"/>
        </w:rPr>
        <w:t>This clause omits the phrase ‘if the principal has impaired decision-making capacity’</w:t>
      </w:r>
      <w:r w:rsidR="00980C70">
        <w:rPr>
          <w:rFonts w:ascii="Arial" w:hAnsi="Arial" w:cs="Arial"/>
          <w:bCs/>
          <w:sz w:val="24"/>
          <w:szCs w:val="24"/>
        </w:rPr>
        <w:t xml:space="preserve"> in section 62(1) of the GMP Act</w:t>
      </w:r>
      <w:r>
        <w:rPr>
          <w:rFonts w:ascii="Arial" w:hAnsi="Arial" w:cs="Arial"/>
          <w:bCs/>
          <w:sz w:val="24"/>
          <w:szCs w:val="24"/>
        </w:rPr>
        <w:t xml:space="preserve">. The intent of the clause is to ensure that section 62 </w:t>
      </w:r>
      <w:r w:rsidR="008E6889">
        <w:rPr>
          <w:rFonts w:ascii="Arial" w:hAnsi="Arial" w:cs="Arial"/>
          <w:bCs/>
          <w:sz w:val="24"/>
          <w:szCs w:val="24"/>
        </w:rPr>
        <w:t xml:space="preserve">generally </w:t>
      </w:r>
      <w:r>
        <w:rPr>
          <w:rFonts w:ascii="Arial" w:hAnsi="Arial" w:cs="Arial"/>
          <w:bCs/>
          <w:sz w:val="24"/>
          <w:szCs w:val="24"/>
        </w:rPr>
        <w:t>applies in relation to an EPOA irrespective of whether the principal has impaired decision-making capacity</w:t>
      </w:r>
      <w:r w:rsidR="00DA6E99">
        <w:rPr>
          <w:rFonts w:ascii="Arial" w:hAnsi="Arial" w:cs="Arial"/>
          <w:bCs/>
          <w:sz w:val="24"/>
          <w:szCs w:val="24"/>
        </w:rPr>
        <w:t>.</w:t>
      </w:r>
    </w:p>
    <w:p w14:paraId="204A93CF" w14:textId="6D3A9014" w:rsidR="00E90990" w:rsidRDefault="00E90990"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12</w:t>
      </w:r>
      <w:r>
        <w:rPr>
          <w:rFonts w:ascii="Arial" w:hAnsi="Arial" w:cs="Arial"/>
          <w:b/>
          <w:bCs/>
          <w:sz w:val="24"/>
          <w:szCs w:val="24"/>
        </w:rPr>
        <w:tab/>
        <w:t>Sections 62(4) and (5)</w:t>
      </w:r>
    </w:p>
    <w:p w14:paraId="269C3778" w14:textId="6FC8B9CF" w:rsidR="008E6889" w:rsidRPr="008E6889" w:rsidRDefault="008E6889" w:rsidP="008E6889">
      <w:pPr>
        <w:jc w:val="both"/>
        <w:rPr>
          <w:rFonts w:ascii="Arial" w:hAnsi="Arial" w:cs="Arial"/>
          <w:sz w:val="24"/>
          <w:szCs w:val="24"/>
        </w:rPr>
      </w:pPr>
      <w:r>
        <w:rPr>
          <w:rFonts w:ascii="Arial" w:hAnsi="Arial" w:cs="Arial"/>
          <w:sz w:val="24"/>
          <w:szCs w:val="24"/>
        </w:rPr>
        <w:t xml:space="preserve">This clause substitutes sections 62(4) and (5) </w:t>
      </w:r>
      <w:r w:rsidR="00B4069F">
        <w:rPr>
          <w:rFonts w:ascii="Arial" w:hAnsi="Arial" w:cs="Arial"/>
          <w:sz w:val="24"/>
          <w:szCs w:val="24"/>
        </w:rPr>
        <w:t xml:space="preserve">of the GMP Act </w:t>
      </w:r>
      <w:r>
        <w:rPr>
          <w:rFonts w:ascii="Arial" w:hAnsi="Arial" w:cs="Arial"/>
          <w:sz w:val="24"/>
          <w:szCs w:val="24"/>
        </w:rPr>
        <w:t>to provide that ACAT may appoint a guardian or manager for the principal under an EPOA, where ACAT revokes or suspends the EPOA and the principal has impaired</w:t>
      </w:r>
      <w:r w:rsidR="00962EEC">
        <w:rPr>
          <w:rFonts w:ascii="Arial" w:hAnsi="Arial" w:cs="Arial"/>
          <w:sz w:val="24"/>
          <w:szCs w:val="24"/>
        </w:rPr>
        <w:t xml:space="preserve"> </w:t>
      </w:r>
      <w:r>
        <w:rPr>
          <w:rFonts w:ascii="Arial" w:hAnsi="Arial" w:cs="Arial"/>
          <w:sz w:val="24"/>
          <w:szCs w:val="24"/>
        </w:rPr>
        <w:t>decision</w:t>
      </w:r>
      <w:r w:rsidR="00962EEC">
        <w:rPr>
          <w:rFonts w:ascii="Arial" w:hAnsi="Arial" w:cs="Arial"/>
          <w:sz w:val="24"/>
          <w:szCs w:val="24"/>
        </w:rPr>
        <w:t>-</w:t>
      </w:r>
      <w:r>
        <w:rPr>
          <w:rFonts w:ascii="Arial" w:hAnsi="Arial" w:cs="Arial"/>
          <w:sz w:val="24"/>
          <w:szCs w:val="24"/>
        </w:rPr>
        <w:t>making capacity. The intent of the clause is to ensure that the amendment to section 62(1)</w:t>
      </w:r>
      <w:r w:rsidR="00801E74">
        <w:rPr>
          <w:rFonts w:ascii="Arial" w:hAnsi="Arial" w:cs="Arial"/>
          <w:sz w:val="24"/>
          <w:szCs w:val="24"/>
        </w:rPr>
        <w:t xml:space="preserve"> </w:t>
      </w:r>
      <w:r>
        <w:rPr>
          <w:rFonts w:ascii="Arial" w:hAnsi="Arial" w:cs="Arial"/>
          <w:sz w:val="24"/>
          <w:szCs w:val="24"/>
        </w:rPr>
        <w:t xml:space="preserve">does not apply to the power of ACAT to appoint a guardian or manager for a principal under an EPOA in circumstances where </w:t>
      </w:r>
      <w:r w:rsidR="00DA6E99">
        <w:rPr>
          <w:rFonts w:ascii="Arial" w:hAnsi="Arial" w:cs="Arial"/>
          <w:sz w:val="24"/>
          <w:szCs w:val="24"/>
        </w:rPr>
        <w:t>ACAT</w:t>
      </w:r>
      <w:r>
        <w:rPr>
          <w:rFonts w:ascii="Arial" w:hAnsi="Arial" w:cs="Arial"/>
          <w:sz w:val="24"/>
          <w:szCs w:val="24"/>
        </w:rPr>
        <w:t xml:space="preserve"> revokes or suspends the EPOA and the principal has impaired</w:t>
      </w:r>
      <w:r w:rsidR="00962EEC">
        <w:rPr>
          <w:rFonts w:ascii="Arial" w:hAnsi="Arial" w:cs="Arial"/>
          <w:sz w:val="24"/>
          <w:szCs w:val="24"/>
        </w:rPr>
        <w:t xml:space="preserve"> </w:t>
      </w:r>
      <w:r>
        <w:rPr>
          <w:rFonts w:ascii="Arial" w:hAnsi="Arial" w:cs="Arial"/>
          <w:sz w:val="24"/>
          <w:szCs w:val="24"/>
        </w:rPr>
        <w:t>decision</w:t>
      </w:r>
      <w:r w:rsidR="00962EEC">
        <w:rPr>
          <w:rFonts w:ascii="Arial" w:hAnsi="Arial" w:cs="Arial"/>
          <w:sz w:val="24"/>
          <w:szCs w:val="24"/>
        </w:rPr>
        <w:t>-</w:t>
      </w:r>
      <w:r>
        <w:rPr>
          <w:rFonts w:ascii="Arial" w:hAnsi="Arial" w:cs="Arial"/>
          <w:sz w:val="24"/>
          <w:szCs w:val="24"/>
        </w:rPr>
        <w:t>making capacity.</w:t>
      </w:r>
      <w:r w:rsidR="00817231">
        <w:rPr>
          <w:rFonts w:ascii="Arial" w:hAnsi="Arial" w:cs="Arial"/>
          <w:sz w:val="24"/>
          <w:szCs w:val="24"/>
        </w:rPr>
        <w:t xml:space="preserve"> The intention of this clause is to maintain the current situation in that ACAT may only appoint a guardian or manager for a principal under an EPOA where the principal has impaired decision</w:t>
      </w:r>
      <w:r w:rsidR="00801E74">
        <w:rPr>
          <w:rFonts w:ascii="Arial" w:hAnsi="Arial" w:cs="Arial"/>
          <w:sz w:val="24"/>
          <w:szCs w:val="24"/>
        </w:rPr>
        <w:t>-</w:t>
      </w:r>
      <w:r w:rsidR="00817231">
        <w:rPr>
          <w:rFonts w:ascii="Arial" w:hAnsi="Arial" w:cs="Arial"/>
          <w:sz w:val="24"/>
          <w:szCs w:val="24"/>
        </w:rPr>
        <w:t xml:space="preserve">making capacity.  </w:t>
      </w:r>
    </w:p>
    <w:p w14:paraId="2FBA87A4" w14:textId="3EA08584" w:rsidR="000A68B6" w:rsidRDefault="00E90990"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13</w:t>
      </w:r>
      <w:r>
        <w:rPr>
          <w:rFonts w:ascii="Arial" w:hAnsi="Arial" w:cs="Arial"/>
          <w:b/>
          <w:bCs/>
          <w:sz w:val="24"/>
          <w:szCs w:val="24"/>
        </w:rPr>
        <w:tab/>
      </w:r>
      <w:r w:rsidR="000A68B6" w:rsidRPr="000A68B6">
        <w:rPr>
          <w:rFonts w:ascii="Arial" w:hAnsi="Arial" w:cs="Arial"/>
          <w:b/>
          <w:bCs/>
          <w:sz w:val="24"/>
          <w:szCs w:val="24"/>
        </w:rPr>
        <w:t>Request for accounts—enduring powers of attorney</w:t>
      </w:r>
    </w:p>
    <w:p w14:paraId="3F10ECDC" w14:textId="17944F7F" w:rsidR="00E90990" w:rsidRDefault="00E90990" w:rsidP="000A68B6">
      <w:pPr>
        <w:ind w:left="720" w:firstLine="720"/>
        <w:rPr>
          <w:rFonts w:ascii="Arial" w:hAnsi="Arial" w:cs="Arial"/>
          <w:b/>
          <w:bCs/>
          <w:sz w:val="24"/>
          <w:szCs w:val="24"/>
        </w:rPr>
      </w:pPr>
      <w:r>
        <w:rPr>
          <w:rFonts w:ascii="Arial" w:hAnsi="Arial" w:cs="Arial"/>
          <w:b/>
          <w:bCs/>
          <w:sz w:val="24"/>
          <w:szCs w:val="24"/>
        </w:rPr>
        <w:t>Section 64(1)</w:t>
      </w:r>
    </w:p>
    <w:p w14:paraId="64307FC2" w14:textId="7C65D489" w:rsidR="00E05F7D" w:rsidRPr="00E05F7D" w:rsidRDefault="00E05F7D" w:rsidP="00E05F7D">
      <w:pPr>
        <w:jc w:val="both"/>
        <w:rPr>
          <w:rFonts w:ascii="Arial" w:hAnsi="Arial" w:cs="Arial"/>
          <w:bCs/>
          <w:sz w:val="24"/>
          <w:szCs w:val="24"/>
        </w:rPr>
      </w:pPr>
      <w:r>
        <w:rPr>
          <w:rFonts w:ascii="Arial" w:hAnsi="Arial" w:cs="Arial"/>
          <w:bCs/>
          <w:sz w:val="24"/>
          <w:szCs w:val="24"/>
        </w:rPr>
        <w:t>This clause omits section 64(1)</w:t>
      </w:r>
      <w:r w:rsidR="00D913C6">
        <w:rPr>
          <w:rFonts w:ascii="Arial" w:hAnsi="Arial" w:cs="Arial"/>
          <w:bCs/>
          <w:sz w:val="24"/>
          <w:szCs w:val="24"/>
        </w:rPr>
        <w:t xml:space="preserve"> of the GMP Act</w:t>
      </w:r>
      <w:r>
        <w:rPr>
          <w:rFonts w:ascii="Arial" w:hAnsi="Arial" w:cs="Arial"/>
          <w:bCs/>
          <w:sz w:val="24"/>
          <w:szCs w:val="24"/>
        </w:rPr>
        <w:t>. The intent of the clause is to ensure that section 64 applies in relation to an EPOA irrespective of whether the principal has impaired decision-making capacity</w:t>
      </w:r>
      <w:r w:rsidR="00D913C6">
        <w:rPr>
          <w:rFonts w:ascii="Arial" w:hAnsi="Arial" w:cs="Arial"/>
          <w:bCs/>
          <w:sz w:val="24"/>
          <w:szCs w:val="24"/>
        </w:rPr>
        <w:t>.</w:t>
      </w:r>
    </w:p>
    <w:p w14:paraId="6BCD782A" w14:textId="34174A98" w:rsidR="00E90990" w:rsidRDefault="00E90990"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14</w:t>
      </w:r>
      <w:r>
        <w:rPr>
          <w:rFonts w:ascii="Arial" w:hAnsi="Arial" w:cs="Arial"/>
          <w:b/>
          <w:bCs/>
          <w:sz w:val="24"/>
          <w:szCs w:val="24"/>
        </w:rPr>
        <w:tab/>
        <w:t>Section 64(2)</w:t>
      </w:r>
    </w:p>
    <w:p w14:paraId="435B7787" w14:textId="1B678BE7" w:rsidR="00E05F7D" w:rsidRDefault="00E05F7D" w:rsidP="00E05F7D">
      <w:pPr>
        <w:jc w:val="both"/>
        <w:rPr>
          <w:rFonts w:ascii="Arial" w:hAnsi="Arial" w:cs="Arial"/>
          <w:bCs/>
          <w:sz w:val="24"/>
          <w:szCs w:val="24"/>
        </w:rPr>
      </w:pPr>
      <w:r>
        <w:rPr>
          <w:rFonts w:ascii="Arial" w:hAnsi="Arial" w:cs="Arial"/>
          <w:bCs/>
          <w:sz w:val="24"/>
          <w:szCs w:val="24"/>
        </w:rPr>
        <w:lastRenderedPageBreak/>
        <w:t xml:space="preserve">This clause omits the phrase ‘the enduring’ </w:t>
      </w:r>
      <w:r w:rsidR="00B4069F">
        <w:rPr>
          <w:rFonts w:ascii="Arial" w:hAnsi="Arial" w:cs="Arial"/>
          <w:bCs/>
          <w:sz w:val="24"/>
          <w:szCs w:val="24"/>
        </w:rPr>
        <w:t xml:space="preserve">in section 64(2) of the GMP Act </w:t>
      </w:r>
      <w:r>
        <w:rPr>
          <w:rFonts w:ascii="Arial" w:hAnsi="Arial" w:cs="Arial"/>
          <w:bCs/>
          <w:sz w:val="24"/>
          <w:szCs w:val="24"/>
        </w:rPr>
        <w:t xml:space="preserve">and inserts the phrase ‘an enduring’ in the provision. The intent of the clause is to improve the legibility of the provision, </w:t>
      </w:r>
      <w:r w:rsidR="008E6889">
        <w:rPr>
          <w:rFonts w:ascii="Arial" w:hAnsi="Arial" w:cs="Arial"/>
          <w:bCs/>
          <w:sz w:val="24"/>
          <w:szCs w:val="24"/>
        </w:rPr>
        <w:t>which is affected by the amendment to section 64(1).</w:t>
      </w:r>
    </w:p>
    <w:p w14:paraId="42C54183" w14:textId="6713758C" w:rsidR="00E90990" w:rsidRDefault="00E90990" w:rsidP="0077621B">
      <w:pPr>
        <w:rPr>
          <w:rFonts w:ascii="Arial" w:hAnsi="Arial" w:cs="Arial"/>
          <w:b/>
          <w:bCs/>
          <w:sz w:val="24"/>
          <w:szCs w:val="24"/>
        </w:rPr>
      </w:pPr>
      <w:r>
        <w:rPr>
          <w:rFonts w:ascii="Arial" w:hAnsi="Arial" w:cs="Arial"/>
          <w:b/>
          <w:bCs/>
          <w:sz w:val="24"/>
          <w:szCs w:val="24"/>
        </w:rPr>
        <w:t xml:space="preserve">Part </w:t>
      </w:r>
      <w:r w:rsidR="00F139CB">
        <w:rPr>
          <w:rFonts w:ascii="Arial" w:hAnsi="Arial" w:cs="Arial"/>
          <w:b/>
          <w:bCs/>
          <w:sz w:val="24"/>
          <w:szCs w:val="24"/>
        </w:rPr>
        <w:t>8</w:t>
      </w:r>
      <w:r w:rsidR="00CE16A1">
        <w:rPr>
          <w:rFonts w:ascii="Arial" w:hAnsi="Arial" w:cs="Arial"/>
          <w:b/>
          <w:bCs/>
          <w:sz w:val="24"/>
          <w:szCs w:val="24"/>
        </w:rPr>
        <w:tab/>
      </w:r>
      <w:r>
        <w:rPr>
          <w:rFonts w:ascii="Arial" w:hAnsi="Arial" w:cs="Arial"/>
          <w:b/>
          <w:bCs/>
          <w:sz w:val="24"/>
          <w:szCs w:val="24"/>
        </w:rPr>
        <w:tab/>
        <w:t>Legal Profession Act 2006</w:t>
      </w:r>
    </w:p>
    <w:p w14:paraId="2E9F42A7" w14:textId="10025A6A" w:rsidR="00F139CB" w:rsidRDefault="00E90990"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15</w:t>
      </w:r>
      <w:r>
        <w:rPr>
          <w:rFonts w:ascii="Arial" w:hAnsi="Arial" w:cs="Arial"/>
          <w:b/>
          <w:bCs/>
          <w:sz w:val="24"/>
          <w:szCs w:val="24"/>
        </w:rPr>
        <w:tab/>
      </w:r>
      <w:r w:rsidR="00F139CB">
        <w:rPr>
          <w:rFonts w:ascii="Arial" w:hAnsi="Arial" w:cs="Arial"/>
          <w:b/>
          <w:bCs/>
          <w:sz w:val="24"/>
          <w:szCs w:val="24"/>
        </w:rPr>
        <w:t>Suitability matters</w:t>
      </w:r>
    </w:p>
    <w:p w14:paraId="58AB7EC8" w14:textId="54612A44" w:rsidR="00E90990" w:rsidRDefault="00E90990" w:rsidP="00F139CB">
      <w:pPr>
        <w:ind w:left="720" w:firstLine="720"/>
        <w:rPr>
          <w:rFonts w:ascii="Arial" w:hAnsi="Arial" w:cs="Arial"/>
          <w:b/>
          <w:bCs/>
          <w:sz w:val="24"/>
          <w:szCs w:val="24"/>
        </w:rPr>
      </w:pPr>
      <w:r>
        <w:rPr>
          <w:rFonts w:ascii="Arial" w:hAnsi="Arial" w:cs="Arial"/>
          <w:b/>
          <w:bCs/>
          <w:sz w:val="24"/>
          <w:szCs w:val="24"/>
        </w:rPr>
        <w:t>New section 11(1)(</w:t>
      </w:r>
      <w:proofErr w:type="spellStart"/>
      <w:r>
        <w:rPr>
          <w:rFonts w:ascii="Arial" w:hAnsi="Arial" w:cs="Arial"/>
          <w:b/>
          <w:bCs/>
          <w:sz w:val="24"/>
          <w:szCs w:val="24"/>
        </w:rPr>
        <w:t>ba</w:t>
      </w:r>
      <w:proofErr w:type="spellEnd"/>
      <w:r>
        <w:rPr>
          <w:rFonts w:ascii="Arial" w:hAnsi="Arial" w:cs="Arial"/>
          <w:b/>
          <w:bCs/>
          <w:sz w:val="24"/>
          <w:szCs w:val="24"/>
        </w:rPr>
        <w:t>)</w:t>
      </w:r>
    </w:p>
    <w:p w14:paraId="7146DFAA" w14:textId="2DA31877" w:rsidR="0085369F" w:rsidRPr="0085369F" w:rsidRDefault="00266AE3" w:rsidP="00B6371E">
      <w:pPr>
        <w:jc w:val="both"/>
        <w:rPr>
          <w:rFonts w:ascii="Arial" w:hAnsi="Arial" w:cs="Arial"/>
          <w:sz w:val="24"/>
          <w:szCs w:val="24"/>
        </w:rPr>
      </w:pPr>
      <w:bookmarkStart w:id="7" w:name="_Hlk56268474"/>
      <w:r>
        <w:rPr>
          <w:rFonts w:ascii="Arial" w:hAnsi="Arial" w:cs="Arial"/>
          <w:sz w:val="24"/>
          <w:szCs w:val="24"/>
        </w:rPr>
        <w:t>This clause inserts a new section 11(1)(</w:t>
      </w:r>
      <w:proofErr w:type="spellStart"/>
      <w:r>
        <w:rPr>
          <w:rFonts w:ascii="Arial" w:hAnsi="Arial" w:cs="Arial"/>
          <w:sz w:val="24"/>
          <w:szCs w:val="24"/>
        </w:rPr>
        <w:t>b</w:t>
      </w:r>
      <w:r w:rsidR="007353D3">
        <w:rPr>
          <w:rFonts w:ascii="Arial" w:hAnsi="Arial" w:cs="Arial"/>
          <w:sz w:val="24"/>
          <w:szCs w:val="24"/>
        </w:rPr>
        <w:t>a</w:t>
      </w:r>
      <w:proofErr w:type="spellEnd"/>
      <w:r>
        <w:rPr>
          <w:rFonts w:ascii="Arial" w:hAnsi="Arial" w:cs="Arial"/>
          <w:sz w:val="24"/>
          <w:szCs w:val="24"/>
        </w:rPr>
        <w:t xml:space="preserve">) </w:t>
      </w:r>
      <w:r w:rsidR="000460A6">
        <w:rPr>
          <w:rFonts w:ascii="Arial" w:hAnsi="Arial" w:cs="Arial"/>
          <w:sz w:val="24"/>
          <w:szCs w:val="24"/>
        </w:rPr>
        <w:t xml:space="preserve">in the LP Act </w:t>
      </w:r>
      <w:r w:rsidR="000C3FB2">
        <w:rPr>
          <w:rFonts w:ascii="Arial" w:hAnsi="Arial" w:cs="Arial"/>
          <w:sz w:val="24"/>
          <w:szCs w:val="24"/>
        </w:rPr>
        <w:t>to</w:t>
      </w:r>
      <w:r>
        <w:rPr>
          <w:rFonts w:ascii="Arial" w:hAnsi="Arial" w:cs="Arial"/>
          <w:sz w:val="24"/>
          <w:szCs w:val="24"/>
        </w:rPr>
        <w:t xml:space="preserve"> </w:t>
      </w:r>
      <w:r w:rsidR="00B6371E">
        <w:rPr>
          <w:rFonts w:ascii="Arial" w:hAnsi="Arial" w:cs="Arial"/>
          <w:sz w:val="24"/>
          <w:szCs w:val="24"/>
        </w:rPr>
        <w:t>extend the definition of</w:t>
      </w:r>
      <w:r>
        <w:rPr>
          <w:rFonts w:ascii="Arial" w:hAnsi="Arial" w:cs="Arial"/>
          <w:sz w:val="24"/>
          <w:szCs w:val="24"/>
        </w:rPr>
        <w:t xml:space="preserve"> a ‘suitability matter’ </w:t>
      </w:r>
      <w:r w:rsidR="00B6371E">
        <w:rPr>
          <w:rFonts w:ascii="Arial" w:hAnsi="Arial" w:cs="Arial"/>
          <w:sz w:val="24"/>
          <w:szCs w:val="24"/>
        </w:rPr>
        <w:t xml:space="preserve">to include </w:t>
      </w:r>
      <w:r>
        <w:rPr>
          <w:rFonts w:ascii="Arial" w:hAnsi="Arial" w:cs="Arial"/>
          <w:sz w:val="24"/>
          <w:szCs w:val="24"/>
        </w:rPr>
        <w:t xml:space="preserve">whether a person is or was a legal practitioner who was also a director of an incorporated legal practice while the practice is or was an externally-administered body corporate under the </w:t>
      </w:r>
      <w:r>
        <w:rPr>
          <w:rFonts w:ascii="Arial" w:hAnsi="Arial" w:cs="Arial"/>
          <w:i/>
          <w:iCs/>
          <w:sz w:val="24"/>
          <w:szCs w:val="24"/>
        </w:rPr>
        <w:t>Corporations Act 2001</w:t>
      </w:r>
      <w:r>
        <w:rPr>
          <w:rFonts w:ascii="Arial" w:hAnsi="Arial" w:cs="Arial"/>
          <w:sz w:val="24"/>
          <w:szCs w:val="24"/>
        </w:rPr>
        <w:t xml:space="preserve"> (</w:t>
      </w:r>
      <w:proofErr w:type="spellStart"/>
      <w:r>
        <w:rPr>
          <w:rFonts w:ascii="Arial" w:hAnsi="Arial" w:cs="Arial"/>
          <w:sz w:val="24"/>
          <w:szCs w:val="24"/>
        </w:rPr>
        <w:t>Cth</w:t>
      </w:r>
      <w:proofErr w:type="spellEnd"/>
      <w:r>
        <w:rPr>
          <w:rFonts w:ascii="Arial" w:hAnsi="Arial" w:cs="Arial"/>
          <w:sz w:val="24"/>
          <w:szCs w:val="24"/>
        </w:rPr>
        <w:t>).</w:t>
      </w:r>
      <w:bookmarkEnd w:id="7"/>
    </w:p>
    <w:p w14:paraId="778F5FCC" w14:textId="45535F10" w:rsidR="00F139CB" w:rsidRDefault="00F139CB"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16</w:t>
      </w:r>
      <w:r>
        <w:rPr>
          <w:rFonts w:ascii="Arial" w:hAnsi="Arial" w:cs="Arial"/>
          <w:b/>
          <w:bCs/>
          <w:sz w:val="24"/>
          <w:szCs w:val="24"/>
        </w:rPr>
        <w:tab/>
      </w:r>
      <w:r w:rsidR="002B19EC">
        <w:rPr>
          <w:rFonts w:ascii="Arial" w:hAnsi="Arial" w:cs="Arial"/>
          <w:b/>
          <w:bCs/>
          <w:sz w:val="24"/>
          <w:szCs w:val="24"/>
        </w:rPr>
        <w:t>External administration proceedings under Corporations Act</w:t>
      </w:r>
    </w:p>
    <w:p w14:paraId="6FBBCC0A" w14:textId="13F16473" w:rsidR="00F139CB" w:rsidRDefault="002B19EC" w:rsidP="002B19EC">
      <w:pPr>
        <w:ind w:left="720" w:firstLine="720"/>
        <w:rPr>
          <w:rFonts w:ascii="Arial" w:hAnsi="Arial" w:cs="Arial"/>
          <w:sz w:val="24"/>
          <w:szCs w:val="24"/>
        </w:rPr>
      </w:pPr>
      <w:r>
        <w:rPr>
          <w:rFonts w:ascii="Arial" w:hAnsi="Arial" w:cs="Arial"/>
          <w:b/>
          <w:bCs/>
          <w:sz w:val="24"/>
          <w:szCs w:val="24"/>
        </w:rPr>
        <w:t>Section 125(6)</w:t>
      </w:r>
      <w:r w:rsidR="00F139CB">
        <w:rPr>
          <w:rFonts w:ascii="Arial" w:hAnsi="Arial" w:cs="Arial"/>
          <w:b/>
          <w:bCs/>
          <w:sz w:val="24"/>
          <w:szCs w:val="24"/>
        </w:rPr>
        <w:tab/>
      </w:r>
      <w:r w:rsidR="00F139CB">
        <w:rPr>
          <w:rFonts w:ascii="Arial" w:hAnsi="Arial" w:cs="Arial"/>
          <w:b/>
          <w:bCs/>
          <w:sz w:val="24"/>
          <w:szCs w:val="24"/>
        </w:rPr>
        <w:tab/>
      </w:r>
    </w:p>
    <w:p w14:paraId="3BF5337A" w14:textId="6F873F53" w:rsidR="00F139CB" w:rsidRPr="00F139CB" w:rsidRDefault="00F139CB" w:rsidP="0077621B">
      <w:pPr>
        <w:rPr>
          <w:rFonts w:ascii="Arial" w:hAnsi="Arial" w:cs="Arial"/>
          <w:sz w:val="24"/>
          <w:szCs w:val="24"/>
        </w:rPr>
      </w:pPr>
      <w:r>
        <w:rPr>
          <w:rFonts w:ascii="Arial" w:hAnsi="Arial" w:cs="Arial"/>
          <w:sz w:val="24"/>
          <w:szCs w:val="24"/>
        </w:rPr>
        <w:t xml:space="preserve">This clause omits section 125(6) of the LP Act. The intent of the clause is to ensure that a consistent definition of ‘Chapter 5 body corporate’ </w:t>
      </w:r>
      <w:r w:rsidR="002B19EC">
        <w:rPr>
          <w:rFonts w:ascii="Arial" w:hAnsi="Arial" w:cs="Arial"/>
          <w:sz w:val="24"/>
          <w:szCs w:val="24"/>
        </w:rPr>
        <w:t xml:space="preserve">in the LP Act </w:t>
      </w:r>
      <w:r>
        <w:rPr>
          <w:rFonts w:ascii="Arial" w:hAnsi="Arial" w:cs="Arial"/>
          <w:sz w:val="24"/>
          <w:szCs w:val="24"/>
        </w:rPr>
        <w:t>is reflected in the dictionary of</w:t>
      </w:r>
      <w:r w:rsidR="002B19EC">
        <w:rPr>
          <w:rFonts w:ascii="Arial" w:hAnsi="Arial" w:cs="Arial"/>
          <w:sz w:val="24"/>
          <w:szCs w:val="24"/>
        </w:rPr>
        <w:t xml:space="preserve"> </w:t>
      </w:r>
      <w:r>
        <w:rPr>
          <w:rFonts w:ascii="Arial" w:hAnsi="Arial" w:cs="Arial"/>
          <w:sz w:val="24"/>
          <w:szCs w:val="24"/>
        </w:rPr>
        <w:t>the LP Act.</w:t>
      </w:r>
    </w:p>
    <w:p w14:paraId="29FD4BD3" w14:textId="0E188410" w:rsidR="009012C5" w:rsidRDefault="009012C5"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17</w:t>
      </w:r>
      <w:r>
        <w:rPr>
          <w:rFonts w:ascii="Arial" w:hAnsi="Arial" w:cs="Arial"/>
          <w:b/>
          <w:bCs/>
          <w:sz w:val="24"/>
          <w:szCs w:val="24"/>
        </w:rPr>
        <w:tab/>
        <w:t>Register of disciplinary action</w:t>
      </w:r>
    </w:p>
    <w:p w14:paraId="48D609DA" w14:textId="4D21C195" w:rsidR="009012C5" w:rsidRDefault="009012C5" w:rsidP="0077621B">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New section 448(2A)</w:t>
      </w:r>
    </w:p>
    <w:p w14:paraId="0397A7D2" w14:textId="6D4BDD0A" w:rsidR="00671A5E" w:rsidRDefault="00671A5E" w:rsidP="003412EB">
      <w:pPr>
        <w:jc w:val="both"/>
        <w:rPr>
          <w:rFonts w:ascii="Arial" w:hAnsi="Arial" w:cs="Arial"/>
          <w:sz w:val="24"/>
          <w:szCs w:val="24"/>
        </w:rPr>
      </w:pPr>
      <w:r>
        <w:rPr>
          <w:rFonts w:ascii="Arial" w:hAnsi="Arial" w:cs="Arial"/>
          <w:sz w:val="24"/>
          <w:szCs w:val="24"/>
        </w:rPr>
        <w:t>This clause inserts a new section 448(2A)</w:t>
      </w:r>
      <w:r w:rsidR="00571F54">
        <w:rPr>
          <w:rFonts w:ascii="Arial" w:hAnsi="Arial" w:cs="Arial"/>
          <w:sz w:val="24"/>
          <w:szCs w:val="24"/>
        </w:rPr>
        <w:t xml:space="preserve"> in the LP Act</w:t>
      </w:r>
      <w:r>
        <w:rPr>
          <w:rFonts w:ascii="Arial" w:hAnsi="Arial" w:cs="Arial"/>
          <w:sz w:val="24"/>
          <w:szCs w:val="24"/>
        </w:rPr>
        <w:t xml:space="preserve"> which provides a requirement for relevant law councils to remove all information of a legal practitioner from the register of disciplinary action once the legal practitioner is deceased.</w:t>
      </w:r>
      <w:r w:rsidR="00B6371E">
        <w:rPr>
          <w:rFonts w:ascii="Arial" w:hAnsi="Arial" w:cs="Arial"/>
          <w:sz w:val="24"/>
          <w:szCs w:val="24"/>
        </w:rPr>
        <w:t xml:space="preserve"> </w:t>
      </w:r>
    </w:p>
    <w:p w14:paraId="1552551A" w14:textId="5D8F01F9" w:rsidR="002B19EC" w:rsidRDefault="002B19EC" w:rsidP="002B19EC">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18</w:t>
      </w:r>
      <w:r>
        <w:rPr>
          <w:rFonts w:ascii="Arial" w:hAnsi="Arial" w:cs="Arial"/>
          <w:b/>
          <w:bCs/>
          <w:sz w:val="24"/>
          <w:szCs w:val="24"/>
        </w:rPr>
        <w:tab/>
        <w:t>Dictionary, new definition of Chapter 5 body corporate</w:t>
      </w:r>
    </w:p>
    <w:p w14:paraId="5C6313E8" w14:textId="4999FF21" w:rsidR="002B19EC" w:rsidRPr="002B19EC" w:rsidRDefault="002B19EC" w:rsidP="00F139CB">
      <w:pPr>
        <w:rPr>
          <w:rFonts w:ascii="Arial" w:hAnsi="Arial" w:cs="Arial"/>
          <w:sz w:val="24"/>
          <w:szCs w:val="24"/>
        </w:rPr>
      </w:pPr>
      <w:r>
        <w:rPr>
          <w:rFonts w:ascii="Arial" w:hAnsi="Arial" w:cs="Arial"/>
          <w:sz w:val="24"/>
          <w:szCs w:val="24"/>
        </w:rPr>
        <w:t>This clause inserts a definition of ‘Chapter 5 body corporate’ in the dictionary of the LP Act. The intent of the clause is to ensure that a consistent definition of ‘Chapter 5 body corporate’ is used throughout the LP Act.</w:t>
      </w:r>
    </w:p>
    <w:p w14:paraId="479ADE64" w14:textId="524B9515" w:rsidR="00F139CB" w:rsidRDefault="00F139CB" w:rsidP="00F139C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19</w:t>
      </w:r>
      <w:r>
        <w:rPr>
          <w:rFonts w:ascii="Arial" w:hAnsi="Arial" w:cs="Arial"/>
          <w:b/>
          <w:bCs/>
          <w:sz w:val="24"/>
          <w:szCs w:val="24"/>
        </w:rPr>
        <w:tab/>
        <w:t>Dictionary, definition of show-cause event, new paragraph (aa)</w:t>
      </w:r>
    </w:p>
    <w:p w14:paraId="1B526B9C" w14:textId="67A89B5D" w:rsidR="00F139CB" w:rsidRPr="0085369F" w:rsidRDefault="00F139CB" w:rsidP="00F139CB">
      <w:pPr>
        <w:jc w:val="both"/>
        <w:rPr>
          <w:rFonts w:ascii="Arial" w:hAnsi="Arial" w:cs="Arial"/>
          <w:sz w:val="24"/>
          <w:szCs w:val="24"/>
        </w:rPr>
      </w:pPr>
      <w:r>
        <w:rPr>
          <w:rFonts w:ascii="Arial" w:hAnsi="Arial" w:cs="Arial"/>
          <w:sz w:val="24"/>
          <w:szCs w:val="24"/>
        </w:rPr>
        <w:t xml:space="preserve">This clause inserts a new paragraph (aa) in the dictionary of the LP Act to extend the definition of ‘show-cause’ event in the dictionary to include whether a person is or was a legal practitioner who was also a director of an incorporated legal practice while the practice is or was </w:t>
      </w:r>
      <w:r w:rsidR="007353D3">
        <w:rPr>
          <w:rFonts w:ascii="Arial" w:hAnsi="Arial" w:cs="Arial"/>
          <w:sz w:val="24"/>
          <w:szCs w:val="24"/>
        </w:rPr>
        <w:t>becoming a Chapter 5 body</w:t>
      </w:r>
      <w:r>
        <w:rPr>
          <w:rFonts w:ascii="Arial" w:hAnsi="Arial" w:cs="Arial"/>
          <w:sz w:val="24"/>
          <w:szCs w:val="24"/>
        </w:rPr>
        <w:t xml:space="preserve"> corporate.</w:t>
      </w:r>
    </w:p>
    <w:p w14:paraId="7FD8234E" w14:textId="422652A6" w:rsidR="009012C5" w:rsidRDefault="00E51257" w:rsidP="0077621B">
      <w:pPr>
        <w:rPr>
          <w:rFonts w:ascii="Arial" w:hAnsi="Arial" w:cs="Arial"/>
          <w:b/>
          <w:bCs/>
          <w:sz w:val="24"/>
          <w:szCs w:val="24"/>
        </w:rPr>
      </w:pPr>
      <w:r>
        <w:rPr>
          <w:rFonts w:ascii="Arial" w:hAnsi="Arial" w:cs="Arial"/>
          <w:b/>
          <w:bCs/>
          <w:sz w:val="24"/>
          <w:szCs w:val="24"/>
        </w:rPr>
        <w:t xml:space="preserve">Part </w:t>
      </w:r>
      <w:r w:rsidR="000849D6">
        <w:rPr>
          <w:rFonts w:ascii="Arial" w:hAnsi="Arial" w:cs="Arial"/>
          <w:b/>
          <w:bCs/>
          <w:sz w:val="24"/>
          <w:szCs w:val="24"/>
        </w:rPr>
        <w:t>9</w:t>
      </w:r>
      <w:r w:rsidR="000849D6">
        <w:rPr>
          <w:rFonts w:ascii="Arial" w:hAnsi="Arial" w:cs="Arial"/>
          <w:b/>
          <w:bCs/>
          <w:sz w:val="24"/>
          <w:szCs w:val="24"/>
        </w:rPr>
        <w:tab/>
      </w:r>
      <w:r>
        <w:rPr>
          <w:rFonts w:ascii="Arial" w:hAnsi="Arial" w:cs="Arial"/>
          <w:b/>
          <w:bCs/>
          <w:sz w:val="24"/>
          <w:szCs w:val="24"/>
        </w:rPr>
        <w:tab/>
        <w:t>Legislation Act 2001</w:t>
      </w:r>
    </w:p>
    <w:p w14:paraId="554E7F6F" w14:textId="38A3287C" w:rsidR="00226EE2"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20</w:t>
      </w:r>
      <w:r>
        <w:rPr>
          <w:rFonts w:ascii="Arial" w:hAnsi="Arial" w:cs="Arial"/>
          <w:b/>
          <w:bCs/>
          <w:sz w:val="24"/>
          <w:szCs w:val="24"/>
        </w:rPr>
        <w:tab/>
      </w:r>
      <w:r w:rsidR="00226EE2" w:rsidRPr="00226EE2">
        <w:rPr>
          <w:rFonts w:ascii="Arial" w:hAnsi="Arial" w:cs="Arial"/>
          <w:b/>
          <w:bCs/>
          <w:sz w:val="24"/>
          <w:szCs w:val="24"/>
        </w:rPr>
        <w:t>Making of certain statutory instruments by Executive</w:t>
      </w:r>
    </w:p>
    <w:p w14:paraId="0FAD6477" w14:textId="31FB3B5B" w:rsidR="00E51257" w:rsidRDefault="00E51257" w:rsidP="00226EE2">
      <w:pPr>
        <w:ind w:left="720" w:firstLine="720"/>
        <w:rPr>
          <w:rFonts w:ascii="Arial" w:hAnsi="Arial" w:cs="Arial"/>
          <w:b/>
          <w:bCs/>
          <w:sz w:val="24"/>
          <w:szCs w:val="24"/>
        </w:rPr>
      </w:pPr>
      <w:r>
        <w:rPr>
          <w:rFonts w:ascii="Arial" w:hAnsi="Arial" w:cs="Arial"/>
          <w:b/>
          <w:bCs/>
          <w:sz w:val="24"/>
          <w:szCs w:val="24"/>
        </w:rPr>
        <w:t>Section 41</w:t>
      </w:r>
      <w:r w:rsidR="00226EE2">
        <w:rPr>
          <w:rFonts w:ascii="Arial" w:hAnsi="Arial" w:cs="Arial"/>
          <w:b/>
          <w:bCs/>
          <w:sz w:val="24"/>
          <w:szCs w:val="24"/>
        </w:rPr>
        <w:t>(2)(b)</w:t>
      </w:r>
    </w:p>
    <w:p w14:paraId="0806B71A" w14:textId="167CCA39" w:rsidR="009C5D27" w:rsidRPr="009C5D27" w:rsidRDefault="009C5D27" w:rsidP="009C5D27">
      <w:pPr>
        <w:jc w:val="both"/>
        <w:rPr>
          <w:rFonts w:ascii="Arial" w:hAnsi="Arial" w:cs="Arial"/>
          <w:sz w:val="24"/>
          <w:szCs w:val="24"/>
        </w:rPr>
      </w:pPr>
      <w:r>
        <w:rPr>
          <w:rFonts w:ascii="Arial" w:hAnsi="Arial" w:cs="Arial"/>
          <w:sz w:val="24"/>
          <w:szCs w:val="24"/>
        </w:rPr>
        <w:lastRenderedPageBreak/>
        <w:t>Th</w:t>
      </w:r>
      <w:r w:rsidR="000849D6">
        <w:rPr>
          <w:rFonts w:ascii="Arial" w:hAnsi="Arial" w:cs="Arial"/>
          <w:sz w:val="24"/>
          <w:szCs w:val="24"/>
        </w:rPr>
        <w:t>is</w:t>
      </w:r>
      <w:r>
        <w:rPr>
          <w:rFonts w:ascii="Arial" w:hAnsi="Arial" w:cs="Arial"/>
          <w:sz w:val="24"/>
          <w:szCs w:val="24"/>
        </w:rPr>
        <w:t xml:space="preserve"> clause </w:t>
      </w:r>
      <w:r w:rsidR="000849D6">
        <w:rPr>
          <w:rFonts w:ascii="Arial" w:hAnsi="Arial" w:cs="Arial"/>
          <w:sz w:val="24"/>
          <w:szCs w:val="24"/>
        </w:rPr>
        <w:t xml:space="preserve">substitutes the current section 41(2)(b) to provide that the </w:t>
      </w:r>
      <w:bookmarkStart w:id="8" w:name="_Hlk57198115"/>
      <w:r w:rsidR="000849D6">
        <w:rPr>
          <w:rFonts w:ascii="Arial" w:hAnsi="Arial" w:cs="Arial"/>
          <w:sz w:val="24"/>
          <w:szCs w:val="24"/>
        </w:rPr>
        <w:t>Chief Minister and Responsible Minister are included as signing Ministers</w:t>
      </w:r>
      <w:bookmarkEnd w:id="8"/>
      <w:r w:rsidR="000849D6">
        <w:rPr>
          <w:rFonts w:ascii="Arial" w:hAnsi="Arial" w:cs="Arial"/>
          <w:sz w:val="24"/>
          <w:szCs w:val="24"/>
        </w:rPr>
        <w:t>.</w:t>
      </w:r>
      <w:r>
        <w:rPr>
          <w:rFonts w:ascii="Arial" w:hAnsi="Arial" w:cs="Arial"/>
          <w:sz w:val="24"/>
          <w:szCs w:val="24"/>
        </w:rPr>
        <w:t xml:space="preserve"> </w:t>
      </w:r>
      <w:r w:rsidR="001370C2">
        <w:rPr>
          <w:rFonts w:ascii="Arial" w:hAnsi="Arial" w:cs="Arial"/>
          <w:sz w:val="24"/>
          <w:szCs w:val="24"/>
        </w:rPr>
        <w:t xml:space="preserve">The effect of this is that subordinate laws and disallowable instruments </w:t>
      </w:r>
      <w:r w:rsidR="00C9069C">
        <w:rPr>
          <w:rFonts w:ascii="Arial" w:hAnsi="Arial" w:cs="Arial"/>
          <w:sz w:val="24"/>
          <w:szCs w:val="24"/>
        </w:rPr>
        <w:t xml:space="preserve">will be taken to have been signed by the Executive and made where it is signed by the </w:t>
      </w:r>
      <w:r w:rsidR="00C9069C" w:rsidRPr="00C9069C">
        <w:rPr>
          <w:rFonts w:ascii="Arial" w:hAnsi="Arial" w:cs="Arial"/>
          <w:sz w:val="24"/>
          <w:szCs w:val="24"/>
        </w:rPr>
        <w:t xml:space="preserve">Chief Minister and </w:t>
      </w:r>
      <w:r w:rsidR="00982304">
        <w:rPr>
          <w:rFonts w:ascii="Arial" w:hAnsi="Arial" w:cs="Arial"/>
          <w:sz w:val="24"/>
          <w:szCs w:val="24"/>
        </w:rPr>
        <w:t>r</w:t>
      </w:r>
      <w:r w:rsidR="00C9069C" w:rsidRPr="00C9069C">
        <w:rPr>
          <w:rFonts w:ascii="Arial" w:hAnsi="Arial" w:cs="Arial"/>
          <w:sz w:val="24"/>
          <w:szCs w:val="24"/>
        </w:rPr>
        <w:t>esponsible Minister</w:t>
      </w:r>
      <w:r w:rsidR="00C9069C">
        <w:rPr>
          <w:rFonts w:ascii="Arial" w:hAnsi="Arial" w:cs="Arial"/>
          <w:sz w:val="24"/>
          <w:szCs w:val="24"/>
        </w:rPr>
        <w:t xml:space="preserve">. </w:t>
      </w:r>
      <w:r>
        <w:rPr>
          <w:rFonts w:ascii="Arial" w:hAnsi="Arial" w:cs="Arial"/>
          <w:sz w:val="24"/>
          <w:szCs w:val="24"/>
        </w:rPr>
        <w:t xml:space="preserve">The intent of the clause is to provide a higher degree of oversight </w:t>
      </w:r>
      <w:r w:rsidRPr="009C5D27">
        <w:rPr>
          <w:rFonts w:ascii="Arial" w:hAnsi="Arial" w:cs="Arial"/>
          <w:sz w:val="24"/>
          <w:szCs w:val="24"/>
        </w:rPr>
        <w:t xml:space="preserve">in relation to the </w:t>
      </w:r>
      <w:r w:rsidR="001370C2">
        <w:rPr>
          <w:rFonts w:ascii="Arial" w:hAnsi="Arial" w:cs="Arial"/>
          <w:sz w:val="24"/>
          <w:szCs w:val="24"/>
        </w:rPr>
        <w:t>subordinate law and disallowable instrument</w:t>
      </w:r>
      <w:r w:rsidR="001370C2" w:rsidRPr="009C5D27">
        <w:rPr>
          <w:rFonts w:ascii="Arial" w:hAnsi="Arial" w:cs="Arial"/>
          <w:sz w:val="24"/>
          <w:szCs w:val="24"/>
        </w:rPr>
        <w:t xml:space="preserve"> </w:t>
      </w:r>
      <w:r w:rsidRPr="009C5D27">
        <w:rPr>
          <w:rFonts w:ascii="Arial" w:hAnsi="Arial" w:cs="Arial"/>
          <w:sz w:val="24"/>
          <w:szCs w:val="24"/>
        </w:rPr>
        <w:t xml:space="preserve">making powers of the Executive. </w:t>
      </w:r>
      <w:r w:rsidR="00C9069C" w:rsidRPr="00C9069C">
        <w:rPr>
          <w:rFonts w:ascii="Arial" w:hAnsi="Arial" w:cs="Arial"/>
          <w:sz w:val="24"/>
          <w:szCs w:val="24"/>
        </w:rPr>
        <w:t xml:space="preserve">The amendments do not prevent a single minister signing subordinate laws and disallowable instruments where this is provided for in enabling legislation.  </w:t>
      </w:r>
    </w:p>
    <w:p w14:paraId="13DDECDF" w14:textId="6654FF6D" w:rsidR="00E51257"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21</w:t>
      </w:r>
      <w:r>
        <w:rPr>
          <w:rFonts w:ascii="Arial" w:hAnsi="Arial" w:cs="Arial"/>
          <w:b/>
          <w:bCs/>
          <w:sz w:val="24"/>
          <w:szCs w:val="24"/>
        </w:rPr>
        <w:tab/>
        <w:t>Section</w:t>
      </w:r>
      <w:r w:rsidR="00226EE2">
        <w:rPr>
          <w:rFonts w:ascii="Arial" w:hAnsi="Arial" w:cs="Arial"/>
          <w:b/>
          <w:bCs/>
          <w:sz w:val="24"/>
          <w:szCs w:val="24"/>
        </w:rPr>
        <w:t xml:space="preserve"> 41(4)</w:t>
      </w:r>
    </w:p>
    <w:p w14:paraId="2CAECCCB" w14:textId="4C6697A4" w:rsidR="000849D6" w:rsidRDefault="009C5D27" w:rsidP="009C5D27">
      <w:pPr>
        <w:jc w:val="both"/>
        <w:rPr>
          <w:rFonts w:ascii="Arial" w:hAnsi="Arial" w:cs="Arial"/>
          <w:sz w:val="24"/>
          <w:szCs w:val="24"/>
        </w:rPr>
      </w:pPr>
      <w:r>
        <w:rPr>
          <w:rFonts w:ascii="Arial" w:hAnsi="Arial" w:cs="Arial"/>
          <w:sz w:val="24"/>
          <w:szCs w:val="24"/>
        </w:rPr>
        <w:t>Th</w:t>
      </w:r>
      <w:r w:rsidR="000849D6">
        <w:rPr>
          <w:rFonts w:ascii="Arial" w:hAnsi="Arial" w:cs="Arial"/>
          <w:sz w:val="24"/>
          <w:szCs w:val="24"/>
        </w:rPr>
        <w:t>is</w:t>
      </w:r>
      <w:r>
        <w:rPr>
          <w:rFonts w:ascii="Arial" w:hAnsi="Arial" w:cs="Arial"/>
          <w:sz w:val="24"/>
          <w:szCs w:val="24"/>
        </w:rPr>
        <w:t xml:space="preserve"> clause </w:t>
      </w:r>
      <w:r w:rsidR="000849D6">
        <w:rPr>
          <w:rFonts w:ascii="Arial" w:hAnsi="Arial" w:cs="Arial"/>
          <w:sz w:val="24"/>
          <w:szCs w:val="24"/>
        </w:rPr>
        <w:t xml:space="preserve">substitutes the current section 41(4) to provide that where the Chief Minister or Minister cannot sign due to absence from the ACT, illness or are on leave, the Ministers are not required to </w:t>
      </w:r>
      <w:r w:rsidR="00AB7668">
        <w:rPr>
          <w:rFonts w:ascii="Arial" w:hAnsi="Arial" w:cs="Arial"/>
          <w:sz w:val="24"/>
          <w:szCs w:val="24"/>
        </w:rPr>
        <w:t xml:space="preserve">obtain </w:t>
      </w:r>
      <w:r w:rsidR="008643EB">
        <w:rPr>
          <w:rFonts w:ascii="Arial" w:hAnsi="Arial" w:cs="Arial"/>
          <w:sz w:val="24"/>
          <w:szCs w:val="24"/>
        </w:rPr>
        <w:t>the signature of the Chief Minister or Minister. The intent of the clause is to provide flexibility for where the Chief Minister or Minister are not available due to the specific reasons outlined.</w:t>
      </w:r>
      <w:r w:rsidR="00C9069C">
        <w:rPr>
          <w:rFonts w:ascii="Arial" w:hAnsi="Arial" w:cs="Arial"/>
          <w:sz w:val="24"/>
          <w:szCs w:val="24"/>
        </w:rPr>
        <w:t xml:space="preserve"> </w:t>
      </w:r>
      <w:r w:rsidR="00C9069C" w:rsidRPr="00C9069C">
        <w:rPr>
          <w:rFonts w:ascii="Arial" w:hAnsi="Arial" w:cs="Arial"/>
          <w:sz w:val="24"/>
          <w:szCs w:val="24"/>
        </w:rPr>
        <w:t xml:space="preserve">It </w:t>
      </w:r>
      <w:r w:rsidR="00C9069C">
        <w:rPr>
          <w:rFonts w:ascii="Arial" w:hAnsi="Arial" w:cs="Arial"/>
          <w:sz w:val="24"/>
          <w:szCs w:val="24"/>
        </w:rPr>
        <w:t xml:space="preserve">is </w:t>
      </w:r>
      <w:r w:rsidR="00C9069C" w:rsidRPr="00C9069C">
        <w:rPr>
          <w:rFonts w:ascii="Arial" w:hAnsi="Arial" w:cs="Arial"/>
          <w:sz w:val="24"/>
          <w:szCs w:val="24"/>
        </w:rPr>
        <w:t>also open to the Chief Minister to delegate the</w:t>
      </w:r>
      <w:r w:rsidR="00982304">
        <w:rPr>
          <w:rFonts w:ascii="Arial" w:hAnsi="Arial" w:cs="Arial"/>
          <w:sz w:val="24"/>
          <w:szCs w:val="24"/>
        </w:rPr>
        <w:t>ir</w:t>
      </w:r>
      <w:r w:rsidR="00C9069C" w:rsidRPr="00C9069C">
        <w:rPr>
          <w:rFonts w:ascii="Arial" w:hAnsi="Arial" w:cs="Arial"/>
          <w:sz w:val="24"/>
          <w:szCs w:val="24"/>
        </w:rPr>
        <w:t xml:space="preserve"> functions under section 41 </w:t>
      </w:r>
      <w:r w:rsidR="00C9069C">
        <w:rPr>
          <w:rFonts w:ascii="Arial" w:hAnsi="Arial" w:cs="Arial"/>
          <w:sz w:val="24"/>
          <w:szCs w:val="24"/>
        </w:rPr>
        <w:t xml:space="preserve">via </w:t>
      </w:r>
      <w:r w:rsidR="00C9069C" w:rsidRPr="00C9069C">
        <w:rPr>
          <w:rFonts w:ascii="Arial" w:hAnsi="Arial" w:cs="Arial"/>
          <w:sz w:val="24"/>
          <w:szCs w:val="24"/>
        </w:rPr>
        <w:t>instrument pursuant to section 254A of the Legislation Act.</w:t>
      </w:r>
    </w:p>
    <w:p w14:paraId="4FFCF201" w14:textId="65D7E564" w:rsidR="00226EE2" w:rsidRDefault="00226EE2" w:rsidP="00226EE2">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22</w:t>
      </w:r>
      <w:r>
        <w:rPr>
          <w:rFonts w:ascii="Arial" w:hAnsi="Arial" w:cs="Arial"/>
          <w:b/>
          <w:bCs/>
          <w:sz w:val="24"/>
          <w:szCs w:val="24"/>
        </w:rPr>
        <w:tab/>
        <w:t>Exercise of functions of Executive</w:t>
      </w:r>
    </w:p>
    <w:p w14:paraId="5E98D3B1" w14:textId="2D4D2963" w:rsidR="00226EE2" w:rsidRPr="00A3069B" w:rsidRDefault="00226EE2" w:rsidP="00226EE2">
      <w:pPr>
        <w:ind w:left="720" w:firstLine="720"/>
        <w:rPr>
          <w:rFonts w:ascii="Arial" w:hAnsi="Arial" w:cs="Arial"/>
          <w:b/>
          <w:bCs/>
          <w:sz w:val="24"/>
          <w:szCs w:val="24"/>
        </w:rPr>
      </w:pPr>
      <w:r w:rsidRPr="00A3069B">
        <w:rPr>
          <w:rFonts w:ascii="Arial" w:hAnsi="Arial" w:cs="Arial"/>
          <w:b/>
          <w:bCs/>
          <w:sz w:val="24"/>
          <w:szCs w:val="24"/>
        </w:rPr>
        <w:t>Section 253(</w:t>
      </w:r>
      <w:r w:rsidR="00A3069B" w:rsidRPr="00A3069B">
        <w:rPr>
          <w:rFonts w:ascii="Arial" w:hAnsi="Arial" w:cs="Arial"/>
          <w:b/>
          <w:bCs/>
          <w:sz w:val="24"/>
          <w:szCs w:val="24"/>
        </w:rPr>
        <w:t>3</w:t>
      </w:r>
      <w:r w:rsidRPr="00A3069B">
        <w:rPr>
          <w:rFonts w:ascii="Arial" w:hAnsi="Arial" w:cs="Arial"/>
          <w:b/>
          <w:bCs/>
          <w:sz w:val="24"/>
          <w:szCs w:val="24"/>
        </w:rPr>
        <w:t>)</w:t>
      </w:r>
    </w:p>
    <w:p w14:paraId="27FE0A97" w14:textId="5C501601" w:rsidR="00226EE2" w:rsidRDefault="00C9069C" w:rsidP="00226EE2">
      <w:pPr>
        <w:jc w:val="both"/>
        <w:rPr>
          <w:rFonts w:ascii="Arial" w:hAnsi="Arial" w:cs="Arial"/>
          <w:sz w:val="24"/>
          <w:szCs w:val="24"/>
        </w:rPr>
      </w:pPr>
      <w:r>
        <w:rPr>
          <w:rFonts w:ascii="Arial" w:hAnsi="Arial" w:cs="Arial"/>
          <w:sz w:val="24"/>
          <w:szCs w:val="24"/>
        </w:rPr>
        <w:t>This amendment changes the signing requirements for</w:t>
      </w:r>
      <w:r w:rsidRPr="00C9069C">
        <w:rPr>
          <w:rFonts w:ascii="Arial" w:hAnsi="Arial" w:cs="Arial"/>
          <w:sz w:val="24"/>
          <w:szCs w:val="24"/>
        </w:rPr>
        <w:t xml:space="preserve"> statutory instruments </w:t>
      </w:r>
      <w:r>
        <w:rPr>
          <w:rFonts w:ascii="Arial" w:hAnsi="Arial" w:cs="Arial"/>
          <w:sz w:val="24"/>
          <w:szCs w:val="24"/>
        </w:rPr>
        <w:t>which are</w:t>
      </w:r>
      <w:r w:rsidRPr="00C9069C">
        <w:rPr>
          <w:rFonts w:ascii="Arial" w:hAnsi="Arial" w:cs="Arial"/>
          <w:sz w:val="24"/>
          <w:szCs w:val="24"/>
        </w:rPr>
        <w:t xml:space="preserve"> made by the Executive </w:t>
      </w:r>
      <w:r>
        <w:rPr>
          <w:rFonts w:ascii="Arial" w:hAnsi="Arial" w:cs="Arial"/>
          <w:sz w:val="24"/>
          <w:szCs w:val="24"/>
        </w:rPr>
        <w:t>(</w:t>
      </w:r>
      <w:r w:rsidRPr="00C9069C">
        <w:rPr>
          <w:rFonts w:ascii="Arial" w:hAnsi="Arial" w:cs="Arial"/>
          <w:sz w:val="24"/>
          <w:szCs w:val="24"/>
        </w:rPr>
        <w:t>other than a subordinate law or disallowable instrument)</w:t>
      </w:r>
      <w:r>
        <w:rPr>
          <w:rFonts w:ascii="Arial" w:hAnsi="Arial" w:cs="Arial"/>
          <w:sz w:val="24"/>
          <w:szCs w:val="24"/>
        </w:rPr>
        <w:t>.</w:t>
      </w:r>
      <w:r w:rsidRPr="00C9069C">
        <w:rPr>
          <w:rFonts w:ascii="Arial" w:hAnsi="Arial" w:cs="Arial"/>
          <w:sz w:val="24"/>
          <w:szCs w:val="24"/>
        </w:rPr>
        <w:t xml:space="preserve"> </w:t>
      </w:r>
      <w:r>
        <w:rPr>
          <w:rFonts w:ascii="Arial" w:hAnsi="Arial" w:cs="Arial"/>
          <w:sz w:val="24"/>
          <w:szCs w:val="24"/>
        </w:rPr>
        <w:t xml:space="preserve">For instruments made by the </w:t>
      </w:r>
      <w:r w:rsidR="00982304">
        <w:rPr>
          <w:rFonts w:ascii="Arial" w:hAnsi="Arial" w:cs="Arial"/>
          <w:sz w:val="24"/>
          <w:szCs w:val="24"/>
        </w:rPr>
        <w:t>E</w:t>
      </w:r>
      <w:r>
        <w:rPr>
          <w:rFonts w:ascii="Arial" w:hAnsi="Arial" w:cs="Arial"/>
          <w:sz w:val="24"/>
          <w:szCs w:val="24"/>
        </w:rPr>
        <w:t xml:space="preserve">xecutive, the </w:t>
      </w:r>
      <w:r w:rsidR="00226EE2" w:rsidRPr="00A3069B">
        <w:rPr>
          <w:rFonts w:ascii="Arial" w:hAnsi="Arial" w:cs="Arial"/>
          <w:sz w:val="24"/>
          <w:szCs w:val="24"/>
        </w:rPr>
        <w:t xml:space="preserve">clause </w:t>
      </w:r>
      <w:r w:rsidR="001D38DB" w:rsidRPr="00A3069B">
        <w:rPr>
          <w:rFonts w:ascii="Arial" w:hAnsi="Arial" w:cs="Arial"/>
          <w:sz w:val="24"/>
          <w:szCs w:val="24"/>
        </w:rPr>
        <w:t xml:space="preserve">substitutes the current section 253(3) to </w:t>
      </w:r>
      <w:r w:rsidR="00A3069B" w:rsidRPr="00A3069B">
        <w:rPr>
          <w:rFonts w:ascii="Arial" w:hAnsi="Arial" w:cs="Arial"/>
          <w:sz w:val="24"/>
          <w:szCs w:val="24"/>
        </w:rPr>
        <w:t xml:space="preserve">provide that a statutory instrument </w:t>
      </w:r>
      <w:r w:rsidR="00A3069B">
        <w:rPr>
          <w:rFonts w:ascii="Arial" w:hAnsi="Arial" w:cs="Arial"/>
          <w:sz w:val="24"/>
          <w:szCs w:val="24"/>
        </w:rPr>
        <w:t>must be signed</w:t>
      </w:r>
      <w:r w:rsidR="00A3069B" w:rsidRPr="00A3069B">
        <w:rPr>
          <w:rFonts w:ascii="Arial" w:hAnsi="Arial" w:cs="Arial"/>
          <w:sz w:val="24"/>
          <w:szCs w:val="24"/>
        </w:rPr>
        <w:t xml:space="preserve"> by the Chief Minister and 1 or more other Ministers who are members of the Executive</w:t>
      </w:r>
      <w:r w:rsidR="00A3069B">
        <w:rPr>
          <w:rFonts w:ascii="Arial" w:hAnsi="Arial" w:cs="Arial"/>
          <w:sz w:val="24"/>
          <w:szCs w:val="24"/>
        </w:rPr>
        <w:t xml:space="preserve">. The intent of the clause is to provide a higher degree of oversight </w:t>
      </w:r>
      <w:r w:rsidR="00A3069B" w:rsidRPr="009C5D27">
        <w:rPr>
          <w:rFonts w:ascii="Arial" w:hAnsi="Arial" w:cs="Arial"/>
          <w:sz w:val="24"/>
          <w:szCs w:val="24"/>
        </w:rPr>
        <w:t>in relation to the regulation making powers of the Executive.</w:t>
      </w:r>
      <w:r w:rsidRPr="00C9069C">
        <w:rPr>
          <w:rFonts w:ascii="Arial" w:hAnsi="Arial" w:cs="Arial"/>
          <w:sz w:val="24"/>
          <w:szCs w:val="24"/>
        </w:rPr>
        <w:t xml:space="preserve"> The amendments do not prevent a single minister signing a statutory instrument where this is provided for in enabling legislation.  </w:t>
      </w:r>
      <w:r w:rsidR="00982304" w:rsidRPr="00982304">
        <w:rPr>
          <w:rFonts w:ascii="Arial" w:hAnsi="Arial" w:cs="Arial"/>
          <w:sz w:val="24"/>
          <w:szCs w:val="24"/>
        </w:rPr>
        <w:t xml:space="preserve">It </w:t>
      </w:r>
      <w:r w:rsidR="00982304">
        <w:rPr>
          <w:rFonts w:ascii="Arial" w:hAnsi="Arial" w:cs="Arial"/>
          <w:sz w:val="24"/>
          <w:szCs w:val="24"/>
        </w:rPr>
        <w:t xml:space="preserve">remains </w:t>
      </w:r>
      <w:r w:rsidR="00982304" w:rsidRPr="00982304">
        <w:rPr>
          <w:rFonts w:ascii="Arial" w:hAnsi="Arial" w:cs="Arial"/>
          <w:sz w:val="24"/>
          <w:szCs w:val="24"/>
        </w:rPr>
        <w:t>open</w:t>
      </w:r>
      <w:r w:rsidR="00982304">
        <w:rPr>
          <w:rFonts w:ascii="Arial" w:hAnsi="Arial" w:cs="Arial"/>
          <w:sz w:val="24"/>
          <w:szCs w:val="24"/>
        </w:rPr>
        <w:t>s</w:t>
      </w:r>
      <w:r w:rsidR="00982304" w:rsidRPr="00982304">
        <w:rPr>
          <w:rFonts w:ascii="Arial" w:hAnsi="Arial" w:cs="Arial"/>
          <w:sz w:val="24"/>
          <w:szCs w:val="24"/>
        </w:rPr>
        <w:t xml:space="preserve"> to the Chief Minister to delegate the</w:t>
      </w:r>
      <w:r w:rsidR="00982304">
        <w:rPr>
          <w:rFonts w:ascii="Arial" w:hAnsi="Arial" w:cs="Arial"/>
          <w:sz w:val="24"/>
          <w:szCs w:val="24"/>
        </w:rPr>
        <w:t>ir</w:t>
      </w:r>
      <w:r w:rsidR="00982304" w:rsidRPr="00982304">
        <w:rPr>
          <w:rFonts w:ascii="Arial" w:hAnsi="Arial" w:cs="Arial"/>
          <w:sz w:val="24"/>
          <w:szCs w:val="24"/>
        </w:rPr>
        <w:t xml:space="preserve"> functions under section</w:t>
      </w:r>
      <w:r w:rsidR="00982304">
        <w:rPr>
          <w:rFonts w:ascii="Arial" w:hAnsi="Arial" w:cs="Arial"/>
          <w:sz w:val="24"/>
          <w:szCs w:val="24"/>
        </w:rPr>
        <w:t xml:space="preserve"> 253(3) </w:t>
      </w:r>
      <w:r w:rsidR="00982304" w:rsidRPr="00982304">
        <w:rPr>
          <w:rFonts w:ascii="Arial" w:hAnsi="Arial" w:cs="Arial"/>
          <w:sz w:val="24"/>
          <w:szCs w:val="24"/>
        </w:rPr>
        <w:t>via instrument pursuant to section 254A of the Legislation Act.</w:t>
      </w:r>
    </w:p>
    <w:p w14:paraId="3C0140FE" w14:textId="1C53D322" w:rsidR="00E51257" w:rsidRDefault="00E51257" w:rsidP="0077621B">
      <w:pPr>
        <w:rPr>
          <w:rFonts w:ascii="Arial" w:hAnsi="Arial" w:cs="Arial"/>
          <w:b/>
          <w:bCs/>
          <w:sz w:val="24"/>
          <w:szCs w:val="24"/>
        </w:rPr>
      </w:pPr>
      <w:r>
        <w:rPr>
          <w:rFonts w:ascii="Arial" w:hAnsi="Arial" w:cs="Arial"/>
          <w:b/>
          <w:bCs/>
          <w:sz w:val="24"/>
          <w:szCs w:val="24"/>
        </w:rPr>
        <w:t>Part 1</w:t>
      </w:r>
      <w:r w:rsidR="003E2664">
        <w:rPr>
          <w:rFonts w:ascii="Arial" w:hAnsi="Arial" w:cs="Arial"/>
          <w:b/>
          <w:bCs/>
          <w:sz w:val="24"/>
          <w:szCs w:val="24"/>
        </w:rPr>
        <w:t>0</w:t>
      </w:r>
      <w:r>
        <w:rPr>
          <w:rFonts w:ascii="Arial" w:hAnsi="Arial" w:cs="Arial"/>
          <w:b/>
          <w:bCs/>
          <w:sz w:val="24"/>
          <w:szCs w:val="24"/>
        </w:rPr>
        <w:tab/>
        <w:t>Lotteries Act 1964</w:t>
      </w:r>
    </w:p>
    <w:p w14:paraId="675B6D3D" w14:textId="4FCC1D26" w:rsidR="00E51257"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23</w:t>
      </w:r>
      <w:r>
        <w:rPr>
          <w:rFonts w:ascii="Arial" w:hAnsi="Arial" w:cs="Arial"/>
          <w:b/>
          <w:bCs/>
          <w:sz w:val="24"/>
          <w:szCs w:val="24"/>
        </w:rPr>
        <w:tab/>
        <w:t>Section 18A(1)</w:t>
      </w:r>
    </w:p>
    <w:p w14:paraId="53649030" w14:textId="24DB2D07" w:rsidR="00C703BB" w:rsidRPr="00255D12" w:rsidRDefault="00C703BB" w:rsidP="00C703BB">
      <w:pPr>
        <w:jc w:val="both"/>
        <w:rPr>
          <w:rFonts w:ascii="Arial" w:hAnsi="Arial" w:cs="Arial"/>
          <w:sz w:val="24"/>
          <w:szCs w:val="24"/>
        </w:rPr>
      </w:pPr>
      <w:r>
        <w:rPr>
          <w:rFonts w:ascii="Arial" w:hAnsi="Arial" w:cs="Arial"/>
          <w:sz w:val="24"/>
          <w:szCs w:val="24"/>
        </w:rPr>
        <w:t xml:space="preserve">This clause </w:t>
      </w:r>
      <w:r w:rsidR="00870439">
        <w:rPr>
          <w:rFonts w:ascii="Arial" w:hAnsi="Arial" w:cs="Arial"/>
          <w:sz w:val="24"/>
          <w:szCs w:val="24"/>
        </w:rPr>
        <w:t>omits the word ‘commission’ and substitutes it with ‘Minister’ in</w:t>
      </w:r>
      <w:r>
        <w:rPr>
          <w:rFonts w:ascii="Arial" w:hAnsi="Arial" w:cs="Arial"/>
          <w:sz w:val="24"/>
          <w:szCs w:val="24"/>
        </w:rPr>
        <w:t xml:space="preserve"> section 18A(1) of the Lotteries Act. The intent of the clause is to provide the Minister administering the Lotteries Act the power to determine fees under the Lotteries Act.</w:t>
      </w:r>
    </w:p>
    <w:p w14:paraId="12726C78" w14:textId="5471981E" w:rsidR="00E51257" w:rsidRDefault="00E51257" w:rsidP="0077621B">
      <w:pPr>
        <w:rPr>
          <w:rFonts w:ascii="Arial" w:hAnsi="Arial" w:cs="Arial"/>
          <w:b/>
          <w:bCs/>
          <w:sz w:val="24"/>
          <w:szCs w:val="24"/>
        </w:rPr>
      </w:pPr>
      <w:r>
        <w:rPr>
          <w:rFonts w:ascii="Arial" w:hAnsi="Arial" w:cs="Arial"/>
          <w:b/>
          <w:bCs/>
          <w:sz w:val="24"/>
          <w:szCs w:val="24"/>
        </w:rPr>
        <w:t>Part 1</w:t>
      </w:r>
      <w:r w:rsidR="003E2664">
        <w:rPr>
          <w:rFonts w:ascii="Arial" w:hAnsi="Arial" w:cs="Arial"/>
          <w:b/>
          <w:bCs/>
          <w:sz w:val="24"/>
          <w:szCs w:val="24"/>
        </w:rPr>
        <w:t>1</w:t>
      </w:r>
      <w:r>
        <w:rPr>
          <w:rFonts w:ascii="Arial" w:hAnsi="Arial" w:cs="Arial"/>
          <w:b/>
          <w:bCs/>
          <w:sz w:val="24"/>
          <w:szCs w:val="24"/>
        </w:rPr>
        <w:tab/>
        <w:t>Mental Health Act 2015</w:t>
      </w:r>
    </w:p>
    <w:p w14:paraId="24BCE277" w14:textId="2E27047E" w:rsidR="003E2664"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24</w:t>
      </w:r>
      <w:r>
        <w:rPr>
          <w:rFonts w:ascii="Arial" w:hAnsi="Arial" w:cs="Arial"/>
          <w:b/>
          <w:bCs/>
          <w:sz w:val="24"/>
          <w:szCs w:val="24"/>
        </w:rPr>
        <w:tab/>
      </w:r>
      <w:r w:rsidR="003E2664">
        <w:rPr>
          <w:rFonts w:ascii="Arial" w:hAnsi="Arial" w:cs="Arial"/>
          <w:b/>
          <w:bCs/>
          <w:sz w:val="24"/>
          <w:szCs w:val="24"/>
        </w:rPr>
        <w:t>Removing persons from affected person register</w:t>
      </w:r>
    </w:p>
    <w:p w14:paraId="0C32138A" w14:textId="2939AD5F" w:rsidR="00E51257" w:rsidRDefault="00E51257" w:rsidP="003E2664">
      <w:pPr>
        <w:ind w:left="720" w:firstLine="720"/>
        <w:rPr>
          <w:rFonts w:ascii="Arial" w:hAnsi="Arial" w:cs="Arial"/>
          <w:b/>
          <w:bCs/>
          <w:sz w:val="24"/>
          <w:szCs w:val="24"/>
        </w:rPr>
      </w:pPr>
      <w:r>
        <w:rPr>
          <w:rFonts w:ascii="Arial" w:hAnsi="Arial" w:cs="Arial"/>
          <w:b/>
          <w:bCs/>
          <w:sz w:val="24"/>
          <w:szCs w:val="24"/>
        </w:rPr>
        <w:t>Section 133(3)</w:t>
      </w:r>
    </w:p>
    <w:p w14:paraId="3243250F" w14:textId="0768F930" w:rsidR="00536679" w:rsidRPr="00536679" w:rsidRDefault="00536679" w:rsidP="00536679">
      <w:pPr>
        <w:jc w:val="both"/>
        <w:rPr>
          <w:rFonts w:ascii="Arial" w:hAnsi="Arial" w:cs="Arial"/>
          <w:sz w:val="24"/>
          <w:szCs w:val="24"/>
        </w:rPr>
      </w:pPr>
      <w:bookmarkStart w:id="9" w:name="_Hlk56273582"/>
      <w:r>
        <w:rPr>
          <w:rFonts w:ascii="Arial" w:hAnsi="Arial" w:cs="Arial"/>
          <w:sz w:val="24"/>
          <w:szCs w:val="24"/>
        </w:rPr>
        <w:lastRenderedPageBreak/>
        <w:t xml:space="preserve">This clause substitutes section 133(3) </w:t>
      </w:r>
      <w:r w:rsidR="00571F54">
        <w:rPr>
          <w:rFonts w:ascii="Arial" w:hAnsi="Arial" w:cs="Arial"/>
          <w:sz w:val="24"/>
          <w:szCs w:val="24"/>
        </w:rPr>
        <w:t xml:space="preserve">of the MH Act </w:t>
      </w:r>
      <w:r>
        <w:rPr>
          <w:rFonts w:ascii="Arial" w:hAnsi="Arial" w:cs="Arial"/>
          <w:sz w:val="24"/>
          <w:szCs w:val="24"/>
        </w:rPr>
        <w:t xml:space="preserve">to provide that the </w:t>
      </w:r>
      <w:r w:rsidR="00352B51">
        <w:rPr>
          <w:rFonts w:ascii="Arial" w:hAnsi="Arial" w:cs="Arial"/>
          <w:sz w:val="24"/>
          <w:szCs w:val="24"/>
        </w:rPr>
        <w:t>director-general</w:t>
      </w:r>
      <w:r>
        <w:rPr>
          <w:rFonts w:ascii="Arial" w:hAnsi="Arial" w:cs="Arial"/>
          <w:sz w:val="24"/>
          <w:szCs w:val="24"/>
        </w:rPr>
        <w:t xml:space="preserve"> </w:t>
      </w:r>
      <w:r w:rsidR="00352B51">
        <w:rPr>
          <w:rFonts w:ascii="Arial" w:hAnsi="Arial" w:cs="Arial"/>
          <w:sz w:val="24"/>
          <w:szCs w:val="24"/>
        </w:rPr>
        <w:t xml:space="preserve">is only required to </w:t>
      </w:r>
      <w:r>
        <w:rPr>
          <w:rFonts w:ascii="Arial" w:hAnsi="Arial" w:cs="Arial"/>
          <w:sz w:val="24"/>
          <w:szCs w:val="24"/>
        </w:rPr>
        <w:t xml:space="preserve">give written notice of intention to remove a </w:t>
      </w:r>
      <w:r w:rsidR="00352B51">
        <w:rPr>
          <w:rFonts w:ascii="Arial" w:hAnsi="Arial" w:cs="Arial"/>
          <w:sz w:val="24"/>
          <w:szCs w:val="24"/>
        </w:rPr>
        <w:t>person</w:t>
      </w:r>
      <w:r>
        <w:rPr>
          <w:rFonts w:ascii="Arial" w:hAnsi="Arial" w:cs="Arial"/>
          <w:sz w:val="24"/>
          <w:szCs w:val="24"/>
        </w:rPr>
        <w:t xml:space="preserve"> from the register</w:t>
      </w:r>
      <w:r w:rsidR="00352B51">
        <w:rPr>
          <w:rFonts w:ascii="Arial" w:hAnsi="Arial" w:cs="Arial"/>
          <w:sz w:val="24"/>
          <w:szCs w:val="24"/>
        </w:rPr>
        <w:t xml:space="preserve"> to the affected person and not the VOCC</w:t>
      </w:r>
      <w:r>
        <w:rPr>
          <w:rFonts w:ascii="Arial" w:hAnsi="Arial" w:cs="Arial"/>
          <w:sz w:val="24"/>
          <w:szCs w:val="24"/>
        </w:rPr>
        <w:t>.</w:t>
      </w:r>
      <w:r w:rsidR="00352B51">
        <w:rPr>
          <w:rFonts w:ascii="Arial" w:hAnsi="Arial" w:cs="Arial"/>
          <w:sz w:val="24"/>
          <w:szCs w:val="24"/>
        </w:rPr>
        <w:t xml:space="preserve"> The clause also clarifies that the director-general may delegate this function to the VOCC.</w:t>
      </w:r>
      <w:r>
        <w:rPr>
          <w:rFonts w:ascii="Arial" w:hAnsi="Arial" w:cs="Arial"/>
          <w:sz w:val="24"/>
          <w:szCs w:val="24"/>
        </w:rPr>
        <w:t xml:space="preserve"> The intent of the clause is to </w:t>
      </w:r>
      <w:r w:rsidR="00352B51">
        <w:rPr>
          <w:rFonts w:ascii="Arial" w:hAnsi="Arial" w:cs="Arial"/>
          <w:sz w:val="24"/>
          <w:szCs w:val="24"/>
        </w:rPr>
        <w:t xml:space="preserve">reflect that </w:t>
      </w:r>
      <w:r w:rsidR="00AB7668">
        <w:rPr>
          <w:rFonts w:ascii="Arial" w:hAnsi="Arial" w:cs="Arial"/>
          <w:sz w:val="24"/>
          <w:szCs w:val="24"/>
        </w:rPr>
        <w:t>following the passage of this Bill, the</w:t>
      </w:r>
      <w:r w:rsidR="00982304">
        <w:rPr>
          <w:rFonts w:ascii="Arial" w:hAnsi="Arial" w:cs="Arial"/>
          <w:sz w:val="24"/>
          <w:szCs w:val="24"/>
        </w:rPr>
        <w:t xml:space="preserve"> </w:t>
      </w:r>
      <w:r w:rsidR="00352B51">
        <w:rPr>
          <w:rFonts w:ascii="Arial" w:hAnsi="Arial" w:cs="Arial"/>
          <w:sz w:val="24"/>
          <w:szCs w:val="24"/>
        </w:rPr>
        <w:t>VOCC will be administering the Affected Person Register on behalf of the Director-General of JACS.</w:t>
      </w:r>
    </w:p>
    <w:bookmarkEnd w:id="9"/>
    <w:p w14:paraId="0F6AC2A7" w14:textId="30937C43" w:rsidR="00E51257"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25</w:t>
      </w:r>
      <w:r>
        <w:rPr>
          <w:rFonts w:ascii="Arial" w:hAnsi="Arial" w:cs="Arial"/>
          <w:b/>
          <w:bCs/>
          <w:sz w:val="24"/>
          <w:szCs w:val="24"/>
        </w:rPr>
        <w:tab/>
        <w:t>Section 133(4)</w:t>
      </w:r>
    </w:p>
    <w:p w14:paraId="01A7D7CB" w14:textId="694F6F1A" w:rsidR="00536679" w:rsidRDefault="00536679" w:rsidP="00536679">
      <w:pPr>
        <w:jc w:val="both"/>
      </w:pPr>
      <w:r>
        <w:rPr>
          <w:rFonts w:ascii="Arial" w:hAnsi="Arial" w:cs="Arial"/>
          <w:sz w:val="24"/>
          <w:szCs w:val="24"/>
        </w:rPr>
        <w:t xml:space="preserve">This clause omits the phrase ‘or the victims of crime commissioner’ </w:t>
      </w:r>
      <w:r w:rsidR="00571F54">
        <w:rPr>
          <w:rFonts w:ascii="Arial" w:hAnsi="Arial" w:cs="Arial"/>
          <w:sz w:val="24"/>
          <w:szCs w:val="24"/>
        </w:rPr>
        <w:t>in section 133(4) of the MH Act</w:t>
      </w:r>
      <w:r>
        <w:rPr>
          <w:rFonts w:ascii="Arial" w:hAnsi="Arial" w:cs="Arial"/>
          <w:sz w:val="24"/>
          <w:szCs w:val="24"/>
        </w:rPr>
        <w:t xml:space="preserve"> to ensure only the victim, rather the VOCC as well, has 28 days to comply with the requirement of section 133(4)</w:t>
      </w:r>
      <w:r w:rsidR="009361A1">
        <w:rPr>
          <w:rFonts w:ascii="Arial" w:hAnsi="Arial" w:cs="Arial"/>
          <w:sz w:val="24"/>
          <w:szCs w:val="24"/>
        </w:rPr>
        <w:t>.</w:t>
      </w:r>
      <w:r w:rsidR="00352B51">
        <w:rPr>
          <w:rFonts w:ascii="Arial" w:hAnsi="Arial" w:cs="Arial"/>
          <w:sz w:val="24"/>
          <w:szCs w:val="24"/>
        </w:rPr>
        <w:t xml:space="preserve"> The intent of the clause is to reflect that the VOCC will be administering the Affected Person Register on behalf of the Director-General of JACS.</w:t>
      </w:r>
    </w:p>
    <w:p w14:paraId="3E5EC4BC" w14:textId="2FE1696E" w:rsidR="00E51257" w:rsidRDefault="00E51257" w:rsidP="0077621B">
      <w:pPr>
        <w:rPr>
          <w:rFonts w:ascii="Arial" w:hAnsi="Arial" w:cs="Arial"/>
          <w:b/>
          <w:bCs/>
          <w:sz w:val="24"/>
          <w:szCs w:val="24"/>
        </w:rPr>
      </w:pPr>
      <w:r>
        <w:rPr>
          <w:rFonts w:ascii="Arial" w:hAnsi="Arial" w:cs="Arial"/>
          <w:b/>
          <w:bCs/>
          <w:sz w:val="24"/>
          <w:szCs w:val="24"/>
        </w:rPr>
        <w:t>Part 1</w:t>
      </w:r>
      <w:r w:rsidR="003E2664">
        <w:rPr>
          <w:rFonts w:ascii="Arial" w:hAnsi="Arial" w:cs="Arial"/>
          <w:b/>
          <w:bCs/>
          <w:sz w:val="24"/>
          <w:szCs w:val="24"/>
        </w:rPr>
        <w:t>2</w:t>
      </w:r>
      <w:r>
        <w:rPr>
          <w:rFonts w:ascii="Arial" w:hAnsi="Arial" w:cs="Arial"/>
          <w:b/>
          <w:bCs/>
          <w:sz w:val="24"/>
          <w:szCs w:val="24"/>
        </w:rPr>
        <w:tab/>
        <w:t>Powers of Attorney Act 2006</w:t>
      </w:r>
    </w:p>
    <w:p w14:paraId="070003AB" w14:textId="6113B7B6" w:rsidR="003E2664"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26</w:t>
      </w:r>
      <w:r>
        <w:rPr>
          <w:rFonts w:ascii="Arial" w:hAnsi="Arial" w:cs="Arial"/>
          <w:b/>
          <w:bCs/>
          <w:sz w:val="24"/>
          <w:szCs w:val="24"/>
        </w:rPr>
        <w:tab/>
      </w:r>
      <w:r w:rsidR="003E2664">
        <w:rPr>
          <w:rFonts w:ascii="Arial" w:hAnsi="Arial" w:cs="Arial"/>
          <w:b/>
          <w:bCs/>
          <w:sz w:val="24"/>
          <w:szCs w:val="24"/>
        </w:rPr>
        <w:t>Keeping records – enduring powers of attorney</w:t>
      </w:r>
    </w:p>
    <w:p w14:paraId="0B1D475B" w14:textId="0BF667FD" w:rsidR="00E51257" w:rsidRDefault="00E51257" w:rsidP="003E2664">
      <w:pPr>
        <w:ind w:left="720" w:firstLine="720"/>
        <w:rPr>
          <w:rFonts w:ascii="Arial" w:hAnsi="Arial" w:cs="Arial"/>
          <w:b/>
          <w:bCs/>
          <w:sz w:val="24"/>
          <w:szCs w:val="24"/>
        </w:rPr>
      </w:pPr>
      <w:r>
        <w:rPr>
          <w:rFonts w:ascii="Arial" w:hAnsi="Arial" w:cs="Arial"/>
          <w:b/>
          <w:bCs/>
          <w:sz w:val="24"/>
          <w:szCs w:val="24"/>
        </w:rPr>
        <w:t>Section 47(1)</w:t>
      </w:r>
    </w:p>
    <w:p w14:paraId="13CEC252" w14:textId="3990A891" w:rsidR="00E54FFE" w:rsidRPr="00E54FFE" w:rsidRDefault="00D900E1" w:rsidP="00E54FFE">
      <w:pPr>
        <w:jc w:val="both"/>
        <w:rPr>
          <w:rFonts w:ascii="Arial" w:hAnsi="Arial" w:cs="Arial"/>
          <w:sz w:val="24"/>
          <w:szCs w:val="24"/>
        </w:rPr>
      </w:pPr>
      <w:bookmarkStart w:id="10" w:name="_Hlk56277703"/>
      <w:r w:rsidRPr="00EB76E2">
        <w:rPr>
          <w:rFonts w:ascii="Arial" w:hAnsi="Arial" w:cs="Arial"/>
          <w:sz w:val="24"/>
          <w:szCs w:val="24"/>
        </w:rPr>
        <w:t xml:space="preserve">This </w:t>
      </w:r>
      <w:r w:rsidRPr="00D900E1">
        <w:rPr>
          <w:rFonts w:ascii="Arial" w:hAnsi="Arial" w:cs="Arial"/>
          <w:sz w:val="24"/>
          <w:szCs w:val="24"/>
        </w:rPr>
        <w:t xml:space="preserve">clause omits the </w:t>
      </w:r>
      <w:r>
        <w:rPr>
          <w:rFonts w:ascii="Arial" w:hAnsi="Arial" w:cs="Arial"/>
          <w:sz w:val="24"/>
          <w:szCs w:val="24"/>
        </w:rPr>
        <w:t>phrase ‘while the principal has impaired decision-making capacity’</w:t>
      </w:r>
      <w:r w:rsidR="005B48F6">
        <w:rPr>
          <w:rFonts w:ascii="Arial" w:hAnsi="Arial" w:cs="Arial"/>
          <w:sz w:val="24"/>
          <w:szCs w:val="24"/>
        </w:rPr>
        <w:t xml:space="preserve"> in section 47(1) of the POA Act</w:t>
      </w:r>
      <w:r>
        <w:rPr>
          <w:rFonts w:ascii="Arial" w:hAnsi="Arial" w:cs="Arial"/>
          <w:sz w:val="24"/>
          <w:szCs w:val="24"/>
        </w:rPr>
        <w:t xml:space="preserve">. </w:t>
      </w:r>
      <w:r w:rsidR="009361A1" w:rsidRPr="009361A1">
        <w:rPr>
          <w:rFonts w:ascii="Arial" w:hAnsi="Arial" w:cs="Arial"/>
          <w:sz w:val="24"/>
          <w:szCs w:val="24"/>
        </w:rPr>
        <w:t xml:space="preserve">The intent of the clause is to require </w:t>
      </w:r>
      <w:r>
        <w:rPr>
          <w:rFonts w:ascii="Arial" w:hAnsi="Arial" w:cs="Arial"/>
          <w:sz w:val="24"/>
          <w:szCs w:val="24"/>
        </w:rPr>
        <w:t xml:space="preserve">an </w:t>
      </w:r>
      <w:r w:rsidR="00B52A4E">
        <w:rPr>
          <w:rFonts w:ascii="Arial" w:hAnsi="Arial" w:cs="Arial"/>
          <w:sz w:val="24"/>
          <w:szCs w:val="24"/>
        </w:rPr>
        <w:t>attorney</w:t>
      </w:r>
      <w:r w:rsidR="009361A1" w:rsidRPr="009361A1">
        <w:rPr>
          <w:rFonts w:ascii="Arial" w:hAnsi="Arial" w:cs="Arial"/>
          <w:sz w:val="24"/>
          <w:szCs w:val="24"/>
        </w:rPr>
        <w:t xml:space="preserve"> </w:t>
      </w:r>
      <w:r w:rsidR="00987621">
        <w:rPr>
          <w:rFonts w:ascii="Arial" w:hAnsi="Arial" w:cs="Arial"/>
          <w:sz w:val="24"/>
          <w:szCs w:val="24"/>
        </w:rPr>
        <w:t xml:space="preserve">under an EPOA </w:t>
      </w:r>
      <w:r w:rsidR="009361A1" w:rsidRPr="009361A1">
        <w:rPr>
          <w:rFonts w:ascii="Arial" w:hAnsi="Arial" w:cs="Arial"/>
          <w:sz w:val="24"/>
          <w:szCs w:val="24"/>
        </w:rPr>
        <w:t xml:space="preserve">to keep </w:t>
      </w:r>
      <w:r w:rsidR="009361A1">
        <w:rPr>
          <w:rFonts w:ascii="Arial" w:hAnsi="Arial" w:cs="Arial"/>
          <w:sz w:val="24"/>
          <w:szCs w:val="24"/>
        </w:rPr>
        <w:t xml:space="preserve">accurate records and accounts </w:t>
      </w:r>
      <w:r w:rsidR="00750E85">
        <w:rPr>
          <w:rFonts w:ascii="Arial" w:hAnsi="Arial" w:cs="Arial"/>
          <w:sz w:val="24"/>
          <w:szCs w:val="24"/>
        </w:rPr>
        <w:t xml:space="preserve">of all dealings and transactions </w:t>
      </w:r>
      <w:r w:rsidR="009361A1" w:rsidRPr="009361A1">
        <w:rPr>
          <w:rFonts w:ascii="Arial" w:hAnsi="Arial" w:cs="Arial"/>
          <w:sz w:val="24"/>
          <w:szCs w:val="24"/>
        </w:rPr>
        <w:t>even where the principal has decision-making capacity.</w:t>
      </w:r>
    </w:p>
    <w:bookmarkEnd w:id="10"/>
    <w:p w14:paraId="0AFD40CC" w14:textId="3F27E154" w:rsidR="00E51257"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27</w:t>
      </w:r>
      <w:r>
        <w:rPr>
          <w:rFonts w:ascii="Arial" w:hAnsi="Arial" w:cs="Arial"/>
          <w:b/>
          <w:bCs/>
          <w:sz w:val="24"/>
          <w:szCs w:val="24"/>
        </w:rPr>
        <w:tab/>
        <w:t>Sections 47(2) to (4)</w:t>
      </w:r>
    </w:p>
    <w:p w14:paraId="244E1F63" w14:textId="6C7A3ADD" w:rsidR="0022271D" w:rsidRPr="00F722C7" w:rsidRDefault="00750E85" w:rsidP="0022271D">
      <w:pPr>
        <w:jc w:val="both"/>
        <w:rPr>
          <w:rFonts w:ascii="Arial" w:hAnsi="Arial" w:cs="Arial"/>
          <w:sz w:val="24"/>
          <w:szCs w:val="24"/>
        </w:rPr>
      </w:pPr>
      <w:r w:rsidRPr="005B48F6">
        <w:rPr>
          <w:rFonts w:ascii="Arial" w:hAnsi="Arial" w:cs="Arial"/>
          <w:sz w:val="24"/>
          <w:szCs w:val="24"/>
        </w:rPr>
        <w:t>This clause omits</w:t>
      </w:r>
      <w:r w:rsidR="005B48F6">
        <w:rPr>
          <w:rFonts w:ascii="Arial" w:hAnsi="Arial" w:cs="Arial"/>
          <w:sz w:val="24"/>
          <w:szCs w:val="24"/>
        </w:rPr>
        <w:t xml:space="preserve"> section 47(2) of the POA Act which provides</w:t>
      </w:r>
      <w:r w:rsidRPr="005B48F6">
        <w:rPr>
          <w:rFonts w:ascii="Arial" w:hAnsi="Arial" w:cs="Arial"/>
          <w:sz w:val="24"/>
          <w:szCs w:val="24"/>
        </w:rPr>
        <w:t xml:space="preserve"> the requirement for an attorney under an EPOA to keep accurate records and accounts of all dealings and transactions whether or not the principal has impaired decision-making capacity</w:t>
      </w:r>
      <w:r w:rsidR="005B48F6" w:rsidRPr="005B48F6">
        <w:rPr>
          <w:rFonts w:ascii="Arial" w:hAnsi="Arial" w:cs="Arial"/>
          <w:sz w:val="24"/>
          <w:szCs w:val="24"/>
        </w:rPr>
        <w:t xml:space="preserve"> only during the COVID-19 emergency period</w:t>
      </w:r>
      <w:r w:rsidRPr="005B48F6">
        <w:rPr>
          <w:rFonts w:ascii="Arial" w:hAnsi="Arial" w:cs="Arial"/>
          <w:sz w:val="24"/>
          <w:szCs w:val="24"/>
        </w:rPr>
        <w:t xml:space="preserve">. </w:t>
      </w:r>
      <w:r w:rsidR="0022271D" w:rsidRPr="005B48F6">
        <w:rPr>
          <w:rFonts w:ascii="Arial" w:hAnsi="Arial" w:cs="Arial"/>
          <w:sz w:val="24"/>
          <w:szCs w:val="24"/>
        </w:rPr>
        <w:t>This clause</w:t>
      </w:r>
      <w:r w:rsidRPr="005B48F6">
        <w:rPr>
          <w:rFonts w:ascii="Arial" w:hAnsi="Arial" w:cs="Arial"/>
          <w:sz w:val="24"/>
          <w:szCs w:val="24"/>
        </w:rPr>
        <w:t xml:space="preserve"> also</w:t>
      </w:r>
      <w:r w:rsidR="0022271D" w:rsidRPr="005B48F6">
        <w:rPr>
          <w:rFonts w:ascii="Arial" w:hAnsi="Arial" w:cs="Arial"/>
          <w:sz w:val="24"/>
          <w:szCs w:val="24"/>
        </w:rPr>
        <w:t xml:space="preserve"> omits</w:t>
      </w:r>
      <w:r w:rsidRPr="005B48F6">
        <w:rPr>
          <w:rFonts w:ascii="Arial" w:hAnsi="Arial" w:cs="Arial"/>
          <w:sz w:val="24"/>
          <w:szCs w:val="24"/>
        </w:rPr>
        <w:t xml:space="preserve"> section 47(3) which provides</w:t>
      </w:r>
      <w:r w:rsidR="0022271D" w:rsidRPr="005B48F6">
        <w:rPr>
          <w:rFonts w:ascii="Arial" w:hAnsi="Arial" w:cs="Arial"/>
          <w:sz w:val="24"/>
          <w:szCs w:val="24"/>
        </w:rPr>
        <w:t xml:space="preserve"> the definition of </w:t>
      </w:r>
      <w:r w:rsidR="00571F54" w:rsidRPr="005B48F6">
        <w:rPr>
          <w:rFonts w:ascii="Arial" w:hAnsi="Arial" w:cs="Arial"/>
          <w:sz w:val="24"/>
          <w:szCs w:val="24"/>
        </w:rPr>
        <w:t>‘</w:t>
      </w:r>
      <w:r w:rsidR="0022271D" w:rsidRPr="005B48F6">
        <w:rPr>
          <w:rFonts w:ascii="Arial" w:hAnsi="Arial" w:cs="Arial"/>
          <w:sz w:val="24"/>
          <w:szCs w:val="24"/>
        </w:rPr>
        <w:t>COVID-19 emergency</w:t>
      </w:r>
      <w:r w:rsidR="00571F54" w:rsidRPr="005B48F6">
        <w:rPr>
          <w:rFonts w:ascii="Arial" w:hAnsi="Arial" w:cs="Arial"/>
          <w:sz w:val="24"/>
          <w:szCs w:val="24"/>
        </w:rPr>
        <w:t>’</w:t>
      </w:r>
      <w:r w:rsidR="0022271D" w:rsidRPr="005B48F6">
        <w:rPr>
          <w:rFonts w:ascii="Arial" w:hAnsi="Arial" w:cs="Arial"/>
          <w:sz w:val="24"/>
          <w:szCs w:val="24"/>
        </w:rPr>
        <w:t xml:space="preserve"> and </w:t>
      </w:r>
      <w:r w:rsidR="00571F54" w:rsidRPr="005B48F6">
        <w:rPr>
          <w:rFonts w:ascii="Arial" w:hAnsi="Arial" w:cs="Arial"/>
          <w:sz w:val="24"/>
          <w:szCs w:val="24"/>
        </w:rPr>
        <w:t>‘</w:t>
      </w:r>
      <w:r w:rsidR="0022271D" w:rsidRPr="005B48F6">
        <w:rPr>
          <w:rFonts w:ascii="Arial" w:hAnsi="Arial" w:cs="Arial"/>
          <w:sz w:val="24"/>
          <w:szCs w:val="24"/>
        </w:rPr>
        <w:t>COVID-19 emergency period</w:t>
      </w:r>
      <w:r w:rsidR="008144DC" w:rsidRPr="005B48F6">
        <w:rPr>
          <w:rFonts w:ascii="Arial" w:hAnsi="Arial" w:cs="Arial"/>
          <w:sz w:val="24"/>
          <w:szCs w:val="24"/>
        </w:rPr>
        <w:t>’ and</w:t>
      </w:r>
      <w:r w:rsidR="00571F54" w:rsidRPr="005B48F6">
        <w:rPr>
          <w:rFonts w:ascii="Arial" w:hAnsi="Arial" w:cs="Arial"/>
          <w:sz w:val="24"/>
          <w:szCs w:val="24"/>
        </w:rPr>
        <w:t xml:space="preserve"> omits</w:t>
      </w:r>
      <w:r w:rsidRPr="005B48F6">
        <w:rPr>
          <w:rFonts w:ascii="Arial" w:hAnsi="Arial" w:cs="Arial"/>
          <w:sz w:val="24"/>
          <w:szCs w:val="24"/>
        </w:rPr>
        <w:t xml:space="preserve"> section 47(4) which provides for the expiry period of sections 47(2) and (3)</w:t>
      </w:r>
      <w:r w:rsidR="0022271D" w:rsidRPr="005B48F6">
        <w:rPr>
          <w:rFonts w:ascii="Arial" w:hAnsi="Arial" w:cs="Arial"/>
          <w:sz w:val="24"/>
          <w:szCs w:val="24"/>
        </w:rPr>
        <w:t xml:space="preserve">. The intent of this clause is to ensure that the amendment to section 47(1) </w:t>
      </w:r>
      <w:r w:rsidR="00571F54" w:rsidRPr="005B48F6">
        <w:rPr>
          <w:rFonts w:ascii="Arial" w:hAnsi="Arial" w:cs="Arial"/>
          <w:sz w:val="24"/>
          <w:szCs w:val="24"/>
        </w:rPr>
        <w:t>applies on</w:t>
      </w:r>
      <w:r w:rsidR="0022271D" w:rsidRPr="005B48F6">
        <w:rPr>
          <w:rFonts w:ascii="Arial" w:hAnsi="Arial" w:cs="Arial"/>
          <w:sz w:val="24"/>
          <w:szCs w:val="24"/>
        </w:rPr>
        <w:t xml:space="preserve"> a permanent</w:t>
      </w:r>
      <w:r w:rsidR="0022271D">
        <w:rPr>
          <w:rFonts w:ascii="Arial" w:hAnsi="Arial" w:cs="Arial"/>
          <w:sz w:val="24"/>
          <w:szCs w:val="24"/>
        </w:rPr>
        <w:t xml:space="preserve"> basis and not only during the COVID-19 emergency period.</w:t>
      </w:r>
    </w:p>
    <w:p w14:paraId="4AD7E17E" w14:textId="77FC2ACE" w:rsidR="003E2664"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28</w:t>
      </w:r>
      <w:r>
        <w:rPr>
          <w:rFonts w:ascii="Arial" w:hAnsi="Arial" w:cs="Arial"/>
          <w:b/>
          <w:bCs/>
          <w:sz w:val="24"/>
          <w:szCs w:val="24"/>
        </w:rPr>
        <w:tab/>
      </w:r>
      <w:r w:rsidR="003E2664">
        <w:rPr>
          <w:rFonts w:ascii="Arial" w:hAnsi="Arial" w:cs="Arial"/>
          <w:b/>
          <w:bCs/>
          <w:sz w:val="24"/>
          <w:szCs w:val="24"/>
        </w:rPr>
        <w:t>Keeping records separate – enduring powers of attorney</w:t>
      </w:r>
    </w:p>
    <w:p w14:paraId="3F6EC668" w14:textId="46EE9BB2" w:rsidR="00E51257" w:rsidRDefault="00E51257" w:rsidP="003E2664">
      <w:pPr>
        <w:ind w:left="720" w:firstLine="720"/>
        <w:rPr>
          <w:rFonts w:ascii="Arial" w:hAnsi="Arial" w:cs="Arial"/>
          <w:b/>
          <w:bCs/>
          <w:sz w:val="24"/>
          <w:szCs w:val="24"/>
        </w:rPr>
      </w:pPr>
      <w:r>
        <w:rPr>
          <w:rFonts w:ascii="Arial" w:hAnsi="Arial" w:cs="Arial"/>
          <w:b/>
          <w:bCs/>
          <w:sz w:val="24"/>
          <w:szCs w:val="24"/>
        </w:rPr>
        <w:t>Section 48(1)</w:t>
      </w:r>
    </w:p>
    <w:p w14:paraId="35000FD9" w14:textId="607349A5" w:rsidR="00EB76E2" w:rsidRPr="00EB76E2" w:rsidRDefault="00D900E1" w:rsidP="00EB76E2">
      <w:pPr>
        <w:jc w:val="both"/>
        <w:rPr>
          <w:rFonts w:ascii="Arial" w:hAnsi="Arial" w:cs="Arial"/>
          <w:sz w:val="24"/>
          <w:szCs w:val="24"/>
        </w:rPr>
      </w:pPr>
      <w:bookmarkStart w:id="11" w:name="_Hlk56334889"/>
      <w:r w:rsidRPr="00EB76E2">
        <w:rPr>
          <w:rFonts w:ascii="Arial" w:hAnsi="Arial" w:cs="Arial"/>
          <w:sz w:val="24"/>
          <w:szCs w:val="24"/>
        </w:rPr>
        <w:t xml:space="preserve">This </w:t>
      </w:r>
      <w:r w:rsidRPr="00D900E1">
        <w:rPr>
          <w:rFonts w:ascii="Arial" w:hAnsi="Arial" w:cs="Arial"/>
          <w:sz w:val="24"/>
          <w:szCs w:val="24"/>
        </w:rPr>
        <w:t xml:space="preserve">clause omits the </w:t>
      </w:r>
      <w:r>
        <w:rPr>
          <w:rFonts w:ascii="Arial" w:hAnsi="Arial" w:cs="Arial"/>
          <w:sz w:val="24"/>
          <w:szCs w:val="24"/>
        </w:rPr>
        <w:t>phrase ‘while the principal has impaired decision-making capacity’</w:t>
      </w:r>
      <w:r w:rsidR="005B48F6">
        <w:rPr>
          <w:rFonts w:ascii="Arial" w:hAnsi="Arial" w:cs="Arial"/>
          <w:sz w:val="24"/>
          <w:szCs w:val="24"/>
        </w:rPr>
        <w:t xml:space="preserve"> in section 48(1) of the POA Act</w:t>
      </w:r>
      <w:r>
        <w:rPr>
          <w:rFonts w:ascii="Arial" w:hAnsi="Arial" w:cs="Arial"/>
          <w:sz w:val="24"/>
          <w:szCs w:val="24"/>
        </w:rPr>
        <w:t xml:space="preserve">. </w:t>
      </w:r>
      <w:r w:rsidR="009361A1">
        <w:rPr>
          <w:rFonts w:ascii="Arial" w:hAnsi="Arial" w:cs="Arial"/>
          <w:sz w:val="24"/>
          <w:szCs w:val="24"/>
        </w:rPr>
        <w:t>The intent of the clause is to require a</w:t>
      </w:r>
      <w:r w:rsidR="00571F54">
        <w:rPr>
          <w:rFonts w:ascii="Arial" w:hAnsi="Arial" w:cs="Arial"/>
          <w:sz w:val="24"/>
          <w:szCs w:val="24"/>
        </w:rPr>
        <w:t xml:space="preserve">n attorney </w:t>
      </w:r>
      <w:r w:rsidR="00987621">
        <w:rPr>
          <w:rFonts w:ascii="Arial" w:hAnsi="Arial" w:cs="Arial"/>
          <w:sz w:val="24"/>
          <w:szCs w:val="24"/>
        </w:rPr>
        <w:t xml:space="preserve">under an EPOA </w:t>
      </w:r>
      <w:r w:rsidR="009361A1">
        <w:rPr>
          <w:rFonts w:ascii="Arial" w:hAnsi="Arial" w:cs="Arial"/>
          <w:sz w:val="24"/>
          <w:szCs w:val="24"/>
        </w:rPr>
        <w:t>to keep their property separate from the principal’s property even where the principal has decision-making capacity.</w:t>
      </w:r>
      <w:bookmarkEnd w:id="11"/>
    </w:p>
    <w:p w14:paraId="55861FFE" w14:textId="30DB480B" w:rsidR="00E51257"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29</w:t>
      </w:r>
      <w:r>
        <w:rPr>
          <w:rFonts w:ascii="Arial" w:hAnsi="Arial" w:cs="Arial"/>
          <w:b/>
          <w:bCs/>
          <w:sz w:val="24"/>
          <w:szCs w:val="24"/>
        </w:rPr>
        <w:tab/>
        <w:t>Sections 48(1A), (3) and (4)</w:t>
      </w:r>
    </w:p>
    <w:p w14:paraId="547DF5C6" w14:textId="6C8672FA" w:rsidR="00571F54" w:rsidRPr="00F722C7" w:rsidRDefault="00571F54" w:rsidP="00571F54">
      <w:pPr>
        <w:jc w:val="both"/>
        <w:rPr>
          <w:rFonts w:ascii="Arial" w:hAnsi="Arial" w:cs="Arial"/>
          <w:sz w:val="24"/>
          <w:szCs w:val="24"/>
        </w:rPr>
      </w:pPr>
      <w:r>
        <w:rPr>
          <w:rFonts w:ascii="Arial" w:hAnsi="Arial" w:cs="Arial"/>
          <w:sz w:val="24"/>
          <w:szCs w:val="24"/>
        </w:rPr>
        <w:lastRenderedPageBreak/>
        <w:t xml:space="preserve">This clause omits </w:t>
      </w:r>
      <w:r w:rsidR="00982786">
        <w:rPr>
          <w:rFonts w:ascii="Arial" w:hAnsi="Arial" w:cs="Arial"/>
          <w:sz w:val="24"/>
          <w:szCs w:val="24"/>
        </w:rPr>
        <w:t>section 48(1A)</w:t>
      </w:r>
      <w:r w:rsidR="005B48F6">
        <w:rPr>
          <w:rFonts w:ascii="Arial" w:hAnsi="Arial" w:cs="Arial"/>
          <w:sz w:val="24"/>
          <w:szCs w:val="24"/>
        </w:rPr>
        <w:t xml:space="preserve"> of the POA Act</w:t>
      </w:r>
      <w:r w:rsidR="00072233">
        <w:rPr>
          <w:rFonts w:ascii="Arial" w:hAnsi="Arial" w:cs="Arial"/>
          <w:sz w:val="24"/>
          <w:szCs w:val="24"/>
        </w:rPr>
        <w:t xml:space="preserve"> which provides</w:t>
      </w:r>
      <w:r w:rsidR="00982786">
        <w:rPr>
          <w:rFonts w:ascii="Arial" w:hAnsi="Arial" w:cs="Arial"/>
          <w:sz w:val="24"/>
          <w:szCs w:val="24"/>
        </w:rPr>
        <w:t xml:space="preserve"> </w:t>
      </w:r>
      <w:r>
        <w:rPr>
          <w:rFonts w:ascii="Arial" w:hAnsi="Arial" w:cs="Arial"/>
          <w:sz w:val="24"/>
          <w:szCs w:val="24"/>
        </w:rPr>
        <w:t xml:space="preserve">that an attorney under an EPOA must keep their property separate from the principal whether or not the principal has decision-making capacity only during the COVID-19 emergency period. The clause also omits </w:t>
      </w:r>
      <w:r w:rsidR="006125F9">
        <w:rPr>
          <w:rFonts w:ascii="Arial" w:hAnsi="Arial" w:cs="Arial"/>
          <w:sz w:val="24"/>
          <w:szCs w:val="24"/>
        </w:rPr>
        <w:t xml:space="preserve">section 48(3) </w:t>
      </w:r>
      <w:r>
        <w:rPr>
          <w:rFonts w:ascii="Arial" w:hAnsi="Arial" w:cs="Arial"/>
          <w:sz w:val="24"/>
          <w:szCs w:val="24"/>
        </w:rPr>
        <w:t xml:space="preserve">the definition of ‘COVID-19 emergency’ and ‘COVID-19 emergency period’, and </w:t>
      </w:r>
      <w:r w:rsidR="006125F9">
        <w:rPr>
          <w:rFonts w:ascii="Arial" w:hAnsi="Arial" w:cs="Arial"/>
          <w:sz w:val="24"/>
          <w:szCs w:val="24"/>
        </w:rPr>
        <w:t xml:space="preserve">omits section 48(4) which provides for </w:t>
      </w:r>
      <w:r>
        <w:rPr>
          <w:rFonts w:ascii="Arial" w:hAnsi="Arial" w:cs="Arial"/>
          <w:sz w:val="24"/>
          <w:szCs w:val="24"/>
        </w:rPr>
        <w:t>the expiry period of sections 4</w:t>
      </w:r>
      <w:r w:rsidR="00982786">
        <w:rPr>
          <w:rFonts w:ascii="Arial" w:hAnsi="Arial" w:cs="Arial"/>
          <w:sz w:val="24"/>
          <w:szCs w:val="24"/>
        </w:rPr>
        <w:t>8</w:t>
      </w:r>
      <w:r>
        <w:rPr>
          <w:rFonts w:ascii="Arial" w:hAnsi="Arial" w:cs="Arial"/>
          <w:sz w:val="24"/>
          <w:szCs w:val="24"/>
        </w:rPr>
        <w:t>(</w:t>
      </w:r>
      <w:r w:rsidR="006125F9">
        <w:rPr>
          <w:rFonts w:ascii="Arial" w:hAnsi="Arial" w:cs="Arial"/>
          <w:sz w:val="24"/>
          <w:szCs w:val="24"/>
        </w:rPr>
        <w:t>1A</w:t>
      </w:r>
      <w:r>
        <w:rPr>
          <w:rFonts w:ascii="Arial" w:hAnsi="Arial" w:cs="Arial"/>
          <w:sz w:val="24"/>
          <w:szCs w:val="24"/>
        </w:rPr>
        <w:t xml:space="preserve">) </w:t>
      </w:r>
      <w:r w:rsidR="006125F9">
        <w:rPr>
          <w:rFonts w:ascii="Arial" w:hAnsi="Arial" w:cs="Arial"/>
          <w:sz w:val="24"/>
          <w:szCs w:val="24"/>
        </w:rPr>
        <w:t>and</w:t>
      </w:r>
      <w:r>
        <w:rPr>
          <w:rFonts w:ascii="Arial" w:hAnsi="Arial" w:cs="Arial"/>
          <w:sz w:val="24"/>
          <w:szCs w:val="24"/>
        </w:rPr>
        <w:t xml:space="preserve"> (</w:t>
      </w:r>
      <w:r w:rsidR="006125F9">
        <w:rPr>
          <w:rFonts w:ascii="Arial" w:hAnsi="Arial" w:cs="Arial"/>
          <w:sz w:val="24"/>
          <w:szCs w:val="24"/>
        </w:rPr>
        <w:t>3</w:t>
      </w:r>
      <w:r>
        <w:rPr>
          <w:rFonts w:ascii="Arial" w:hAnsi="Arial" w:cs="Arial"/>
          <w:sz w:val="24"/>
          <w:szCs w:val="24"/>
        </w:rPr>
        <w:t xml:space="preserve">). The intent of this clause is to ensure </w:t>
      </w:r>
      <w:r w:rsidR="00860476">
        <w:rPr>
          <w:rFonts w:ascii="Arial" w:hAnsi="Arial" w:cs="Arial"/>
          <w:sz w:val="24"/>
          <w:szCs w:val="24"/>
        </w:rPr>
        <w:t>that the</w:t>
      </w:r>
      <w:r>
        <w:rPr>
          <w:rFonts w:ascii="Arial" w:hAnsi="Arial" w:cs="Arial"/>
          <w:sz w:val="24"/>
          <w:szCs w:val="24"/>
        </w:rPr>
        <w:t xml:space="preserve"> amendment to section 4</w:t>
      </w:r>
      <w:r w:rsidR="00F05240">
        <w:rPr>
          <w:rFonts w:ascii="Arial" w:hAnsi="Arial" w:cs="Arial"/>
          <w:sz w:val="24"/>
          <w:szCs w:val="24"/>
        </w:rPr>
        <w:t>8</w:t>
      </w:r>
      <w:r>
        <w:rPr>
          <w:rFonts w:ascii="Arial" w:hAnsi="Arial" w:cs="Arial"/>
          <w:sz w:val="24"/>
          <w:szCs w:val="24"/>
        </w:rPr>
        <w:t>(1) applies</w:t>
      </w:r>
      <w:r w:rsidR="002B6E71">
        <w:rPr>
          <w:rFonts w:ascii="Arial" w:hAnsi="Arial" w:cs="Arial"/>
          <w:sz w:val="24"/>
          <w:szCs w:val="24"/>
        </w:rPr>
        <w:t xml:space="preserve"> even where the principal has decision-making capacity</w:t>
      </w:r>
      <w:r>
        <w:rPr>
          <w:rFonts w:ascii="Arial" w:hAnsi="Arial" w:cs="Arial"/>
          <w:sz w:val="24"/>
          <w:szCs w:val="24"/>
        </w:rPr>
        <w:t xml:space="preserve"> on a permanent basis and not only during the COVID-19 emergency period.</w:t>
      </w:r>
    </w:p>
    <w:p w14:paraId="7710E45B" w14:textId="62985EE0" w:rsidR="003E2664" w:rsidRDefault="003E2664" w:rsidP="0077621B">
      <w:pPr>
        <w:rPr>
          <w:rFonts w:ascii="Arial" w:hAnsi="Arial" w:cs="Arial"/>
          <w:b/>
          <w:bCs/>
          <w:sz w:val="24"/>
          <w:szCs w:val="24"/>
        </w:rPr>
      </w:pPr>
      <w:r>
        <w:rPr>
          <w:rFonts w:ascii="Arial" w:hAnsi="Arial" w:cs="Arial"/>
          <w:b/>
          <w:bCs/>
          <w:sz w:val="24"/>
          <w:szCs w:val="24"/>
        </w:rPr>
        <w:t>Part 13</w:t>
      </w:r>
      <w:r>
        <w:rPr>
          <w:rFonts w:ascii="Arial" w:hAnsi="Arial" w:cs="Arial"/>
          <w:b/>
          <w:bCs/>
          <w:sz w:val="24"/>
          <w:szCs w:val="24"/>
        </w:rPr>
        <w:tab/>
        <w:t>Public Sector Management Act 1994</w:t>
      </w:r>
    </w:p>
    <w:p w14:paraId="7756A50D" w14:textId="0AF85873" w:rsidR="003E2664" w:rsidRPr="007D5CC2" w:rsidRDefault="003E2664" w:rsidP="0077621B">
      <w:pPr>
        <w:rPr>
          <w:rFonts w:ascii="Arial" w:hAnsi="Arial" w:cs="Arial"/>
          <w:b/>
          <w:bCs/>
          <w:sz w:val="24"/>
          <w:szCs w:val="24"/>
        </w:rPr>
      </w:pPr>
      <w:r w:rsidRPr="007D5CC2">
        <w:rPr>
          <w:rFonts w:ascii="Arial" w:hAnsi="Arial" w:cs="Arial"/>
          <w:b/>
          <w:bCs/>
          <w:sz w:val="24"/>
          <w:szCs w:val="24"/>
        </w:rPr>
        <w:t xml:space="preserve">Clause </w:t>
      </w:r>
      <w:r w:rsidR="001C5151">
        <w:rPr>
          <w:rFonts w:ascii="Arial" w:hAnsi="Arial" w:cs="Arial"/>
          <w:b/>
          <w:bCs/>
          <w:sz w:val="24"/>
          <w:szCs w:val="24"/>
        </w:rPr>
        <w:t>30</w:t>
      </w:r>
      <w:r w:rsidR="007D5CC2" w:rsidRPr="007D5CC2">
        <w:rPr>
          <w:rFonts w:ascii="Arial" w:hAnsi="Arial" w:cs="Arial"/>
          <w:b/>
          <w:bCs/>
          <w:sz w:val="24"/>
          <w:szCs w:val="24"/>
        </w:rPr>
        <w:tab/>
        <w:t>Ministerial responsibility and functions of administrative units</w:t>
      </w:r>
    </w:p>
    <w:p w14:paraId="48F33046" w14:textId="5BFE10CC" w:rsidR="007D5CC2" w:rsidRDefault="007D5CC2" w:rsidP="0077621B">
      <w:pPr>
        <w:rPr>
          <w:rFonts w:ascii="Arial" w:hAnsi="Arial" w:cs="Arial"/>
          <w:b/>
          <w:bCs/>
          <w:sz w:val="24"/>
          <w:szCs w:val="24"/>
        </w:rPr>
      </w:pPr>
      <w:r w:rsidRPr="007D5CC2">
        <w:rPr>
          <w:rFonts w:ascii="Arial" w:hAnsi="Arial" w:cs="Arial"/>
          <w:b/>
          <w:bCs/>
          <w:sz w:val="24"/>
          <w:szCs w:val="24"/>
        </w:rPr>
        <w:tab/>
      </w:r>
      <w:r w:rsidRPr="007D5CC2">
        <w:rPr>
          <w:rFonts w:ascii="Arial" w:hAnsi="Arial" w:cs="Arial"/>
          <w:b/>
          <w:bCs/>
          <w:sz w:val="24"/>
          <w:szCs w:val="24"/>
        </w:rPr>
        <w:tab/>
        <w:t>Section 14(4)</w:t>
      </w:r>
    </w:p>
    <w:p w14:paraId="57CFBC57" w14:textId="04098B8D" w:rsidR="007D5CC2" w:rsidRPr="007D5CC2" w:rsidRDefault="007D5CC2" w:rsidP="0077621B">
      <w:pPr>
        <w:rPr>
          <w:rFonts w:ascii="Arial" w:hAnsi="Arial" w:cs="Arial"/>
          <w:b/>
          <w:bCs/>
          <w:sz w:val="24"/>
          <w:szCs w:val="24"/>
        </w:rPr>
      </w:pPr>
      <w:r>
        <w:rPr>
          <w:rFonts w:ascii="Arial" w:hAnsi="Arial" w:cs="Arial"/>
          <w:sz w:val="24"/>
          <w:szCs w:val="24"/>
        </w:rPr>
        <w:t xml:space="preserve">This clause substitutes the current section 14(4) and provides that section 14(3) is subject to sections 41 and 253 of the </w:t>
      </w:r>
      <w:r w:rsidRPr="00F34D13">
        <w:rPr>
          <w:rFonts w:ascii="Arial" w:hAnsi="Arial" w:cs="Arial"/>
          <w:sz w:val="24"/>
          <w:szCs w:val="24"/>
        </w:rPr>
        <w:t>Legislation Act</w:t>
      </w:r>
      <w:r>
        <w:rPr>
          <w:rFonts w:ascii="Arial" w:hAnsi="Arial" w:cs="Arial"/>
          <w:sz w:val="24"/>
          <w:szCs w:val="24"/>
        </w:rPr>
        <w:t xml:space="preserve">. </w:t>
      </w:r>
      <w:r w:rsidR="00982304">
        <w:rPr>
          <w:rFonts w:ascii="Arial" w:hAnsi="Arial" w:cs="Arial"/>
          <w:sz w:val="24"/>
          <w:szCs w:val="24"/>
        </w:rPr>
        <w:t>The amendment is consequential to amendments to sections</w:t>
      </w:r>
      <w:r w:rsidR="00982304" w:rsidRPr="00982304">
        <w:rPr>
          <w:rFonts w:ascii="Arial" w:hAnsi="Arial" w:cs="Arial"/>
          <w:sz w:val="24"/>
          <w:szCs w:val="24"/>
        </w:rPr>
        <w:t xml:space="preserve"> 41 and 253 of the </w:t>
      </w:r>
      <w:r w:rsidR="00982304" w:rsidRPr="00F34D13">
        <w:rPr>
          <w:rFonts w:ascii="Arial" w:hAnsi="Arial" w:cs="Arial"/>
          <w:sz w:val="24"/>
          <w:szCs w:val="24"/>
        </w:rPr>
        <w:t>Legislation Act</w:t>
      </w:r>
      <w:r w:rsidR="00982304" w:rsidRPr="00982304">
        <w:rPr>
          <w:rFonts w:ascii="Arial" w:hAnsi="Arial" w:cs="Arial"/>
          <w:sz w:val="24"/>
          <w:szCs w:val="24"/>
        </w:rPr>
        <w:t>.</w:t>
      </w:r>
      <w:r w:rsidR="00982304">
        <w:rPr>
          <w:rFonts w:ascii="Arial" w:hAnsi="Arial" w:cs="Arial"/>
          <w:b/>
          <w:bCs/>
          <w:sz w:val="24"/>
          <w:szCs w:val="24"/>
        </w:rPr>
        <w:t xml:space="preserve"> </w:t>
      </w:r>
      <w:r>
        <w:rPr>
          <w:rFonts w:ascii="Arial" w:hAnsi="Arial" w:cs="Arial"/>
          <w:sz w:val="24"/>
          <w:szCs w:val="24"/>
        </w:rPr>
        <w:t xml:space="preserve">The intent of the clause is to clarify the operation of section 14 </w:t>
      </w:r>
      <w:r w:rsidR="00982304">
        <w:rPr>
          <w:rFonts w:ascii="Arial" w:hAnsi="Arial" w:cs="Arial"/>
          <w:sz w:val="24"/>
          <w:szCs w:val="24"/>
        </w:rPr>
        <w:t xml:space="preserve">of the </w:t>
      </w:r>
      <w:r w:rsidR="00982304" w:rsidRPr="00F34D13">
        <w:rPr>
          <w:rFonts w:ascii="Arial" w:hAnsi="Arial" w:cs="Arial"/>
          <w:i/>
          <w:iCs/>
          <w:sz w:val="24"/>
          <w:szCs w:val="24"/>
        </w:rPr>
        <w:t xml:space="preserve">Public Sector Management Act 1994 </w:t>
      </w:r>
      <w:r>
        <w:rPr>
          <w:rFonts w:ascii="Arial" w:hAnsi="Arial" w:cs="Arial"/>
          <w:sz w:val="24"/>
          <w:szCs w:val="24"/>
        </w:rPr>
        <w:t xml:space="preserve">in light of the amendments to </w:t>
      </w:r>
      <w:bookmarkStart w:id="12" w:name="_Hlk57199002"/>
      <w:r>
        <w:rPr>
          <w:rFonts w:ascii="Arial" w:hAnsi="Arial" w:cs="Arial"/>
          <w:sz w:val="24"/>
          <w:szCs w:val="24"/>
        </w:rPr>
        <w:t xml:space="preserve">sections 41 and 253 of the </w:t>
      </w:r>
      <w:r w:rsidRPr="00F34D13">
        <w:rPr>
          <w:rFonts w:ascii="Arial" w:hAnsi="Arial" w:cs="Arial"/>
          <w:sz w:val="24"/>
          <w:szCs w:val="24"/>
        </w:rPr>
        <w:t>Legislation Ac</w:t>
      </w:r>
      <w:r w:rsidR="00982304" w:rsidRPr="00F34D13">
        <w:rPr>
          <w:rFonts w:ascii="Arial" w:hAnsi="Arial" w:cs="Arial"/>
          <w:sz w:val="24"/>
          <w:szCs w:val="24"/>
        </w:rPr>
        <w:t>t</w:t>
      </w:r>
      <w:r>
        <w:rPr>
          <w:rFonts w:ascii="Arial" w:hAnsi="Arial" w:cs="Arial"/>
          <w:sz w:val="24"/>
          <w:szCs w:val="24"/>
        </w:rPr>
        <w:t>.</w:t>
      </w:r>
    </w:p>
    <w:bookmarkEnd w:id="12"/>
    <w:p w14:paraId="04C01D54" w14:textId="5206DB28" w:rsidR="00E51257" w:rsidRDefault="00E51257" w:rsidP="0077621B">
      <w:pPr>
        <w:rPr>
          <w:rFonts w:ascii="Arial" w:hAnsi="Arial" w:cs="Arial"/>
          <w:b/>
          <w:bCs/>
          <w:sz w:val="24"/>
          <w:szCs w:val="24"/>
        </w:rPr>
      </w:pPr>
      <w:r>
        <w:rPr>
          <w:rFonts w:ascii="Arial" w:hAnsi="Arial" w:cs="Arial"/>
          <w:b/>
          <w:bCs/>
          <w:sz w:val="24"/>
          <w:szCs w:val="24"/>
        </w:rPr>
        <w:t>Part 1</w:t>
      </w:r>
      <w:r w:rsidR="00CE16A1">
        <w:rPr>
          <w:rFonts w:ascii="Arial" w:hAnsi="Arial" w:cs="Arial"/>
          <w:b/>
          <w:bCs/>
          <w:sz w:val="24"/>
          <w:szCs w:val="24"/>
        </w:rPr>
        <w:t>4</w:t>
      </w:r>
      <w:r>
        <w:rPr>
          <w:rFonts w:ascii="Arial" w:hAnsi="Arial" w:cs="Arial"/>
          <w:b/>
          <w:bCs/>
          <w:sz w:val="24"/>
          <w:szCs w:val="24"/>
        </w:rPr>
        <w:tab/>
        <w:t>Public Trustee and Guardian Act 1985</w:t>
      </w:r>
    </w:p>
    <w:p w14:paraId="0EAAD3AD" w14:textId="03D2E0E2" w:rsidR="00E51257" w:rsidRDefault="00E51257"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31</w:t>
      </w:r>
      <w:r>
        <w:rPr>
          <w:rFonts w:ascii="Arial" w:hAnsi="Arial" w:cs="Arial"/>
          <w:b/>
          <w:bCs/>
          <w:sz w:val="24"/>
          <w:szCs w:val="24"/>
        </w:rPr>
        <w:tab/>
        <w:t>Section 22(2)</w:t>
      </w:r>
      <w:r w:rsidR="003E2664">
        <w:rPr>
          <w:rFonts w:ascii="Arial" w:hAnsi="Arial" w:cs="Arial"/>
          <w:b/>
          <w:bCs/>
          <w:sz w:val="24"/>
          <w:szCs w:val="24"/>
        </w:rPr>
        <w:t xml:space="preserve"> and (3)</w:t>
      </w:r>
    </w:p>
    <w:p w14:paraId="15062C6D" w14:textId="06170DBC" w:rsidR="00B205FB" w:rsidRPr="00B205FB" w:rsidRDefault="00B205FB" w:rsidP="00B205FB">
      <w:pPr>
        <w:jc w:val="both"/>
        <w:rPr>
          <w:rFonts w:ascii="Arial" w:hAnsi="Arial" w:cs="Arial"/>
          <w:sz w:val="24"/>
          <w:szCs w:val="24"/>
        </w:rPr>
      </w:pPr>
      <w:r>
        <w:rPr>
          <w:rFonts w:ascii="Arial" w:hAnsi="Arial" w:cs="Arial"/>
          <w:sz w:val="24"/>
          <w:szCs w:val="24"/>
        </w:rPr>
        <w:t xml:space="preserve">The clause substitutes </w:t>
      </w:r>
      <w:r w:rsidR="00982786">
        <w:rPr>
          <w:rFonts w:ascii="Arial" w:hAnsi="Arial" w:cs="Arial"/>
          <w:sz w:val="24"/>
          <w:szCs w:val="24"/>
        </w:rPr>
        <w:t xml:space="preserve">section 22(2) </w:t>
      </w:r>
      <w:r w:rsidR="003E2664">
        <w:rPr>
          <w:rFonts w:ascii="Arial" w:hAnsi="Arial" w:cs="Arial"/>
          <w:sz w:val="24"/>
          <w:szCs w:val="24"/>
        </w:rPr>
        <w:t xml:space="preserve">and (3) </w:t>
      </w:r>
      <w:r w:rsidR="00982786">
        <w:rPr>
          <w:rFonts w:ascii="Arial" w:hAnsi="Arial" w:cs="Arial"/>
          <w:sz w:val="24"/>
          <w:szCs w:val="24"/>
        </w:rPr>
        <w:t>of the PTG Act</w:t>
      </w:r>
      <w:r w:rsidR="003E2664">
        <w:rPr>
          <w:rFonts w:ascii="Arial" w:hAnsi="Arial" w:cs="Arial"/>
          <w:sz w:val="24"/>
          <w:szCs w:val="24"/>
        </w:rPr>
        <w:t xml:space="preserve"> and substitutes it</w:t>
      </w:r>
      <w:r>
        <w:rPr>
          <w:rFonts w:ascii="Arial" w:hAnsi="Arial" w:cs="Arial"/>
          <w:sz w:val="24"/>
          <w:szCs w:val="24"/>
        </w:rPr>
        <w:t xml:space="preserve"> so</w:t>
      </w:r>
      <w:r w:rsidR="003E2664">
        <w:rPr>
          <w:rFonts w:ascii="Arial" w:hAnsi="Arial" w:cs="Arial"/>
          <w:sz w:val="24"/>
          <w:szCs w:val="24"/>
        </w:rPr>
        <w:t xml:space="preserve"> as to allow </w:t>
      </w:r>
      <w:r>
        <w:rPr>
          <w:rFonts w:ascii="Arial" w:hAnsi="Arial" w:cs="Arial"/>
          <w:sz w:val="24"/>
          <w:szCs w:val="24"/>
        </w:rPr>
        <w:t>the PTG to accept a will for deposit with it irrespective of whether the PTG is appointed as an executor of the will. The intent of the clause is to remove any legal impediment for the PTG to accept a will.</w:t>
      </w:r>
    </w:p>
    <w:p w14:paraId="234E1A3B" w14:textId="37376D66" w:rsidR="003E2664" w:rsidRDefault="00AD60C5" w:rsidP="003E2664">
      <w:pPr>
        <w:ind w:left="1440" w:hanging="1440"/>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32</w:t>
      </w:r>
      <w:r>
        <w:rPr>
          <w:rFonts w:ascii="Arial" w:hAnsi="Arial" w:cs="Arial"/>
          <w:b/>
          <w:bCs/>
          <w:sz w:val="24"/>
          <w:szCs w:val="24"/>
        </w:rPr>
        <w:tab/>
      </w:r>
      <w:r w:rsidR="003E2664" w:rsidRPr="003E2664">
        <w:rPr>
          <w:rFonts w:ascii="Arial" w:hAnsi="Arial" w:cs="Arial"/>
          <w:b/>
          <w:bCs/>
          <w:sz w:val="24"/>
          <w:szCs w:val="24"/>
        </w:rPr>
        <w:t>Public trustee and guardian may require information or</w:t>
      </w:r>
      <w:r w:rsidR="003E2664">
        <w:rPr>
          <w:rFonts w:ascii="Arial" w:hAnsi="Arial" w:cs="Arial"/>
          <w:b/>
          <w:bCs/>
          <w:sz w:val="24"/>
          <w:szCs w:val="24"/>
        </w:rPr>
        <w:t xml:space="preserve"> </w:t>
      </w:r>
      <w:r w:rsidR="003E2664" w:rsidRPr="003E2664">
        <w:rPr>
          <w:rFonts w:ascii="Arial" w:hAnsi="Arial" w:cs="Arial"/>
          <w:b/>
          <w:bCs/>
          <w:sz w:val="24"/>
          <w:szCs w:val="24"/>
        </w:rPr>
        <w:t>documents</w:t>
      </w:r>
    </w:p>
    <w:p w14:paraId="791DE7AE" w14:textId="06511EDB" w:rsidR="00AD60C5" w:rsidRDefault="00AD60C5" w:rsidP="003E2664">
      <w:pPr>
        <w:ind w:left="720" w:firstLine="720"/>
        <w:rPr>
          <w:rFonts w:ascii="Arial" w:hAnsi="Arial" w:cs="Arial"/>
          <w:b/>
          <w:bCs/>
          <w:sz w:val="24"/>
          <w:szCs w:val="24"/>
        </w:rPr>
      </w:pPr>
      <w:r>
        <w:rPr>
          <w:rFonts w:ascii="Arial" w:hAnsi="Arial" w:cs="Arial"/>
          <w:b/>
          <w:bCs/>
          <w:sz w:val="24"/>
          <w:szCs w:val="24"/>
        </w:rPr>
        <w:t>Section 66(1)</w:t>
      </w:r>
    </w:p>
    <w:p w14:paraId="78246593" w14:textId="2F8EAA4E" w:rsidR="004E3C1F" w:rsidRDefault="004E3C1F" w:rsidP="001A60AB">
      <w:pPr>
        <w:jc w:val="both"/>
        <w:rPr>
          <w:rFonts w:ascii="Arial" w:hAnsi="Arial" w:cs="Arial"/>
          <w:sz w:val="24"/>
          <w:szCs w:val="24"/>
        </w:rPr>
      </w:pPr>
      <w:r>
        <w:rPr>
          <w:rFonts w:ascii="Arial" w:hAnsi="Arial" w:cs="Arial"/>
          <w:sz w:val="24"/>
          <w:szCs w:val="24"/>
        </w:rPr>
        <w:t>This clause omits the reference to ‘other than an individual’</w:t>
      </w:r>
      <w:r w:rsidR="00982786">
        <w:rPr>
          <w:rFonts w:ascii="Arial" w:hAnsi="Arial" w:cs="Arial"/>
          <w:sz w:val="24"/>
          <w:szCs w:val="24"/>
        </w:rPr>
        <w:t xml:space="preserve"> in section 66 of the PTG Act</w:t>
      </w:r>
      <w:r>
        <w:rPr>
          <w:rFonts w:ascii="Arial" w:hAnsi="Arial" w:cs="Arial"/>
          <w:sz w:val="24"/>
          <w:szCs w:val="24"/>
        </w:rPr>
        <w:t xml:space="preserve"> to </w:t>
      </w:r>
      <w:r w:rsidR="001A60AB">
        <w:rPr>
          <w:rFonts w:ascii="Arial" w:hAnsi="Arial" w:cs="Arial"/>
          <w:sz w:val="24"/>
          <w:szCs w:val="24"/>
        </w:rPr>
        <w:t xml:space="preserve">allow the PTG on a permanent basis to require an individual, in addition to an entity, to provide it with information or documents relevant to the exercise of the PTG’s functions under the PTG Act or another Territory law. </w:t>
      </w:r>
      <w:r>
        <w:rPr>
          <w:rFonts w:ascii="Arial" w:hAnsi="Arial" w:cs="Arial"/>
          <w:sz w:val="24"/>
          <w:szCs w:val="24"/>
        </w:rPr>
        <w:t xml:space="preserve">The intent of the clause is to </w:t>
      </w:r>
      <w:r w:rsidRPr="004E3C1F">
        <w:rPr>
          <w:rFonts w:ascii="Arial" w:hAnsi="Arial" w:cs="Arial"/>
          <w:sz w:val="24"/>
          <w:szCs w:val="24"/>
        </w:rPr>
        <w:t>assist the PTG</w:t>
      </w:r>
      <w:r w:rsidR="001A60AB">
        <w:rPr>
          <w:rFonts w:ascii="Arial" w:hAnsi="Arial" w:cs="Arial"/>
          <w:sz w:val="24"/>
          <w:szCs w:val="24"/>
        </w:rPr>
        <w:t xml:space="preserve"> </w:t>
      </w:r>
      <w:r w:rsidRPr="004E3C1F">
        <w:rPr>
          <w:rFonts w:ascii="Arial" w:hAnsi="Arial" w:cs="Arial"/>
          <w:sz w:val="24"/>
          <w:szCs w:val="24"/>
        </w:rPr>
        <w:t>to enforce the rights of a protected person by requiring external managers to provide information or documents, which helps to reduce delay in the</w:t>
      </w:r>
      <w:r w:rsidR="001A60AB">
        <w:rPr>
          <w:rFonts w:ascii="Arial" w:hAnsi="Arial" w:cs="Arial"/>
          <w:sz w:val="24"/>
          <w:szCs w:val="24"/>
        </w:rPr>
        <w:t xml:space="preserve"> </w:t>
      </w:r>
      <w:r w:rsidRPr="004E3C1F">
        <w:rPr>
          <w:rFonts w:ascii="Arial" w:hAnsi="Arial" w:cs="Arial"/>
          <w:sz w:val="24"/>
          <w:szCs w:val="24"/>
        </w:rPr>
        <w:t>enforcement of the protected person’s rights</w:t>
      </w:r>
      <w:r w:rsidR="001A60AB">
        <w:rPr>
          <w:rFonts w:ascii="Arial" w:hAnsi="Arial" w:cs="Arial"/>
          <w:sz w:val="24"/>
          <w:szCs w:val="24"/>
        </w:rPr>
        <w:t>.</w:t>
      </w:r>
    </w:p>
    <w:p w14:paraId="37240B2A" w14:textId="3BA1C428" w:rsidR="00AD60C5" w:rsidRDefault="00AD60C5"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33</w:t>
      </w:r>
      <w:r>
        <w:rPr>
          <w:rFonts w:ascii="Arial" w:hAnsi="Arial" w:cs="Arial"/>
          <w:b/>
          <w:bCs/>
          <w:sz w:val="24"/>
          <w:szCs w:val="24"/>
        </w:rPr>
        <w:tab/>
        <w:t>Sections 66(1A), (3) and (4)</w:t>
      </w:r>
    </w:p>
    <w:p w14:paraId="0300333B" w14:textId="1846A7E9" w:rsidR="004E3C1F" w:rsidRDefault="004E3C1F" w:rsidP="004E3C1F">
      <w:pPr>
        <w:jc w:val="both"/>
        <w:rPr>
          <w:rFonts w:ascii="Arial" w:hAnsi="Arial" w:cs="Arial"/>
          <w:sz w:val="24"/>
          <w:szCs w:val="24"/>
        </w:rPr>
      </w:pPr>
      <w:r>
        <w:rPr>
          <w:rFonts w:ascii="Arial" w:hAnsi="Arial" w:cs="Arial"/>
          <w:sz w:val="24"/>
          <w:szCs w:val="24"/>
        </w:rPr>
        <w:t xml:space="preserve">This clause omits </w:t>
      </w:r>
      <w:r w:rsidR="000448EC">
        <w:rPr>
          <w:rFonts w:ascii="Arial" w:hAnsi="Arial" w:cs="Arial"/>
          <w:sz w:val="24"/>
          <w:szCs w:val="24"/>
        </w:rPr>
        <w:t>section</w:t>
      </w:r>
      <w:r w:rsidR="00982786">
        <w:rPr>
          <w:rFonts w:ascii="Arial" w:hAnsi="Arial" w:cs="Arial"/>
          <w:sz w:val="24"/>
          <w:szCs w:val="24"/>
        </w:rPr>
        <w:t>s</w:t>
      </w:r>
      <w:r w:rsidR="000448EC">
        <w:rPr>
          <w:rFonts w:ascii="Arial" w:hAnsi="Arial" w:cs="Arial"/>
          <w:sz w:val="24"/>
          <w:szCs w:val="24"/>
        </w:rPr>
        <w:t xml:space="preserve"> 66(1A)</w:t>
      </w:r>
      <w:r w:rsidR="00072233">
        <w:rPr>
          <w:rFonts w:ascii="Arial" w:hAnsi="Arial" w:cs="Arial"/>
          <w:sz w:val="24"/>
          <w:szCs w:val="24"/>
        </w:rPr>
        <w:t xml:space="preserve"> </w:t>
      </w:r>
      <w:r w:rsidR="005B48F6">
        <w:rPr>
          <w:rFonts w:ascii="Arial" w:hAnsi="Arial" w:cs="Arial"/>
          <w:sz w:val="24"/>
          <w:szCs w:val="24"/>
        </w:rPr>
        <w:t xml:space="preserve">of the PTG Act </w:t>
      </w:r>
      <w:r w:rsidR="00072233">
        <w:rPr>
          <w:rFonts w:ascii="Arial" w:hAnsi="Arial" w:cs="Arial"/>
          <w:sz w:val="24"/>
          <w:szCs w:val="24"/>
        </w:rPr>
        <w:t xml:space="preserve">which provides that the PTG may by written notice given to an individual require an individual to provide it with stated information or documents relevant to the exercise of the PTG’s functions under the </w:t>
      </w:r>
      <w:r w:rsidR="00072233">
        <w:rPr>
          <w:rFonts w:ascii="Arial" w:hAnsi="Arial" w:cs="Arial"/>
          <w:sz w:val="24"/>
          <w:szCs w:val="24"/>
        </w:rPr>
        <w:lastRenderedPageBreak/>
        <w:t>PTG Act or another Territory law. The clause also omits</w:t>
      </w:r>
      <w:r w:rsidR="00667719">
        <w:rPr>
          <w:rFonts w:ascii="Arial" w:hAnsi="Arial" w:cs="Arial"/>
          <w:sz w:val="24"/>
          <w:szCs w:val="24"/>
        </w:rPr>
        <w:t xml:space="preserve"> section 66(3) which provides</w:t>
      </w:r>
      <w:r w:rsidR="00072233">
        <w:rPr>
          <w:rFonts w:ascii="Arial" w:hAnsi="Arial" w:cs="Arial"/>
          <w:sz w:val="24"/>
          <w:szCs w:val="24"/>
        </w:rPr>
        <w:t xml:space="preserve"> </w:t>
      </w:r>
      <w:r>
        <w:rPr>
          <w:rFonts w:ascii="Arial" w:hAnsi="Arial" w:cs="Arial"/>
          <w:sz w:val="24"/>
          <w:szCs w:val="24"/>
        </w:rPr>
        <w:t>the definition of a COVID-19 emergency and COVID-19 emergency period, and</w:t>
      </w:r>
      <w:r w:rsidR="00667719">
        <w:rPr>
          <w:rFonts w:ascii="Arial" w:hAnsi="Arial" w:cs="Arial"/>
          <w:sz w:val="24"/>
          <w:szCs w:val="24"/>
        </w:rPr>
        <w:t xml:space="preserve"> omits section 66(4) which provides for the expiry period of sections </w:t>
      </w:r>
      <w:r>
        <w:rPr>
          <w:rFonts w:ascii="Arial" w:hAnsi="Arial" w:cs="Arial"/>
          <w:sz w:val="24"/>
          <w:szCs w:val="24"/>
        </w:rPr>
        <w:t>66(1A)</w:t>
      </w:r>
      <w:r w:rsidR="00667719">
        <w:rPr>
          <w:rFonts w:ascii="Arial" w:hAnsi="Arial" w:cs="Arial"/>
          <w:sz w:val="24"/>
          <w:szCs w:val="24"/>
        </w:rPr>
        <w:t xml:space="preserve"> and</w:t>
      </w:r>
      <w:r>
        <w:rPr>
          <w:rFonts w:ascii="Arial" w:hAnsi="Arial" w:cs="Arial"/>
          <w:sz w:val="24"/>
          <w:szCs w:val="24"/>
        </w:rPr>
        <w:t xml:space="preserve"> (3)</w:t>
      </w:r>
      <w:r w:rsidR="00667719">
        <w:rPr>
          <w:rFonts w:ascii="Arial" w:hAnsi="Arial" w:cs="Arial"/>
          <w:sz w:val="24"/>
          <w:szCs w:val="24"/>
        </w:rPr>
        <w:t xml:space="preserve">. </w:t>
      </w:r>
      <w:r w:rsidR="001A60AB">
        <w:rPr>
          <w:rFonts w:ascii="Arial" w:hAnsi="Arial" w:cs="Arial"/>
          <w:sz w:val="24"/>
          <w:szCs w:val="24"/>
        </w:rPr>
        <w:t>The intent of this clause is to ensure that the amendment to section 66</w:t>
      </w:r>
      <w:r w:rsidR="00072233">
        <w:rPr>
          <w:rFonts w:ascii="Arial" w:hAnsi="Arial" w:cs="Arial"/>
          <w:sz w:val="24"/>
          <w:szCs w:val="24"/>
        </w:rPr>
        <w:t>(1)</w:t>
      </w:r>
      <w:r w:rsidR="001A60AB">
        <w:rPr>
          <w:rFonts w:ascii="Arial" w:hAnsi="Arial" w:cs="Arial"/>
          <w:sz w:val="24"/>
          <w:szCs w:val="24"/>
        </w:rPr>
        <w:t xml:space="preserve"> </w:t>
      </w:r>
      <w:r w:rsidR="00072233">
        <w:rPr>
          <w:rFonts w:ascii="Arial" w:hAnsi="Arial" w:cs="Arial"/>
          <w:sz w:val="24"/>
          <w:szCs w:val="24"/>
        </w:rPr>
        <w:t>applies</w:t>
      </w:r>
      <w:r w:rsidR="000448EC">
        <w:rPr>
          <w:rFonts w:ascii="Arial" w:hAnsi="Arial" w:cs="Arial"/>
          <w:sz w:val="24"/>
          <w:szCs w:val="24"/>
        </w:rPr>
        <w:t xml:space="preserve"> </w:t>
      </w:r>
      <w:r w:rsidR="001A60AB">
        <w:rPr>
          <w:rFonts w:ascii="Arial" w:hAnsi="Arial" w:cs="Arial"/>
          <w:sz w:val="24"/>
          <w:szCs w:val="24"/>
        </w:rPr>
        <w:t>to individuals on a permanent basis and not only during the COVID-19 emergency period.</w:t>
      </w:r>
    </w:p>
    <w:p w14:paraId="192BDE06" w14:textId="165E0F7F" w:rsidR="00AD60C5" w:rsidRDefault="00AD60C5" w:rsidP="0077621B">
      <w:pPr>
        <w:rPr>
          <w:rFonts w:ascii="Arial" w:hAnsi="Arial" w:cs="Arial"/>
          <w:b/>
          <w:bCs/>
          <w:sz w:val="24"/>
          <w:szCs w:val="24"/>
        </w:rPr>
      </w:pPr>
      <w:r>
        <w:rPr>
          <w:rFonts w:ascii="Arial" w:hAnsi="Arial" w:cs="Arial"/>
          <w:b/>
          <w:bCs/>
          <w:sz w:val="24"/>
          <w:szCs w:val="24"/>
        </w:rPr>
        <w:t>Part 1</w:t>
      </w:r>
      <w:r w:rsidR="00CE16A1">
        <w:rPr>
          <w:rFonts w:ascii="Arial" w:hAnsi="Arial" w:cs="Arial"/>
          <w:b/>
          <w:bCs/>
          <w:sz w:val="24"/>
          <w:szCs w:val="24"/>
        </w:rPr>
        <w:t>5</w:t>
      </w:r>
      <w:r>
        <w:rPr>
          <w:rFonts w:ascii="Arial" w:hAnsi="Arial" w:cs="Arial"/>
          <w:b/>
          <w:bCs/>
          <w:sz w:val="24"/>
          <w:szCs w:val="24"/>
        </w:rPr>
        <w:tab/>
        <w:t>Residential Tenancies Act 1997</w:t>
      </w:r>
    </w:p>
    <w:p w14:paraId="4F073AA8" w14:textId="36700491" w:rsidR="00AD60C5" w:rsidRDefault="00AD60C5"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34</w:t>
      </w:r>
      <w:r>
        <w:rPr>
          <w:rFonts w:ascii="Arial" w:hAnsi="Arial" w:cs="Arial"/>
          <w:b/>
          <w:bCs/>
          <w:sz w:val="24"/>
          <w:szCs w:val="24"/>
        </w:rPr>
        <w:tab/>
        <w:t>New Section 71CA(da)</w:t>
      </w:r>
    </w:p>
    <w:p w14:paraId="31CDFEB9" w14:textId="77777777" w:rsidR="00CF46DA" w:rsidRPr="00697503" w:rsidRDefault="00CF46DA" w:rsidP="00CF46DA">
      <w:pPr>
        <w:jc w:val="both"/>
        <w:rPr>
          <w:rFonts w:ascii="Arial" w:hAnsi="Arial" w:cs="Arial"/>
          <w:sz w:val="24"/>
          <w:szCs w:val="24"/>
        </w:rPr>
      </w:pPr>
      <w:r>
        <w:rPr>
          <w:rFonts w:ascii="Arial" w:hAnsi="Arial" w:cs="Arial"/>
          <w:sz w:val="24"/>
          <w:szCs w:val="24"/>
        </w:rPr>
        <w:t>This clause inserts a new paragraph to 71CA of the RT Act to provide that an ‘occupancy agreement’ does not include an agreement to occupy premises which is the subject of an agreement entered into honestly for the sale or purchase of premises. The intent of the clause is to clarify that an occupancy agreement was not intended to apply to a right to occupy premises during a sale or purchase of premises.</w:t>
      </w:r>
    </w:p>
    <w:p w14:paraId="1796D1D0" w14:textId="04FFC818" w:rsidR="00AD60C5" w:rsidRDefault="00AD60C5" w:rsidP="0077621B">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35</w:t>
      </w:r>
      <w:r>
        <w:rPr>
          <w:rFonts w:ascii="Arial" w:hAnsi="Arial" w:cs="Arial"/>
          <w:b/>
          <w:bCs/>
          <w:sz w:val="24"/>
          <w:szCs w:val="24"/>
        </w:rPr>
        <w:tab/>
        <w:t>Schedule 1, clause 13(1)</w:t>
      </w:r>
    </w:p>
    <w:p w14:paraId="2E9471C6" w14:textId="77777777" w:rsidR="00CF46DA" w:rsidRDefault="00CF46DA" w:rsidP="00CF46DA">
      <w:pPr>
        <w:jc w:val="both"/>
        <w:rPr>
          <w:rFonts w:ascii="Arial" w:hAnsi="Arial" w:cs="Arial"/>
          <w:sz w:val="24"/>
          <w:szCs w:val="24"/>
        </w:rPr>
      </w:pPr>
      <w:r>
        <w:rPr>
          <w:rFonts w:ascii="Arial" w:hAnsi="Arial" w:cs="Arial"/>
          <w:sz w:val="24"/>
          <w:szCs w:val="24"/>
        </w:rPr>
        <w:t>This clause omits the reference to ‘commissioner for fair trading’ and inserts director general in clause 13(1) of schedule 1 to the RT Act. The intent of the clause is to allow the Director-General of the Directorate administering the RT Act to also authorise the information booklet (currently the ‘Renting Book’) that a lessor must provide to a tenant.</w:t>
      </w:r>
    </w:p>
    <w:p w14:paraId="00FCF5F0" w14:textId="5EA77FB4" w:rsidR="00AD60C5" w:rsidRDefault="00AD60C5" w:rsidP="0077621B">
      <w:pPr>
        <w:rPr>
          <w:rFonts w:ascii="Arial" w:hAnsi="Arial" w:cs="Arial"/>
          <w:b/>
          <w:bCs/>
          <w:sz w:val="24"/>
          <w:szCs w:val="24"/>
        </w:rPr>
      </w:pPr>
      <w:r>
        <w:rPr>
          <w:rFonts w:ascii="Arial" w:hAnsi="Arial" w:cs="Arial"/>
          <w:b/>
          <w:bCs/>
          <w:sz w:val="24"/>
          <w:szCs w:val="24"/>
        </w:rPr>
        <w:t>Part 1</w:t>
      </w:r>
      <w:r w:rsidR="00CE16A1">
        <w:rPr>
          <w:rFonts w:ascii="Arial" w:hAnsi="Arial" w:cs="Arial"/>
          <w:b/>
          <w:bCs/>
          <w:sz w:val="24"/>
          <w:szCs w:val="24"/>
        </w:rPr>
        <w:t>6</w:t>
      </w:r>
      <w:r>
        <w:rPr>
          <w:rFonts w:ascii="Arial" w:hAnsi="Arial" w:cs="Arial"/>
          <w:b/>
          <w:bCs/>
          <w:sz w:val="24"/>
          <w:szCs w:val="24"/>
        </w:rPr>
        <w:tab/>
        <w:t>Retirement Villages Regulation 2013</w:t>
      </w:r>
    </w:p>
    <w:p w14:paraId="04E93C47" w14:textId="58D4F308" w:rsidR="00145B5F" w:rsidRPr="009A55D9" w:rsidRDefault="00CF46DA" w:rsidP="00CF46DA">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36</w:t>
      </w:r>
      <w:r>
        <w:rPr>
          <w:rFonts w:ascii="Arial" w:hAnsi="Arial" w:cs="Arial"/>
          <w:b/>
          <w:bCs/>
          <w:sz w:val="24"/>
          <w:szCs w:val="24"/>
        </w:rPr>
        <w:tab/>
      </w:r>
      <w:r w:rsidRPr="009A55D9">
        <w:rPr>
          <w:rFonts w:ascii="Arial" w:hAnsi="Arial" w:cs="Arial"/>
          <w:b/>
          <w:bCs/>
          <w:sz w:val="24"/>
          <w:szCs w:val="24"/>
        </w:rPr>
        <w:t>Section</w:t>
      </w:r>
      <w:r w:rsidR="00145B5F">
        <w:rPr>
          <w:rFonts w:ascii="Arial" w:hAnsi="Arial" w:cs="Arial"/>
          <w:b/>
          <w:bCs/>
          <w:sz w:val="24"/>
          <w:szCs w:val="24"/>
        </w:rPr>
        <w:t>s</w:t>
      </w:r>
      <w:r w:rsidRPr="009A55D9">
        <w:rPr>
          <w:rFonts w:ascii="Arial" w:hAnsi="Arial" w:cs="Arial"/>
          <w:b/>
          <w:bCs/>
          <w:sz w:val="24"/>
          <w:szCs w:val="24"/>
        </w:rPr>
        <w:t xml:space="preserve"> 35</w:t>
      </w:r>
      <w:r w:rsidR="00145B5F">
        <w:rPr>
          <w:rFonts w:ascii="Arial" w:hAnsi="Arial" w:cs="Arial"/>
          <w:b/>
          <w:bCs/>
          <w:sz w:val="24"/>
          <w:szCs w:val="24"/>
        </w:rPr>
        <w:t>, 36 and 37, headings</w:t>
      </w:r>
    </w:p>
    <w:p w14:paraId="30B8163B" w14:textId="3CC48562" w:rsidR="00CF46DA" w:rsidRPr="009A55D9" w:rsidRDefault="00CF46DA" w:rsidP="00CF46DA">
      <w:pPr>
        <w:jc w:val="both"/>
        <w:rPr>
          <w:rFonts w:ascii="Arial" w:hAnsi="Arial" w:cs="Arial"/>
          <w:sz w:val="24"/>
          <w:szCs w:val="24"/>
        </w:rPr>
      </w:pPr>
      <w:r w:rsidRPr="009A55D9">
        <w:rPr>
          <w:rFonts w:ascii="Arial" w:hAnsi="Arial" w:cs="Arial"/>
          <w:sz w:val="24"/>
          <w:szCs w:val="24"/>
        </w:rPr>
        <w:t>This clause substitutes the heading</w:t>
      </w:r>
      <w:r w:rsidR="0005166E">
        <w:rPr>
          <w:rFonts w:ascii="Arial" w:hAnsi="Arial" w:cs="Arial"/>
          <w:sz w:val="24"/>
          <w:szCs w:val="24"/>
        </w:rPr>
        <w:t>s</w:t>
      </w:r>
      <w:r w:rsidRPr="009A55D9">
        <w:rPr>
          <w:rFonts w:ascii="Arial" w:hAnsi="Arial" w:cs="Arial"/>
          <w:sz w:val="24"/>
          <w:szCs w:val="24"/>
        </w:rPr>
        <w:t xml:space="preserve"> of section</w:t>
      </w:r>
      <w:r w:rsidR="0005166E">
        <w:rPr>
          <w:rFonts w:ascii="Arial" w:hAnsi="Arial" w:cs="Arial"/>
          <w:sz w:val="24"/>
          <w:szCs w:val="24"/>
        </w:rPr>
        <w:t>s</w:t>
      </w:r>
      <w:r w:rsidRPr="009A55D9">
        <w:rPr>
          <w:rFonts w:ascii="Arial" w:hAnsi="Arial" w:cs="Arial"/>
          <w:sz w:val="24"/>
          <w:szCs w:val="24"/>
        </w:rPr>
        <w:t xml:space="preserve"> 35</w:t>
      </w:r>
      <w:r w:rsidR="0005166E">
        <w:rPr>
          <w:rFonts w:ascii="Arial" w:hAnsi="Arial" w:cs="Arial"/>
          <w:sz w:val="24"/>
          <w:szCs w:val="24"/>
        </w:rPr>
        <w:t>, 36 and 37</w:t>
      </w:r>
      <w:r w:rsidRPr="009A55D9">
        <w:rPr>
          <w:rFonts w:ascii="Arial" w:hAnsi="Arial" w:cs="Arial"/>
          <w:sz w:val="24"/>
          <w:szCs w:val="24"/>
        </w:rPr>
        <w:t xml:space="preserve"> </w:t>
      </w:r>
      <w:r w:rsidR="00B120F0">
        <w:rPr>
          <w:rFonts w:ascii="Arial" w:hAnsi="Arial" w:cs="Arial"/>
          <w:sz w:val="24"/>
          <w:szCs w:val="24"/>
        </w:rPr>
        <w:t xml:space="preserve">in the RV Regulation </w:t>
      </w:r>
      <w:r w:rsidRPr="009A55D9">
        <w:rPr>
          <w:rFonts w:ascii="Arial" w:hAnsi="Arial" w:cs="Arial"/>
          <w:sz w:val="24"/>
          <w:szCs w:val="24"/>
        </w:rPr>
        <w:t>from ‘159(4)(a)’ to ‘159(5)(a)’</w:t>
      </w:r>
      <w:r w:rsidR="0005166E">
        <w:rPr>
          <w:rFonts w:ascii="Arial" w:hAnsi="Arial" w:cs="Arial"/>
          <w:sz w:val="24"/>
          <w:szCs w:val="24"/>
        </w:rPr>
        <w:t xml:space="preserve">, </w:t>
      </w:r>
      <w:r w:rsidRPr="009A55D9">
        <w:rPr>
          <w:rFonts w:ascii="Arial" w:hAnsi="Arial" w:cs="Arial"/>
          <w:sz w:val="24"/>
          <w:szCs w:val="24"/>
        </w:rPr>
        <w:t>‘159(4)(b)’ to ‘159(5)(b)’</w:t>
      </w:r>
      <w:r w:rsidR="0005166E">
        <w:rPr>
          <w:rFonts w:ascii="Arial" w:hAnsi="Arial" w:cs="Arial"/>
          <w:sz w:val="24"/>
          <w:szCs w:val="24"/>
        </w:rPr>
        <w:t>, and</w:t>
      </w:r>
      <w:r w:rsidRPr="009A55D9">
        <w:rPr>
          <w:rFonts w:ascii="Arial" w:hAnsi="Arial" w:cs="Arial"/>
          <w:sz w:val="24"/>
          <w:szCs w:val="24"/>
        </w:rPr>
        <w:t xml:space="preserve"> ‘159(5)(d)’ to ‘159(6)(d)’</w:t>
      </w:r>
      <w:r w:rsidR="0005166E">
        <w:rPr>
          <w:rFonts w:ascii="Arial" w:hAnsi="Arial" w:cs="Arial"/>
          <w:sz w:val="24"/>
          <w:szCs w:val="24"/>
        </w:rPr>
        <w:t>, respectively</w:t>
      </w:r>
      <w:r>
        <w:rPr>
          <w:rFonts w:ascii="Arial" w:hAnsi="Arial" w:cs="Arial"/>
          <w:sz w:val="24"/>
          <w:szCs w:val="24"/>
        </w:rPr>
        <w:t xml:space="preserve">. This </w:t>
      </w:r>
      <w:r w:rsidR="0005166E">
        <w:rPr>
          <w:rFonts w:ascii="Arial" w:hAnsi="Arial" w:cs="Arial"/>
          <w:sz w:val="24"/>
          <w:szCs w:val="24"/>
        </w:rPr>
        <w:t>rectifies</w:t>
      </w:r>
      <w:r>
        <w:rPr>
          <w:rFonts w:ascii="Arial" w:hAnsi="Arial" w:cs="Arial"/>
          <w:sz w:val="24"/>
          <w:szCs w:val="24"/>
        </w:rPr>
        <w:t xml:space="preserve"> incorrect section reference</w:t>
      </w:r>
      <w:r w:rsidR="0074671A">
        <w:rPr>
          <w:rFonts w:ascii="Arial" w:hAnsi="Arial" w:cs="Arial"/>
          <w:sz w:val="24"/>
          <w:szCs w:val="24"/>
        </w:rPr>
        <w:t>s</w:t>
      </w:r>
      <w:r w:rsidR="00145B5F">
        <w:rPr>
          <w:rFonts w:ascii="Arial" w:hAnsi="Arial" w:cs="Arial"/>
          <w:sz w:val="24"/>
          <w:szCs w:val="24"/>
        </w:rPr>
        <w:t xml:space="preserve"> to the RV Act</w:t>
      </w:r>
      <w:r>
        <w:rPr>
          <w:rFonts w:ascii="Arial" w:hAnsi="Arial" w:cs="Arial"/>
          <w:sz w:val="24"/>
          <w:szCs w:val="24"/>
        </w:rPr>
        <w:t>.</w:t>
      </w:r>
    </w:p>
    <w:p w14:paraId="21399C8B" w14:textId="202D2431" w:rsidR="00CF46DA" w:rsidRPr="009A55D9" w:rsidRDefault="00CF46DA" w:rsidP="00CF46DA">
      <w:pPr>
        <w:rPr>
          <w:rFonts w:ascii="Arial" w:hAnsi="Arial" w:cs="Arial"/>
          <w:b/>
          <w:bCs/>
          <w:sz w:val="24"/>
          <w:szCs w:val="24"/>
        </w:rPr>
      </w:pPr>
      <w:r w:rsidRPr="009A55D9">
        <w:rPr>
          <w:rFonts w:ascii="Arial" w:hAnsi="Arial" w:cs="Arial"/>
          <w:b/>
          <w:bCs/>
          <w:sz w:val="24"/>
          <w:szCs w:val="24"/>
        </w:rPr>
        <w:t>Part 1</w:t>
      </w:r>
      <w:r w:rsidR="00CE16A1">
        <w:rPr>
          <w:rFonts w:ascii="Arial" w:hAnsi="Arial" w:cs="Arial"/>
          <w:b/>
          <w:bCs/>
          <w:sz w:val="24"/>
          <w:szCs w:val="24"/>
        </w:rPr>
        <w:t>7</w:t>
      </w:r>
      <w:r w:rsidRPr="009A55D9">
        <w:rPr>
          <w:rFonts w:ascii="Arial" w:hAnsi="Arial" w:cs="Arial"/>
          <w:b/>
          <w:bCs/>
          <w:sz w:val="24"/>
          <w:szCs w:val="24"/>
        </w:rPr>
        <w:tab/>
        <w:t>Security Industry Regulation 2003</w:t>
      </w:r>
    </w:p>
    <w:p w14:paraId="5591210A" w14:textId="7C7C6A4C" w:rsidR="0063766C" w:rsidRDefault="00CF46DA" w:rsidP="00CF46DA">
      <w:pPr>
        <w:rPr>
          <w:rFonts w:ascii="Arial" w:hAnsi="Arial" w:cs="Arial"/>
          <w:b/>
          <w:bCs/>
          <w:sz w:val="24"/>
          <w:szCs w:val="24"/>
        </w:rPr>
      </w:pPr>
      <w:r w:rsidRPr="009A55D9">
        <w:rPr>
          <w:rFonts w:ascii="Arial" w:hAnsi="Arial" w:cs="Arial"/>
          <w:b/>
          <w:bCs/>
          <w:sz w:val="24"/>
          <w:szCs w:val="24"/>
        </w:rPr>
        <w:t xml:space="preserve">Clause </w:t>
      </w:r>
      <w:r w:rsidR="001C5151">
        <w:rPr>
          <w:rFonts w:ascii="Arial" w:hAnsi="Arial" w:cs="Arial"/>
          <w:b/>
          <w:bCs/>
          <w:sz w:val="24"/>
          <w:szCs w:val="24"/>
        </w:rPr>
        <w:t>37</w:t>
      </w:r>
      <w:r w:rsidRPr="009A55D9">
        <w:rPr>
          <w:rFonts w:ascii="Arial" w:hAnsi="Arial" w:cs="Arial"/>
          <w:b/>
          <w:bCs/>
          <w:sz w:val="24"/>
          <w:szCs w:val="24"/>
        </w:rPr>
        <w:tab/>
      </w:r>
      <w:r w:rsidR="0063766C">
        <w:rPr>
          <w:rFonts w:ascii="Arial" w:hAnsi="Arial" w:cs="Arial"/>
          <w:b/>
          <w:bCs/>
          <w:sz w:val="24"/>
          <w:szCs w:val="24"/>
        </w:rPr>
        <w:t>Exempt people – Act, s 9</w:t>
      </w:r>
    </w:p>
    <w:p w14:paraId="3A37426F" w14:textId="36BEECD9" w:rsidR="00CF46DA" w:rsidRDefault="00CF46DA" w:rsidP="0063766C">
      <w:pPr>
        <w:ind w:left="720" w:firstLine="720"/>
        <w:rPr>
          <w:rFonts w:ascii="Arial" w:hAnsi="Arial" w:cs="Arial"/>
          <w:b/>
          <w:bCs/>
          <w:sz w:val="24"/>
          <w:szCs w:val="24"/>
        </w:rPr>
      </w:pPr>
      <w:r w:rsidRPr="009A55D9">
        <w:rPr>
          <w:rFonts w:ascii="Arial" w:hAnsi="Arial" w:cs="Arial"/>
          <w:b/>
          <w:bCs/>
          <w:sz w:val="24"/>
          <w:szCs w:val="24"/>
        </w:rPr>
        <w:t>Section 6(1)(</w:t>
      </w:r>
      <w:r>
        <w:rPr>
          <w:rFonts w:ascii="Arial" w:hAnsi="Arial" w:cs="Arial"/>
          <w:b/>
          <w:bCs/>
          <w:sz w:val="24"/>
          <w:szCs w:val="24"/>
        </w:rPr>
        <w:t>k)</w:t>
      </w:r>
    </w:p>
    <w:p w14:paraId="74FC702B" w14:textId="17A93431" w:rsidR="00CF46DA" w:rsidRPr="00181C87" w:rsidRDefault="00CF46DA" w:rsidP="00CF46DA">
      <w:pPr>
        <w:jc w:val="both"/>
        <w:rPr>
          <w:rFonts w:ascii="Arial" w:hAnsi="Arial" w:cs="Arial"/>
          <w:sz w:val="24"/>
          <w:szCs w:val="24"/>
        </w:rPr>
      </w:pPr>
      <w:r>
        <w:rPr>
          <w:rFonts w:ascii="Arial" w:hAnsi="Arial" w:cs="Arial"/>
          <w:sz w:val="24"/>
          <w:szCs w:val="24"/>
        </w:rPr>
        <w:t xml:space="preserve">This clause omits the </w:t>
      </w:r>
      <w:r w:rsidR="00B42EA8">
        <w:rPr>
          <w:rFonts w:ascii="Arial" w:hAnsi="Arial" w:cs="Arial"/>
          <w:sz w:val="24"/>
          <w:szCs w:val="24"/>
        </w:rPr>
        <w:t xml:space="preserve">reference </w:t>
      </w:r>
      <w:r>
        <w:rPr>
          <w:rFonts w:ascii="Arial" w:hAnsi="Arial" w:cs="Arial"/>
          <w:sz w:val="24"/>
          <w:szCs w:val="24"/>
        </w:rPr>
        <w:t>‘</w:t>
      </w:r>
      <w:r>
        <w:rPr>
          <w:rFonts w:ascii="Arial" w:hAnsi="Arial" w:cs="Arial"/>
          <w:i/>
          <w:iCs/>
          <w:sz w:val="24"/>
          <w:szCs w:val="24"/>
        </w:rPr>
        <w:t>Casino Control Act 1988</w:t>
      </w:r>
      <w:r>
        <w:rPr>
          <w:rFonts w:ascii="Arial" w:hAnsi="Arial" w:cs="Arial"/>
          <w:sz w:val="24"/>
          <w:szCs w:val="24"/>
        </w:rPr>
        <w:t>’ and inserts ‘</w:t>
      </w:r>
      <w:r>
        <w:rPr>
          <w:rFonts w:ascii="Arial" w:hAnsi="Arial" w:cs="Arial"/>
          <w:i/>
          <w:iCs/>
          <w:sz w:val="24"/>
          <w:szCs w:val="24"/>
        </w:rPr>
        <w:t>Casino Control Act 2006</w:t>
      </w:r>
      <w:r>
        <w:rPr>
          <w:rFonts w:ascii="Arial" w:hAnsi="Arial" w:cs="Arial"/>
          <w:sz w:val="24"/>
          <w:szCs w:val="24"/>
        </w:rPr>
        <w:t xml:space="preserve">’ in section 6(1)(k) of the SI Regulation. This updates the Act reference to the Act currently in force. </w:t>
      </w:r>
    </w:p>
    <w:p w14:paraId="69BF3E50" w14:textId="5DEFB97F" w:rsidR="00AD60C5" w:rsidRDefault="00AD60C5" w:rsidP="0077621B">
      <w:pPr>
        <w:rPr>
          <w:rFonts w:ascii="Arial" w:hAnsi="Arial" w:cs="Arial"/>
          <w:b/>
          <w:bCs/>
          <w:sz w:val="24"/>
          <w:szCs w:val="24"/>
        </w:rPr>
      </w:pPr>
      <w:r>
        <w:rPr>
          <w:rFonts w:ascii="Arial" w:hAnsi="Arial" w:cs="Arial"/>
          <w:b/>
          <w:bCs/>
          <w:sz w:val="24"/>
          <w:szCs w:val="24"/>
        </w:rPr>
        <w:t>Part 1</w:t>
      </w:r>
      <w:r w:rsidR="00CE16A1">
        <w:rPr>
          <w:rFonts w:ascii="Arial" w:hAnsi="Arial" w:cs="Arial"/>
          <w:b/>
          <w:bCs/>
          <w:sz w:val="24"/>
          <w:szCs w:val="24"/>
        </w:rPr>
        <w:t>8</w:t>
      </w:r>
      <w:r>
        <w:rPr>
          <w:rFonts w:ascii="Arial" w:hAnsi="Arial" w:cs="Arial"/>
          <w:b/>
          <w:bCs/>
          <w:sz w:val="24"/>
          <w:szCs w:val="24"/>
        </w:rPr>
        <w:tab/>
        <w:t>Wills Act 1968</w:t>
      </w:r>
    </w:p>
    <w:p w14:paraId="2A0A4FA8" w14:textId="4C06D122" w:rsidR="00CF46DA" w:rsidRDefault="00CF46DA" w:rsidP="00CF46DA">
      <w:pPr>
        <w:rPr>
          <w:rFonts w:ascii="Arial" w:hAnsi="Arial" w:cs="Arial"/>
          <w:b/>
          <w:bCs/>
          <w:sz w:val="24"/>
          <w:szCs w:val="24"/>
        </w:rPr>
      </w:pPr>
      <w:r>
        <w:rPr>
          <w:rFonts w:ascii="Arial" w:hAnsi="Arial" w:cs="Arial"/>
          <w:b/>
          <w:bCs/>
          <w:sz w:val="24"/>
          <w:szCs w:val="24"/>
        </w:rPr>
        <w:t xml:space="preserve">Clause </w:t>
      </w:r>
      <w:r w:rsidR="001C5151">
        <w:rPr>
          <w:rFonts w:ascii="Arial" w:hAnsi="Arial" w:cs="Arial"/>
          <w:b/>
          <w:bCs/>
          <w:sz w:val="24"/>
          <w:szCs w:val="24"/>
        </w:rPr>
        <w:t>38</w:t>
      </w:r>
      <w:r>
        <w:rPr>
          <w:rFonts w:ascii="Arial" w:hAnsi="Arial" w:cs="Arial"/>
          <w:b/>
          <w:bCs/>
          <w:sz w:val="24"/>
          <w:szCs w:val="24"/>
        </w:rPr>
        <w:tab/>
        <w:t>Section 31C</w:t>
      </w:r>
    </w:p>
    <w:p w14:paraId="689E9E5F" w14:textId="68BFA383" w:rsidR="00CF46DA" w:rsidRDefault="00CF46DA" w:rsidP="00CF46DA">
      <w:pPr>
        <w:jc w:val="both"/>
        <w:rPr>
          <w:rFonts w:ascii="Arial" w:hAnsi="Arial" w:cs="Arial"/>
          <w:sz w:val="24"/>
          <w:szCs w:val="24"/>
        </w:rPr>
      </w:pPr>
      <w:r>
        <w:rPr>
          <w:rFonts w:ascii="Arial" w:hAnsi="Arial" w:cs="Arial"/>
          <w:sz w:val="24"/>
          <w:szCs w:val="24"/>
        </w:rPr>
        <w:t xml:space="preserve">This clause substitutes the current section 31C of the Wills Act to introduce a 30-day survivorship provision. This provision will mean that if a person is entitled to an interest in an estate (either through the deceased person’s will or on intestacy) and does not </w:t>
      </w:r>
      <w:r>
        <w:rPr>
          <w:rFonts w:ascii="Arial" w:hAnsi="Arial" w:cs="Arial"/>
          <w:sz w:val="24"/>
          <w:szCs w:val="24"/>
        </w:rPr>
        <w:lastRenderedPageBreak/>
        <w:t xml:space="preserve">survive the deceased by 30 days or more, they will be taken to have pre-deceased the deceased person. In this circumstance, the devise, bequest, appointment, power or entitlement will lapse (unless the contrary intention appears from the will or from evidence admitted under s 12B (extrinsic evidence)). </w:t>
      </w:r>
    </w:p>
    <w:p w14:paraId="282E8126" w14:textId="261D9FAD" w:rsidR="00CF46DA" w:rsidRPr="00CF46DA" w:rsidRDefault="00CF46DA" w:rsidP="00CF46DA">
      <w:pPr>
        <w:jc w:val="both"/>
        <w:rPr>
          <w:rFonts w:ascii="Arial" w:hAnsi="Arial" w:cs="Arial"/>
          <w:sz w:val="24"/>
          <w:szCs w:val="24"/>
        </w:rPr>
      </w:pPr>
      <w:r>
        <w:rPr>
          <w:rFonts w:ascii="Arial" w:hAnsi="Arial" w:cs="Arial"/>
          <w:sz w:val="24"/>
          <w:szCs w:val="24"/>
        </w:rPr>
        <w:t xml:space="preserve">However, the 30-day survivorship provision will not apply if the operation of the provision would mean that the deceased person’s estate would pass to the Territory under the s 49CA of the </w:t>
      </w:r>
      <w:r>
        <w:rPr>
          <w:rFonts w:ascii="Arial" w:hAnsi="Arial" w:cs="Arial"/>
          <w:i/>
          <w:iCs/>
          <w:sz w:val="24"/>
          <w:szCs w:val="24"/>
        </w:rPr>
        <w:t>Administration and Probate Act 1929</w:t>
      </w:r>
      <w:r>
        <w:rPr>
          <w:rFonts w:ascii="Arial" w:hAnsi="Arial" w:cs="Arial"/>
          <w:sz w:val="24"/>
          <w:szCs w:val="24"/>
        </w:rPr>
        <w:t>.</w:t>
      </w:r>
    </w:p>
    <w:p w14:paraId="5D563B8A" w14:textId="095F3482" w:rsidR="00255D12" w:rsidRPr="00255D12" w:rsidRDefault="00CF46DA" w:rsidP="00CF46DA">
      <w:pPr>
        <w:jc w:val="both"/>
        <w:rPr>
          <w:rFonts w:ascii="Arial" w:hAnsi="Arial" w:cs="Arial"/>
          <w:sz w:val="24"/>
          <w:szCs w:val="24"/>
        </w:rPr>
      </w:pPr>
      <w:r>
        <w:rPr>
          <w:rFonts w:ascii="Arial" w:hAnsi="Arial" w:cs="Arial"/>
          <w:sz w:val="24"/>
          <w:szCs w:val="24"/>
        </w:rPr>
        <w:t xml:space="preserve">The </w:t>
      </w:r>
      <w:r w:rsidR="00A72B1A">
        <w:rPr>
          <w:rFonts w:ascii="Arial" w:hAnsi="Arial" w:cs="Arial"/>
          <w:sz w:val="24"/>
          <w:szCs w:val="24"/>
        </w:rPr>
        <w:t>clause</w:t>
      </w:r>
      <w:r>
        <w:rPr>
          <w:rFonts w:ascii="Arial" w:hAnsi="Arial" w:cs="Arial"/>
          <w:sz w:val="24"/>
          <w:szCs w:val="24"/>
        </w:rPr>
        <w:t xml:space="preserve"> also clarifies that a ‘person’ in this section includes a person conceived before but born after the deceased person’s death.</w:t>
      </w:r>
    </w:p>
    <w:sectPr w:rsidR="00255D12" w:rsidRPr="00255D12" w:rsidSect="00F41A2F">
      <w:footerReference w:type="default" r:id="rId11"/>
      <w:footerReference w:type="first" r:id="rId1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AA09" w14:textId="77777777" w:rsidR="00E43D40" w:rsidRDefault="00E43D40">
      <w:pPr>
        <w:spacing w:after="0" w:line="240" w:lineRule="auto"/>
      </w:pPr>
      <w:r>
        <w:separator/>
      </w:r>
    </w:p>
  </w:endnote>
  <w:endnote w:type="continuationSeparator" w:id="0">
    <w:p w14:paraId="0EB20D2E" w14:textId="77777777" w:rsidR="00E43D40" w:rsidRDefault="00E43D40">
      <w:pPr>
        <w:spacing w:after="0" w:line="240" w:lineRule="auto"/>
      </w:pPr>
      <w:r>
        <w:continuationSeparator/>
      </w:r>
    </w:p>
  </w:endnote>
  <w:endnote w:type="continuationNotice" w:id="1">
    <w:p w14:paraId="0C101A21" w14:textId="77777777" w:rsidR="00E43D40" w:rsidRDefault="00E43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4C4F" w14:textId="5116FDFE" w:rsidR="003B2885" w:rsidRPr="008207D2" w:rsidRDefault="003B2885" w:rsidP="008207D2">
    <w:pPr>
      <w:pStyle w:val="Footer"/>
      <w:jc w:val="center"/>
      <w:rPr>
        <w:rFonts w:cs="Arial"/>
        <w:sz w:val="14"/>
      </w:rPr>
    </w:pPr>
    <w:r w:rsidRPr="008207D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0878" w14:textId="77777777" w:rsidR="00181C87" w:rsidRDefault="00181C87">
    <w:pPr>
      <w:pStyle w:val="Footer"/>
      <w:jc w:val="right"/>
    </w:pPr>
  </w:p>
  <w:p w14:paraId="6979DCAD" w14:textId="77777777" w:rsidR="00181C87" w:rsidRPr="00DC5912" w:rsidRDefault="00181C87"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752E009F" w:rsidR="00181C87" w:rsidRDefault="00181C87"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0DAC834" w14:textId="643F30DB" w:rsidR="003B2885" w:rsidRPr="008207D2" w:rsidRDefault="003B2885" w:rsidP="008207D2">
    <w:pPr>
      <w:pStyle w:val="Footer"/>
      <w:spacing w:before="60" w:line="240" w:lineRule="auto"/>
      <w:jc w:val="center"/>
      <w:rPr>
        <w:rFonts w:cs="Arial"/>
        <w:sz w:val="14"/>
      </w:rPr>
    </w:pPr>
    <w:r w:rsidRPr="008207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7A1AE9E3" w:rsidR="00181C87" w:rsidRDefault="00181C87">
    <w:pPr>
      <w:pStyle w:val="Footer"/>
      <w:jc w:val="right"/>
    </w:pPr>
    <w:r>
      <w:fldChar w:fldCharType="begin"/>
    </w:r>
    <w:r>
      <w:instrText xml:space="preserve"> PAGE   \* MERGEFORMAT </w:instrText>
    </w:r>
    <w:r>
      <w:fldChar w:fldCharType="separate"/>
    </w:r>
    <w:r>
      <w:rPr>
        <w:noProof/>
      </w:rPr>
      <w:t>1</w:t>
    </w:r>
    <w:r>
      <w:fldChar w:fldCharType="end"/>
    </w:r>
  </w:p>
  <w:p w14:paraId="758BA9E4" w14:textId="0A01768F" w:rsidR="003B2885" w:rsidRPr="008207D2" w:rsidRDefault="003B2885" w:rsidP="008207D2">
    <w:pPr>
      <w:pStyle w:val="Footer"/>
      <w:jc w:val="center"/>
      <w:rPr>
        <w:rFonts w:cs="Arial"/>
        <w:sz w:val="14"/>
      </w:rPr>
    </w:pPr>
    <w:r w:rsidRPr="008207D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6103" w14:textId="77777777" w:rsidR="00E43D40" w:rsidRDefault="00E43D40">
      <w:pPr>
        <w:spacing w:after="0" w:line="240" w:lineRule="auto"/>
      </w:pPr>
      <w:r>
        <w:separator/>
      </w:r>
    </w:p>
  </w:footnote>
  <w:footnote w:type="continuationSeparator" w:id="0">
    <w:p w14:paraId="5C1913D1" w14:textId="77777777" w:rsidR="00E43D40" w:rsidRDefault="00E43D40">
      <w:pPr>
        <w:spacing w:after="0" w:line="240" w:lineRule="auto"/>
      </w:pPr>
      <w:r>
        <w:continuationSeparator/>
      </w:r>
    </w:p>
  </w:footnote>
  <w:footnote w:type="continuationNotice" w:id="1">
    <w:p w14:paraId="08575A7E" w14:textId="77777777" w:rsidR="00E43D40" w:rsidRDefault="00E43D40">
      <w:pPr>
        <w:spacing w:after="0" w:line="240" w:lineRule="auto"/>
      </w:pPr>
    </w:p>
  </w:footnote>
  <w:footnote w:id="2">
    <w:p w14:paraId="14C786E8" w14:textId="77777777" w:rsidR="002A255D" w:rsidRPr="00430C33" w:rsidRDefault="002A255D" w:rsidP="002A255D">
      <w:pPr>
        <w:pStyle w:val="FootnoteText"/>
        <w:rPr>
          <w:lang w:val="en-AU"/>
        </w:rPr>
      </w:pPr>
      <w:r>
        <w:rPr>
          <w:rStyle w:val="FootnoteReference"/>
        </w:rPr>
        <w:footnoteRef/>
      </w:r>
      <w:r>
        <w:t xml:space="preserve"> </w:t>
      </w:r>
      <w:r w:rsidRPr="00430C33">
        <w:rPr>
          <w:rFonts w:ascii="Arial" w:hAnsi="Arial" w:cs="Arial"/>
        </w:rPr>
        <w:t>The right provides for one’s privacy, family, home or correspondence interfered with unlawfully or arbitrarily. The term ‘unlawful’ means that no interference can take place except in cases authorised by the law. ‘Arbitrary interference’ refers to interference with privacy and family that, even if provided for by law, is not reasonable, necessary, and proportionate in the circumstances.</w:t>
      </w:r>
    </w:p>
  </w:footnote>
  <w:footnote w:id="3">
    <w:p w14:paraId="2018B694" w14:textId="77777777" w:rsidR="00A119B6" w:rsidRPr="005D07E7" w:rsidRDefault="00A119B6" w:rsidP="00A119B6">
      <w:pPr>
        <w:pStyle w:val="FootnoteText"/>
        <w:rPr>
          <w:rFonts w:ascii="Arial" w:hAnsi="Arial" w:cs="Arial"/>
          <w:lang w:val="en-AU"/>
        </w:rPr>
      </w:pPr>
      <w:r w:rsidRPr="005D07E7">
        <w:rPr>
          <w:rStyle w:val="FootnoteReference"/>
          <w:rFonts w:ascii="Arial" w:hAnsi="Arial" w:cs="Arial"/>
        </w:rPr>
        <w:footnoteRef/>
      </w:r>
      <w:r w:rsidRPr="005D07E7">
        <w:rPr>
          <w:rFonts w:ascii="Arial" w:hAnsi="Arial" w:cs="Arial"/>
        </w:rPr>
        <w:t xml:space="preserve"> </w:t>
      </w:r>
      <w:r w:rsidRPr="005D07E7">
        <w:rPr>
          <w:rFonts w:ascii="Arial" w:hAnsi="Arial" w:cs="Arial"/>
          <w:lang w:val="en-AU"/>
        </w:rPr>
        <w:t>Section 26 of the GMP Act requires a manger to file accounts and other documents relating to the management of the relevant property that are prescribed with the PTG. Section 27 of the GMP Act requires the PTG to examine accounts and documents specified in section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FF4254"/>
    <w:multiLevelType w:val="hybridMultilevel"/>
    <w:tmpl w:val="AA2E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9608E8"/>
    <w:multiLevelType w:val="hybridMultilevel"/>
    <w:tmpl w:val="A93A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9B2412"/>
    <w:multiLevelType w:val="hybridMultilevel"/>
    <w:tmpl w:val="1C7C021E"/>
    <w:lvl w:ilvl="0" w:tplc="1DF8F4E2">
      <w:start w:val="22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95728D"/>
    <w:multiLevelType w:val="multilevel"/>
    <w:tmpl w:val="31247D84"/>
    <w:lvl w:ilvl="0">
      <w:start w:val="1"/>
      <w:numFmt w:val="decimal"/>
      <w:lvlText w:val="%1)"/>
      <w:lvlJc w:val="left"/>
      <w:pPr>
        <w:tabs>
          <w:tab w:val="num" w:pos="785"/>
        </w:tabs>
        <w:ind w:left="785"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615B328F"/>
    <w:multiLevelType w:val="multilevel"/>
    <w:tmpl w:val="4F3417FE"/>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i w:val="0"/>
        <w:iCs w:val="0"/>
      </w:rPr>
    </w:lvl>
    <w:lvl w:ilvl="2">
      <w:start w:val="1"/>
      <w:numFmt w:val="lowerRoman"/>
      <w:lvlText w:val="%3)"/>
      <w:lvlJc w:val="left"/>
      <w:pPr>
        <w:tabs>
          <w:tab w:val="num" w:pos="1980"/>
        </w:tabs>
        <w:ind w:left="1980" w:hanging="360"/>
      </w:pPr>
      <w:rPr>
        <w:rFonts w:ascii="Arial" w:hAnsi="Arial" w:cs="Arial" w:hint="default"/>
        <w:i w:val="0"/>
        <w:iCs w:val="0"/>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8" w15:restartNumberingAfterBreak="0">
    <w:nsid w:val="782626D5"/>
    <w:multiLevelType w:val="multilevel"/>
    <w:tmpl w:val="5F1E92D2"/>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eastAsia="Times New Roman" w:hAnsi="Arial" w:cs="Arial"/>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eastAsia="Times New Roman" w:hAnsi="Arial" w:cs="Arial"/>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6"/>
  </w:num>
  <w:num w:numId="2">
    <w:abstractNumId w:val="9"/>
  </w:num>
  <w:num w:numId="3">
    <w:abstractNumId w:val="0"/>
  </w:num>
  <w:num w:numId="4">
    <w:abstractNumId w:val="5"/>
  </w:num>
  <w:num w:numId="5">
    <w:abstractNumId w:val="3"/>
  </w:num>
  <w:num w:numId="6">
    <w:abstractNumId w:val="2"/>
  </w:num>
  <w:num w:numId="7">
    <w:abstractNumId w:val="1"/>
  </w:num>
  <w:num w:numId="8">
    <w:abstractNumId w:val="7"/>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78"/>
    <w:rsid w:val="00007947"/>
    <w:rsid w:val="00007EB9"/>
    <w:rsid w:val="0001003D"/>
    <w:rsid w:val="000108C3"/>
    <w:rsid w:val="00010E45"/>
    <w:rsid w:val="00010F19"/>
    <w:rsid w:val="000119D8"/>
    <w:rsid w:val="00011F35"/>
    <w:rsid w:val="00012074"/>
    <w:rsid w:val="000122F3"/>
    <w:rsid w:val="00012F60"/>
    <w:rsid w:val="00013402"/>
    <w:rsid w:val="00013A9C"/>
    <w:rsid w:val="00013E25"/>
    <w:rsid w:val="0001486E"/>
    <w:rsid w:val="00014973"/>
    <w:rsid w:val="00014D6A"/>
    <w:rsid w:val="0001535A"/>
    <w:rsid w:val="000153C4"/>
    <w:rsid w:val="0001570F"/>
    <w:rsid w:val="00015B9B"/>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4F63"/>
    <w:rsid w:val="00025428"/>
    <w:rsid w:val="00025F50"/>
    <w:rsid w:val="00026FDB"/>
    <w:rsid w:val="000273A7"/>
    <w:rsid w:val="000274AB"/>
    <w:rsid w:val="000276C7"/>
    <w:rsid w:val="00030373"/>
    <w:rsid w:val="00030D9D"/>
    <w:rsid w:val="00031DD3"/>
    <w:rsid w:val="00032126"/>
    <w:rsid w:val="0003311C"/>
    <w:rsid w:val="00033631"/>
    <w:rsid w:val="00033ABA"/>
    <w:rsid w:val="0003416C"/>
    <w:rsid w:val="00034929"/>
    <w:rsid w:val="000357F8"/>
    <w:rsid w:val="00036405"/>
    <w:rsid w:val="00036697"/>
    <w:rsid w:val="00036A5F"/>
    <w:rsid w:val="00036D89"/>
    <w:rsid w:val="00037CE7"/>
    <w:rsid w:val="00037DAE"/>
    <w:rsid w:val="0004029C"/>
    <w:rsid w:val="00040382"/>
    <w:rsid w:val="00040952"/>
    <w:rsid w:val="00040CF4"/>
    <w:rsid w:val="0004115F"/>
    <w:rsid w:val="00041643"/>
    <w:rsid w:val="00041E57"/>
    <w:rsid w:val="00041F36"/>
    <w:rsid w:val="00041FDD"/>
    <w:rsid w:val="000420D8"/>
    <w:rsid w:val="0004219D"/>
    <w:rsid w:val="00042214"/>
    <w:rsid w:val="000426AD"/>
    <w:rsid w:val="000426C2"/>
    <w:rsid w:val="00042847"/>
    <w:rsid w:val="00042B52"/>
    <w:rsid w:val="00042C2E"/>
    <w:rsid w:val="00042F5D"/>
    <w:rsid w:val="00043A31"/>
    <w:rsid w:val="000448EC"/>
    <w:rsid w:val="00044A40"/>
    <w:rsid w:val="000457F3"/>
    <w:rsid w:val="00045C05"/>
    <w:rsid w:val="00045FC1"/>
    <w:rsid w:val="00046070"/>
    <w:rsid w:val="000460A6"/>
    <w:rsid w:val="0004697F"/>
    <w:rsid w:val="00046E05"/>
    <w:rsid w:val="00046EF6"/>
    <w:rsid w:val="00047D5D"/>
    <w:rsid w:val="00050021"/>
    <w:rsid w:val="0005013E"/>
    <w:rsid w:val="000503A9"/>
    <w:rsid w:val="00050B04"/>
    <w:rsid w:val="0005166E"/>
    <w:rsid w:val="00051B48"/>
    <w:rsid w:val="000520A6"/>
    <w:rsid w:val="00052331"/>
    <w:rsid w:val="00052D46"/>
    <w:rsid w:val="0005382B"/>
    <w:rsid w:val="00054677"/>
    <w:rsid w:val="0005467E"/>
    <w:rsid w:val="000554D5"/>
    <w:rsid w:val="00055552"/>
    <w:rsid w:val="000557CF"/>
    <w:rsid w:val="00055CEB"/>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3E96"/>
    <w:rsid w:val="00063EB6"/>
    <w:rsid w:val="00065433"/>
    <w:rsid w:val="0006545C"/>
    <w:rsid w:val="00065468"/>
    <w:rsid w:val="00066031"/>
    <w:rsid w:val="00066731"/>
    <w:rsid w:val="0006694B"/>
    <w:rsid w:val="00066C61"/>
    <w:rsid w:val="00067CD2"/>
    <w:rsid w:val="00067E87"/>
    <w:rsid w:val="00070095"/>
    <w:rsid w:val="00071883"/>
    <w:rsid w:val="00071CCA"/>
    <w:rsid w:val="00072233"/>
    <w:rsid w:val="0007236E"/>
    <w:rsid w:val="00072D58"/>
    <w:rsid w:val="00072EA8"/>
    <w:rsid w:val="0007319F"/>
    <w:rsid w:val="0007375C"/>
    <w:rsid w:val="00073760"/>
    <w:rsid w:val="00073A1C"/>
    <w:rsid w:val="00074ACD"/>
    <w:rsid w:val="00075B14"/>
    <w:rsid w:val="00076249"/>
    <w:rsid w:val="000762EC"/>
    <w:rsid w:val="00076783"/>
    <w:rsid w:val="00076999"/>
    <w:rsid w:val="00077549"/>
    <w:rsid w:val="00077D2E"/>
    <w:rsid w:val="00081774"/>
    <w:rsid w:val="00081B40"/>
    <w:rsid w:val="00081E18"/>
    <w:rsid w:val="00083D69"/>
    <w:rsid w:val="000842CF"/>
    <w:rsid w:val="0008433C"/>
    <w:rsid w:val="000849D6"/>
    <w:rsid w:val="000851B2"/>
    <w:rsid w:val="0008530E"/>
    <w:rsid w:val="00085645"/>
    <w:rsid w:val="000857B4"/>
    <w:rsid w:val="00085E95"/>
    <w:rsid w:val="00085F0A"/>
    <w:rsid w:val="0008657A"/>
    <w:rsid w:val="0008673D"/>
    <w:rsid w:val="00086C41"/>
    <w:rsid w:val="00086C90"/>
    <w:rsid w:val="00086FCA"/>
    <w:rsid w:val="00087377"/>
    <w:rsid w:val="0009047A"/>
    <w:rsid w:val="00090A1F"/>
    <w:rsid w:val="00090BC8"/>
    <w:rsid w:val="00090C73"/>
    <w:rsid w:val="00090D7D"/>
    <w:rsid w:val="00090EC6"/>
    <w:rsid w:val="00091765"/>
    <w:rsid w:val="00091E66"/>
    <w:rsid w:val="00092480"/>
    <w:rsid w:val="00092A0F"/>
    <w:rsid w:val="00092B9F"/>
    <w:rsid w:val="000942EE"/>
    <w:rsid w:val="000943C5"/>
    <w:rsid w:val="000945CF"/>
    <w:rsid w:val="00094F6C"/>
    <w:rsid w:val="00094FD4"/>
    <w:rsid w:val="00095738"/>
    <w:rsid w:val="00095800"/>
    <w:rsid w:val="000958D7"/>
    <w:rsid w:val="00095A67"/>
    <w:rsid w:val="000968A3"/>
    <w:rsid w:val="00096A8C"/>
    <w:rsid w:val="00096EAE"/>
    <w:rsid w:val="000971A4"/>
    <w:rsid w:val="00097617"/>
    <w:rsid w:val="00097749"/>
    <w:rsid w:val="000977FD"/>
    <w:rsid w:val="000978C7"/>
    <w:rsid w:val="00097A01"/>
    <w:rsid w:val="000A09FC"/>
    <w:rsid w:val="000A119F"/>
    <w:rsid w:val="000A13F5"/>
    <w:rsid w:val="000A2470"/>
    <w:rsid w:val="000A2684"/>
    <w:rsid w:val="000A2A5C"/>
    <w:rsid w:val="000A2F6F"/>
    <w:rsid w:val="000A345B"/>
    <w:rsid w:val="000A3C79"/>
    <w:rsid w:val="000A3E8C"/>
    <w:rsid w:val="000A4586"/>
    <w:rsid w:val="000A49BF"/>
    <w:rsid w:val="000A4DAA"/>
    <w:rsid w:val="000A5FDC"/>
    <w:rsid w:val="000A6042"/>
    <w:rsid w:val="000A68B6"/>
    <w:rsid w:val="000A76D9"/>
    <w:rsid w:val="000A7D8D"/>
    <w:rsid w:val="000B04DC"/>
    <w:rsid w:val="000B080D"/>
    <w:rsid w:val="000B136E"/>
    <w:rsid w:val="000B13E0"/>
    <w:rsid w:val="000B14AF"/>
    <w:rsid w:val="000B1688"/>
    <w:rsid w:val="000B2446"/>
    <w:rsid w:val="000B2998"/>
    <w:rsid w:val="000B29EF"/>
    <w:rsid w:val="000B31C6"/>
    <w:rsid w:val="000B3285"/>
    <w:rsid w:val="000B370E"/>
    <w:rsid w:val="000B3958"/>
    <w:rsid w:val="000B4477"/>
    <w:rsid w:val="000B4506"/>
    <w:rsid w:val="000B478E"/>
    <w:rsid w:val="000B485E"/>
    <w:rsid w:val="000B4CEC"/>
    <w:rsid w:val="000B53EC"/>
    <w:rsid w:val="000B5751"/>
    <w:rsid w:val="000B57C6"/>
    <w:rsid w:val="000B590E"/>
    <w:rsid w:val="000B5BE5"/>
    <w:rsid w:val="000B5C27"/>
    <w:rsid w:val="000B66F1"/>
    <w:rsid w:val="000B6D44"/>
    <w:rsid w:val="000B77EF"/>
    <w:rsid w:val="000B7EC6"/>
    <w:rsid w:val="000B7F10"/>
    <w:rsid w:val="000C007A"/>
    <w:rsid w:val="000C0AC6"/>
    <w:rsid w:val="000C1875"/>
    <w:rsid w:val="000C26D1"/>
    <w:rsid w:val="000C2CA9"/>
    <w:rsid w:val="000C339B"/>
    <w:rsid w:val="000C3FB2"/>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66"/>
    <w:rsid w:val="000D1393"/>
    <w:rsid w:val="000D16F4"/>
    <w:rsid w:val="000D2C67"/>
    <w:rsid w:val="000D3095"/>
    <w:rsid w:val="000D327C"/>
    <w:rsid w:val="000D3AEC"/>
    <w:rsid w:val="000D3C11"/>
    <w:rsid w:val="000D3C24"/>
    <w:rsid w:val="000D4F31"/>
    <w:rsid w:val="000D5345"/>
    <w:rsid w:val="000D53DB"/>
    <w:rsid w:val="000D6034"/>
    <w:rsid w:val="000D64D7"/>
    <w:rsid w:val="000D652C"/>
    <w:rsid w:val="000D6905"/>
    <w:rsid w:val="000D6EBA"/>
    <w:rsid w:val="000D703B"/>
    <w:rsid w:val="000D758B"/>
    <w:rsid w:val="000D784A"/>
    <w:rsid w:val="000E0B99"/>
    <w:rsid w:val="000E0C19"/>
    <w:rsid w:val="000E0C67"/>
    <w:rsid w:val="000E0F8F"/>
    <w:rsid w:val="000E14C0"/>
    <w:rsid w:val="000E15C9"/>
    <w:rsid w:val="000E1A96"/>
    <w:rsid w:val="000E1D21"/>
    <w:rsid w:val="000E29A4"/>
    <w:rsid w:val="000E368C"/>
    <w:rsid w:val="000E3A83"/>
    <w:rsid w:val="000E3C40"/>
    <w:rsid w:val="000E4218"/>
    <w:rsid w:val="000E43D7"/>
    <w:rsid w:val="000E4755"/>
    <w:rsid w:val="000E47FE"/>
    <w:rsid w:val="000E4BD4"/>
    <w:rsid w:val="000E508E"/>
    <w:rsid w:val="000E6447"/>
    <w:rsid w:val="000E661D"/>
    <w:rsid w:val="000E6FF4"/>
    <w:rsid w:val="000F060C"/>
    <w:rsid w:val="000F1D43"/>
    <w:rsid w:val="000F2B96"/>
    <w:rsid w:val="000F3093"/>
    <w:rsid w:val="000F35CB"/>
    <w:rsid w:val="000F3799"/>
    <w:rsid w:val="000F3904"/>
    <w:rsid w:val="000F42C1"/>
    <w:rsid w:val="000F46C6"/>
    <w:rsid w:val="000F4FA7"/>
    <w:rsid w:val="000F51D6"/>
    <w:rsid w:val="000F543F"/>
    <w:rsid w:val="000F5555"/>
    <w:rsid w:val="000F58DF"/>
    <w:rsid w:val="000F596C"/>
    <w:rsid w:val="000F5AF6"/>
    <w:rsid w:val="000F62BD"/>
    <w:rsid w:val="000F642E"/>
    <w:rsid w:val="000F68DE"/>
    <w:rsid w:val="000F6AA8"/>
    <w:rsid w:val="000F6DB1"/>
    <w:rsid w:val="000F6FFD"/>
    <w:rsid w:val="000F790D"/>
    <w:rsid w:val="000F7FDB"/>
    <w:rsid w:val="00100D53"/>
    <w:rsid w:val="00100E59"/>
    <w:rsid w:val="00100F56"/>
    <w:rsid w:val="00101503"/>
    <w:rsid w:val="00101E88"/>
    <w:rsid w:val="00101FC6"/>
    <w:rsid w:val="00102106"/>
    <w:rsid w:val="001034CA"/>
    <w:rsid w:val="00104503"/>
    <w:rsid w:val="001045CA"/>
    <w:rsid w:val="00105AFD"/>
    <w:rsid w:val="00106C6C"/>
    <w:rsid w:val="00106EE4"/>
    <w:rsid w:val="0010794F"/>
    <w:rsid w:val="001101D7"/>
    <w:rsid w:val="00110892"/>
    <w:rsid w:val="00110938"/>
    <w:rsid w:val="001112B8"/>
    <w:rsid w:val="00111686"/>
    <w:rsid w:val="00111A76"/>
    <w:rsid w:val="00111E65"/>
    <w:rsid w:val="001129DB"/>
    <w:rsid w:val="00112C4D"/>
    <w:rsid w:val="00112F64"/>
    <w:rsid w:val="00113678"/>
    <w:rsid w:val="00113692"/>
    <w:rsid w:val="001137A8"/>
    <w:rsid w:val="00113AB4"/>
    <w:rsid w:val="00114280"/>
    <w:rsid w:val="001144E0"/>
    <w:rsid w:val="00114D60"/>
    <w:rsid w:val="00115D14"/>
    <w:rsid w:val="00115FCF"/>
    <w:rsid w:val="00116274"/>
    <w:rsid w:val="0011672E"/>
    <w:rsid w:val="0011691E"/>
    <w:rsid w:val="00116977"/>
    <w:rsid w:val="0011712A"/>
    <w:rsid w:val="001179F7"/>
    <w:rsid w:val="00121855"/>
    <w:rsid w:val="00121DDC"/>
    <w:rsid w:val="0012202A"/>
    <w:rsid w:val="001223B0"/>
    <w:rsid w:val="001227CF"/>
    <w:rsid w:val="00122EE1"/>
    <w:rsid w:val="00123AE3"/>
    <w:rsid w:val="00123C64"/>
    <w:rsid w:val="00124189"/>
    <w:rsid w:val="001254CC"/>
    <w:rsid w:val="001255A5"/>
    <w:rsid w:val="0012597C"/>
    <w:rsid w:val="001259E1"/>
    <w:rsid w:val="00125BDC"/>
    <w:rsid w:val="0012620D"/>
    <w:rsid w:val="0012637F"/>
    <w:rsid w:val="001267FD"/>
    <w:rsid w:val="00127532"/>
    <w:rsid w:val="001276BA"/>
    <w:rsid w:val="00127EFD"/>
    <w:rsid w:val="00127F6F"/>
    <w:rsid w:val="0013028F"/>
    <w:rsid w:val="00130A37"/>
    <w:rsid w:val="00131118"/>
    <w:rsid w:val="0013140B"/>
    <w:rsid w:val="001320C7"/>
    <w:rsid w:val="00132486"/>
    <w:rsid w:val="0013280D"/>
    <w:rsid w:val="00132868"/>
    <w:rsid w:val="00133389"/>
    <w:rsid w:val="00133A9C"/>
    <w:rsid w:val="00134271"/>
    <w:rsid w:val="001353D0"/>
    <w:rsid w:val="0013550C"/>
    <w:rsid w:val="00135933"/>
    <w:rsid w:val="00135C10"/>
    <w:rsid w:val="00135E92"/>
    <w:rsid w:val="0013655A"/>
    <w:rsid w:val="001370BD"/>
    <w:rsid w:val="001370C2"/>
    <w:rsid w:val="00137192"/>
    <w:rsid w:val="00137741"/>
    <w:rsid w:val="00137DC9"/>
    <w:rsid w:val="0014031C"/>
    <w:rsid w:val="001404FF"/>
    <w:rsid w:val="00141A37"/>
    <w:rsid w:val="00142808"/>
    <w:rsid w:val="00143701"/>
    <w:rsid w:val="00143D27"/>
    <w:rsid w:val="00143E5B"/>
    <w:rsid w:val="00143E6D"/>
    <w:rsid w:val="00144447"/>
    <w:rsid w:val="0014457E"/>
    <w:rsid w:val="00144E7C"/>
    <w:rsid w:val="00145364"/>
    <w:rsid w:val="00145728"/>
    <w:rsid w:val="00145B5F"/>
    <w:rsid w:val="00145C8A"/>
    <w:rsid w:val="00145ECF"/>
    <w:rsid w:val="00146857"/>
    <w:rsid w:val="001468AC"/>
    <w:rsid w:val="00146B74"/>
    <w:rsid w:val="00146CBD"/>
    <w:rsid w:val="00146CD7"/>
    <w:rsid w:val="001475AF"/>
    <w:rsid w:val="001478E7"/>
    <w:rsid w:val="00147B5B"/>
    <w:rsid w:val="00147E27"/>
    <w:rsid w:val="0015126D"/>
    <w:rsid w:val="00151B9B"/>
    <w:rsid w:val="001525C4"/>
    <w:rsid w:val="00152730"/>
    <w:rsid w:val="0015320A"/>
    <w:rsid w:val="0015362B"/>
    <w:rsid w:val="001538A4"/>
    <w:rsid w:val="00153971"/>
    <w:rsid w:val="00153B78"/>
    <w:rsid w:val="00154E31"/>
    <w:rsid w:val="001564B6"/>
    <w:rsid w:val="001577A9"/>
    <w:rsid w:val="0016098D"/>
    <w:rsid w:val="001609F9"/>
    <w:rsid w:val="00160A8D"/>
    <w:rsid w:val="00160B3A"/>
    <w:rsid w:val="0016184C"/>
    <w:rsid w:val="00161C69"/>
    <w:rsid w:val="00162E78"/>
    <w:rsid w:val="001630FA"/>
    <w:rsid w:val="0016454F"/>
    <w:rsid w:val="00164832"/>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25B"/>
    <w:rsid w:val="0017277A"/>
    <w:rsid w:val="00172AA2"/>
    <w:rsid w:val="00172B75"/>
    <w:rsid w:val="00174A8C"/>
    <w:rsid w:val="001756D8"/>
    <w:rsid w:val="0017626F"/>
    <w:rsid w:val="001773B7"/>
    <w:rsid w:val="00177EEA"/>
    <w:rsid w:val="00180319"/>
    <w:rsid w:val="00180718"/>
    <w:rsid w:val="00180A76"/>
    <w:rsid w:val="00181C87"/>
    <w:rsid w:val="00181F6C"/>
    <w:rsid w:val="001822C4"/>
    <w:rsid w:val="001824DB"/>
    <w:rsid w:val="001834A4"/>
    <w:rsid w:val="00183532"/>
    <w:rsid w:val="00183AD3"/>
    <w:rsid w:val="00183CBC"/>
    <w:rsid w:val="00183D5B"/>
    <w:rsid w:val="00183FD9"/>
    <w:rsid w:val="001843F8"/>
    <w:rsid w:val="00184BED"/>
    <w:rsid w:val="00184CD2"/>
    <w:rsid w:val="00185271"/>
    <w:rsid w:val="00185708"/>
    <w:rsid w:val="001866AC"/>
    <w:rsid w:val="00186CF6"/>
    <w:rsid w:val="00187F50"/>
    <w:rsid w:val="00190048"/>
    <w:rsid w:val="00190147"/>
    <w:rsid w:val="001909E6"/>
    <w:rsid w:val="0019122A"/>
    <w:rsid w:val="0019177A"/>
    <w:rsid w:val="00191B79"/>
    <w:rsid w:val="00191DB6"/>
    <w:rsid w:val="00192203"/>
    <w:rsid w:val="0019295E"/>
    <w:rsid w:val="0019375C"/>
    <w:rsid w:val="00193BA2"/>
    <w:rsid w:val="00193FCD"/>
    <w:rsid w:val="0019444B"/>
    <w:rsid w:val="0019496E"/>
    <w:rsid w:val="00194AAA"/>
    <w:rsid w:val="00194D63"/>
    <w:rsid w:val="00196684"/>
    <w:rsid w:val="0019677F"/>
    <w:rsid w:val="001A0E08"/>
    <w:rsid w:val="001A168A"/>
    <w:rsid w:val="001A1C0B"/>
    <w:rsid w:val="001A1CFA"/>
    <w:rsid w:val="001A250B"/>
    <w:rsid w:val="001A2651"/>
    <w:rsid w:val="001A2A0B"/>
    <w:rsid w:val="001A2E4B"/>
    <w:rsid w:val="001A2FF6"/>
    <w:rsid w:val="001A3907"/>
    <w:rsid w:val="001A3A45"/>
    <w:rsid w:val="001A3ECA"/>
    <w:rsid w:val="001A3EDE"/>
    <w:rsid w:val="001A4947"/>
    <w:rsid w:val="001A4BA1"/>
    <w:rsid w:val="001A4E63"/>
    <w:rsid w:val="001A501A"/>
    <w:rsid w:val="001A60AB"/>
    <w:rsid w:val="001A6C2F"/>
    <w:rsid w:val="001A79CF"/>
    <w:rsid w:val="001A7AAC"/>
    <w:rsid w:val="001B01CD"/>
    <w:rsid w:val="001B01D7"/>
    <w:rsid w:val="001B0684"/>
    <w:rsid w:val="001B06B5"/>
    <w:rsid w:val="001B0BCC"/>
    <w:rsid w:val="001B0E7F"/>
    <w:rsid w:val="001B11FC"/>
    <w:rsid w:val="001B1C20"/>
    <w:rsid w:val="001B1FD7"/>
    <w:rsid w:val="001B1FE4"/>
    <w:rsid w:val="001B213D"/>
    <w:rsid w:val="001B2479"/>
    <w:rsid w:val="001B258C"/>
    <w:rsid w:val="001B3BEB"/>
    <w:rsid w:val="001B5233"/>
    <w:rsid w:val="001B6376"/>
    <w:rsid w:val="001B64AB"/>
    <w:rsid w:val="001B69AD"/>
    <w:rsid w:val="001B6AFA"/>
    <w:rsid w:val="001B6B07"/>
    <w:rsid w:val="001B7090"/>
    <w:rsid w:val="001B7472"/>
    <w:rsid w:val="001B760A"/>
    <w:rsid w:val="001B7731"/>
    <w:rsid w:val="001C0F8B"/>
    <w:rsid w:val="001C14E0"/>
    <w:rsid w:val="001C191B"/>
    <w:rsid w:val="001C1D0D"/>
    <w:rsid w:val="001C1DB2"/>
    <w:rsid w:val="001C1E66"/>
    <w:rsid w:val="001C1F12"/>
    <w:rsid w:val="001C2A7A"/>
    <w:rsid w:val="001C3D42"/>
    <w:rsid w:val="001C42EE"/>
    <w:rsid w:val="001C43BB"/>
    <w:rsid w:val="001C49B8"/>
    <w:rsid w:val="001C4B20"/>
    <w:rsid w:val="001C5151"/>
    <w:rsid w:val="001C53A2"/>
    <w:rsid w:val="001C54AB"/>
    <w:rsid w:val="001C59DB"/>
    <w:rsid w:val="001C6204"/>
    <w:rsid w:val="001C6773"/>
    <w:rsid w:val="001C69F4"/>
    <w:rsid w:val="001C6CB1"/>
    <w:rsid w:val="001C7271"/>
    <w:rsid w:val="001D0806"/>
    <w:rsid w:val="001D0F73"/>
    <w:rsid w:val="001D21A6"/>
    <w:rsid w:val="001D22AD"/>
    <w:rsid w:val="001D25BC"/>
    <w:rsid w:val="001D27E5"/>
    <w:rsid w:val="001D2A06"/>
    <w:rsid w:val="001D38DB"/>
    <w:rsid w:val="001D3ED4"/>
    <w:rsid w:val="001D41F3"/>
    <w:rsid w:val="001D4C4A"/>
    <w:rsid w:val="001D4CA4"/>
    <w:rsid w:val="001D5235"/>
    <w:rsid w:val="001D5852"/>
    <w:rsid w:val="001D5E8F"/>
    <w:rsid w:val="001D6001"/>
    <w:rsid w:val="001D60F6"/>
    <w:rsid w:val="001D6F31"/>
    <w:rsid w:val="001D7822"/>
    <w:rsid w:val="001E110E"/>
    <w:rsid w:val="001E1617"/>
    <w:rsid w:val="001E1AAE"/>
    <w:rsid w:val="001E25FA"/>
    <w:rsid w:val="001E26F3"/>
    <w:rsid w:val="001E282F"/>
    <w:rsid w:val="001E2952"/>
    <w:rsid w:val="001E2A10"/>
    <w:rsid w:val="001E2B5B"/>
    <w:rsid w:val="001E2DED"/>
    <w:rsid w:val="001E33FE"/>
    <w:rsid w:val="001E49AA"/>
    <w:rsid w:val="001E4E14"/>
    <w:rsid w:val="001E5AAF"/>
    <w:rsid w:val="001E63B6"/>
    <w:rsid w:val="001E6BEA"/>
    <w:rsid w:val="001E6CFF"/>
    <w:rsid w:val="001E73E0"/>
    <w:rsid w:val="001E7D5F"/>
    <w:rsid w:val="001F07E2"/>
    <w:rsid w:val="001F08AB"/>
    <w:rsid w:val="001F08B5"/>
    <w:rsid w:val="001F0EAF"/>
    <w:rsid w:val="001F1A2C"/>
    <w:rsid w:val="001F1BD5"/>
    <w:rsid w:val="001F2466"/>
    <w:rsid w:val="001F28B6"/>
    <w:rsid w:val="001F294C"/>
    <w:rsid w:val="001F363F"/>
    <w:rsid w:val="001F3D9E"/>
    <w:rsid w:val="001F428F"/>
    <w:rsid w:val="001F4A4B"/>
    <w:rsid w:val="001F4B1C"/>
    <w:rsid w:val="001F4CBC"/>
    <w:rsid w:val="001F5012"/>
    <w:rsid w:val="001F54F6"/>
    <w:rsid w:val="001F57B0"/>
    <w:rsid w:val="001F5B9E"/>
    <w:rsid w:val="001F5C70"/>
    <w:rsid w:val="001F608D"/>
    <w:rsid w:val="001F6098"/>
    <w:rsid w:val="001F6C4C"/>
    <w:rsid w:val="001F7441"/>
    <w:rsid w:val="001F7A1E"/>
    <w:rsid w:val="00200477"/>
    <w:rsid w:val="002006B8"/>
    <w:rsid w:val="00200B02"/>
    <w:rsid w:val="002015C8"/>
    <w:rsid w:val="002017DC"/>
    <w:rsid w:val="00201BE2"/>
    <w:rsid w:val="00201F16"/>
    <w:rsid w:val="00202215"/>
    <w:rsid w:val="002022D2"/>
    <w:rsid w:val="00202E5B"/>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0E3E"/>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5F8C"/>
    <w:rsid w:val="0021608C"/>
    <w:rsid w:val="00216B01"/>
    <w:rsid w:val="0021720E"/>
    <w:rsid w:val="00217363"/>
    <w:rsid w:val="002200C2"/>
    <w:rsid w:val="002208F0"/>
    <w:rsid w:val="00221BFA"/>
    <w:rsid w:val="002220FE"/>
    <w:rsid w:val="0022225E"/>
    <w:rsid w:val="002222B7"/>
    <w:rsid w:val="0022271D"/>
    <w:rsid w:val="00222E7B"/>
    <w:rsid w:val="00223187"/>
    <w:rsid w:val="00223360"/>
    <w:rsid w:val="0022384A"/>
    <w:rsid w:val="00223FAE"/>
    <w:rsid w:val="00224320"/>
    <w:rsid w:val="002250E9"/>
    <w:rsid w:val="0022586C"/>
    <w:rsid w:val="002258BE"/>
    <w:rsid w:val="00225BC6"/>
    <w:rsid w:val="00225E8D"/>
    <w:rsid w:val="00226EE2"/>
    <w:rsid w:val="00230C82"/>
    <w:rsid w:val="00230F6B"/>
    <w:rsid w:val="00231206"/>
    <w:rsid w:val="002314F0"/>
    <w:rsid w:val="00231962"/>
    <w:rsid w:val="00231D22"/>
    <w:rsid w:val="00232459"/>
    <w:rsid w:val="00232952"/>
    <w:rsid w:val="00232D47"/>
    <w:rsid w:val="00232EF5"/>
    <w:rsid w:val="00233EF5"/>
    <w:rsid w:val="002345BD"/>
    <w:rsid w:val="00234C11"/>
    <w:rsid w:val="00234D9D"/>
    <w:rsid w:val="002353FB"/>
    <w:rsid w:val="00235FB0"/>
    <w:rsid w:val="00236041"/>
    <w:rsid w:val="00236190"/>
    <w:rsid w:val="00236543"/>
    <w:rsid w:val="00237096"/>
    <w:rsid w:val="00237279"/>
    <w:rsid w:val="002374FB"/>
    <w:rsid w:val="00237646"/>
    <w:rsid w:val="00237D87"/>
    <w:rsid w:val="00240642"/>
    <w:rsid w:val="00240E94"/>
    <w:rsid w:val="00241116"/>
    <w:rsid w:val="00241944"/>
    <w:rsid w:val="00242879"/>
    <w:rsid w:val="00244799"/>
    <w:rsid w:val="00245339"/>
    <w:rsid w:val="00245F00"/>
    <w:rsid w:val="002461D1"/>
    <w:rsid w:val="00246553"/>
    <w:rsid w:val="00246764"/>
    <w:rsid w:val="00247355"/>
    <w:rsid w:val="00247589"/>
    <w:rsid w:val="002477EE"/>
    <w:rsid w:val="0025013B"/>
    <w:rsid w:val="00250428"/>
    <w:rsid w:val="002514C4"/>
    <w:rsid w:val="00251CE4"/>
    <w:rsid w:val="00251EC8"/>
    <w:rsid w:val="002523CD"/>
    <w:rsid w:val="00252655"/>
    <w:rsid w:val="0025287A"/>
    <w:rsid w:val="00252AEA"/>
    <w:rsid w:val="00252E05"/>
    <w:rsid w:val="00252FB5"/>
    <w:rsid w:val="00253038"/>
    <w:rsid w:val="0025305F"/>
    <w:rsid w:val="0025311A"/>
    <w:rsid w:val="00253269"/>
    <w:rsid w:val="002532E1"/>
    <w:rsid w:val="00253A3C"/>
    <w:rsid w:val="0025410F"/>
    <w:rsid w:val="002541C0"/>
    <w:rsid w:val="002542CA"/>
    <w:rsid w:val="00254694"/>
    <w:rsid w:val="00255D12"/>
    <w:rsid w:val="00255D5C"/>
    <w:rsid w:val="002560F4"/>
    <w:rsid w:val="00256826"/>
    <w:rsid w:val="00256C1E"/>
    <w:rsid w:val="00256C99"/>
    <w:rsid w:val="00257841"/>
    <w:rsid w:val="00257DA0"/>
    <w:rsid w:val="002600E9"/>
    <w:rsid w:val="00260B5B"/>
    <w:rsid w:val="00261E42"/>
    <w:rsid w:val="00262B78"/>
    <w:rsid w:val="002632CE"/>
    <w:rsid w:val="00263C09"/>
    <w:rsid w:val="00264788"/>
    <w:rsid w:val="00264B8F"/>
    <w:rsid w:val="00264C61"/>
    <w:rsid w:val="00264D73"/>
    <w:rsid w:val="002651D6"/>
    <w:rsid w:val="002654F1"/>
    <w:rsid w:val="00265BFB"/>
    <w:rsid w:val="00265DCF"/>
    <w:rsid w:val="00265EAE"/>
    <w:rsid w:val="00265FA4"/>
    <w:rsid w:val="0026623E"/>
    <w:rsid w:val="002668BA"/>
    <w:rsid w:val="00266AE3"/>
    <w:rsid w:val="00266F68"/>
    <w:rsid w:val="00267471"/>
    <w:rsid w:val="00267961"/>
    <w:rsid w:val="00267EC6"/>
    <w:rsid w:val="00267EE2"/>
    <w:rsid w:val="002701E2"/>
    <w:rsid w:val="00270887"/>
    <w:rsid w:val="00270C13"/>
    <w:rsid w:val="00271285"/>
    <w:rsid w:val="00271B05"/>
    <w:rsid w:val="0027205B"/>
    <w:rsid w:val="00272F05"/>
    <w:rsid w:val="00272F82"/>
    <w:rsid w:val="0027303E"/>
    <w:rsid w:val="002736D7"/>
    <w:rsid w:val="0027423C"/>
    <w:rsid w:val="00274F51"/>
    <w:rsid w:val="0027734B"/>
    <w:rsid w:val="002774DB"/>
    <w:rsid w:val="00277800"/>
    <w:rsid w:val="00277A64"/>
    <w:rsid w:val="00277CA0"/>
    <w:rsid w:val="0028000F"/>
    <w:rsid w:val="00280425"/>
    <w:rsid w:val="0028089A"/>
    <w:rsid w:val="00280C5C"/>
    <w:rsid w:val="00281563"/>
    <w:rsid w:val="00281888"/>
    <w:rsid w:val="0028217C"/>
    <w:rsid w:val="00283845"/>
    <w:rsid w:val="00284004"/>
    <w:rsid w:val="0028502E"/>
    <w:rsid w:val="00285597"/>
    <w:rsid w:val="002857CD"/>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51A"/>
    <w:rsid w:val="002948F5"/>
    <w:rsid w:val="00295448"/>
    <w:rsid w:val="00295802"/>
    <w:rsid w:val="0029592E"/>
    <w:rsid w:val="00296566"/>
    <w:rsid w:val="0029681B"/>
    <w:rsid w:val="002974AE"/>
    <w:rsid w:val="0029799A"/>
    <w:rsid w:val="00297A3D"/>
    <w:rsid w:val="002A0ADA"/>
    <w:rsid w:val="002A11EA"/>
    <w:rsid w:val="002A1375"/>
    <w:rsid w:val="002A1957"/>
    <w:rsid w:val="002A1CEE"/>
    <w:rsid w:val="002A203B"/>
    <w:rsid w:val="002A255D"/>
    <w:rsid w:val="002A32E0"/>
    <w:rsid w:val="002A35FE"/>
    <w:rsid w:val="002A50C2"/>
    <w:rsid w:val="002A528C"/>
    <w:rsid w:val="002A556A"/>
    <w:rsid w:val="002A58E2"/>
    <w:rsid w:val="002A5D4E"/>
    <w:rsid w:val="002A6E71"/>
    <w:rsid w:val="002A726B"/>
    <w:rsid w:val="002A73E5"/>
    <w:rsid w:val="002A7543"/>
    <w:rsid w:val="002B066F"/>
    <w:rsid w:val="002B0EA0"/>
    <w:rsid w:val="002B0F24"/>
    <w:rsid w:val="002B1027"/>
    <w:rsid w:val="002B14D6"/>
    <w:rsid w:val="002B1686"/>
    <w:rsid w:val="002B19EC"/>
    <w:rsid w:val="002B1B7E"/>
    <w:rsid w:val="002B1C3E"/>
    <w:rsid w:val="002B221C"/>
    <w:rsid w:val="002B2AB9"/>
    <w:rsid w:val="002B3245"/>
    <w:rsid w:val="002B39E9"/>
    <w:rsid w:val="002B4591"/>
    <w:rsid w:val="002B4949"/>
    <w:rsid w:val="002B5821"/>
    <w:rsid w:val="002B5870"/>
    <w:rsid w:val="002B5925"/>
    <w:rsid w:val="002B5948"/>
    <w:rsid w:val="002B5C3A"/>
    <w:rsid w:val="002B5DF2"/>
    <w:rsid w:val="002B6538"/>
    <w:rsid w:val="002B6575"/>
    <w:rsid w:val="002B662C"/>
    <w:rsid w:val="002B665C"/>
    <w:rsid w:val="002B683D"/>
    <w:rsid w:val="002B686D"/>
    <w:rsid w:val="002B6915"/>
    <w:rsid w:val="002B6E71"/>
    <w:rsid w:val="002B70F8"/>
    <w:rsid w:val="002C0A46"/>
    <w:rsid w:val="002C1031"/>
    <w:rsid w:val="002C2037"/>
    <w:rsid w:val="002C2793"/>
    <w:rsid w:val="002C2A59"/>
    <w:rsid w:val="002C35B3"/>
    <w:rsid w:val="002C36FD"/>
    <w:rsid w:val="002C3CC3"/>
    <w:rsid w:val="002C4DA0"/>
    <w:rsid w:val="002C571D"/>
    <w:rsid w:val="002C5A61"/>
    <w:rsid w:val="002C5EE2"/>
    <w:rsid w:val="002C6019"/>
    <w:rsid w:val="002C6620"/>
    <w:rsid w:val="002C6903"/>
    <w:rsid w:val="002C69CC"/>
    <w:rsid w:val="002C6AEB"/>
    <w:rsid w:val="002C700F"/>
    <w:rsid w:val="002C7093"/>
    <w:rsid w:val="002C7212"/>
    <w:rsid w:val="002C7578"/>
    <w:rsid w:val="002C767B"/>
    <w:rsid w:val="002C7B3E"/>
    <w:rsid w:val="002C7CA4"/>
    <w:rsid w:val="002D0031"/>
    <w:rsid w:val="002D1337"/>
    <w:rsid w:val="002D1385"/>
    <w:rsid w:val="002D1410"/>
    <w:rsid w:val="002D1429"/>
    <w:rsid w:val="002D1788"/>
    <w:rsid w:val="002D202A"/>
    <w:rsid w:val="002D2267"/>
    <w:rsid w:val="002D24CF"/>
    <w:rsid w:val="002D24FA"/>
    <w:rsid w:val="002D2A3F"/>
    <w:rsid w:val="002D2AD2"/>
    <w:rsid w:val="002D2ADD"/>
    <w:rsid w:val="002D2C57"/>
    <w:rsid w:val="002D4129"/>
    <w:rsid w:val="002D42D3"/>
    <w:rsid w:val="002D4A92"/>
    <w:rsid w:val="002D557D"/>
    <w:rsid w:val="002D55DF"/>
    <w:rsid w:val="002D59A5"/>
    <w:rsid w:val="002D622E"/>
    <w:rsid w:val="002D686B"/>
    <w:rsid w:val="002D6938"/>
    <w:rsid w:val="002D6AA4"/>
    <w:rsid w:val="002D6E46"/>
    <w:rsid w:val="002D76EC"/>
    <w:rsid w:val="002D7B4F"/>
    <w:rsid w:val="002E03F4"/>
    <w:rsid w:val="002E0735"/>
    <w:rsid w:val="002E0A05"/>
    <w:rsid w:val="002E0A32"/>
    <w:rsid w:val="002E0F4F"/>
    <w:rsid w:val="002E126F"/>
    <w:rsid w:val="002E12C7"/>
    <w:rsid w:val="002E17BF"/>
    <w:rsid w:val="002E1A7E"/>
    <w:rsid w:val="002E2C82"/>
    <w:rsid w:val="002E36C0"/>
    <w:rsid w:val="002E3786"/>
    <w:rsid w:val="002E3869"/>
    <w:rsid w:val="002E3E7D"/>
    <w:rsid w:val="002E4BF9"/>
    <w:rsid w:val="002E5391"/>
    <w:rsid w:val="002E5579"/>
    <w:rsid w:val="002E61CB"/>
    <w:rsid w:val="002E67B5"/>
    <w:rsid w:val="002E70D2"/>
    <w:rsid w:val="002F0708"/>
    <w:rsid w:val="002F1433"/>
    <w:rsid w:val="002F14AF"/>
    <w:rsid w:val="002F167D"/>
    <w:rsid w:val="002F1FD8"/>
    <w:rsid w:val="002F222A"/>
    <w:rsid w:val="002F2401"/>
    <w:rsid w:val="002F24AA"/>
    <w:rsid w:val="002F29D1"/>
    <w:rsid w:val="002F2BC9"/>
    <w:rsid w:val="002F327A"/>
    <w:rsid w:val="002F3E0E"/>
    <w:rsid w:val="002F4750"/>
    <w:rsid w:val="002F5824"/>
    <w:rsid w:val="002F59EC"/>
    <w:rsid w:val="002F5A5C"/>
    <w:rsid w:val="002F60D1"/>
    <w:rsid w:val="002F61F0"/>
    <w:rsid w:val="002F6466"/>
    <w:rsid w:val="002F6584"/>
    <w:rsid w:val="002F7A86"/>
    <w:rsid w:val="00300933"/>
    <w:rsid w:val="00301047"/>
    <w:rsid w:val="00301378"/>
    <w:rsid w:val="00301B9A"/>
    <w:rsid w:val="00301D68"/>
    <w:rsid w:val="00301D8E"/>
    <w:rsid w:val="003021AD"/>
    <w:rsid w:val="0030249C"/>
    <w:rsid w:val="00302528"/>
    <w:rsid w:val="003026A5"/>
    <w:rsid w:val="00302897"/>
    <w:rsid w:val="00303432"/>
    <w:rsid w:val="003036E9"/>
    <w:rsid w:val="00304518"/>
    <w:rsid w:val="003046D5"/>
    <w:rsid w:val="00304A15"/>
    <w:rsid w:val="00304DA9"/>
    <w:rsid w:val="00304DF7"/>
    <w:rsid w:val="0030555E"/>
    <w:rsid w:val="00305D57"/>
    <w:rsid w:val="00305F74"/>
    <w:rsid w:val="003068C8"/>
    <w:rsid w:val="00306A96"/>
    <w:rsid w:val="00307340"/>
    <w:rsid w:val="003076BF"/>
    <w:rsid w:val="00307E87"/>
    <w:rsid w:val="00310DE4"/>
    <w:rsid w:val="003119D9"/>
    <w:rsid w:val="003124D6"/>
    <w:rsid w:val="00312B5F"/>
    <w:rsid w:val="00312E3D"/>
    <w:rsid w:val="0031311E"/>
    <w:rsid w:val="0031372C"/>
    <w:rsid w:val="00313B96"/>
    <w:rsid w:val="00314524"/>
    <w:rsid w:val="00314CC2"/>
    <w:rsid w:val="0031545D"/>
    <w:rsid w:val="00315B59"/>
    <w:rsid w:val="00315D92"/>
    <w:rsid w:val="00315E7D"/>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665"/>
    <w:rsid w:val="0032491B"/>
    <w:rsid w:val="00325794"/>
    <w:rsid w:val="0032636F"/>
    <w:rsid w:val="003263C6"/>
    <w:rsid w:val="00326971"/>
    <w:rsid w:val="00326ABA"/>
    <w:rsid w:val="00326CA7"/>
    <w:rsid w:val="00327702"/>
    <w:rsid w:val="00327BA9"/>
    <w:rsid w:val="00327BEA"/>
    <w:rsid w:val="00330272"/>
    <w:rsid w:val="00330CAD"/>
    <w:rsid w:val="00330CE7"/>
    <w:rsid w:val="0033106C"/>
    <w:rsid w:val="00331CCD"/>
    <w:rsid w:val="003323FA"/>
    <w:rsid w:val="00332BF0"/>
    <w:rsid w:val="00332F41"/>
    <w:rsid w:val="00333626"/>
    <w:rsid w:val="00333679"/>
    <w:rsid w:val="00333CBB"/>
    <w:rsid w:val="00334227"/>
    <w:rsid w:val="00334951"/>
    <w:rsid w:val="00334960"/>
    <w:rsid w:val="003349F7"/>
    <w:rsid w:val="00334B0E"/>
    <w:rsid w:val="00334D72"/>
    <w:rsid w:val="00334F0B"/>
    <w:rsid w:val="003350FC"/>
    <w:rsid w:val="003358A7"/>
    <w:rsid w:val="00335C47"/>
    <w:rsid w:val="00335DFC"/>
    <w:rsid w:val="0033687A"/>
    <w:rsid w:val="00336924"/>
    <w:rsid w:val="0033716E"/>
    <w:rsid w:val="00337637"/>
    <w:rsid w:val="00337D14"/>
    <w:rsid w:val="0034077A"/>
    <w:rsid w:val="0034107B"/>
    <w:rsid w:val="003412EB"/>
    <w:rsid w:val="003414AB"/>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611"/>
    <w:rsid w:val="00347947"/>
    <w:rsid w:val="0035009B"/>
    <w:rsid w:val="003502C0"/>
    <w:rsid w:val="003506F1"/>
    <w:rsid w:val="00350B20"/>
    <w:rsid w:val="00350CCD"/>
    <w:rsid w:val="00350F62"/>
    <w:rsid w:val="00351071"/>
    <w:rsid w:val="003519E7"/>
    <w:rsid w:val="00351E2B"/>
    <w:rsid w:val="00351F59"/>
    <w:rsid w:val="003521EA"/>
    <w:rsid w:val="003522A0"/>
    <w:rsid w:val="0035263A"/>
    <w:rsid w:val="00352862"/>
    <w:rsid w:val="00352B51"/>
    <w:rsid w:val="00352DDB"/>
    <w:rsid w:val="00353051"/>
    <w:rsid w:val="00353637"/>
    <w:rsid w:val="0035373C"/>
    <w:rsid w:val="003545FB"/>
    <w:rsid w:val="003548E7"/>
    <w:rsid w:val="003559E9"/>
    <w:rsid w:val="0035606E"/>
    <w:rsid w:val="0035623D"/>
    <w:rsid w:val="003568D2"/>
    <w:rsid w:val="00357385"/>
    <w:rsid w:val="00357774"/>
    <w:rsid w:val="00357D5C"/>
    <w:rsid w:val="00360233"/>
    <w:rsid w:val="0036028E"/>
    <w:rsid w:val="0036091C"/>
    <w:rsid w:val="0036102E"/>
    <w:rsid w:val="00361309"/>
    <w:rsid w:val="0036130C"/>
    <w:rsid w:val="00362B20"/>
    <w:rsid w:val="00363373"/>
    <w:rsid w:val="003634B3"/>
    <w:rsid w:val="0036408F"/>
    <w:rsid w:val="003643FB"/>
    <w:rsid w:val="00364518"/>
    <w:rsid w:val="0036471A"/>
    <w:rsid w:val="00364748"/>
    <w:rsid w:val="00364DDC"/>
    <w:rsid w:val="00364FB7"/>
    <w:rsid w:val="00365205"/>
    <w:rsid w:val="00365BA7"/>
    <w:rsid w:val="00366ED8"/>
    <w:rsid w:val="00367061"/>
    <w:rsid w:val="0036776D"/>
    <w:rsid w:val="00367C46"/>
    <w:rsid w:val="00367E81"/>
    <w:rsid w:val="00370C00"/>
    <w:rsid w:val="00370CFC"/>
    <w:rsid w:val="00370D36"/>
    <w:rsid w:val="003713CE"/>
    <w:rsid w:val="00371A18"/>
    <w:rsid w:val="00371A9E"/>
    <w:rsid w:val="00371C4D"/>
    <w:rsid w:val="00372C2D"/>
    <w:rsid w:val="003731AA"/>
    <w:rsid w:val="00373697"/>
    <w:rsid w:val="003739E6"/>
    <w:rsid w:val="00374BA0"/>
    <w:rsid w:val="00374E13"/>
    <w:rsid w:val="00375AC2"/>
    <w:rsid w:val="00375C42"/>
    <w:rsid w:val="00375F5A"/>
    <w:rsid w:val="00376166"/>
    <w:rsid w:val="0037617E"/>
    <w:rsid w:val="00376193"/>
    <w:rsid w:val="0037688B"/>
    <w:rsid w:val="00376913"/>
    <w:rsid w:val="00376B2D"/>
    <w:rsid w:val="00376F4B"/>
    <w:rsid w:val="00376FDE"/>
    <w:rsid w:val="00377BB8"/>
    <w:rsid w:val="003800F2"/>
    <w:rsid w:val="00380575"/>
    <w:rsid w:val="00381626"/>
    <w:rsid w:val="00381C38"/>
    <w:rsid w:val="00381D4B"/>
    <w:rsid w:val="00381E6F"/>
    <w:rsid w:val="003827A9"/>
    <w:rsid w:val="00382E5F"/>
    <w:rsid w:val="0038423E"/>
    <w:rsid w:val="00384870"/>
    <w:rsid w:val="0038506B"/>
    <w:rsid w:val="003854A9"/>
    <w:rsid w:val="003860DD"/>
    <w:rsid w:val="003864A6"/>
    <w:rsid w:val="00386B6B"/>
    <w:rsid w:val="003876E9"/>
    <w:rsid w:val="00387738"/>
    <w:rsid w:val="00387CEA"/>
    <w:rsid w:val="0039021B"/>
    <w:rsid w:val="003908F0"/>
    <w:rsid w:val="00390B90"/>
    <w:rsid w:val="00391355"/>
    <w:rsid w:val="003915E8"/>
    <w:rsid w:val="0039212F"/>
    <w:rsid w:val="00392D0C"/>
    <w:rsid w:val="003930D0"/>
    <w:rsid w:val="00393516"/>
    <w:rsid w:val="003937C4"/>
    <w:rsid w:val="00393B1B"/>
    <w:rsid w:val="00393BD4"/>
    <w:rsid w:val="00394D5D"/>
    <w:rsid w:val="003953C7"/>
    <w:rsid w:val="003959A3"/>
    <w:rsid w:val="00396274"/>
    <w:rsid w:val="00396996"/>
    <w:rsid w:val="00396D87"/>
    <w:rsid w:val="00397193"/>
    <w:rsid w:val="00397DC1"/>
    <w:rsid w:val="00397F6D"/>
    <w:rsid w:val="003A040D"/>
    <w:rsid w:val="003A0B00"/>
    <w:rsid w:val="003A15A4"/>
    <w:rsid w:val="003A15E1"/>
    <w:rsid w:val="003A1799"/>
    <w:rsid w:val="003A2378"/>
    <w:rsid w:val="003A2BC4"/>
    <w:rsid w:val="003A2F2F"/>
    <w:rsid w:val="003A2FA7"/>
    <w:rsid w:val="003A371E"/>
    <w:rsid w:val="003A371F"/>
    <w:rsid w:val="003A39BB"/>
    <w:rsid w:val="003A3CAD"/>
    <w:rsid w:val="003A4355"/>
    <w:rsid w:val="003A5B5A"/>
    <w:rsid w:val="003A5C68"/>
    <w:rsid w:val="003A631F"/>
    <w:rsid w:val="003A6448"/>
    <w:rsid w:val="003A6A20"/>
    <w:rsid w:val="003A6D12"/>
    <w:rsid w:val="003A7637"/>
    <w:rsid w:val="003B074C"/>
    <w:rsid w:val="003B0FF7"/>
    <w:rsid w:val="003B13BC"/>
    <w:rsid w:val="003B1449"/>
    <w:rsid w:val="003B173D"/>
    <w:rsid w:val="003B1869"/>
    <w:rsid w:val="003B1D23"/>
    <w:rsid w:val="003B1F25"/>
    <w:rsid w:val="003B20B8"/>
    <w:rsid w:val="003B2885"/>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783"/>
    <w:rsid w:val="003B6911"/>
    <w:rsid w:val="003B6BEC"/>
    <w:rsid w:val="003B6F5B"/>
    <w:rsid w:val="003B709B"/>
    <w:rsid w:val="003B71CF"/>
    <w:rsid w:val="003B739A"/>
    <w:rsid w:val="003B7A31"/>
    <w:rsid w:val="003B7C4B"/>
    <w:rsid w:val="003C0D22"/>
    <w:rsid w:val="003C103C"/>
    <w:rsid w:val="003C1726"/>
    <w:rsid w:val="003C1930"/>
    <w:rsid w:val="003C1978"/>
    <w:rsid w:val="003C1FEF"/>
    <w:rsid w:val="003C224D"/>
    <w:rsid w:val="003C23A7"/>
    <w:rsid w:val="003C25A7"/>
    <w:rsid w:val="003C2868"/>
    <w:rsid w:val="003C3102"/>
    <w:rsid w:val="003C3336"/>
    <w:rsid w:val="003C3767"/>
    <w:rsid w:val="003C38A7"/>
    <w:rsid w:val="003C396B"/>
    <w:rsid w:val="003C3BDC"/>
    <w:rsid w:val="003C436B"/>
    <w:rsid w:val="003C4F78"/>
    <w:rsid w:val="003C5161"/>
    <w:rsid w:val="003C5685"/>
    <w:rsid w:val="003C5737"/>
    <w:rsid w:val="003C5A03"/>
    <w:rsid w:val="003C5E36"/>
    <w:rsid w:val="003C6037"/>
    <w:rsid w:val="003C65B0"/>
    <w:rsid w:val="003C6C14"/>
    <w:rsid w:val="003C6F4F"/>
    <w:rsid w:val="003C707C"/>
    <w:rsid w:val="003C70DD"/>
    <w:rsid w:val="003C770B"/>
    <w:rsid w:val="003D0CF7"/>
    <w:rsid w:val="003D0D12"/>
    <w:rsid w:val="003D15A0"/>
    <w:rsid w:val="003D247B"/>
    <w:rsid w:val="003D2A69"/>
    <w:rsid w:val="003D2BBF"/>
    <w:rsid w:val="003D32D8"/>
    <w:rsid w:val="003D32F2"/>
    <w:rsid w:val="003D38FC"/>
    <w:rsid w:val="003D396E"/>
    <w:rsid w:val="003D4B4B"/>
    <w:rsid w:val="003D538F"/>
    <w:rsid w:val="003D5E14"/>
    <w:rsid w:val="003D6070"/>
    <w:rsid w:val="003D61A1"/>
    <w:rsid w:val="003D628F"/>
    <w:rsid w:val="003D6500"/>
    <w:rsid w:val="003D6A23"/>
    <w:rsid w:val="003D6C8A"/>
    <w:rsid w:val="003D6FAE"/>
    <w:rsid w:val="003D70D2"/>
    <w:rsid w:val="003D7789"/>
    <w:rsid w:val="003D7DDF"/>
    <w:rsid w:val="003E0933"/>
    <w:rsid w:val="003E1087"/>
    <w:rsid w:val="003E1CBB"/>
    <w:rsid w:val="003E265C"/>
    <w:rsid w:val="003E2664"/>
    <w:rsid w:val="003E3C7D"/>
    <w:rsid w:val="003E3D64"/>
    <w:rsid w:val="003E44AC"/>
    <w:rsid w:val="003E52AE"/>
    <w:rsid w:val="003E5B05"/>
    <w:rsid w:val="003E5FA3"/>
    <w:rsid w:val="003E61C0"/>
    <w:rsid w:val="003E64B3"/>
    <w:rsid w:val="003E69CE"/>
    <w:rsid w:val="003E6FB5"/>
    <w:rsid w:val="003F1515"/>
    <w:rsid w:val="003F19BE"/>
    <w:rsid w:val="003F1C7F"/>
    <w:rsid w:val="003F21D4"/>
    <w:rsid w:val="003F23D6"/>
    <w:rsid w:val="003F28B1"/>
    <w:rsid w:val="003F2E41"/>
    <w:rsid w:val="003F33C5"/>
    <w:rsid w:val="003F517E"/>
    <w:rsid w:val="003F550D"/>
    <w:rsid w:val="003F5811"/>
    <w:rsid w:val="003F5BF0"/>
    <w:rsid w:val="003F64BA"/>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1E5"/>
    <w:rsid w:val="004061EA"/>
    <w:rsid w:val="00406420"/>
    <w:rsid w:val="004067A1"/>
    <w:rsid w:val="00406969"/>
    <w:rsid w:val="00407676"/>
    <w:rsid w:val="00407F0F"/>
    <w:rsid w:val="004108E5"/>
    <w:rsid w:val="00410D56"/>
    <w:rsid w:val="00411053"/>
    <w:rsid w:val="0041178D"/>
    <w:rsid w:val="0041253C"/>
    <w:rsid w:val="004126F8"/>
    <w:rsid w:val="004131EB"/>
    <w:rsid w:val="004135D5"/>
    <w:rsid w:val="00414534"/>
    <w:rsid w:val="00414921"/>
    <w:rsid w:val="004149E8"/>
    <w:rsid w:val="00414DDB"/>
    <w:rsid w:val="00415778"/>
    <w:rsid w:val="00415E50"/>
    <w:rsid w:val="00415FCD"/>
    <w:rsid w:val="004160E4"/>
    <w:rsid w:val="004162CE"/>
    <w:rsid w:val="00416E4C"/>
    <w:rsid w:val="004179C5"/>
    <w:rsid w:val="00417E0B"/>
    <w:rsid w:val="00420CD1"/>
    <w:rsid w:val="00420D14"/>
    <w:rsid w:val="00421708"/>
    <w:rsid w:val="00421D85"/>
    <w:rsid w:val="004221FE"/>
    <w:rsid w:val="004222C1"/>
    <w:rsid w:val="004229E2"/>
    <w:rsid w:val="00422DEA"/>
    <w:rsid w:val="004240EE"/>
    <w:rsid w:val="0042486F"/>
    <w:rsid w:val="00424FBB"/>
    <w:rsid w:val="00425A3E"/>
    <w:rsid w:val="00425A8C"/>
    <w:rsid w:val="00426584"/>
    <w:rsid w:val="00426776"/>
    <w:rsid w:val="004269D7"/>
    <w:rsid w:val="00426E87"/>
    <w:rsid w:val="00427CCB"/>
    <w:rsid w:val="00430308"/>
    <w:rsid w:val="00430C33"/>
    <w:rsid w:val="00431900"/>
    <w:rsid w:val="00433B49"/>
    <w:rsid w:val="00433BD3"/>
    <w:rsid w:val="0043422C"/>
    <w:rsid w:val="004343AE"/>
    <w:rsid w:val="00434E9C"/>
    <w:rsid w:val="0043575C"/>
    <w:rsid w:val="00435777"/>
    <w:rsid w:val="004366F6"/>
    <w:rsid w:val="00436962"/>
    <w:rsid w:val="00436B13"/>
    <w:rsid w:val="00437D6F"/>
    <w:rsid w:val="00437EB3"/>
    <w:rsid w:val="0044010F"/>
    <w:rsid w:val="004407F0"/>
    <w:rsid w:val="00440F58"/>
    <w:rsid w:val="0044116A"/>
    <w:rsid w:val="0044169C"/>
    <w:rsid w:val="0044213E"/>
    <w:rsid w:val="00442335"/>
    <w:rsid w:val="00442421"/>
    <w:rsid w:val="0044290B"/>
    <w:rsid w:val="004434D0"/>
    <w:rsid w:val="00443EA3"/>
    <w:rsid w:val="0044443C"/>
    <w:rsid w:val="00444694"/>
    <w:rsid w:val="00444FED"/>
    <w:rsid w:val="00445033"/>
    <w:rsid w:val="004459C7"/>
    <w:rsid w:val="00445AA8"/>
    <w:rsid w:val="00446409"/>
    <w:rsid w:val="0044703C"/>
    <w:rsid w:val="0044745A"/>
    <w:rsid w:val="0045036C"/>
    <w:rsid w:val="0045148E"/>
    <w:rsid w:val="004514FD"/>
    <w:rsid w:val="00451D08"/>
    <w:rsid w:val="00452AAF"/>
    <w:rsid w:val="0045327C"/>
    <w:rsid w:val="004533C8"/>
    <w:rsid w:val="00453D99"/>
    <w:rsid w:val="00453F08"/>
    <w:rsid w:val="00454089"/>
    <w:rsid w:val="00454BB4"/>
    <w:rsid w:val="004557D1"/>
    <w:rsid w:val="00455964"/>
    <w:rsid w:val="00455CCD"/>
    <w:rsid w:val="00456704"/>
    <w:rsid w:val="00456CDA"/>
    <w:rsid w:val="004575FD"/>
    <w:rsid w:val="004579B4"/>
    <w:rsid w:val="004579F3"/>
    <w:rsid w:val="00457BAA"/>
    <w:rsid w:val="0046047F"/>
    <w:rsid w:val="004604F5"/>
    <w:rsid w:val="00460CFB"/>
    <w:rsid w:val="0046185D"/>
    <w:rsid w:val="00461B27"/>
    <w:rsid w:val="00461DF2"/>
    <w:rsid w:val="00463107"/>
    <w:rsid w:val="00464591"/>
    <w:rsid w:val="00464B28"/>
    <w:rsid w:val="00464B7F"/>
    <w:rsid w:val="004654EA"/>
    <w:rsid w:val="0046558A"/>
    <w:rsid w:val="00465BC7"/>
    <w:rsid w:val="004660FA"/>
    <w:rsid w:val="004666E7"/>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3DDD"/>
    <w:rsid w:val="00474121"/>
    <w:rsid w:val="004741FD"/>
    <w:rsid w:val="00474655"/>
    <w:rsid w:val="004756EB"/>
    <w:rsid w:val="0047591F"/>
    <w:rsid w:val="00475C0E"/>
    <w:rsid w:val="00476852"/>
    <w:rsid w:val="00476EF9"/>
    <w:rsid w:val="00477CE2"/>
    <w:rsid w:val="0048014F"/>
    <w:rsid w:val="00480D6F"/>
    <w:rsid w:val="00480EFF"/>
    <w:rsid w:val="00481171"/>
    <w:rsid w:val="00481293"/>
    <w:rsid w:val="00481649"/>
    <w:rsid w:val="00481880"/>
    <w:rsid w:val="00481C17"/>
    <w:rsid w:val="004831AE"/>
    <w:rsid w:val="004835B5"/>
    <w:rsid w:val="00484649"/>
    <w:rsid w:val="004849B5"/>
    <w:rsid w:val="00484F56"/>
    <w:rsid w:val="00485097"/>
    <w:rsid w:val="004851EE"/>
    <w:rsid w:val="00485A1F"/>
    <w:rsid w:val="00485BC5"/>
    <w:rsid w:val="00486475"/>
    <w:rsid w:val="004867FE"/>
    <w:rsid w:val="00486D07"/>
    <w:rsid w:val="00487C9D"/>
    <w:rsid w:val="00490008"/>
    <w:rsid w:val="004906E1"/>
    <w:rsid w:val="004907A7"/>
    <w:rsid w:val="004908FD"/>
    <w:rsid w:val="00490E97"/>
    <w:rsid w:val="00491025"/>
    <w:rsid w:val="004915F2"/>
    <w:rsid w:val="00491DA5"/>
    <w:rsid w:val="004923C1"/>
    <w:rsid w:val="004924EE"/>
    <w:rsid w:val="004924F9"/>
    <w:rsid w:val="0049256E"/>
    <w:rsid w:val="00492827"/>
    <w:rsid w:val="00492AD3"/>
    <w:rsid w:val="00492B0A"/>
    <w:rsid w:val="00492CF8"/>
    <w:rsid w:val="00492EA6"/>
    <w:rsid w:val="0049372E"/>
    <w:rsid w:val="00493E31"/>
    <w:rsid w:val="00494942"/>
    <w:rsid w:val="00494EE0"/>
    <w:rsid w:val="00495789"/>
    <w:rsid w:val="00495891"/>
    <w:rsid w:val="004959A0"/>
    <w:rsid w:val="00496385"/>
    <w:rsid w:val="00496A4D"/>
    <w:rsid w:val="00496CB4"/>
    <w:rsid w:val="00496D87"/>
    <w:rsid w:val="004977DC"/>
    <w:rsid w:val="00497873"/>
    <w:rsid w:val="00497FCF"/>
    <w:rsid w:val="004A044B"/>
    <w:rsid w:val="004A06DC"/>
    <w:rsid w:val="004A0ED7"/>
    <w:rsid w:val="004A1685"/>
    <w:rsid w:val="004A19DA"/>
    <w:rsid w:val="004A26C3"/>
    <w:rsid w:val="004A2C60"/>
    <w:rsid w:val="004A3521"/>
    <w:rsid w:val="004A3E34"/>
    <w:rsid w:val="004A3E84"/>
    <w:rsid w:val="004A4234"/>
    <w:rsid w:val="004A4696"/>
    <w:rsid w:val="004A472F"/>
    <w:rsid w:val="004A5F34"/>
    <w:rsid w:val="004A5FE9"/>
    <w:rsid w:val="004A6217"/>
    <w:rsid w:val="004A6A28"/>
    <w:rsid w:val="004A6A4A"/>
    <w:rsid w:val="004A6B0B"/>
    <w:rsid w:val="004A6C8C"/>
    <w:rsid w:val="004B0EEE"/>
    <w:rsid w:val="004B15B5"/>
    <w:rsid w:val="004B174C"/>
    <w:rsid w:val="004B1C58"/>
    <w:rsid w:val="004B1D99"/>
    <w:rsid w:val="004B2186"/>
    <w:rsid w:val="004B2722"/>
    <w:rsid w:val="004B2941"/>
    <w:rsid w:val="004B2E3C"/>
    <w:rsid w:val="004B30DA"/>
    <w:rsid w:val="004B3345"/>
    <w:rsid w:val="004B339E"/>
    <w:rsid w:val="004B3746"/>
    <w:rsid w:val="004B3815"/>
    <w:rsid w:val="004B3892"/>
    <w:rsid w:val="004B3A40"/>
    <w:rsid w:val="004B3CE7"/>
    <w:rsid w:val="004B4880"/>
    <w:rsid w:val="004B4C90"/>
    <w:rsid w:val="004B4D74"/>
    <w:rsid w:val="004B52FD"/>
    <w:rsid w:val="004B55AD"/>
    <w:rsid w:val="004B69DA"/>
    <w:rsid w:val="004B6E7B"/>
    <w:rsid w:val="004B7091"/>
    <w:rsid w:val="004B7590"/>
    <w:rsid w:val="004B77BB"/>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A9"/>
    <w:rsid w:val="004C67C1"/>
    <w:rsid w:val="004C7068"/>
    <w:rsid w:val="004D08C1"/>
    <w:rsid w:val="004D0E75"/>
    <w:rsid w:val="004D1133"/>
    <w:rsid w:val="004D1162"/>
    <w:rsid w:val="004D1192"/>
    <w:rsid w:val="004D1224"/>
    <w:rsid w:val="004D1AD6"/>
    <w:rsid w:val="004D1E7C"/>
    <w:rsid w:val="004D1F05"/>
    <w:rsid w:val="004D1FB5"/>
    <w:rsid w:val="004D2268"/>
    <w:rsid w:val="004D2452"/>
    <w:rsid w:val="004D24EA"/>
    <w:rsid w:val="004D2BF1"/>
    <w:rsid w:val="004D32FD"/>
    <w:rsid w:val="004D3939"/>
    <w:rsid w:val="004D3B6C"/>
    <w:rsid w:val="004D3F98"/>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A37"/>
    <w:rsid w:val="004E2DBF"/>
    <w:rsid w:val="004E3A64"/>
    <w:rsid w:val="004E3C1F"/>
    <w:rsid w:val="004E4475"/>
    <w:rsid w:val="004E4BF0"/>
    <w:rsid w:val="004E520D"/>
    <w:rsid w:val="004E5305"/>
    <w:rsid w:val="004E589C"/>
    <w:rsid w:val="004E58E4"/>
    <w:rsid w:val="004E5CE8"/>
    <w:rsid w:val="004E6182"/>
    <w:rsid w:val="004E6250"/>
    <w:rsid w:val="004E6C6B"/>
    <w:rsid w:val="004E6CE0"/>
    <w:rsid w:val="004E710E"/>
    <w:rsid w:val="004E7196"/>
    <w:rsid w:val="004E775B"/>
    <w:rsid w:val="004E7826"/>
    <w:rsid w:val="004E78A5"/>
    <w:rsid w:val="004E7AB7"/>
    <w:rsid w:val="004E7B4B"/>
    <w:rsid w:val="004E7C6A"/>
    <w:rsid w:val="004E7CFE"/>
    <w:rsid w:val="004F0204"/>
    <w:rsid w:val="004F03A2"/>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810"/>
    <w:rsid w:val="00503AAB"/>
    <w:rsid w:val="00503EE9"/>
    <w:rsid w:val="00503F2D"/>
    <w:rsid w:val="00504BA3"/>
    <w:rsid w:val="00505363"/>
    <w:rsid w:val="005053A4"/>
    <w:rsid w:val="0050700F"/>
    <w:rsid w:val="0050724B"/>
    <w:rsid w:val="00507347"/>
    <w:rsid w:val="005073AA"/>
    <w:rsid w:val="00507924"/>
    <w:rsid w:val="005079D6"/>
    <w:rsid w:val="005103B9"/>
    <w:rsid w:val="0051127A"/>
    <w:rsid w:val="005114AA"/>
    <w:rsid w:val="00511B43"/>
    <w:rsid w:val="0051243D"/>
    <w:rsid w:val="00512595"/>
    <w:rsid w:val="0051284A"/>
    <w:rsid w:val="00512B3B"/>
    <w:rsid w:val="00512ED7"/>
    <w:rsid w:val="005132E9"/>
    <w:rsid w:val="0051375C"/>
    <w:rsid w:val="00513ABE"/>
    <w:rsid w:val="00513E23"/>
    <w:rsid w:val="005144C8"/>
    <w:rsid w:val="00514F66"/>
    <w:rsid w:val="00515073"/>
    <w:rsid w:val="00515A86"/>
    <w:rsid w:val="005162FA"/>
    <w:rsid w:val="005171AF"/>
    <w:rsid w:val="005176F3"/>
    <w:rsid w:val="00517AF5"/>
    <w:rsid w:val="00520326"/>
    <w:rsid w:val="00520A71"/>
    <w:rsid w:val="00520B41"/>
    <w:rsid w:val="00520CFB"/>
    <w:rsid w:val="0052106E"/>
    <w:rsid w:val="0052127F"/>
    <w:rsid w:val="00521595"/>
    <w:rsid w:val="00521ECF"/>
    <w:rsid w:val="00522860"/>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6DEE"/>
    <w:rsid w:val="00527C0E"/>
    <w:rsid w:val="00527F06"/>
    <w:rsid w:val="00530F6B"/>
    <w:rsid w:val="00532056"/>
    <w:rsid w:val="0053277B"/>
    <w:rsid w:val="00532BA2"/>
    <w:rsid w:val="00532EC8"/>
    <w:rsid w:val="005341B2"/>
    <w:rsid w:val="00534839"/>
    <w:rsid w:val="00534AD4"/>
    <w:rsid w:val="00534E94"/>
    <w:rsid w:val="005351FB"/>
    <w:rsid w:val="0053563A"/>
    <w:rsid w:val="005358FB"/>
    <w:rsid w:val="005363F2"/>
    <w:rsid w:val="00536679"/>
    <w:rsid w:val="00537541"/>
    <w:rsid w:val="00537760"/>
    <w:rsid w:val="00537ADC"/>
    <w:rsid w:val="00540411"/>
    <w:rsid w:val="005414A4"/>
    <w:rsid w:val="00541C26"/>
    <w:rsid w:val="005429CB"/>
    <w:rsid w:val="00543111"/>
    <w:rsid w:val="005431F6"/>
    <w:rsid w:val="005437F5"/>
    <w:rsid w:val="00543DB4"/>
    <w:rsid w:val="00544371"/>
    <w:rsid w:val="00544A57"/>
    <w:rsid w:val="005463E1"/>
    <w:rsid w:val="0054703D"/>
    <w:rsid w:val="00547388"/>
    <w:rsid w:val="00547833"/>
    <w:rsid w:val="00547938"/>
    <w:rsid w:val="00550819"/>
    <w:rsid w:val="005508D8"/>
    <w:rsid w:val="00550A77"/>
    <w:rsid w:val="00551FE7"/>
    <w:rsid w:val="005529D5"/>
    <w:rsid w:val="00552B36"/>
    <w:rsid w:val="00552E2E"/>
    <w:rsid w:val="00552E70"/>
    <w:rsid w:val="0055316E"/>
    <w:rsid w:val="005532AB"/>
    <w:rsid w:val="00553818"/>
    <w:rsid w:val="00553F97"/>
    <w:rsid w:val="00554085"/>
    <w:rsid w:val="0055443D"/>
    <w:rsid w:val="00554536"/>
    <w:rsid w:val="005547E1"/>
    <w:rsid w:val="00554B15"/>
    <w:rsid w:val="0055530F"/>
    <w:rsid w:val="005555FB"/>
    <w:rsid w:val="0055564B"/>
    <w:rsid w:val="0055569F"/>
    <w:rsid w:val="0055572E"/>
    <w:rsid w:val="00555744"/>
    <w:rsid w:val="00555E8C"/>
    <w:rsid w:val="005566EF"/>
    <w:rsid w:val="005568AA"/>
    <w:rsid w:val="00557394"/>
    <w:rsid w:val="00557CAC"/>
    <w:rsid w:val="0056007E"/>
    <w:rsid w:val="0056027E"/>
    <w:rsid w:val="005607CD"/>
    <w:rsid w:val="00560959"/>
    <w:rsid w:val="0056117E"/>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6DA5"/>
    <w:rsid w:val="005670C2"/>
    <w:rsid w:val="00567158"/>
    <w:rsid w:val="0056765C"/>
    <w:rsid w:val="00567C89"/>
    <w:rsid w:val="00570781"/>
    <w:rsid w:val="00570ACB"/>
    <w:rsid w:val="005714FB"/>
    <w:rsid w:val="0057154D"/>
    <w:rsid w:val="005715E5"/>
    <w:rsid w:val="00571A7C"/>
    <w:rsid w:val="00571DDA"/>
    <w:rsid w:val="00571F54"/>
    <w:rsid w:val="00572058"/>
    <w:rsid w:val="005726C0"/>
    <w:rsid w:val="00572A76"/>
    <w:rsid w:val="00572FA3"/>
    <w:rsid w:val="005736BC"/>
    <w:rsid w:val="0057382D"/>
    <w:rsid w:val="005748C8"/>
    <w:rsid w:val="00574972"/>
    <w:rsid w:val="00574A1A"/>
    <w:rsid w:val="00574FFB"/>
    <w:rsid w:val="0057588B"/>
    <w:rsid w:val="005758A2"/>
    <w:rsid w:val="005759E3"/>
    <w:rsid w:val="00575D66"/>
    <w:rsid w:val="00575FC7"/>
    <w:rsid w:val="00576F02"/>
    <w:rsid w:val="005772AA"/>
    <w:rsid w:val="00577A04"/>
    <w:rsid w:val="00577F77"/>
    <w:rsid w:val="00577FF8"/>
    <w:rsid w:val="005802D2"/>
    <w:rsid w:val="005805C1"/>
    <w:rsid w:val="00582239"/>
    <w:rsid w:val="00582246"/>
    <w:rsid w:val="0058269D"/>
    <w:rsid w:val="00582D0F"/>
    <w:rsid w:val="005834C4"/>
    <w:rsid w:val="00584942"/>
    <w:rsid w:val="00585947"/>
    <w:rsid w:val="00585BE0"/>
    <w:rsid w:val="005865E5"/>
    <w:rsid w:val="00586606"/>
    <w:rsid w:val="005866CC"/>
    <w:rsid w:val="0058680E"/>
    <w:rsid w:val="00586C3E"/>
    <w:rsid w:val="005872E7"/>
    <w:rsid w:val="005878DD"/>
    <w:rsid w:val="00587BCF"/>
    <w:rsid w:val="00587BF0"/>
    <w:rsid w:val="005907ED"/>
    <w:rsid w:val="005909D2"/>
    <w:rsid w:val="00590C62"/>
    <w:rsid w:val="00591318"/>
    <w:rsid w:val="00591499"/>
    <w:rsid w:val="00591E3D"/>
    <w:rsid w:val="0059252D"/>
    <w:rsid w:val="00592658"/>
    <w:rsid w:val="0059291F"/>
    <w:rsid w:val="00592A04"/>
    <w:rsid w:val="005930D9"/>
    <w:rsid w:val="00593116"/>
    <w:rsid w:val="005939FB"/>
    <w:rsid w:val="00593BE4"/>
    <w:rsid w:val="00593BFB"/>
    <w:rsid w:val="0059437B"/>
    <w:rsid w:val="0059445F"/>
    <w:rsid w:val="005946AB"/>
    <w:rsid w:val="005947AF"/>
    <w:rsid w:val="0059535F"/>
    <w:rsid w:val="0059568E"/>
    <w:rsid w:val="005958E3"/>
    <w:rsid w:val="00595B26"/>
    <w:rsid w:val="0059610E"/>
    <w:rsid w:val="0059657B"/>
    <w:rsid w:val="00596B8C"/>
    <w:rsid w:val="00597345"/>
    <w:rsid w:val="00597803"/>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29E"/>
    <w:rsid w:val="005A5CEE"/>
    <w:rsid w:val="005A5D50"/>
    <w:rsid w:val="005A743D"/>
    <w:rsid w:val="005A75C4"/>
    <w:rsid w:val="005A7945"/>
    <w:rsid w:val="005A7AC7"/>
    <w:rsid w:val="005B072C"/>
    <w:rsid w:val="005B0FB6"/>
    <w:rsid w:val="005B1235"/>
    <w:rsid w:val="005B23A3"/>
    <w:rsid w:val="005B2C3F"/>
    <w:rsid w:val="005B3323"/>
    <w:rsid w:val="005B3671"/>
    <w:rsid w:val="005B36E3"/>
    <w:rsid w:val="005B3751"/>
    <w:rsid w:val="005B38F2"/>
    <w:rsid w:val="005B3FCE"/>
    <w:rsid w:val="005B452D"/>
    <w:rsid w:val="005B48F6"/>
    <w:rsid w:val="005B6270"/>
    <w:rsid w:val="005B6457"/>
    <w:rsid w:val="005B665B"/>
    <w:rsid w:val="005B6A08"/>
    <w:rsid w:val="005B6C48"/>
    <w:rsid w:val="005B6E2F"/>
    <w:rsid w:val="005B71A9"/>
    <w:rsid w:val="005B71C3"/>
    <w:rsid w:val="005B77A2"/>
    <w:rsid w:val="005B7C06"/>
    <w:rsid w:val="005B7DEC"/>
    <w:rsid w:val="005B7F41"/>
    <w:rsid w:val="005C0BE3"/>
    <w:rsid w:val="005C13CA"/>
    <w:rsid w:val="005C18A0"/>
    <w:rsid w:val="005C3108"/>
    <w:rsid w:val="005C3491"/>
    <w:rsid w:val="005C36E0"/>
    <w:rsid w:val="005C43F0"/>
    <w:rsid w:val="005C480A"/>
    <w:rsid w:val="005C49F1"/>
    <w:rsid w:val="005C4B43"/>
    <w:rsid w:val="005C544A"/>
    <w:rsid w:val="005C579A"/>
    <w:rsid w:val="005C5EB2"/>
    <w:rsid w:val="005C67DC"/>
    <w:rsid w:val="005C6966"/>
    <w:rsid w:val="005C6AFF"/>
    <w:rsid w:val="005C6B99"/>
    <w:rsid w:val="005C6F0B"/>
    <w:rsid w:val="005C723B"/>
    <w:rsid w:val="005C775D"/>
    <w:rsid w:val="005C7924"/>
    <w:rsid w:val="005C7B6E"/>
    <w:rsid w:val="005D02A1"/>
    <w:rsid w:val="005D0332"/>
    <w:rsid w:val="005D058B"/>
    <w:rsid w:val="005D05DB"/>
    <w:rsid w:val="005D07E7"/>
    <w:rsid w:val="005D0A41"/>
    <w:rsid w:val="005D0EDD"/>
    <w:rsid w:val="005D1183"/>
    <w:rsid w:val="005D121D"/>
    <w:rsid w:val="005D1616"/>
    <w:rsid w:val="005D1754"/>
    <w:rsid w:val="005D230C"/>
    <w:rsid w:val="005D3570"/>
    <w:rsid w:val="005D3E51"/>
    <w:rsid w:val="005D3FB0"/>
    <w:rsid w:val="005D405C"/>
    <w:rsid w:val="005D4159"/>
    <w:rsid w:val="005D513C"/>
    <w:rsid w:val="005D591E"/>
    <w:rsid w:val="005D5BFA"/>
    <w:rsid w:val="005D6672"/>
    <w:rsid w:val="005D686D"/>
    <w:rsid w:val="005D7819"/>
    <w:rsid w:val="005D79BE"/>
    <w:rsid w:val="005E05D2"/>
    <w:rsid w:val="005E09A7"/>
    <w:rsid w:val="005E0B8D"/>
    <w:rsid w:val="005E209D"/>
    <w:rsid w:val="005E2196"/>
    <w:rsid w:val="005E2993"/>
    <w:rsid w:val="005E3E13"/>
    <w:rsid w:val="005E41D4"/>
    <w:rsid w:val="005E436C"/>
    <w:rsid w:val="005E4415"/>
    <w:rsid w:val="005E46D0"/>
    <w:rsid w:val="005E48BC"/>
    <w:rsid w:val="005E4C63"/>
    <w:rsid w:val="005E58F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372"/>
    <w:rsid w:val="00603A99"/>
    <w:rsid w:val="0060434E"/>
    <w:rsid w:val="0060478F"/>
    <w:rsid w:val="00605637"/>
    <w:rsid w:val="006056B0"/>
    <w:rsid w:val="00605FBD"/>
    <w:rsid w:val="006060E6"/>
    <w:rsid w:val="00606277"/>
    <w:rsid w:val="0060687D"/>
    <w:rsid w:val="00606E39"/>
    <w:rsid w:val="00607710"/>
    <w:rsid w:val="00607997"/>
    <w:rsid w:val="00607A9E"/>
    <w:rsid w:val="00607ADD"/>
    <w:rsid w:val="00607C67"/>
    <w:rsid w:val="00607DE1"/>
    <w:rsid w:val="00611518"/>
    <w:rsid w:val="006116AE"/>
    <w:rsid w:val="006125F9"/>
    <w:rsid w:val="00613333"/>
    <w:rsid w:val="0061436D"/>
    <w:rsid w:val="00614C17"/>
    <w:rsid w:val="00615847"/>
    <w:rsid w:val="006167E9"/>
    <w:rsid w:val="00616F75"/>
    <w:rsid w:val="00616F9E"/>
    <w:rsid w:val="0061728B"/>
    <w:rsid w:val="0061731C"/>
    <w:rsid w:val="0061792E"/>
    <w:rsid w:val="00617974"/>
    <w:rsid w:val="00617A58"/>
    <w:rsid w:val="00620218"/>
    <w:rsid w:val="00620341"/>
    <w:rsid w:val="00620C63"/>
    <w:rsid w:val="006210A1"/>
    <w:rsid w:val="0062137C"/>
    <w:rsid w:val="0062212D"/>
    <w:rsid w:val="00622225"/>
    <w:rsid w:val="0062300E"/>
    <w:rsid w:val="00623483"/>
    <w:rsid w:val="00623655"/>
    <w:rsid w:val="006237D9"/>
    <w:rsid w:val="00623887"/>
    <w:rsid w:val="00623B53"/>
    <w:rsid w:val="00625BC3"/>
    <w:rsid w:val="00625DA8"/>
    <w:rsid w:val="0062685F"/>
    <w:rsid w:val="0062686C"/>
    <w:rsid w:val="006271A3"/>
    <w:rsid w:val="0062779A"/>
    <w:rsid w:val="00627B2E"/>
    <w:rsid w:val="00627B4F"/>
    <w:rsid w:val="00627DCD"/>
    <w:rsid w:val="006303E1"/>
    <w:rsid w:val="00630890"/>
    <w:rsid w:val="00630E67"/>
    <w:rsid w:val="00631AB7"/>
    <w:rsid w:val="00631B17"/>
    <w:rsid w:val="00632057"/>
    <w:rsid w:val="006320ED"/>
    <w:rsid w:val="00632131"/>
    <w:rsid w:val="006326DF"/>
    <w:rsid w:val="00632D03"/>
    <w:rsid w:val="00632E0D"/>
    <w:rsid w:val="0063305F"/>
    <w:rsid w:val="006337D8"/>
    <w:rsid w:val="00633F04"/>
    <w:rsid w:val="00634030"/>
    <w:rsid w:val="00634258"/>
    <w:rsid w:val="00634288"/>
    <w:rsid w:val="00634671"/>
    <w:rsid w:val="00634A88"/>
    <w:rsid w:val="00634E85"/>
    <w:rsid w:val="006351D4"/>
    <w:rsid w:val="006351DD"/>
    <w:rsid w:val="00635D8D"/>
    <w:rsid w:val="00636222"/>
    <w:rsid w:val="0063638C"/>
    <w:rsid w:val="0063766C"/>
    <w:rsid w:val="0063796C"/>
    <w:rsid w:val="006379F9"/>
    <w:rsid w:val="00637A3C"/>
    <w:rsid w:val="00637D52"/>
    <w:rsid w:val="0064002B"/>
    <w:rsid w:val="006404A1"/>
    <w:rsid w:val="00640AB5"/>
    <w:rsid w:val="00640F65"/>
    <w:rsid w:val="00641037"/>
    <w:rsid w:val="006410F0"/>
    <w:rsid w:val="006411C6"/>
    <w:rsid w:val="0064163C"/>
    <w:rsid w:val="00641985"/>
    <w:rsid w:val="00642730"/>
    <w:rsid w:val="00642833"/>
    <w:rsid w:val="00642B5B"/>
    <w:rsid w:val="00642C89"/>
    <w:rsid w:val="00642CC7"/>
    <w:rsid w:val="00643D81"/>
    <w:rsid w:val="00643EFA"/>
    <w:rsid w:val="0064553F"/>
    <w:rsid w:val="006457BE"/>
    <w:rsid w:val="00645FFD"/>
    <w:rsid w:val="0064602B"/>
    <w:rsid w:val="00646211"/>
    <w:rsid w:val="00646792"/>
    <w:rsid w:val="006468EE"/>
    <w:rsid w:val="00646C38"/>
    <w:rsid w:val="00647032"/>
    <w:rsid w:val="006470AA"/>
    <w:rsid w:val="006472BE"/>
    <w:rsid w:val="0064737A"/>
    <w:rsid w:val="00647481"/>
    <w:rsid w:val="00647814"/>
    <w:rsid w:val="00647D00"/>
    <w:rsid w:val="00647E04"/>
    <w:rsid w:val="006502E5"/>
    <w:rsid w:val="00650F63"/>
    <w:rsid w:val="00651043"/>
    <w:rsid w:val="00651559"/>
    <w:rsid w:val="0065196A"/>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24C"/>
    <w:rsid w:val="0066575D"/>
    <w:rsid w:val="00665791"/>
    <w:rsid w:val="00665C2E"/>
    <w:rsid w:val="00665C3E"/>
    <w:rsid w:val="00665E11"/>
    <w:rsid w:val="006662D8"/>
    <w:rsid w:val="00666A23"/>
    <w:rsid w:val="00667719"/>
    <w:rsid w:val="00667B63"/>
    <w:rsid w:val="00670515"/>
    <w:rsid w:val="00670A76"/>
    <w:rsid w:val="00670B9F"/>
    <w:rsid w:val="00670E1C"/>
    <w:rsid w:val="00671A5E"/>
    <w:rsid w:val="0067210D"/>
    <w:rsid w:val="00672775"/>
    <w:rsid w:val="0067305E"/>
    <w:rsid w:val="006739F7"/>
    <w:rsid w:val="00673DA9"/>
    <w:rsid w:val="00674074"/>
    <w:rsid w:val="006741F7"/>
    <w:rsid w:val="00674703"/>
    <w:rsid w:val="0067665D"/>
    <w:rsid w:val="00676836"/>
    <w:rsid w:val="00676CCF"/>
    <w:rsid w:val="00676F9A"/>
    <w:rsid w:val="006774F3"/>
    <w:rsid w:val="00677558"/>
    <w:rsid w:val="0068019C"/>
    <w:rsid w:val="00681143"/>
    <w:rsid w:val="00681520"/>
    <w:rsid w:val="00682BC2"/>
    <w:rsid w:val="00683923"/>
    <w:rsid w:val="00683C94"/>
    <w:rsid w:val="00684943"/>
    <w:rsid w:val="00685393"/>
    <w:rsid w:val="00685640"/>
    <w:rsid w:val="00685794"/>
    <w:rsid w:val="00685878"/>
    <w:rsid w:val="00685C33"/>
    <w:rsid w:val="00686014"/>
    <w:rsid w:val="00686C30"/>
    <w:rsid w:val="0068702A"/>
    <w:rsid w:val="006871C2"/>
    <w:rsid w:val="00687277"/>
    <w:rsid w:val="0068767F"/>
    <w:rsid w:val="006879C3"/>
    <w:rsid w:val="00687DB0"/>
    <w:rsid w:val="00690D2A"/>
    <w:rsid w:val="00691038"/>
    <w:rsid w:val="0069199C"/>
    <w:rsid w:val="006926FE"/>
    <w:rsid w:val="00693A5E"/>
    <w:rsid w:val="00693F52"/>
    <w:rsid w:val="00694167"/>
    <w:rsid w:val="006946A9"/>
    <w:rsid w:val="00694823"/>
    <w:rsid w:val="00694B51"/>
    <w:rsid w:val="006955CC"/>
    <w:rsid w:val="0069696D"/>
    <w:rsid w:val="00696A9C"/>
    <w:rsid w:val="006974E5"/>
    <w:rsid w:val="00697503"/>
    <w:rsid w:val="00697825"/>
    <w:rsid w:val="006979ED"/>
    <w:rsid w:val="00697AE0"/>
    <w:rsid w:val="006A0765"/>
    <w:rsid w:val="006A07E6"/>
    <w:rsid w:val="006A1538"/>
    <w:rsid w:val="006A1A47"/>
    <w:rsid w:val="006A22F7"/>
    <w:rsid w:val="006A2525"/>
    <w:rsid w:val="006A277A"/>
    <w:rsid w:val="006A2973"/>
    <w:rsid w:val="006A2F23"/>
    <w:rsid w:val="006A2FF9"/>
    <w:rsid w:val="006A3088"/>
    <w:rsid w:val="006A3135"/>
    <w:rsid w:val="006A3611"/>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87E"/>
    <w:rsid w:val="006B3C87"/>
    <w:rsid w:val="006B4237"/>
    <w:rsid w:val="006B4296"/>
    <w:rsid w:val="006B5051"/>
    <w:rsid w:val="006B5124"/>
    <w:rsid w:val="006B523E"/>
    <w:rsid w:val="006B5571"/>
    <w:rsid w:val="006B5906"/>
    <w:rsid w:val="006B6941"/>
    <w:rsid w:val="006B6D43"/>
    <w:rsid w:val="006B7053"/>
    <w:rsid w:val="006B7358"/>
    <w:rsid w:val="006B772D"/>
    <w:rsid w:val="006B7797"/>
    <w:rsid w:val="006B7A2D"/>
    <w:rsid w:val="006C022B"/>
    <w:rsid w:val="006C0386"/>
    <w:rsid w:val="006C0A16"/>
    <w:rsid w:val="006C0AEC"/>
    <w:rsid w:val="006C0D0C"/>
    <w:rsid w:val="006C0D5A"/>
    <w:rsid w:val="006C122A"/>
    <w:rsid w:val="006C1F5F"/>
    <w:rsid w:val="006C2A39"/>
    <w:rsid w:val="006C387C"/>
    <w:rsid w:val="006C46F2"/>
    <w:rsid w:val="006C5843"/>
    <w:rsid w:val="006C584A"/>
    <w:rsid w:val="006C5CFC"/>
    <w:rsid w:val="006C5D20"/>
    <w:rsid w:val="006C64E5"/>
    <w:rsid w:val="006C6721"/>
    <w:rsid w:val="006C673F"/>
    <w:rsid w:val="006C6BB7"/>
    <w:rsid w:val="006C778C"/>
    <w:rsid w:val="006C7E56"/>
    <w:rsid w:val="006D016B"/>
    <w:rsid w:val="006D02A4"/>
    <w:rsid w:val="006D057A"/>
    <w:rsid w:val="006D1202"/>
    <w:rsid w:val="006D13F6"/>
    <w:rsid w:val="006D17EA"/>
    <w:rsid w:val="006D1B3E"/>
    <w:rsid w:val="006D2760"/>
    <w:rsid w:val="006D3619"/>
    <w:rsid w:val="006D3F79"/>
    <w:rsid w:val="006D44A2"/>
    <w:rsid w:val="006D4724"/>
    <w:rsid w:val="006D49BD"/>
    <w:rsid w:val="006D52AC"/>
    <w:rsid w:val="006D53B2"/>
    <w:rsid w:val="006D54B3"/>
    <w:rsid w:val="006D54DA"/>
    <w:rsid w:val="006D5777"/>
    <w:rsid w:val="006D5DCD"/>
    <w:rsid w:val="006D6329"/>
    <w:rsid w:val="006D6725"/>
    <w:rsid w:val="006D68C3"/>
    <w:rsid w:val="006D7577"/>
    <w:rsid w:val="006E045B"/>
    <w:rsid w:val="006E09B2"/>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4ED"/>
    <w:rsid w:val="006E4AF8"/>
    <w:rsid w:val="006E58A4"/>
    <w:rsid w:val="006E6256"/>
    <w:rsid w:val="006E69DD"/>
    <w:rsid w:val="006E69F3"/>
    <w:rsid w:val="006E6A6F"/>
    <w:rsid w:val="006E6C4A"/>
    <w:rsid w:val="006E7344"/>
    <w:rsid w:val="006E74DA"/>
    <w:rsid w:val="006E7B71"/>
    <w:rsid w:val="006E7EE1"/>
    <w:rsid w:val="006F0257"/>
    <w:rsid w:val="006F1312"/>
    <w:rsid w:val="006F1564"/>
    <w:rsid w:val="006F1776"/>
    <w:rsid w:val="006F1C8B"/>
    <w:rsid w:val="006F1F52"/>
    <w:rsid w:val="006F21D8"/>
    <w:rsid w:val="006F2DB5"/>
    <w:rsid w:val="006F2E92"/>
    <w:rsid w:val="006F35F0"/>
    <w:rsid w:val="006F3CBF"/>
    <w:rsid w:val="006F3F15"/>
    <w:rsid w:val="006F4802"/>
    <w:rsid w:val="006F4B4E"/>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54C"/>
    <w:rsid w:val="00700704"/>
    <w:rsid w:val="00700F38"/>
    <w:rsid w:val="00702000"/>
    <w:rsid w:val="007024D9"/>
    <w:rsid w:val="00702519"/>
    <w:rsid w:val="00702DBB"/>
    <w:rsid w:val="007040E6"/>
    <w:rsid w:val="007041A0"/>
    <w:rsid w:val="0070425D"/>
    <w:rsid w:val="00704703"/>
    <w:rsid w:val="00704755"/>
    <w:rsid w:val="00706C0F"/>
    <w:rsid w:val="00706F0B"/>
    <w:rsid w:val="00707F42"/>
    <w:rsid w:val="0071020C"/>
    <w:rsid w:val="00710817"/>
    <w:rsid w:val="00710F42"/>
    <w:rsid w:val="00711353"/>
    <w:rsid w:val="007130B0"/>
    <w:rsid w:val="0071326F"/>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912"/>
    <w:rsid w:val="007210A0"/>
    <w:rsid w:val="00721B81"/>
    <w:rsid w:val="00721DC2"/>
    <w:rsid w:val="00722591"/>
    <w:rsid w:val="00722B68"/>
    <w:rsid w:val="007237B9"/>
    <w:rsid w:val="00723963"/>
    <w:rsid w:val="00723DC8"/>
    <w:rsid w:val="007249E0"/>
    <w:rsid w:val="00724A1B"/>
    <w:rsid w:val="007259E6"/>
    <w:rsid w:val="00726D56"/>
    <w:rsid w:val="0072726A"/>
    <w:rsid w:val="007273A3"/>
    <w:rsid w:val="00727415"/>
    <w:rsid w:val="0072744D"/>
    <w:rsid w:val="00727673"/>
    <w:rsid w:val="00727821"/>
    <w:rsid w:val="0073020C"/>
    <w:rsid w:val="00731B17"/>
    <w:rsid w:val="00731B43"/>
    <w:rsid w:val="00731C7C"/>
    <w:rsid w:val="00731EE4"/>
    <w:rsid w:val="0073209E"/>
    <w:rsid w:val="0073211C"/>
    <w:rsid w:val="007326D7"/>
    <w:rsid w:val="0073275A"/>
    <w:rsid w:val="007329E3"/>
    <w:rsid w:val="00732F80"/>
    <w:rsid w:val="00733258"/>
    <w:rsid w:val="00733369"/>
    <w:rsid w:val="007349B8"/>
    <w:rsid w:val="007353D3"/>
    <w:rsid w:val="0073546A"/>
    <w:rsid w:val="00735E50"/>
    <w:rsid w:val="00735FB3"/>
    <w:rsid w:val="00736109"/>
    <w:rsid w:val="00736C5D"/>
    <w:rsid w:val="00736E5D"/>
    <w:rsid w:val="007371FC"/>
    <w:rsid w:val="00737475"/>
    <w:rsid w:val="00737843"/>
    <w:rsid w:val="00737AD9"/>
    <w:rsid w:val="00737C55"/>
    <w:rsid w:val="00737D1D"/>
    <w:rsid w:val="00737E4C"/>
    <w:rsid w:val="00737FE2"/>
    <w:rsid w:val="00740038"/>
    <w:rsid w:val="00740292"/>
    <w:rsid w:val="007407E0"/>
    <w:rsid w:val="00740AFF"/>
    <w:rsid w:val="007416B7"/>
    <w:rsid w:val="007417F0"/>
    <w:rsid w:val="0074199A"/>
    <w:rsid w:val="00741C4A"/>
    <w:rsid w:val="007425CC"/>
    <w:rsid w:val="007429CF"/>
    <w:rsid w:val="00742BD8"/>
    <w:rsid w:val="00742F48"/>
    <w:rsid w:val="00743742"/>
    <w:rsid w:val="00743D60"/>
    <w:rsid w:val="00743F9E"/>
    <w:rsid w:val="00744732"/>
    <w:rsid w:val="0074496A"/>
    <w:rsid w:val="0074529F"/>
    <w:rsid w:val="0074546A"/>
    <w:rsid w:val="00745BA5"/>
    <w:rsid w:val="00745D47"/>
    <w:rsid w:val="00745D7C"/>
    <w:rsid w:val="0074671A"/>
    <w:rsid w:val="007468E1"/>
    <w:rsid w:val="00747687"/>
    <w:rsid w:val="007476AD"/>
    <w:rsid w:val="00747997"/>
    <w:rsid w:val="007502DA"/>
    <w:rsid w:val="00750D67"/>
    <w:rsid w:val="00750E85"/>
    <w:rsid w:val="00750F0E"/>
    <w:rsid w:val="00751210"/>
    <w:rsid w:val="007518C6"/>
    <w:rsid w:val="00752030"/>
    <w:rsid w:val="00752C3A"/>
    <w:rsid w:val="007532DA"/>
    <w:rsid w:val="007540EB"/>
    <w:rsid w:val="007541BC"/>
    <w:rsid w:val="00754626"/>
    <w:rsid w:val="007549AC"/>
    <w:rsid w:val="00754D9E"/>
    <w:rsid w:val="0075562A"/>
    <w:rsid w:val="00755B06"/>
    <w:rsid w:val="00756231"/>
    <w:rsid w:val="00756878"/>
    <w:rsid w:val="00756B9A"/>
    <w:rsid w:val="00756BBA"/>
    <w:rsid w:val="007571CB"/>
    <w:rsid w:val="007572AD"/>
    <w:rsid w:val="007606FB"/>
    <w:rsid w:val="00760DC9"/>
    <w:rsid w:val="007615A3"/>
    <w:rsid w:val="00761A84"/>
    <w:rsid w:val="00761C1A"/>
    <w:rsid w:val="00761E8C"/>
    <w:rsid w:val="00762389"/>
    <w:rsid w:val="007626D5"/>
    <w:rsid w:val="007629C9"/>
    <w:rsid w:val="00762EC2"/>
    <w:rsid w:val="007633C1"/>
    <w:rsid w:val="00763883"/>
    <w:rsid w:val="00763A0C"/>
    <w:rsid w:val="00763AA8"/>
    <w:rsid w:val="007640E2"/>
    <w:rsid w:val="00764978"/>
    <w:rsid w:val="00764B3E"/>
    <w:rsid w:val="00764F8F"/>
    <w:rsid w:val="00765134"/>
    <w:rsid w:val="00765322"/>
    <w:rsid w:val="00765550"/>
    <w:rsid w:val="007659DE"/>
    <w:rsid w:val="00765AC2"/>
    <w:rsid w:val="00765C15"/>
    <w:rsid w:val="00766009"/>
    <w:rsid w:val="0076624A"/>
    <w:rsid w:val="00766307"/>
    <w:rsid w:val="007664AD"/>
    <w:rsid w:val="00766A81"/>
    <w:rsid w:val="00766C19"/>
    <w:rsid w:val="00767969"/>
    <w:rsid w:val="007703F7"/>
    <w:rsid w:val="0077059A"/>
    <w:rsid w:val="00770A14"/>
    <w:rsid w:val="00771B9A"/>
    <w:rsid w:val="00772766"/>
    <w:rsid w:val="007729F5"/>
    <w:rsid w:val="00772B39"/>
    <w:rsid w:val="00772C86"/>
    <w:rsid w:val="00773057"/>
    <w:rsid w:val="00773ABF"/>
    <w:rsid w:val="00774277"/>
    <w:rsid w:val="0077563E"/>
    <w:rsid w:val="00775C60"/>
    <w:rsid w:val="00775DF7"/>
    <w:rsid w:val="0077621B"/>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4F47"/>
    <w:rsid w:val="00785608"/>
    <w:rsid w:val="007867C7"/>
    <w:rsid w:val="00787FC9"/>
    <w:rsid w:val="00790FE4"/>
    <w:rsid w:val="00792698"/>
    <w:rsid w:val="00792803"/>
    <w:rsid w:val="007929D5"/>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419"/>
    <w:rsid w:val="007A35A8"/>
    <w:rsid w:val="007A39EA"/>
    <w:rsid w:val="007A3C0F"/>
    <w:rsid w:val="007A3DA1"/>
    <w:rsid w:val="007A4053"/>
    <w:rsid w:val="007A4173"/>
    <w:rsid w:val="007A4317"/>
    <w:rsid w:val="007A4396"/>
    <w:rsid w:val="007A46BC"/>
    <w:rsid w:val="007A58EB"/>
    <w:rsid w:val="007A5B9C"/>
    <w:rsid w:val="007A64D1"/>
    <w:rsid w:val="007A651A"/>
    <w:rsid w:val="007A7164"/>
    <w:rsid w:val="007A7D03"/>
    <w:rsid w:val="007A7FC2"/>
    <w:rsid w:val="007B003A"/>
    <w:rsid w:val="007B1507"/>
    <w:rsid w:val="007B169D"/>
    <w:rsid w:val="007B21B2"/>
    <w:rsid w:val="007B2457"/>
    <w:rsid w:val="007B26C9"/>
    <w:rsid w:val="007B2C29"/>
    <w:rsid w:val="007B2F68"/>
    <w:rsid w:val="007B32B4"/>
    <w:rsid w:val="007B32D3"/>
    <w:rsid w:val="007B378D"/>
    <w:rsid w:val="007B3957"/>
    <w:rsid w:val="007B3C81"/>
    <w:rsid w:val="007B4AFD"/>
    <w:rsid w:val="007B5875"/>
    <w:rsid w:val="007B5E87"/>
    <w:rsid w:val="007B62AB"/>
    <w:rsid w:val="007B648B"/>
    <w:rsid w:val="007B6799"/>
    <w:rsid w:val="007B6A78"/>
    <w:rsid w:val="007B6E5F"/>
    <w:rsid w:val="007B7384"/>
    <w:rsid w:val="007B7D8D"/>
    <w:rsid w:val="007C00CB"/>
    <w:rsid w:val="007C0124"/>
    <w:rsid w:val="007C01CE"/>
    <w:rsid w:val="007C09D4"/>
    <w:rsid w:val="007C173C"/>
    <w:rsid w:val="007C1F79"/>
    <w:rsid w:val="007C2425"/>
    <w:rsid w:val="007C2779"/>
    <w:rsid w:val="007C3C4B"/>
    <w:rsid w:val="007C42CE"/>
    <w:rsid w:val="007C44D3"/>
    <w:rsid w:val="007C4E6A"/>
    <w:rsid w:val="007C5010"/>
    <w:rsid w:val="007C5346"/>
    <w:rsid w:val="007C565D"/>
    <w:rsid w:val="007C5DE1"/>
    <w:rsid w:val="007C5F90"/>
    <w:rsid w:val="007C601D"/>
    <w:rsid w:val="007C6169"/>
    <w:rsid w:val="007C62F2"/>
    <w:rsid w:val="007C63B4"/>
    <w:rsid w:val="007C6530"/>
    <w:rsid w:val="007C6D65"/>
    <w:rsid w:val="007C6F00"/>
    <w:rsid w:val="007C76C8"/>
    <w:rsid w:val="007C7823"/>
    <w:rsid w:val="007C7D06"/>
    <w:rsid w:val="007C7FB2"/>
    <w:rsid w:val="007D004A"/>
    <w:rsid w:val="007D042D"/>
    <w:rsid w:val="007D0E4E"/>
    <w:rsid w:val="007D1269"/>
    <w:rsid w:val="007D2A96"/>
    <w:rsid w:val="007D2D13"/>
    <w:rsid w:val="007D2D83"/>
    <w:rsid w:val="007D3145"/>
    <w:rsid w:val="007D33F7"/>
    <w:rsid w:val="007D34C9"/>
    <w:rsid w:val="007D34E4"/>
    <w:rsid w:val="007D395B"/>
    <w:rsid w:val="007D3D6A"/>
    <w:rsid w:val="007D419D"/>
    <w:rsid w:val="007D424D"/>
    <w:rsid w:val="007D47FA"/>
    <w:rsid w:val="007D528D"/>
    <w:rsid w:val="007D534A"/>
    <w:rsid w:val="007D5CC2"/>
    <w:rsid w:val="007D5FC0"/>
    <w:rsid w:val="007D63F7"/>
    <w:rsid w:val="007D6581"/>
    <w:rsid w:val="007D660F"/>
    <w:rsid w:val="007D69CA"/>
    <w:rsid w:val="007D6F50"/>
    <w:rsid w:val="007D7156"/>
    <w:rsid w:val="007D7370"/>
    <w:rsid w:val="007D7696"/>
    <w:rsid w:val="007D7779"/>
    <w:rsid w:val="007D7C91"/>
    <w:rsid w:val="007E001F"/>
    <w:rsid w:val="007E099B"/>
    <w:rsid w:val="007E2928"/>
    <w:rsid w:val="007E2D4C"/>
    <w:rsid w:val="007E2E03"/>
    <w:rsid w:val="007E2E79"/>
    <w:rsid w:val="007E390F"/>
    <w:rsid w:val="007E4A89"/>
    <w:rsid w:val="007E4D62"/>
    <w:rsid w:val="007E55B4"/>
    <w:rsid w:val="007E5659"/>
    <w:rsid w:val="007E56A8"/>
    <w:rsid w:val="007E56CB"/>
    <w:rsid w:val="007E6072"/>
    <w:rsid w:val="007E6077"/>
    <w:rsid w:val="007E60B2"/>
    <w:rsid w:val="007E6388"/>
    <w:rsid w:val="007E7361"/>
    <w:rsid w:val="007F01FC"/>
    <w:rsid w:val="007F07CB"/>
    <w:rsid w:val="007F09A5"/>
    <w:rsid w:val="007F1102"/>
    <w:rsid w:val="007F1BF6"/>
    <w:rsid w:val="007F1E07"/>
    <w:rsid w:val="007F1F8C"/>
    <w:rsid w:val="007F346C"/>
    <w:rsid w:val="007F35F9"/>
    <w:rsid w:val="007F37E7"/>
    <w:rsid w:val="007F3C18"/>
    <w:rsid w:val="007F3D56"/>
    <w:rsid w:val="007F46BE"/>
    <w:rsid w:val="007F4A95"/>
    <w:rsid w:val="007F4D8C"/>
    <w:rsid w:val="007F501D"/>
    <w:rsid w:val="007F5089"/>
    <w:rsid w:val="007F5092"/>
    <w:rsid w:val="007F510F"/>
    <w:rsid w:val="007F5225"/>
    <w:rsid w:val="007F5450"/>
    <w:rsid w:val="007F5EC8"/>
    <w:rsid w:val="007F6531"/>
    <w:rsid w:val="007F6BC4"/>
    <w:rsid w:val="007F719C"/>
    <w:rsid w:val="007F722D"/>
    <w:rsid w:val="007F72BC"/>
    <w:rsid w:val="007F7D19"/>
    <w:rsid w:val="00800807"/>
    <w:rsid w:val="00800882"/>
    <w:rsid w:val="00800C25"/>
    <w:rsid w:val="00801057"/>
    <w:rsid w:val="00801D20"/>
    <w:rsid w:val="00801E74"/>
    <w:rsid w:val="00801F10"/>
    <w:rsid w:val="00802491"/>
    <w:rsid w:val="00802BF4"/>
    <w:rsid w:val="00803802"/>
    <w:rsid w:val="00803DE1"/>
    <w:rsid w:val="00803F69"/>
    <w:rsid w:val="00803F72"/>
    <w:rsid w:val="00803FB5"/>
    <w:rsid w:val="00804487"/>
    <w:rsid w:val="0080456A"/>
    <w:rsid w:val="00804589"/>
    <w:rsid w:val="008045D8"/>
    <w:rsid w:val="00804FA4"/>
    <w:rsid w:val="00805241"/>
    <w:rsid w:val="00805415"/>
    <w:rsid w:val="00805BCC"/>
    <w:rsid w:val="00805C1F"/>
    <w:rsid w:val="00806142"/>
    <w:rsid w:val="008063D0"/>
    <w:rsid w:val="008068EE"/>
    <w:rsid w:val="00806E8F"/>
    <w:rsid w:val="008071E7"/>
    <w:rsid w:val="00810600"/>
    <w:rsid w:val="00810788"/>
    <w:rsid w:val="00810F80"/>
    <w:rsid w:val="00811773"/>
    <w:rsid w:val="00811787"/>
    <w:rsid w:val="00811BC7"/>
    <w:rsid w:val="00812E49"/>
    <w:rsid w:val="00812FCC"/>
    <w:rsid w:val="00813F4B"/>
    <w:rsid w:val="008144DC"/>
    <w:rsid w:val="00815693"/>
    <w:rsid w:val="00815A2C"/>
    <w:rsid w:val="00815B1F"/>
    <w:rsid w:val="008166C3"/>
    <w:rsid w:val="008168E7"/>
    <w:rsid w:val="00816A10"/>
    <w:rsid w:val="00816D90"/>
    <w:rsid w:val="00817231"/>
    <w:rsid w:val="0081762D"/>
    <w:rsid w:val="00817CB1"/>
    <w:rsid w:val="00817F7D"/>
    <w:rsid w:val="00820438"/>
    <w:rsid w:val="00820623"/>
    <w:rsid w:val="008207D2"/>
    <w:rsid w:val="00820F19"/>
    <w:rsid w:val="008210DB"/>
    <w:rsid w:val="00821208"/>
    <w:rsid w:val="008212BF"/>
    <w:rsid w:val="00821873"/>
    <w:rsid w:val="00821BE4"/>
    <w:rsid w:val="008222EE"/>
    <w:rsid w:val="00822823"/>
    <w:rsid w:val="00823275"/>
    <w:rsid w:val="00823827"/>
    <w:rsid w:val="00823B52"/>
    <w:rsid w:val="00824861"/>
    <w:rsid w:val="00824BBB"/>
    <w:rsid w:val="008253D9"/>
    <w:rsid w:val="00825420"/>
    <w:rsid w:val="00826C37"/>
    <w:rsid w:val="00827229"/>
    <w:rsid w:val="008279CF"/>
    <w:rsid w:val="008308F6"/>
    <w:rsid w:val="00830AD2"/>
    <w:rsid w:val="00830DEB"/>
    <w:rsid w:val="008317AF"/>
    <w:rsid w:val="008317E4"/>
    <w:rsid w:val="00831B2B"/>
    <w:rsid w:val="00831CF7"/>
    <w:rsid w:val="00831EF3"/>
    <w:rsid w:val="0083210F"/>
    <w:rsid w:val="00832BEA"/>
    <w:rsid w:val="00832F7A"/>
    <w:rsid w:val="0083327D"/>
    <w:rsid w:val="00833450"/>
    <w:rsid w:val="00833AAB"/>
    <w:rsid w:val="00833D07"/>
    <w:rsid w:val="00833F21"/>
    <w:rsid w:val="00834657"/>
    <w:rsid w:val="0083465B"/>
    <w:rsid w:val="00834E67"/>
    <w:rsid w:val="00834FC9"/>
    <w:rsid w:val="00835361"/>
    <w:rsid w:val="00835744"/>
    <w:rsid w:val="0083590B"/>
    <w:rsid w:val="00835A11"/>
    <w:rsid w:val="00836082"/>
    <w:rsid w:val="008362E5"/>
    <w:rsid w:val="0083680C"/>
    <w:rsid w:val="00836BB3"/>
    <w:rsid w:val="00836C7D"/>
    <w:rsid w:val="00836FAF"/>
    <w:rsid w:val="00840138"/>
    <w:rsid w:val="008405A6"/>
    <w:rsid w:val="0084077D"/>
    <w:rsid w:val="008407BA"/>
    <w:rsid w:val="008408A9"/>
    <w:rsid w:val="00840D66"/>
    <w:rsid w:val="0084179B"/>
    <w:rsid w:val="00841A5A"/>
    <w:rsid w:val="00841FF1"/>
    <w:rsid w:val="00842861"/>
    <w:rsid w:val="0084296A"/>
    <w:rsid w:val="0084396D"/>
    <w:rsid w:val="008439A9"/>
    <w:rsid w:val="00844A1C"/>
    <w:rsid w:val="00844CA2"/>
    <w:rsid w:val="008451FD"/>
    <w:rsid w:val="00845384"/>
    <w:rsid w:val="008457B7"/>
    <w:rsid w:val="00845D64"/>
    <w:rsid w:val="00846CB3"/>
    <w:rsid w:val="00846D99"/>
    <w:rsid w:val="00846DE2"/>
    <w:rsid w:val="00847966"/>
    <w:rsid w:val="00850800"/>
    <w:rsid w:val="00850C21"/>
    <w:rsid w:val="0085167A"/>
    <w:rsid w:val="00851A3D"/>
    <w:rsid w:val="00851B3B"/>
    <w:rsid w:val="00851BBA"/>
    <w:rsid w:val="0085209F"/>
    <w:rsid w:val="00852760"/>
    <w:rsid w:val="0085369F"/>
    <w:rsid w:val="0085385B"/>
    <w:rsid w:val="00853D3F"/>
    <w:rsid w:val="00853FD5"/>
    <w:rsid w:val="00854068"/>
    <w:rsid w:val="008544F8"/>
    <w:rsid w:val="00854C6F"/>
    <w:rsid w:val="008553B2"/>
    <w:rsid w:val="00855524"/>
    <w:rsid w:val="00855DD2"/>
    <w:rsid w:val="00855DD5"/>
    <w:rsid w:val="00855FBB"/>
    <w:rsid w:val="00856368"/>
    <w:rsid w:val="0085694C"/>
    <w:rsid w:val="008569BC"/>
    <w:rsid w:val="00856ACB"/>
    <w:rsid w:val="00856B9D"/>
    <w:rsid w:val="008575C9"/>
    <w:rsid w:val="00857709"/>
    <w:rsid w:val="00860476"/>
    <w:rsid w:val="0086053E"/>
    <w:rsid w:val="008609A8"/>
    <w:rsid w:val="008612AF"/>
    <w:rsid w:val="00861C88"/>
    <w:rsid w:val="008624D1"/>
    <w:rsid w:val="00862B2D"/>
    <w:rsid w:val="00862E7C"/>
    <w:rsid w:val="008630AD"/>
    <w:rsid w:val="008632F0"/>
    <w:rsid w:val="008632F2"/>
    <w:rsid w:val="00863428"/>
    <w:rsid w:val="00863453"/>
    <w:rsid w:val="008635AE"/>
    <w:rsid w:val="00863CCA"/>
    <w:rsid w:val="0086422A"/>
    <w:rsid w:val="00864255"/>
    <w:rsid w:val="008643EB"/>
    <w:rsid w:val="008645E6"/>
    <w:rsid w:val="00864629"/>
    <w:rsid w:val="008650DA"/>
    <w:rsid w:val="00865B08"/>
    <w:rsid w:val="0086677F"/>
    <w:rsid w:val="008679F0"/>
    <w:rsid w:val="00870439"/>
    <w:rsid w:val="00870AE1"/>
    <w:rsid w:val="00870E5C"/>
    <w:rsid w:val="00871823"/>
    <w:rsid w:val="00871C70"/>
    <w:rsid w:val="00871DF3"/>
    <w:rsid w:val="0087218E"/>
    <w:rsid w:val="008724CD"/>
    <w:rsid w:val="00872760"/>
    <w:rsid w:val="00872B5E"/>
    <w:rsid w:val="008731D8"/>
    <w:rsid w:val="008731EA"/>
    <w:rsid w:val="00873310"/>
    <w:rsid w:val="008733CC"/>
    <w:rsid w:val="00873484"/>
    <w:rsid w:val="008735A6"/>
    <w:rsid w:val="00876729"/>
    <w:rsid w:val="00876FED"/>
    <w:rsid w:val="008772BE"/>
    <w:rsid w:val="008773DD"/>
    <w:rsid w:val="00877741"/>
    <w:rsid w:val="008777AD"/>
    <w:rsid w:val="008778BA"/>
    <w:rsid w:val="00877C4B"/>
    <w:rsid w:val="00880367"/>
    <w:rsid w:val="00880607"/>
    <w:rsid w:val="00880621"/>
    <w:rsid w:val="00880767"/>
    <w:rsid w:val="00880A62"/>
    <w:rsid w:val="00880B70"/>
    <w:rsid w:val="00880F99"/>
    <w:rsid w:val="00881091"/>
    <w:rsid w:val="008822AA"/>
    <w:rsid w:val="008837A3"/>
    <w:rsid w:val="00884EDD"/>
    <w:rsid w:val="00884FF2"/>
    <w:rsid w:val="00885580"/>
    <w:rsid w:val="008859B7"/>
    <w:rsid w:val="0088608D"/>
    <w:rsid w:val="00886384"/>
    <w:rsid w:val="0088641E"/>
    <w:rsid w:val="008865C6"/>
    <w:rsid w:val="00886F8C"/>
    <w:rsid w:val="008871C2"/>
    <w:rsid w:val="00887C66"/>
    <w:rsid w:val="00887DBF"/>
    <w:rsid w:val="008916EA"/>
    <w:rsid w:val="00892FC3"/>
    <w:rsid w:val="0089386B"/>
    <w:rsid w:val="00893FE7"/>
    <w:rsid w:val="008947E4"/>
    <w:rsid w:val="008950F3"/>
    <w:rsid w:val="00895619"/>
    <w:rsid w:val="0089578E"/>
    <w:rsid w:val="00896359"/>
    <w:rsid w:val="00896BC7"/>
    <w:rsid w:val="00896F31"/>
    <w:rsid w:val="00897BDD"/>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424"/>
    <w:rsid w:val="008A7DA2"/>
    <w:rsid w:val="008B069E"/>
    <w:rsid w:val="008B12A4"/>
    <w:rsid w:val="008B1350"/>
    <w:rsid w:val="008B18FC"/>
    <w:rsid w:val="008B2868"/>
    <w:rsid w:val="008B3B9E"/>
    <w:rsid w:val="008B3E84"/>
    <w:rsid w:val="008B3F04"/>
    <w:rsid w:val="008B5054"/>
    <w:rsid w:val="008B5AC8"/>
    <w:rsid w:val="008B5AE9"/>
    <w:rsid w:val="008B6AEB"/>
    <w:rsid w:val="008B7265"/>
    <w:rsid w:val="008B79FB"/>
    <w:rsid w:val="008C0BB3"/>
    <w:rsid w:val="008C14D6"/>
    <w:rsid w:val="008C1DC2"/>
    <w:rsid w:val="008C225D"/>
    <w:rsid w:val="008C2C28"/>
    <w:rsid w:val="008C2D23"/>
    <w:rsid w:val="008C2FC1"/>
    <w:rsid w:val="008C33D4"/>
    <w:rsid w:val="008C380B"/>
    <w:rsid w:val="008C3B92"/>
    <w:rsid w:val="008C439C"/>
    <w:rsid w:val="008C5355"/>
    <w:rsid w:val="008C5A45"/>
    <w:rsid w:val="008C5ADD"/>
    <w:rsid w:val="008C619E"/>
    <w:rsid w:val="008C6DE5"/>
    <w:rsid w:val="008C7431"/>
    <w:rsid w:val="008C76C4"/>
    <w:rsid w:val="008C7840"/>
    <w:rsid w:val="008C7CB3"/>
    <w:rsid w:val="008D07F6"/>
    <w:rsid w:val="008D1201"/>
    <w:rsid w:val="008D188E"/>
    <w:rsid w:val="008D1C3A"/>
    <w:rsid w:val="008D212E"/>
    <w:rsid w:val="008D25E1"/>
    <w:rsid w:val="008D2D83"/>
    <w:rsid w:val="008D38E0"/>
    <w:rsid w:val="008D3FE5"/>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485"/>
    <w:rsid w:val="008E1CA9"/>
    <w:rsid w:val="008E2751"/>
    <w:rsid w:val="008E3A20"/>
    <w:rsid w:val="008E4208"/>
    <w:rsid w:val="008E5289"/>
    <w:rsid w:val="008E5BFA"/>
    <w:rsid w:val="008E5C62"/>
    <w:rsid w:val="008E60CE"/>
    <w:rsid w:val="008E659F"/>
    <w:rsid w:val="008E6889"/>
    <w:rsid w:val="008E6B79"/>
    <w:rsid w:val="008E6DEB"/>
    <w:rsid w:val="008E6FE2"/>
    <w:rsid w:val="008E71AD"/>
    <w:rsid w:val="008E783E"/>
    <w:rsid w:val="008E79A2"/>
    <w:rsid w:val="008F04B9"/>
    <w:rsid w:val="008F0C5C"/>
    <w:rsid w:val="008F1017"/>
    <w:rsid w:val="008F163E"/>
    <w:rsid w:val="008F1D26"/>
    <w:rsid w:val="008F37F2"/>
    <w:rsid w:val="008F3F04"/>
    <w:rsid w:val="008F4176"/>
    <w:rsid w:val="008F4280"/>
    <w:rsid w:val="008F464D"/>
    <w:rsid w:val="008F5553"/>
    <w:rsid w:val="008F6089"/>
    <w:rsid w:val="008F6E12"/>
    <w:rsid w:val="008F6E89"/>
    <w:rsid w:val="008F7F74"/>
    <w:rsid w:val="009008B1"/>
    <w:rsid w:val="00900EA4"/>
    <w:rsid w:val="009012C5"/>
    <w:rsid w:val="009028C1"/>
    <w:rsid w:val="0090374A"/>
    <w:rsid w:val="00903D67"/>
    <w:rsid w:val="00903D85"/>
    <w:rsid w:val="00903F2A"/>
    <w:rsid w:val="00904319"/>
    <w:rsid w:val="00904987"/>
    <w:rsid w:val="00904DE1"/>
    <w:rsid w:val="0090594C"/>
    <w:rsid w:val="00906221"/>
    <w:rsid w:val="00906793"/>
    <w:rsid w:val="00906922"/>
    <w:rsid w:val="00907043"/>
    <w:rsid w:val="0090760B"/>
    <w:rsid w:val="00907962"/>
    <w:rsid w:val="00910386"/>
    <w:rsid w:val="009106BC"/>
    <w:rsid w:val="00911B87"/>
    <w:rsid w:val="009123C3"/>
    <w:rsid w:val="00912445"/>
    <w:rsid w:val="009125F6"/>
    <w:rsid w:val="00912AE3"/>
    <w:rsid w:val="009137CB"/>
    <w:rsid w:val="009139CF"/>
    <w:rsid w:val="00913C69"/>
    <w:rsid w:val="009147D6"/>
    <w:rsid w:val="00915159"/>
    <w:rsid w:val="0091545D"/>
    <w:rsid w:val="00915470"/>
    <w:rsid w:val="009158E3"/>
    <w:rsid w:val="0091651F"/>
    <w:rsid w:val="0091788D"/>
    <w:rsid w:val="00917CF2"/>
    <w:rsid w:val="00917F54"/>
    <w:rsid w:val="00920748"/>
    <w:rsid w:val="009209DE"/>
    <w:rsid w:val="009216C1"/>
    <w:rsid w:val="00923485"/>
    <w:rsid w:val="00923B75"/>
    <w:rsid w:val="00923F8C"/>
    <w:rsid w:val="00924911"/>
    <w:rsid w:val="00925DE4"/>
    <w:rsid w:val="009267CC"/>
    <w:rsid w:val="00926A36"/>
    <w:rsid w:val="00926A7D"/>
    <w:rsid w:val="0092724A"/>
    <w:rsid w:val="009277EA"/>
    <w:rsid w:val="009301EF"/>
    <w:rsid w:val="009307A7"/>
    <w:rsid w:val="00931324"/>
    <w:rsid w:val="009314A7"/>
    <w:rsid w:val="00932396"/>
    <w:rsid w:val="00932784"/>
    <w:rsid w:val="00932957"/>
    <w:rsid w:val="00932BCC"/>
    <w:rsid w:val="00933059"/>
    <w:rsid w:val="009338D2"/>
    <w:rsid w:val="00933E54"/>
    <w:rsid w:val="00934A55"/>
    <w:rsid w:val="00934A74"/>
    <w:rsid w:val="00935B0E"/>
    <w:rsid w:val="009361A1"/>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CF5"/>
    <w:rsid w:val="00945D90"/>
    <w:rsid w:val="0094647A"/>
    <w:rsid w:val="009471B7"/>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43"/>
    <w:rsid w:val="00955C77"/>
    <w:rsid w:val="00955CB3"/>
    <w:rsid w:val="00956AA0"/>
    <w:rsid w:val="00956D7D"/>
    <w:rsid w:val="00957779"/>
    <w:rsid w:val="009608A9"/>
    <w:rsid w:val="00960CB4"/>
    <w:rsid w:val="00960F61"/>
    <w:rsid w:val="0096188B"/>
    <w:rsid w:val="00961BF3"/>
    <w:rsid w:val="00962182"/>
    <w:rsid w:val="0096219A"/>
    <w:rsid w:val="00962361"/>
    <w:rsid w:val="009624C0"/>
    <w:rsid w:val="00962E07"/>
    <w:rsid w:val="00962EEC"/>
    <w:rsid w:val="009630FD"/>
    <w:rsid w:val="00963FAF"/>
    <w:rsid w:val="0096463A"/>
    <w:rsid w:val="0096471F"/>
    <w:rsid w:val="009647FF"/>
    <w:rsid w:val="00964A00"/>
    <w:rsid w:val="009650F2"/>
    <w:rsid w:val="00965440"/>
    <w:rsid w:val="00965653"/>
    <w:rsid w:val="00965CED"/>
    <w:rsid w:val="00966FE4"/>
    <w:rsid w:val="0096715B"/>
    <w:rsid w:val="00967E48"/>
    <w:rsid w:val="00967E64"/>
    <w:rsid w:val="009705AB"/>
    <w:rsid w:val="00970CAB"/>
    <w:rsid w:val="00971117"/>
    <w:rsid w:val="00972323"/>
    <w:rsid w:val="00972671"/>
    <w:rsid w:val="00972717"/>
    <w:rsid w:val="009738AF"/>
    <w:rsid w:val="009738ED"/>
    <w:rsid w:val="00973D12"/>
    <w:rsid w:val="00973E97"/>
    <w:rsid w:val="009745A5"/>
    <w:rsid w:val="00974ED5"/>
    <w:rsid w:val="009750C0"/>
    <w:rsid w:val="009759FA"/>
    <w:rsid w:val="00975B07"/>
    <w:rsid w:val="00975BFB"/>
    <w:rsid w:val="00975D75"/>
    <w:rsid w:val="00977225"/>
    <w:rsid w:val="009778A3"/>
    <w:rsid w:val="00977A65"/>
    <w:rsid w:val="0098001A"/>
    <w:rsid w:val="00980259"/>
    <w:rsid w:val="009807AD"/>
    <w:rsid w:val="00980C70"/>
    <w:rsid w:val="00980EC1"/>
    <w:rsid w:val="00980F98"/>
    <w:rsid w:val="00981170"/>
    <w:rsid w:val="009813E9"/>
    <w:rsid w:val="0098148D"/>
    <w:rsid w:val="00981BE7"/>
    <w:rsid w:val="00982054"/>
    <w:rsid w:val="00982113"/>
    <w:rsid w:val="00982304"/>
    <w:rsid w:val="00982786"/>
    <w:rsid w:val="00982801"/>
    <w:rsid w:val="0098294F"/>
    <w:rsid w:val="00982D2C"/>
    <w:rsid w:val="009839A3"/>
    <w:rsid w:val="0098417E"/>
    <w:rsid w:val="00984BC0"/>
    <w:rsid w:val="00984FEA"/>
    <w:rsid w:val="00985043"/>
    <w:rsid w:val="00985094"/>
    <w:rsid w:val="009850CF"/>
    <w:rsid w:val="0098536D"/>
    <w:rsid w:val="00986938"/>
    <w:rsid w:val="009869DE"/>
    <w:rsid w:val="00986ED2"/>
    <w:rsid w:val="009872CC"/>
    <w:rsid w:val="00987454"/>
    <w:rsid w:val="00987621"/>
    <w:rsid w:val="00990285"/>
    <w:rsid w:val="00990313"/>
    <w:rsid w:val="009906DF"/>
    <w:rsid w:val="009908D2"/>
    <w:rsid w:val="00990A07"/>
    <w:rsid w:val="00990DB6"/>
    <w:rsid w:val="00990FB3"/>
    <w:rsid w:val="009910C5"/>
    <w:rsid w:val="009913C6"/>
    <w:rsid w:val="009914B4"/>
    <w:rsid w:val="009918F7"/>
    <w:rsid w:val="00991C59"/>
    <w:rsid w:val="00992149"/>
    <w:rsid w:val="009921C5"/>
    <w:rsid w:val="00992B3D"/>
    <w:rsid w:val="00993A0E"/>
    <w:rsid w:val="00994710"/>
    <w:rsid w:val="00994A76"/>
    <w:rsid w:val="00994D36"/>
    <w:rsid w:val="00994DC7"/>
    <w:rsid w:val="00994E7F"/>
    <w:rsid w:val="00996329"/>
    <w:rsid w:val="0099670B"/>
    <w:rsid w:val="0099693C"/>
    <w:rsid w:val="00996E02"/>
    <w:rsid w:val="009977FC"/>
    <w:rsid w:val="009A07FC"/>
    <w:rsid w:val="009A1BE2"/>
    <w:rsid w:val="009A26D4"/>
    <w:rsid w:val="009A2CE2"/>
    <w:rsid w:val="009A31AA"/>
    <w:rsid w:val="009A55D9"/>
    <w:rsid w:val="009A5CA6"/>
    <w:rsid w:val="009A633A"/>
    <w:rsid w:val="009A636F"/>
    <w:rsid w:val="009A67A6"/>
    <w:rsid w:val="009A67CC"/>
    <w:rsid w:val="009A7053"/>
    <w:rsid w:val="009A70AC"/>
    <w:rsid w:val="009A77D2"/>
    <w:rsid w:val="009A7D9E"/>
    <w:rsid w:val="009A7E90"/>
    <w:rsid w:val="009A7F73"/>
    <w:rsid w:val="009B0255"/>
    <w:rsid w:val="009B06E5"/>
    <w:rsid w:val="009B0BA7"/>
    <w:rsid w:val="009B0C71"/>
    <w:rsid w:val="009B1CF6"/>
    <w:rsid w:val="009B1EF5"/>
    <w:rsid w:val="009B2A3C"/>
    <w:rsid w:val="009B2AED"/>
    <w:rsid w:val="009B2D89"/>
    <w:rsid w:val="009B34F8"/>
    <w:rsid w:val="009B3BF8"/>
    <w:rsid w:val="009B4B25"/>
    <w:rsid w:val="009B4EE3"/>
    <w:rsid w:val="009B550C"/>
    <w:rsid w:val="009B5891"/>
    <w:rsid w:val="009B660A"/>
    <w:rsid w:val="009B7055"/>
    <w:rsid w:val="009B7241"/>
    <w:rsid w:val="009B77C5"/>
    <w:rsid w:val="009C0A29"/>
    <w:rsid w:val="009C16AA"/>
    <w:rsid w:val="009C16AE"/>
    <w:rsid w:val="009C172D"/>
    <w:rsid w:val="009C17EC"/>
    <w:rsid w:val="009C199D"/>
    <w:rsid w:val="009C1D4F"/>
    <w:rsid w:val="009C1F0B"/>
    <w:rsid w:val="009C3091"/>
    <w:rsid w:val="009C31F9"/>
    <w:rsid w:val="009C39FB"/>
    <w:rsid w:val="009C3A1D"/>
    <w:rsid w:val="009C3AA2"/>
    <w:rsid w:val="009C4379"/>
    <w:rsid w:val="009C44C7"/>
    <w:rsid w:val="009C458F"/>
    <w:rsid w:val="009C5C21"/>
    <w:rsid w:val="009C5D27"/>
    <w:rsid w:val="009C6375"/>
    <w:rsid w:val="009C6628"/>
    <w:rsid w:val="009C7452"/>
    <w:rsid w:val="009C77D7"/>
    <w:rsid w:val="009C7BF4"/>
    <w:rsid w:val="009C7F92"/>
    <w:rsid w:val="009D16AE"/>
    <w:rsid w:val="009D1E62"/>
    <w:rsid w:val="009D2432"/>
    <w:rsid w:val="009D2705"/>
    <w:rsid w:val="009D27B4"/>
    <w:rsid w:val="009D2DE7"/>
    <w:rsid w:val="009D3260"/>
    <w:rsid w:val="009D45AA"/>
    <w:rsid w:val="009D4D95"/>
    <w:rsid w:val="009D56B8"/>
    <w:rsid w:val="009D5AF0"/>
    <w:rsid w:val="009D5D2A"/>
    <w:rsid w:val="009D5E55"/>
    <w:rsid w:val="009D66C9"/>
    <w:rsid w:val="009D6B47"/>
    <w:rsid w:val="009D73BF"/>
    <w:rsid w:val="009D7507"/>
    <w:rsid w:val="009D764B"/>
    <w:rsid w:val="009D7C0C"/>
    <w:rsid w:val="009E1222"/>
    <w:rsid w:val="009E157A"/>
    <w:rsid w:val="009E1D65"/>
    <w:rsid w:val="009E1F2D"/>
    <w:rsid w:val="009E226B"/>
    <w:rsid w:val="009E227F"/>
    <w:rsid w:val="009E231F"/>
    <w:rsid w:val="009E2408"/>
    <w:rsid w:val="009E2DD1"/>
    <w:rsid w:val="009E335D"/>
    <w:rsid w:val="009E3A66"/>
    <w:rsid w:val="009E3C3C"/>
    <w:rsid w:val="009E3E8C"/>
    <w:rsid w:val="009E4061"/>
    <w:rsid w:val="009E5180"/>
    <w:rsid w:val="009E54E4"/>
    <w:rsid w:val="009E6BFD"/>
    <w:rsid w:val="009E732A"/>
    <w:rsid w:val="009E7622"/>
    <w:rsid w:val="009E7D1D"/>
    <w:rsid w:val="009F06C8"/>
    <w:rsid w:val="009F0759"/>
    <w:rsid w:val="009F15E1"/>
    <w:rsid w:val="009F16AC"/>
    <w:rsid w:val="009F250A"/>
    <w:rsid w:val="009F2D9C"/>
    <w:rsid w:val="009F3A7B"/>
    <w:rsid w:val="009F3CE4"/>
    <w:rsid w:val="009F3F1D"/>
    <w:rsid w:val="009F4DF9"/>
    <w:rsid w:val="009F5927"/>
    <w:rsid w:val="009F6A9D"/>
    <w:rsid w:val="009F6CD2"/>
    <w:rsid w:val="009F7085"/>
    <w:rsid w:val="009F77E0"/>
    <w:rsid w:val="009F79D1"/>
    <w:rsid w:val="00A001D5"/>
    <w:rsid w:val="00A016D6"/>
    <w:rsid w:val="00A01AE5"/>
    <w:rsid w:val="00A027CC"/>
    <w:rsid w:val="00A027F1"/>
    <w:rsid w:val="00A0291C"/>
    <w:rsid w:val="00A02A8A"/>
    <w:rsid w:val="00A02F5A"/>
    <w:rsid w:val="00A02FBD"/>
    <w:rsid w:val="00A035D0"/>
    <w:rsid w:val="00A03B31"/>
    <w:rsid w:val="00A03BD8"/>
    <w:rsid w:val="00A03D5E"/>
    <w:rsid w:val="00A04324"/>
    <w:rsid w:val="00A043F0"/>
    <w:rsid w:val="00A047AF"/>
    <w:rsid w:val="00A0489E"/>
    <w:rsid w:val="00A0497C"/>
    <w:rsid w:val="00A0504D"/>
    <w:rsid w:val="00A055CC"/>
    <w:rsid w:val="00A05673"/>
    <w:rsid w:val="00A0567C"/>
    <w:rsid w:val="00A05BC4"/>
    <w:rsid w:val="00A066E7"/>
    <w:rsid w:val="00A06BE6"/>
    <w:rsid w:val="00A07585"/>
    <w:rsid w:val="00A0759D"/>
    <w:rsid w:val="00A078FB"/>
    <w:rsid w:val="00A07C13"/>
    <w:rsid w:val="00A07E96"/>
    <w:rsid w:val="00A1009A"/>
    <w:rsid w:val="00A1015E"/>
    <w:rsid w:val="00A1021F"/>
    <w:rsid w:val="00A10424"/>
    <w:rsid w:val="00A10547"/>
    <w:rsid w:val="00A107FC"/>
    <w:rsid w:val="00A119B6"/>
    <w:rsid w:val="00A126BC"/>
    <w:rsid w:val="00A131D2"/>
    <w:rsid w:val="00A1330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84D"/>
    <w:rsid w:val="00A24BE4"/>
    <w:rsid w:val="00A24E3A"/>
    <w:rsid w:val="00A252C4"/>
    <w:rsid w:val="00A261E1"/>
    <w:rsid w:val="00A262E7"/>
    <w:rsid w:val="00A266D2"/>
    <w:rsid w:val="00A27067"/>
    <w:rsid w:val="00A27140"/>
    <w:rsid w:val="00A277C3"/>
    <w:rsid w:val="00A279BB"/>
    <w:rsid w:val="00A27C2B"/>
    <w:rsid w:val="00A27CF5"/>
    <w:rsid w:val="00A3069B"/>
    <w:rsid w:val="00A30701"/>
    <w:rsid w:val="00A31346"/>
    <w:rsid w:val="00A317CB"/>
    <w:rsid w:val="00A31851"/>
    <w:rsid w:val="00A31920"/>
    <w:rsid w:val="00A323E8"/>
    <w:rsid w:val="00A3351D"/>
    <w:rsid w:val="00A3369C"/>
    <w:rsid w:val="00A34349"/>
    <w:rsid w:val="00A34D05"/>
    <w:rsid w:val="00A35123"/>
    <w:rsid w:val="00A35F0D"/>
    <w:rsid w:val="00A35FB1"/>
    <w:rsid w:val="00A35FBE"/>
    <w:rsid w:val="00A36C76"/>
    <w:rsid w:val="00A36F6F"/>
    <w:rsid w:val="00A37301"/>
    <w:rsid w:val="00A379C2"/>
    <w:rsid w:val="00A379F2"/>
    <w:rsid w:val="00A37B55"/>
    <w:rsid w:val="00A37BB1"/>
    <w:rsid w:val="00A37E03"/>
    <w:rsid w:val="00A410D6"/>
    <w:rsid w:val="00A41666"/>
    <w:rsid w:val="00A41CFB"/>
    <w:rsid w:val="00A42C29"/>
    <w:rsid w:val="00A43655"/>
    <w:rsid w:val="00A43B7A"/>
    <w:rsid w:val="00A4473C"/>
    <w:rsid w:val="00A46159"/>
    <w:rsid w:val="00A466D6"/>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53C1"/>
    <w:rsid w:val="00A56101"/>
    <w:rsid w:val="00A5717D"/>
    <w:rsid w:val="00A57523"/>
    <w:rsid w:val="00A60119"/>
    <w:rsid w:val="00A60540"/>
    <w:rsid w:val="00A61221"/>
    <w:rsid w:val="00A613DE"/>
    <w:rsid w:val="00A61585"/>
    <w:rsid w:val="00A61699"/>
    <w:rsid w:val="00A618D6"/>
    <w:rsid w:val="00A61C62"/>
    <w:rsid w:val="00A6333C"/>
    <w:rsid w:val="00A63D59"/>
    <w:rsid w:val="00A63F13"/>
    <w:rsid w:val="00A6559B"/>
    <w:rsid w:val="00A65D70"/>
    <w:rsid w:val="00A66AE3"/>
    <w:rsid w:val="00A66C3A"/>
    <w:rsid w:val="00A66D4A"/>
    <w:rsid w:val="00A6784D"/>
    <w:rsid w:val="00A67C74"/>
    <w:rsid w:val="00A70069"/>
    <w:rsid w:val="00A701DA"/>
    <w:rsid w:val="00A70600"/>
    <w:rsid w:val="00A7065F"/>
    <w:rsid w:val="00A70A02"/>
    <w:rsid w:val="00A70D02"/>
    <w:rsid w:val="00A70D26"/>
    <w:rsid w:val="00A72444"/>
    <w:rsid w:val="00A724DF"/>
    <w:rsid w:val="00A729F1"/>
    <w:rsid w:val="00A72B1A"/>
    <w:rsid w:val="00A72B2B"/>
    <w:rsid w:val="00A735BB"/>
    <w:rsid w:val="00A73775"/>
    <w:rsid w:val="00A73C3A"/>
    <w:rsid w:val="00A74656"/>
    <w:rsid w:val="00A74D20"/>
    <w:rsid w:val="00A74D74"/>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8B"/>
    <w:rsid w:val="00A829EA"/>
    <w:rsid w:val="00A82FB4"/>
    <w:rsid w:val="00A83600"/>
    <w:rsid w:val="00A83FD5"/>
    <w:rsid w:val="00A84088"/>
    <w:rsid w:val="00A850C8"/>
    <w:rsid w:val="00A850FE"/>
    <w:rsid w:val="00A851DD"/>
    <w:rsid w:val="00A854D9"/>
    <w:rsid w:val="00A85D11"/>
    <w:rsid w:val="00A85DB7"/>
    <w:rsid w:val="00A861EA"/>
    <w:rsid w:val="00A86E26"/>
    <w:rsid w:val="00A87927"/>
    <w:rsid w:val="00A87982"/>
    <w:rsid w:val="00A87D74"/>
    <w:rsid w:val="00A87EA6"/>
    <w:rsid w:val="00A90F7D"/>
    <w:rsid w:val="00A90FC5"/>
    <w:rsid w:val="00A91486"/>
    <w:rsid w:val="00A916ED"/>
    <w:rsid w:val="00A91F2A"/>
    <w:rsid w:val="00A92561"/>
    <w:rsid w:val="00A925F5"/>
    <w:rsid w:val="00A927BE"/>
    <w:rsid w:val="00A929ED"/>
    <w:rsid w:val="00A92A86"/>
    <w:rsid w:val="00A9348A"/>
    <w:rsid w:val="00A942E6"/>
    <w:rsid w:val="00A94502"/>
    <w:rsid w:val="00A94CFA"/>
    <w:rsid w:val="00A95605"/>
    <w:rsid w:val="00A968DE"/>
    <w:rsid w:val="00A96FBF"/>
    <w:rsid w:val="00A97103"/>
    <w:rsid w:val="00AA02A6"/>
    <w:rsid w:val="00AA091C"/>
    <w:rsid w:val="00AA0F09"/>
    <w:rsid w:val="00AA127C"/>
    <w:rsid w:val="00AA1A7B"/>
    <w:rsid w:val="00AA1EDA"/>
    <w:rsid w:val="00AA26F6"/>
    <w:rsid w:val="00AA27F7"/>
    <w:rsid w:val="00AA2967"/>
    <w:rsid w:val="00AA3F39"/>
    <w:rsid w:val="00AA4233"/>
    <w:rsid w:val="00AA45AF"/>
    <w:rsid w:val="00AA485D"/>
    <w:rsid w:val="00AA5067"/>
    <w:rsid w:val="00AA511F"/>
    <w:rsid w:val="00AA6F74"/>
    <w:rsid w:val="00AA70A8"/>
    <w:rsid w:val="00AA7A45"/>
    <w:rsid w:val="00AA7AB9"/>
    <w:rsid w:val="00AB040C"/>
    <w:rsid w:val="00AB0A0E"/>
    <w:rsid w:val="00AB2134"/>
    <w:rsid w:val="00AB25F3"/>
    <w:rsid w:val="00AB3010"/>
    <w:rsid w:val="00AB4AEF"/>
    <w:rsid w:val="00AB5504"/>
    <w:rsid w:val="00AB591D"/>
    <w:rsid w:val="00AB5A28"/>
    <w:rsid w:val="00AB632F"/>
    <w:rsid w:val="00AB65A5"/>
    <w:rsid w:val="00AB69BC"/>
    <w:rsid w:val="00AB700A"/>
    <w:rsid w:val="00AB7116"/>
    <w:rsid w:val="00AB7668"/>
    <w:rsid w:val="00AC0556"/>
    <w:rsid w:val="00AC0749"/>
    <w:rsid w:val="00AC1332"/>
    <w:rsid w:val="00AC1BB5"/>
    <w:rsid w:val="00AC34DD"/>
    <w:rsid w:val="00AC3764"/>
    <w:rsid w:val="00AC41B4"/>
    <w:rsid w:val="00AC44C7"/>
    <w:rsid w:val="00AC48F6"/>
    <w:rsid w:val="00AC4947"/>
    <w:rsid w:val="00AC59DF"/>
    <w:rsid w:val="00AC5F64"/>
    <w:rsid w:val="00AC6493"/>
    <w:rsid w:val="00AC6C62"/>
    <w:rsid w:val="00AC7407"/>
    <w:rsid w:val="00AC7C2E"/>
    <w:rsid w:val="00AC7E00"/>
    <w:rsid w:val="00AD01F8"/>
    <w:rsid w:val="00AD1BB5"/>
    <w:rsid w:val="00AD21A3"/>
    <w:rsid w:val="00AD2463"/>
    <w:rsid w:val="00AD2985"/>
    <w:rsid w:val="00AD2E0F"/>
    <w:rsid w:val="00AD318F"/>
    <w:rsid w:val="00AD357D"/>
    <w:rsid w:val="00AD4948"/>
    <w:rsid w:val="00AD557B"/>
    <w:rsid w:val="00AD56C0"/>
    <w:rsid w:val="00AD58ED"/>
    <w:rsid w:val="00AD60C5"/>
    <w:rsid w:val="00AD7416"/>
    <w:rsid w:val="00AD7571"/>
    <w:rsid w:val="00AD7640"/>
    <w:rsid w:val="00AD76C6"/>
    <w:rsid w:val="00AD7817"/>
    <w:rsid w:val="00AD7E28"/>
    <w:rsid w:val="00AE1450"/>
    <w:rsid w:val="00AE180A"/>
    <w:rsid w:val="00AE1DB7"/>
    <w:rsid w:val="00AE2050"/>
    <w:rsid w:val="00AE4728"/>
    <w:rsid w:val="00AE474D"/>
    <w:rsid w:val="00AE57B4"/>
    <w:rsid w:val="00AE6CA7"/>
    <w:rsid w:val="00AF031C"/>
    <w:rsid w:val="00AF045B"/>
    <w:rsid w:val="00AF05AA"/>
    <w:rsid w:val="00AF06C7"/>
    <w:rsid w:val="00AF0B32"/>
    <w:rsid w:val="00AF1041"/>
    <w:rsid w:val="00AF137B"/>
    <w:rsid w:val="00AF1543"/>
    <w:rsid w:val="00AF1C18"/>
    <w:rsid w:val="00AF211E"/>
    <w:rsid w:val="00AF2AA9"/>
    <w:rsid w:val="00AF2D52"/>
    <w:rsid w:val="00AF34F6"/>
    <w:rsid w:val="00AF3625"/>
    <w:rsid w:val="00AF4C94"/>
    <w:rsid w:val="00AF5538"/>
    <w:rsid w:val="00AF56C4"/>
    <w:rsid w:val="00AF66F9"/>
    <w:rsid w:val="00AF6745"/>
    <w:rsid w:val="00AF6C23"/>
    <w:rsid w:val="00AF7568"/>
    <w:rsid w:val="00AF7F1B"/>
    <w:rsid w:val="00B00B35"/>
    <w:rsid w:val="00B00F8B"/>
    <w:rsid w:val="00B00FC9"/>
    <w:rsid w:val="00B01571"/>
    <w:rsid w:val="00B01827"/>
    <w:rsid w:val="00B01912"/>
    <w:rsid w:val="00B01960"/>
    <w:rsid w:val="00B02596"/>
    <w:rsid w:val="00B026AE"/>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0F0"/>
    <w:rsid w:val="00B1211B"/>
    <w:rsid w:val="00B12745"/>
    <w:rsid w:val="00B12934"/>
    <w:rsid w:val="00B12B7F"/>
    <w:rsid w:val="00B13C95"/>
    <w:rsid w:val="00B143B1"/>
    <w:rsid w:val="00B14650"/>
    <w:rsid w:val="00B147E9"/>
    <w:rsid w:val="00B14C4A"/>
    <w:rsid w:val="00B15339"/>
    <w:rsid w:val="00B156E7"/>
    <w:rsid w:val="00B15C49"/>
    <w:rsid w:val="00B1658A"/>
    <w:rsid w:val="00B166A6"/>
    <w:rsid w:val="00B16AB1"/>
    <w:rsid w:val="00B20122"/>
    <w:rsid w:val="00B205FB"/>
    <w:rsid w:val="00B20B5E"/>
    <w:rsid w:val="00B21858"/>
    <w:rsid w:val="00B21A71"/>
    <w:rsid w:val="00B21E45"/>
    <w:rsid w:val="00B21F9A"/>
    <w:rsid w:val="00B23781"/>
    <w:rsid w:val="00B25570"/>
    <w:rsid w:val="00B25A3E"/>
    <w:rsid w:val="00B25DD8"/>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B9C"/>
    <w:rsid w:val="00B33D13"/>
    <w:rsid w:val="00B33E0D"/>
    <w:rsid w:val="00B34319"/>
    <w:rsid w:val="00B34E38"/>
    <w:rsid w:val="00B350D2"/>
    <w:rsid w:val="00B351DC"/>
    <w:rsid w:val="00B35CCE"/>
    <w:rsid w:val="00B35D33"/>
    <w:rsid w:val="00B35F67"/>
    <w:rsid w:val="00B36222"/>
    <w:rsid w:val="00B36B3A"/>
    <w:rsid w:val="00B3710E"/>
    <w:rsid w:val="00B37786"/>
    <w:rsid w:val="00B37A46"/>
    <w:rsid w:val="00B37FB4"/>
    <w:rsid w:val="00B40111"/>
    <w:rsid w:val="00B40149"/>
    <w:rsid w:val="00B4069F"/>
    <w:rsid w:val="00B407F1"/>
    <w:rsid w:val="00B409DA"/>
    <w:rsid w:val="00B4147F"/>
    <w:rsid w:val="00B41991"/>
    <w:rsid w:val="00B41B37"/>
    <w:rsid w:val="00B41FA8"/>
    <w:rsid w:val="00B42190"/>
    <w:rsid w:val="00B424FB"/>
    <w:rsid w:val="00B42EA8"/>
    <w:rsid w:val="00B439D7"/>
    <w:rsid w:val="00B443DF"/>
    <w:rsid w:val="00B451A9"/>
    <w:rsid w:val="00B455BD"/>
    <w:rsid w:val="00B45F5C"/>
    <w:rsid w:val="00B4639E"/>
    <w:rsid w:val="00B46C4B"/>
    <w:rsid w:val="00B5015E"/>
    <w:rsid w:val="00B5017A"/>
    <w:rsid w:val="00B50418"/>
    <w:rsid w:val="00B518E0"/>
    <w:rsid w:val="00B51A1C"/>
    <w:rsid w:val="00B51E92"/>
    <w:rsid w:val="00B5237A"/>
    <w:rsid w:val="00B52469"/>
    <w:rsid w:val="00B52A4E"/>
    <w:rsid w:val="00B52CF2"/>
    <w:rsid w:val="00B5325E"/>
    <w:rsid w:val="00B53776"/>
    <w:rsid w:val="00B53B5E"/>
    <w:rsid w:val="00B53F69"/>
    <w:rsid w:val="00B540B4"/>
    <w:rsid w:val="00B54DB2"/>
    <w:rsid w:val="00B5547A"/>
    <w:rsid w:val="00B557C1"/>
    <w:rsid w:val="00B563EF"/>
    <w:rsid w:val="00B56578"/>
    <w:rsid w:val="00B5765C"/>
    <w:rsid w:val="00B604EA"/>
    <w:rsid w:val="00B6076C"/>
    <w:rsid w:val="00B61083"/>
    <w:rsid w:val="00B61449"/>
    <w:rsid w:val="00B61837"/>
    <w:rsid w:val="00B619E8"/>
    <w:rsid w:val="00B61E0C"/>
    <w:rsid w:val="00B61E7D"/>
    <w:rsid w:val="00B62151"/>
    <w:rsid w:val="00B621B1"/>
    <w:rsid w:val="00B62431"/>
    <w:rsid w:val="00B626C3"/>
    <w:rsid w:val="00B62D98"/>
    <w:rsid w:val="00B633EE"/>
    <w:rsid w:val="00B6371E"/>
    <w:rsid w:val="00B63A06"/>
    <w:rsid w:val="00B63B16"/>
    <w:rsid w:val="00B64166"/>
    <w:rsid w:val="00B649C8"/>
    <w:rsid w:val="00B64BED"/>
    <w:rsid w:val="00B64C8A"/>
    <w:rsid w:val="00B653F8"/>
    <w:rsid w:val="00B67007"/>
    <w:rsid w:val="00B712FD"/>
    <w:rsid w:val="00B71621"/>
    <w:rsid w:val="00B7202E"/>
    <w:rsid w:val="00B72054"/>
    <w:rsid w:val="00B725CF"/>
    <w:rsid w:val="00B7267B"/>
    <w:rsid w:val="00B7282B"/>
    <w:rsid w:val="00B72862"/>
    <w:rsid w:val="00B73CDF"/>
    <w:rsid w:val="00B74B19"/>
    <w:rsid w:val="00B74B23"/>
    <w:rsid w:val="00B763A2"/>
    <w:rsid w:val="00B7682E"/>
    <w:rsid w:val="00B76832"/>
    <w:rsid w:val="00B7697A"/>
    <w:rsid w:val="00B770F1"/>
    <w:rsid w:val="00B80361"/>
    <w:rsid w:val="00B8098B"/>
    <w:rsid w:val="00B809F5"/>
    <w:rsid w:val="00B81D5A"/>
    <w:rsid w:val="00B82AF0"/>
    <w:rsid w:val="00B82FA8"/>
    <w:rsid w:val="00B83E35"/>
    <w:rsid w:val="00B84190"/>
    <w:rsid w:val="00B843B0"/>
    <w:rsid w:val="00B84ED0"/>
    <w:rsid w:val="00B8557F"/>
    <w:rsid w:val="00B857B9"/>
    <w:rsid w:val="00B85B53"/>
    <w:rsid w:val="00B85C1B"/>
    <w:rsid w:val="00B8633D"/>
    <w:rsid w:val="00B86E49"/>
    <w:rsid w:val="00B86F1B"/>
    <w:rsid w:val="00B8719A"/>
    <w:rsid w:val="00B9006A"/>
    <w:rsid w:val="00B901C2"/>
    <w:rsid w:val="00B90909"/>
    <w:rsid w:val="00B90D92"/>
    <w:rsid w:val="00B91332"/>
    <w:rsid w:val="00B9217F"/>
    <w:rsid w:val="00B92184"/>
    <w:rsid w:val="00B92411"/>
    <w:rsid w:val="00B928F5"/>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63C"/>
    <w:rsid w:val="00BA1BA2"/>
    <w:rsid w:val="00BA1BC4"/>
    <w:rsid w:val="00BA1DCF"/>
    <w:rsid w:val="00BA226F"/>
    <w:rsid w:val="00BA2A4B"/>
    <w:rsid w:val="00BA3360"/>
    <w:rsid w:val="00BA377F"/>
    <w:rsid w:val="00BA37DF"/>
    <w:rsid w:val="00BA3D86"/>
    <w:rsid w:val="00BA4069"/>
    <w:rsid w:val="00BA4144"/>
    <w:rsid w:val="00BA427B"/>
    <w:rsid w:val="00BA5CE4"/>
    <w:rsid w:val="00BA5FC1"/>
    <w:rsid w:val="00BA66C3"/>
    <w:rsid w:val="00BA677D"/>
    <w:rsid w:val="00BA67D8"/>
    <w:rsid w:val="00BA73CD"/>
    <w:rsid w:val="00BA79A0"/>
    <w:rsid w:val="00BB0006"/>
    <w:rsid w:val="00BB0222"/>
    <w:rsid w:val="00BB04D1"/>
    <w:rsid w:val="00BB0627"/>
    <w:rsid w:val="00BB1447"/>
    <w:rsid w:val="00BB1487"/>
    <w:rsid w:val="00BB1A5D"/>
    <w:rsid w:val="00BB2279"/>
    <w:rsid w:val="00BB26CD"/>
    <w:rsid w:val="00BB28E7"/>
    <w:rsid w:val="00BB3183"/>
    <w:rsid w:val="00BB3587"/>
    <w:rsid w:val="00BB37D0"/>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3FD6"/>
    <w:rsid w:val="00BC4929"/>
    <w:rsid w:val="00BC4CF8"/>
    <w:rsid w:val="00BC4E34"/>
    <w:rsid w:val="00BC508B"/>
    <w:rsid w:val="00BC50CC"/>
    <w:rsid w:val="00BC5224"/>
    <w:rsid w:val="00BC53CF"/>
    <w:rsid w:val="00BC5699"/>
    <w:rsid w:val="00BC5FFC"/>
    <w:rsid w:val="00BC604B"/>
    <w:rsid w:val="00BC647B"/>
    <w:rsid w:val="00BC6D7C"/>
    <w:rsid w:val="00BC74B5"/>
    <w:rsid w:val="00BC74B8"/>
    <w:rsid w:val="00BD0014"/>
    <w:rsid w:val="00BD034F"/>
    <w:rsid w:val="00BD0531"/>
    <w:rsid w:val="00BD0965"/>
    <w:rsid w:val="00BD0B6D"/>
    <w:rsid w:val="00BD0CE7"/>
    <w:rsid w:val="00BD0E68"/>
    <w:rsid w:val="00BD18EB"/>
    <w:rsid w:val="00BD1B5E"/>
    <w:rsid w:val="00BD1D9E"/>
    <w:rsid w:val="00BD1E51"/>
    <w:rsid w:val="00BD22D9"/>
    <w:rsid w:val="00BD259D"/>
    <w:rsid w:val="00BD2CC5"/>
    <w:rsid w:val="00BD3433"/>
    <w:rsid w:val="00BD37D2"/>
    <w:rsid w:val="00BD3AA2"/>
    <w:rsid w:val="00BD3E3F"/>
    <w:rsid w:val="00BD4776"/>
    <w:rsid w:val="00BD575A"/>
    <w:rsid w:val="00BD6056"/>
    <w:rsid w:val="00BD6079"/>
    <w:rsid w:val="00BD6722"/>
    <w:rsid w:val="00BD752F"/>
    <w:rsid w:val="00BD756B"/>
    <w:rsid w:val="00BD7EA6"/>
    <w:rsid w:val="00BE0294"/>
    <w:rsid w:val="00BE1856"/>
    <w:rsid w:val="00BE1D2C"/>
    <w:rsid w:val="00BE2372"/>
    <w:rsid w:val="00BE268F"/>
    <w:rsid w:val="00BE3010"/>
    <w:rsid w:val="00BE3938"/>
    <w:rsid w:val="00BE3E6C"/>
    <w:rsid w:val="00BE4168"/>
    <w:rsid w:val="00BE455B"/>
    <w:rsid w:val="00BE4AF1"/>
    <w:rsid w:val="00BE4B47"/>
    <w:rsid w:val="00BE5D4F"/>
    <w:rsid w:val="00BE640F"/>
    <w:rsid w:val="00BE67FB"/>
    <w:rsid w:val="00BE697D"/>
    <w:rsid w:val="00BE7063"/>
    <w:rsid w:val="00BE7EDC"/>
    <w:rsid w:val="00BF0070"/>
    <w:rsid w:val="00BF012E"/>
    <w:rsid w:val="00BF01C7"/>
    <w:rsid w:val="00BF107D"/>
    <w:rsid w:val="00BF122D"/>
    <w:rsid w:val="00BF141D"/>
    <w:rsid w:val="00BF1684"/>
    <w:rsid w:val="00BF1C98"/>
    <w:rsid w:val="00BF1F58"/>
    <w:rsid w:val="00BF22D1"/>
    <w:rsid w:val="00BF2D15"/>
    <w:rsid w:val="00BF3094"/>
    <w:rsid w:val="00BF31F0"/>
    <w:rsid w:val="00BF3E82"/>
    <w:rsid w:val="00BF3F4C"/>
    <w:rsid w:val="00BF4A94"/>
    <w:rsid w:val="00BF4F87"/>
    <w:rsid w:val="00BF5CD4"/>
    <w:rsid w:val="00BF5F4B"/>
    <w:rsid w:val="00BF685D"/>
    <w:rsid w:val="00BF6A3D"/>
    <w:rsid w:val="00BF7859"/>
    <w:rsid w:val="00BF7F71"/>
    <w:rsid w:val="00C0002F"/>
    <w:rsid w:val="00C000CE"/>
    <w:rsid w:val="00C00AF7"/>
    <w:rsid w:val="00C011A5"/>
    <w:rsid w:val="00C017D1"/>
    <w:rsid w:val="00C0198F"/>
    <w:rsid w:val="00C02CF2"/>
    <w:rsid w:val="00C02D33"/>
    <w:rsid w:val="00C03208"/>
    <w:rsid w:val="00C03994"/>
    <w:rsid w:val="00C039AA"/>
    <w:rsid w:val="00C039EB"/>
    <w:rsid w:val="00C03C54"/>
    <w:rsid w:val="00C03D31"/>
    <w:rsid w:val="00C044AF"/>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1F86"/>
    <w:rsid w:val="00C122A4"/>
    <w:rsid w:val="00C124C7"/>
    <w:rsid w:val="00C1276F"/>
    <w:rsid w:val="00C128FE"/>
    <w:rsid w:val="00C12A6C"/>
    <w:rsid w:val="00C12B07"/>
    <w:rsid w:val="00C12E94"/>
    <w:rsid w:val="00C12EBA"/>
    <w:rsid w:val="00C12FCF"/>
    <w:rsid w:val="00C130C4"/>
    <w:rsid w:val="00C13342"/>
    <w:rsid w:val="00C13BF5"/>
    <w:rsid w:val="00C13D17"/>
    <w:rsid w:val="00C13D52"/>
    <w:rsid w:val="00C142AC"/>
    <w:rsid w:val="00C157D8"/>
    <w:rsid w:val="00C17179"/>
    <w:rsid w:val="00C1732B"/>
    <w:rsid w:val="00C17422"/>
    <w:rsid w:val="00C17C56"/>
    <w:rsid w:val="00C17D82"/>
    <w:rsid w:val="00C2040D"/>
    <w:rsid w:val="00C20B03"/>
    <w:rsid w:val="00C20B13"/>
    <w:rsid w:val="00C21160"/>
    <w:rsid w:val="00C211D7"/>
    <w:rsid w:val="00C21360"/>
    <w:rsid w:val="00C21EA0"/>
    <w:rsid w:val="00C22961"/>
    <w:rsid w:val="00C2356C"/>
    <w:rsid w:val="00C23BC5"/>
    <w:rsid w:val="00C2491E"/>
    <w:rsid w:val="00C252A5"/>
    <w:rsid w:val="00C25A17"/>
    <w:rsid w:val="00C25FF9"/>
    <w:rsid w:val="00C26BC5"/>
    <w:rsid w:val="00C3027F"/>
    <w:rsid w:val="00C308EC"/>
    <w:rsid w:val="00C31CF2"/>
    <w:rsid w:val="00C32453"/>
    <w:rsid w:val="00C32513"/>
    <w:rsid w:val="00C325FB"/>
    <w:rsid w:val="00C3367B"/>
    <w:rsid w:val="00C3403D"/>
    <w:rsid w:val="00C342E3"/>
    <w:rsid w:val="00C345AD"/>
    <w:rsid w:val="00C35704"/>
    <w:rsid w:val="00C360EC"/>
    <w:rsid w:val="00C36A6C"/>
    <w:rsid w:val="00C36F46"/>
    <w:rsid w:val="00C37635"/>
    <w:rsid w:val="00C40771"/>
    <w:rsid w:val="00C40C45"/>
    <w:rsid w:val="00C40F4A"/>
    <w:rsid w:val="00C423D6"/>
    <w:rsid w:val="00C42491"/>
    <w:rsid w:val="00C42BF1"/>
    <w:rsid w:val="00C430ED"/>
    <w:rsid w:val="00C43991"/>
    <w:rsid w:val="00C4413F"/>
    <w:rsid w:val="00C455F2"/>
    <w:rsid w:val="00C45E55"/>
    <w:rsid w:val="00C461B5"/>
    <w:rsid w:val="00C46300"/>
    <w:rsid w:val="00C47A90"/>
    <w:rsid w:val="00C47D96"/>
    <w:rsid w:val="00C5013A"/>
    <w:rsid w:val="00C503B1"/>
    <w:rsid w:val="00C507C8"/>
    <w:rsid w:val="00C5087A"/>
    <w:rsid w:val="00C51986"/>
    <w:rsid w:val="00C51BDF"/>
    <w:rsid w:val="00C51DCC"/>
    <w:rsid w:val="00C524C2"/>
    <w:rsid w:val="00C52ED5"/>
    <w:rsid w:val="00C5326D"/>
    <w:rsid w:val="00C53818"/>
    <w:rsid w:val="00C53B80"/>
    <w:rsid w:val="00C541A4"/>
    <w:rsid w:val="00C54201"/>
    <w:rsid w:val="00C54368"/>
    <w:rsid w:val="00C543C6"/>
    <w:rsid w:val="00C54450"/>
    <w:rsid w:val="00C54B32"/>
    <w:rsid w:val="00C54C56"/>
    <w:rsid w:val="00C55ECC"/>
    <w:rsid w:val="00C56753"/>
    <w:rsid w:val="00C56EA0"/>
    <w:rsid w:val="00C57174"/>
    <w:rsid w:val="00C57291"/>
    <w:rsid w:val="00C57A30"/>
    <w:rsid w:val="00C57DF3"/>
    <w:rsid w:val="00C60347"/>
    <w:rsid w:val="00C60AC0"/>
    <w:rsid w:val="00C60BE7"/>
    <w:rsid w:val="00C61B07"/>
    <w:rsid w:val="00C61BC7"/>
    <w:rsid w:val="00C623C4"/>
    <w:rsid w:val="00C62D24"/>
    <w:rsid w:val="00C63003"/>
    <w:rsid w:val="00C635FE"/>
    <w:rsid w:val="00C63BF4"/>
    <w:rsid w:val="00C63FA0"/>
    <w:rsid w:val="00C64346"/>
    <w:rsid w:val="00C645C1"/>
    <w:rsid w:val="00C649C5"/>
    <w:rsid w:val="00C65D88"/>
    <w:rsid w:val="00C65E0C"/>
    <w:rsid w:val="00C6607B"/>
    <w:rsid w:val="00C6685B"/>
    <w:rsid w:val="00C668C9"/>
    <w:rsid w:val="00C66D38"/>
    <w:rsid w:val="00C673A7"/>
    <w:rsid w:val="00C6783F"/>
    <w:rsid w:val="00C703BB"/>
    <w:rsid w:val="00C704CA"/>
    <w:rsid w:val="00C70B4D"/>
    <w:rsid w:val="00C70C8E"/>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5BE9"/>
    <w:rsid w:val="00C8642E"/>
    <w:rsid w:val="00C876F8"/>
    <w:rsid w:val="00C9022E"/>
    <w:rsid w:val="00C9069C"/>
    <w:rsid w:val="00C907F6"/>
    <w:rsid w:val="00C90AF9"/>
    <w:rsid w:val="00C90F44"/>
    <w:rsid w:val="00C90F90"/>
    <w:rsid w:val="00C9145D"/>
    <w:rsid w:val="00C91540"/>
    <w:rsid w:val="00C92701"/>
    <w:rsid w:val="00C92BE2"/>
    <w:rsid w:val="00C92C33"/>
    <w:rsid w:val="00C9327D"/>
    <w:rsid w:val="00C93682"/>
    <w:rsid w:val="00C943E1"/>
    <w:rsid w:val="00C9524F"/>
    <w:rsid w:val="00C95C23"/>
    <w:rsid w:val="00C964AD"/>
    <w:rsid w:val="00C971AF"/>
    <w:rsid w:val="00C97280"/>
    <w:rsid w:val="00C97827"/>
    <w:rsid w:val="00C97964"/>
    <w:rsid w:val="00C97C71"/>
    <w:rsid w:val="00CA06D3"/>
    <w:rsid w:val="00CA0C22"/>
    <w:rsid w:val="00CA0D1A"/>
    <w:rsid w:val="00CA0D96"/>
    <w:rsid w:val="00CA1316"/>
    <w:rsid w:val="00CA21B4"/>
    <w:rsid w:val="00CA28B2"/>
    <w:rsid w:val="00CA2D30"/>
    <w:rsid w:val="00CA2D7D"/>
    <w:rsid w:val="00CA4367"/>
    <w:rsid w:val="00CA48F1"/>
    <w:rsid w:val="00CA4D8F"/>
    <w:rsid w:val="00CA4E70"/>
    <w:rsid w:val="00CA50CD"/>
    <w:rsid w:val="00CA5371"/>
    <w:rsid w:val="00CA5703"/>
    <w:rsid w:val="00CA58C6"/>
    <w:rsid w:val="00CA5B43"/>
    <w:rsid w:val="00CA5CD2"/>
    <w:rsid w:val="00CA6606"/>
    <w:rsid w:val="00CA6F7D"/>
    <w:rsid w:val="00CA7122"/>
    <w:rsid w:val="00CB0596"/>
    <w:rsid w:val="00CB05F1"/>
    <w:rsid w:val="00CB0E7C"/>
    <w:rsid w:val="00CB186E"/>
    <w:rsid w:val="00CB22F6"/>
    <w:rsid w:val="00CB23E5"/>
    <w:rsid w:val="00CB2B5B"/>
    <w:rsid w:val="00CB2BC0"/>
    <w:rsid w:val="00CB3902"/>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0DD4"/>
    <w:rsid w:val="00CC1A4A"/>
    <w:rsid w:val="00CC1F09"/>
    <w:rsid w:val="00CC2EF2"/>
    <w:rsid w:val="00CC34DB"/>
    <w:rsid w:val="00CC3915"/>
    <w:rsid w:val="00CC3C3B"/>
    <w:rsid w:val="00CC5DAA"/>
    <w:rsid w:val="00CC623B"/>
    <w:rsid w:val="00CC62ED"/>
    <w:rsid w:val="00CC6423"/>
    <w:rsid w:val="00CC728B"/>
    <w:rsid w:val="00CC75A4"/>
    <w:rsid w:val="00CC7D96"/>
    <w:rsid w:val="00CD01E1"/>
    <w:rsid w:val="00CD0696"/>
    <w:rsid w:val="00CD0A91"/>
    <w:rsid w:val="00CD1130"/>
    <w:rsid w:val="00CD14B2"/>
    <w:rsid w:val="00CD21AD"/>
    <w:rsid w:val="00CD248F"/>
    <w:rsid w:val="00CD2851"/>
    <w:rsid w:val="00CD2936"/>
    <w:rsid w:val="00CD2DC4"/>
    <w:rsid w:val="00CD3E51"/>
    <w:rsid w:val="00CD3F5B"/>
    <w:rsid w:val="00CD4965"/>
    <w:rsid w:val="00CD5F0B"/>
    <w:rsid w:val="00CD6177"/>
    <w:rsid w:val="00CD63D2"/>
    <w:rsid w:val="00CD6540"/>
    <w:rsid w:val="00CD72B6"/>
    <w:rsid w:val="00CD77B8"/>
    <w:rsid w:val="00CE0BD4"/>
    <w:rsid w:val="00CE0CCB"/>
    <w:rsid w:val="00CE0F37"/>
    <w:rsid w:val="00CE139F"/>
    <w:rsid w:val="00CE16A1"/>
    <w:rsid w:val="00CE19FD"/>
    <w:rsid w:val="00CE1C38"/>
    <w:rsid w:val="00CE2AC7"/>
    <w:rsid w:val="00CE2ED3"/>
    <w:rsid w:val="00CE36EB"/>
    <w:rsid w:val="00CE38B6"/>
    <w:rsid w:val="00CE394A"/>
    <w:rsid w:val="00CE3966"/>
    <w:rsid w:val="00CE3B30"/>
    <w:rsid w:val="00CE4041"/>
    <w:rsid w:val="00CE40E3"/>
    <w:rsid w:val="00CE4672"/>
    <w:rsid w:val="00CE5C18"/>
    <w:rsid w:val="00CE6764"/>
    <w:rsid w:val="00CE6E16"/>
    <w:rsid w:val="00CE6E37"/>
    <w:rsid w:val="00CE7AA9"/>
    <w:rsid w:val="00CE7DAE"/>
    <w:rsid w:val="00CF03C3"/>
    <w:rsid w:val="00CF1264"/>
    <w:rsid w:val="00CF14A1"/>
    <w:rsid w:val="00CF170A"/>
    <w:rsid w:val="00CF1970"/>
    <w:rsid w:val="00CF1DE7"/>
    <w:rsid w:val="00CF333F"/>
    <w:rsid w:val="00CF3704"/>
    <w:rsid w:val="00CF3A27"/>
    <w:rsid w:val="00CF3B54"/>
    <w:rsid w:val="00CF459B"/>
    <w:rsid w:val="00CF46DA"/>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35"/>
    <w:rsid w:val="00D00ADB"/>
    <w:rsid w:val="00D00B92"/>
    <w:rsid w:val="00D00BF2"/>
    <w:rsid w:val="00D00FC2"/>
    <w:rsid w:val="00D013D7"/>
    <w:rsid w:val="00D01708"/>
    <w:rsid w:val="00D01C89"/>
    <w:rsid w:val="00D01DC1"/>
    <w:rsid w:val="00D02199"/>
    <w:rsid w:val="00D02244"/>
    <w:rsid w:val="00D02536"/>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171"/>
    <w:rsid w:val="00D12480"/>
    <w:rsid w:val="00D1274C"/>
    <w:rsid w:val="00D12C08"/>
    <w:rsid w:val="00D12D4C"/>
    <w:rsid w:val="00D1344C"/>
    <w:rsid w:val="00D158F8"/>
    <w:rsid w:val="00D15B74"/>
    <w:rsid w:val="00D161C0"/>
    <w:rsid w:val="00D161EC"/>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063"/>
    <w:rsid w:val="00D23817"/>
    <w:rsid w:val="00D23CDD"/>
    <w:rsid w:val="00D23D9C"/>
    <w:rsid w:val="00D2415C"/>
    <w:rsid w:val="00D246D0"/>
    <w:rsid w:val="00D24AF9"/>
    <w:rsid w:val="00D2505B"/>
    <w:rsid w:val="00D25526"/>
    <w:rsid w:val="00D25E16"/>
    <w:rsid w:val="00D2616A"/>
    <w:rsid w:val="00D27AA8"/>
    <w:rsid w:val="00D27C83"/>
    <w:rsid w:val="00D302DF"/>
    <w:rsid w:val="00D3034B"/>
    <w:rsid w:val="00D30E7A"/>
    <w:rsid w:val="00D30ED5"/>
    <w:rsid w:val="00D3157F"/>
    <w:rsid w:val="00D31899"/>
    <w:rsid w:val="00D319D2"/>
    <w:rsid w:val="00D31D45"/>
    <w:rsid w:val="00D31DA7"/>
    <w:rsid w:val="00D32ABC"/>
    <w:rsid w:val="00D330DB"/>
    <w:rsid w:val="00D3372F"/>
    <w:rsid w:val="00D33BC8"/>
    <w:rsid w:val="00D34318"/>
    <w:rsid w:val="00D346A3"/>
    <w:rsid w:val="00D34D2F"/>
    <w:rsid w:val="00D361D5"/>
    <w:rsid w:val="00D363CF"/>
    <w:rsid w:val="00D36A79"/>
    <w:rsid w:val="00D3776B"/>
    <w:rsid w:val="00D37DC0"/>
    <w:rsid w:val="00D4031A"/>
    <w:rsid w:val="00D4082B"/>
    <w:rsid w:val="00D408B4"/>
    <w:rsid w:val="00D41091"/>
    <w:rsid w:val="00D4178E"/>
    <w:rsid w:val="00D41915"/>
    <w:rsid w:val="00D41C8C"/>
    <w:rsid w:val="00D421F3"/>
    <w:rsid w:val="00D424C6"/>
    <w:rsid w:val="00D43DEC"/>
    <w:rsid w:val="00D43E85"/>
    <w:rsid w:val="00D4401A"/>
    <w:rsid w:val="00D440AD"/>
    <w:rsid w:val="00D44828"/>
    <w:rsid w:val="00D45602"/>
    <w:rsid w:val="00D46F80"/>
    <w:rsid w:val="00D47072"/>
    <w:rsid w:val="00D47D37"/>
    <w:rsid w:val="00D47FCA"/>
    <w:rsid w:val="00D506B8"/>
    <w:rsid w:val="00D51C20"/>
    <w:rsid w:val="00D521BD"/>
    <w:rsid w:val="00D534CB"/>
    <w:rsid w:val="00D535F1"/>
    <w:rsid w:val="00D53802"/>
    <w:rsid w:val="00D53A67"/>
    <w:rsid w:val="00D54052"/>
    <w:rsid w:val="00D546EF"/>
    <w:rsid w:val="00D5473A"/>
    <w:rsid w:val="00D548D9"/>
    <w:rsid w:val="00D54C43"/>
    <w:rsid w:val="00D54EFF"/>
    <w:rsid w:val="00D55614"/>
    <w:rsid w:val="00D5784F"/>
    <w:rsid w:val="00D57997"/>
    <w:rsid w:val="00D57C41"/>
    <w:rsid w:val="00D57F7C"/>
    <w:rsid w:val="00D57F92"/>
    <w:rsid w:val="00D6122C"/>
    <w:rsid w:val="00D61295"/>
    <w:rsid w:val="00D61470"/>
    <w:rsid w:val="00D615A7"/>
    <w:rsid w:val="00D61892"/>
    <w:rsid w:val="00D61E0B"/>
    <w:rsid w:val="00D61F7E"/>
    <w:rsid w:val="00D6332A"/>
    <w:rsid w:val="00D6364C"/>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B07"/>
    <w:rsid w:val="00D71C17"/>
    <w:rsid w:val="00D72239"/>
    <w:rsid w:val="00D7262A"/>
    <w:rsid w:val="00D73A9D"/>
    <w:rsid w:val="00D73D8E"/>
    <w:rsid w:val="00D74FF8"/>
    <w:rsid w:val="00D7500A"/>
    <w:rsid w:val="00D756B1"/>
    <w:rsid w:val="00D756F8"/>
    <w:rsid w:val="00D757E8"/>
    <w:rsid w:val="00D758CE"/>
    <w:rsid w:val="00D75B38"/>
    <w:rsid w:val="00D764A5"/>
    <w:rsid w:val="00D76BA1"/>
    <w:rsid w:val="00D77159"/>
    <w:rsid w:val="00D777C4"/>
    <w:rsid w:val="00D77FFB"/>
    <w:rsid w:val="00D80DBD"/>
    <w:rsid w:val="00D8113C"/>
    <w:rsid w:val="00D81212"/>
    <w:rsid w:val="00D815B5"/>
    <w:rsid w:val="00D816BF"/>
    <w:rsid w:val="00D81973"/>
    <w:rsid w:val="00D81DAB"/>
    <w:rsid w:val="00D821B4"/>
    <w:rsid w:val="00D82422"/>
    <w:rsid w:val="00D82A02"/>
    <w:rsid w:val="00D82C97"/>
    <w:rsid w:val="00D83013"/>
    <w:rsid w:val="00D83227"/>
    <w:rsid w:val="00D834BC"/>
    <w:rsid w:val="00D83A1C"/>
    <w:rsid w:val="00D83A4E"/>
    <w:rsid w:val="00D84201"/>
    <w:rsid w:val="00D8464D"/>
    <w:rsid w:val="00D85BE1"/>
    <w:rsid w:val="00D85E77"/>
    <w:rsid w:val="00D876B0"/>
    <w:rsid w:val="00D87711"/>
    <w:rsid w:val="00D8793A"/>
    <w:rsid w:val="00D8799B"/>
    <w:rsid w:val="00D87D56"/>
    <w:rsid w:val="00D900E1"/>
    <w:rsid w:val="00D905B6"/>
    <w:rsid w:val="00D909F1"/>
    <w:rsid w:val="00D90AD5"/>
    <w:rsid w:val="00D911E6"/>
    <w:rsid w:val="00D913C6"/>
    <w:rsid w:val="00D9155B"/>
    <w:rsid w:val="00D91989"/>
    <w:rsid w:val="00D92660"/>
    <w:rsid w:val="00D92B72"/>
    <w:rsid w:val="00D93187"/>
    <w:rsid w:val="00D9363F"/>
    <w:rsid w:val="00D937FE"/>
    <w:rsid w:val="00D944C1"/>
    <w:rsid w:val="00D94B05"/>
    <w:rsid w:val="00D94EDF"/>
    <w:rsid w:val="00D95AD4"/>
    <w:rsid w:val="00D95C3D"/>
    <w:rsid w:val="00D95CC8"/>
    <w:rsid w:val="00D97D83"/>
    <w:rsid w:val="00DA00AB"/>
    <w:rsid w:val="00DA0C4F"/>
    <w:rsid w:val="00DA0EF1"/>
    <w:rsid w:val="00DA1022"/>
    <w:rsid w:val="00DA10D5"/>
    <w:rsid w:val="00DA12B5"/>
    <w:rsid w:val="00DA175C"/>
    <w:rsid w:val="00DA17C4"/>
    <w:rsid w:val="00DA1A1C"/>
    <w:rsid w:val="00DA2A94"/>
    <w:rsid w:val="00DA2F71"/>
    <w:rsid w:val="00DA3D26"/>
    <w:rsid w:val="00DA4556"/>
    <w:rsid w:val="00DA4678"/>
    <w:rsid w:val="00DA4CA7"/>
    <w:rsid w:val="00DA5593"/>
    <w:rsid w:val="00DA56CD"/>
    <w:rsid w:val="00DA5DB8"/>
    <w:rsid w:val="00DA6E99"/>
    <w:rsid w:val="00DA7202"/>
    <w:rsid w:val="00DA72B2"/>
    <w:rsid w:val="00DA72BA"/>
    <w:rsid w:val="00DB066B"/>
    <w:rsid w:val="00DB0A2D"/>
    <w:rsid w:val="00DB1109"/>
    <w:rsid w:val="00DB1712"/>
    <w:rsid w:val="00DB1750"/>
    <w:rsid w:val="00DB1893"/>
    <w:rsid w:val="00DB194D"/>
    <w:rsid w:val="00DB200D"/>
    <w:rsid w:val="00DB311A"/>
    <w:rsid w:val="00DB3268"/>
    <w:rsid w:val="00DB3517"/>
    <w:rsid w:val="00DB36C4"/>
    <w:rsid w:val="00DB3D37"/>
    <w:rsid w:val="00DB3ED8"/>
    <w:rsid w:val="00DB3F45"/>
    <w:rsid w:val="00DB412A"/>
    <w:rsid w:val="00DB450C"/>
    <w:rsid w:val="00DB4806"/>
    <w:rsid w:val="00DB4E5B"/>
    <w:rsid w:val="00DB5819"/>
    <w:rsid w:val="00DB5A12"/>
    <w:rsid w:val="00DB69AE"/>
    <w:rsid w:val="00DB6E48"/>
    <w:rsid w:val="00DB71D2"/>
    <w:rsid w:val="00DC090E"/>
    <w:rsid w:val="00DC0A9B"/>
    <w:rsid w:val="00DC1018"/>
    <w:rsid w:val="00DC10F1"/>
    <w:rsid w:val="00DC19E9"/>
    <w:rsid w:val="00DC2A89"/>
    <w:rsid w:val="00DC2F09"/>
    <w:rsid w:val="00DC30B4"/>
    <w:rsid w:val="00DC314A"/>
    <w:rsid w:val="00DC33F3"/>
    <w:rsid w:val="00DC39C3"/>
    <w:rsid w:val="00DC3B2B"/>
    <w:rsid w:val="00DC4179"/>
    <w:rsid w:val="00DC531C"/>
    <w:rsid w:val="00DC5577"/>
    <w:rsid w:val="00DC56A2"/>
    <w:rsid w:val="00DC5912"/>
    <w:rsid w:val="00DC5B57"/>
    <w:rsid w:val="00DC603C"/>
    <w:rsid w:val="00DC610E"/>
    <w:rsid w:val="00DC632F"/>
    <w:rsid w:val="00DC6401"/>
    <w:rsid w:val="00DC70E0"/>
    <w:rsid w:val="00DC72C3"/>
    <w:rsid w:val="00DC72D5"/>
    <w:rsid w:val="00DC793B"/>
    <w:rsid w:val="00DC7B98"/>
    <w:rsid w:val="00DC7D73"/>
    <w:rsid w:val="00DD10F0"/>
    <w:rsid w:val="00DD1817"/>
    <w:rsid w:val="00DD1DC5"/>
    <w:rsid w:val="00DD22C6"/>
    <w:rsid w:val="00DD23F5"/>
    <w:rsid w:val="00DD2E24"/>
    <w:rsid w:val="00DD3848"/>
    <w:rsid w:val="00DD3B29"/>
    <w:rsid w:val="00DD459D"/>
    <w:rsid w:val="00DD48BC"/>
    <w:rsid w:val="00DD50ED"/>
    <w:rsid w:val="00DD63CC"/>
    <w:rsid w:val="00DD6723"/>
    <w:rsid w:val="00DD7430"/>
    <w:rsid w:val="00DD7966"/>
    <w:rsid w:val="00DD79D4"/>
    <w:rsid w:val="00DD7F4E"/>
    <w:rsid w:val="00DE01E7"/>
    <w:rsid w:val="00DE093A"/>
    <w:rsid w:val="00DE0986"/>
    <w:rsid w:val="00DE0BAA"/>
    <w:rsid w:val="00DE1814"/>
    <w:rsid w:val="00DE1C1F"/>
    <w:rsid w:val="00DE2756"/>
    <w:rsid w:val="00DE27B7"/>
    <w:rsid w:val="00DE32CE"/>
    <w:rsid w:val="00DE32F2"/>
    <w:rsid w:val="00DE3997"/>
    <w:rsid w:val="00DE4DBF"/>
    <w:rsid w:val="00DE5B7B"/>
    <w:rsid w:val="00DE715A"/>
    <w:rsid w:val="00DE71FE"/>
    <w:rsid w:val="00DE7437"/>
    <w:rsid w:val="00DE791A"/>
    <w:rsid w:val="00DE7A6D"/>
    <w:rsid w:val="00DF0054"/>
    <w:rsid w:val="00DF0492"/>
    <w:rsid w:val="00DF06CC"/>
    <w:rsid w:val="00DF0982"/>
    <w:rsid w:val="00DF0F55"/>
    <w:rsid w:val="00DF153C"/>
    <w:rsid w:val="00DF18EB"/>
    <w:rsid w:val="00DF1B1D"/>
    <w:rsid w:val="00DF1FAE"/>
    <w:rsid w:val="00DF1FB1"/>
    <w:rsid w:val="00DF262E"/>
    <w:rsid w:val="00DF277B"/>
    <w:rsid w:val="00DF5A84"/>
    <w:rsid w:val="00DF5E7E"/>
    <w:rsid w:val="00DF674A"/>
    <w:rsid w:val="00DF6815"/>
    <w:rsid w:val="00DF6854"/>
    <w:rsid w:val="00DF68FA"/>
    <w:rsid w:val="00DF6F04"/>
    <w:rsid w:val="00DF7320"/>
    <w:rsid w:val="00DF75F6"/>
    <w:rsid w:val="00DF793B"/>
    <w:rsid w:val="00DF7C25"/>
    <w:rsid w:val="00E0198C"/>
    <w:rsid w:val="00E01A40"/>
    <w:rsid w:val="00E01A9A"/>
    <w:rsid w:val="00E02096"/>
    <w:rsid w:val="00E026CC"/>
    <w:rsid w:val="00E026E6"/>
    <w:rsid w:val="00E032B4"/>
    <w:rsid w:val="00E032F9"/>
    <w:rsid w:val="00E0337C"/>
    <w:rsid w:val="00E03623"/>
    <w:rsid w:val="00E04198"/>
    <w:rsid w:val="00E04DC5"/>
    <w:rsid w:val="00E04F8C"/>
    <w:rsid w:val="00E05435"/>
    <w:rsid w:val="00E0599D"/>
    <w:rsid w:val="00E05F7D"/>
    <w:rsid w:val="00E062E5"/>
    <w:rsid w:val="00E06341"/>
    <w:rsid w:val="00E06D98"/>
    <w:rsid w:val="00E073D3"/>
    <w:rsid w:val="00E07585"/>
    <w:rsid w:val="00E07667"/>
    <w:rsid w:val="00E07B68"/>
    <w:rsid w:val="00E104AF"/>
    <w:rsid w:val="00E105F8"/>
    <w:rsid w:val="00E1092D"/>
    <w:rsid w:val="00E10FAE"/>
    <w:rsid w:val="00E1111F"/>
    <w:rsid w:val="00E11405"/>
    <w:rsid w:val="00E114A1"/>
    <w:rsid w:val="00E116B1"/>
    <w:rsid w:val="00E119E9"/>
    <w:rsid w:val="00E1278C"/>
    <w:rsid w:val="00E13551"/>
    <w:rsid w:val="00E14087"/>
    <w:rsid w:val="00E14360"/>
    <w:rsid w:val="00E143E7"/>
    <w:rsid w:val="00E14867"/>
    <w:rsid w:val="00E14C30"/>
    <w:rsid w:val="00E15168"/>
    <w:rsid w:val="00E15230"/>
    <w:rsid w:val="00E15511"/>
    <w:rsid w:val="00E155CC"/>
    <w:rsid w:val="00E15B7C"/>
    <w:rsid w:val="00E15C98"/>
    <w:rsid w:val="00E161CE"/>
    <w:rsid w:val="00E16AC1"/>
    <w:rsid w:val="00E16ED0"/>
    <w:rsid w:val="00E17202"/>
    <w:rsid w:val="00E17274"/>
    <w:rsid w:val="00E1754C"/>
    <w:rsid w:val="00E1761E"/>
    <w:rsid w:val="00E178B0"/>
    <w:rsid w:val="00E204C9"/>
    <w:rsid w:val="00E20830"/>
    <w:rsid w:val="00E20AC8"/>
    <w:rsid w:val="00E20E27"/>
    <w:rsid w:val="00E213F6"/>
    <w:rsid w:val="00E22024"/>
    <w:rsid w:val="00E22A05"/>
    <w:rsid w:val="00E22F6B"/>
    <w:rsid w:val="00E23DFA"/>
    <w:rsid w:val="00E23F1F"/>
    <w:rsid w:val="00E2462F"/>
    <w:rsid w:val="00E24DEE"/>
    <w:rsid w:val="00E24EF1"/>
    <w:rsid w:val="00E25B57"/>
    <w:rsid w:val="00E2742D"/>
    <w:rsid w:val="00E27780"/>
    <w:rsid w:val="00E27E40"/>
    <w:rsid w:val="00E30467"/>
    <w:rsid w:val="00E30786"/>
    <w:rsid w:val="00E30AFC"/>
    <w:rsid w:val="00E31106"/>
    <w:rsid w:val="00E3137B"/>
    <w:rsid w:val="00E314DD"/>
    <w:rsid w:val="00E32432"/>
    <w:rsid w:val="00E32A37"/>
    <w:rsid w:val="00E32BAE"/>
    <w:rsid w:val="00E32CD6"/>
    <w:rsid w:val="00E3310B"/>
    <w:rsid w:val="00E3325C"/>
    <w:rsid w:val="00E334F5"/>
    <w:rsid w:val="00E33AF3"/>
    <w:rsid w:val="00E33C3B"/>
    <w:rsid w:val="00E3401C"/>
    <w:rsid w:val="00E348DD"/>
    <w:rsid w:val="00E34ED7"/>
    <w:rsid w:val="00E3560C"/>
    <w:rsid w:val="00E356B6"/>
    <w:rsid w:val="00E367D4"/>
    <w:rsid w:val="00E36934"/>
    <w:rsid w:val="00E36BDA"/>
    <w:rsid w:val="00E373C0"/>
    <w:rsid w:val="00E4054B"/>
    <w:rsid w:val="00E40C4B"/>
    <w:rsid w:val="00E40CC0"/>
    <w:rsid w:val="00E4104B"/>
    <w:rsid w:val="00E41135"/>
    <w:rsid w:val="00E412DF"/>
    <w:rsid w:val="00E43D40"/>
    <w:rsid w:val="00E4425F"/>
    <w:rsid w:val="00E44839"/>
    <w:rsid w:val="00E4538B"/>
    <w:rsid w:val="00E456A9"/>
    <w:rsid w:val="00E45DE0"/>
    <w:rsid w:val="00E45DEA"/>
    <w:rsid w:val="00E5002E"/>
    <w:rsid w:val="00E50A6F"/>
    <w:rsid w:val="00E51257"/>
    <w:rsid w:val="00E516EA"/>
    <w:rsid w:val="00E51C8C"/>
    <w:rsid w:val="00E52448"/>
    <w:rsid w:val="00E529B5"/>
    <w:rsid w:val="00E52A58"/>
    <w:rsid w:val="00E54B25"/>
    <w:rsid w:val="00E54E03"/>
    <w:rsid w:val="00E54F4F"/>
    <w:rsid w:val="00E54F90"/>
    <w:rsid w:val="00E54FFE"/>
    <w:rsid w:val="00E551E1"/>
    <w:rsid w:val="00E5526F"/>
    <w:rsid w:val="00E55A01"/>
    <w:rsid w:val="00E55AD2"/>
    <w:rsid w:val="00E55F4E"/>
    <w:rsid w:val="00E56A7E"/>
    <w:rsid w:val="00E56C72"/>
    <w:rsid w:val="00E574DD"/>
    <w:rsid w:val="00E5755E"/>
    <w:rsid w:val="00E5757E"/>
    <w:rsid w:val="00E6029F"/>
    <w:rsid w:val="00E604C6"/>
    <w:rsid w:val="00E60926"/>
    <w:rsid w:val="00E61248"/>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084"/>
    <w:rsid w:val="00E66D0E"/>
    <w:rsid w:val="00E66D32"/>
    <w:rsid w:val="00E67272"/>
    <w:rsid w:val="00E6745D"/>
    <w:rsid w:val="00E709C8"/>
    <w:rsid w:val="00E71675"/>
    <w:rsid w:val="00E716B0"/>
    <w:rsid w:val="00E71B64"/>
    <w:rsid w:val="00E71E95"/>
    <w:rsid w:val="00E72325"/>
    <w:rsid w:val="00E73255"/>
    <w:rsid w:val="00E74D7F"/>
    <w:rsid w:val="00E75209"/>
    <w:rsid w:val="00E7535D"/>
    <w:rsid w:val="00E7571F"/>
    <w:rsid w:val="00E75856"/>
    <w:rsid w:val="00E75922"/>
    <w:rsid w:val="00E76504"/>
    <w:rsid w:val="00E76559"/>
    <w:rsid w:val="00E7655E"/>
    <w:rsid w:val="00E76714"/>
    <w:rsid w:val="00E772DD"/>
    <w:rsid w:val="00E7771D"/>
    <w:rsid w:val="00E77DF4"/>
    <w:rsid w:val="00E80156"/>
    <w:rsid w:val="00E804D1"/>
    <w:rsid w:val="00E807A3"/>
    <w:rsid w:val="00E80FB6"/>
    <w:rsid w:val="00E8110B"/>
    <w:rsid w:val="00E819C1"/>
    <w:rsid w:val="00E823A6"/>
    <w:rsid w:val="00E82C1B"/>
    <w:rsid w:val="00E831E0"/>
    <w:rsid w:val="00E8332A"/>
    <w:rsid w:val="00E83387"/>
    <w:rsid w:val="00E83A08"/>
    <w:rsid w:val="00E83E66"/>
    <w:rsid w:val="00E84ABA"/>
    <w:rsid w:val="00E84C02"/>
    <w:rsid w:val="00E850F7"/>
    <w:rsid w:val="00E85776"/>
    <w:rsid w:val="00E85886"/>
    <w:rsid w:val="00E85963"/>
    <w:rsid w:val="00E859D0"/>
    <w:rsid w:val="00E85E3D"/>
    <w:rsid w:val="00E86073"/>
    <w:rsid w:val="00E8629D"/>
    <w:rsid w:val="00E86B25"/>
    <w:rsid w:val="00E86B44"/>
    <w:rsid w:val="00E90738"/>
    <w:rsid w:val="00E90990"/>
    <w:rsid w:val="00E90C19"/>
    <w:rsid w:val="00E90F60"/>
    <w:rsid w:val="00E911D4"/>
    <w:rsid w:val="00E9306B"/>
    <w:rsid w:val="00E93511"/>
    <w:rsid w:val="00E93F83"/>
    <w:rsid w:val="00E94C96"/>
    <w:rsid w:val="00E94E3F"/>
    <w:rsid w:val="00E954A1"/>
    <w:rsid w:val="00E95885"/>
    <w:rsid w:val="00E96263"/>
    <w:rsid w:val="00E96A15"/>
    <w:rsid w:val="00E96B5D"/>
    <w:rsid w:val="00E96D33"/>
    <w:rsid w:val="00E96D75"/>
    <w:rsid w:val="00E96E87"/>
    <w:rsid w:val="00E97225"/>
    <w:rsid w:val="00E9743F"/>
    <w:rsid w:val="00E975A1"/>
    <w:rsid w:val="00E97C7F"/>
    <w:rsid w:val="00EA0274"/>
    <w:rsid w:val="00EA0492"/>
    <w:rsid w:val="00EA09A2"/>
    <w:rsid w:val="00EA0AB2"/>
    <w:rsid w:val="00EA11B2"/>
    <w:rsid w:val="00EA18FF"/>
    <w:rsid w:val="00EA1A00"/>
    <w:rsid w:val="00EA1D07"/>
    <w:rsid w:val="00EA2CBA"/>
    <w:rsid w:val="00EA2EB4"/>
    <w:rsid w:val="00EA4586"/>
    <w:rsid w:val="00EA46A4"/>
    <w:rsid w:val="00EA4F7E"/>
    <w:rsid w:val="00EA5077"/>
    <w:rsid w:val="00EA50CC"/>
    <w:rsid w:val="00EA55FA"/>
    <w:rsid w:val="00EA5BB4"/>
    <w:rsid w:val="00EA6941"/>
    <w:rsid w:val="00EA6E97"/>
    <w:rsid w:val="00EA6EC0"/>
    <w:rsid w:val="00EA7EEE"/>
    <w:rsid w:val="00EA7FED"/>
    <w:rsid w:val="00EB0103"/>
    <w:rsid w:val="00EB0382"/>
    <w:rsid w:val="00EB1166"/>
    <w:rsid w:val="00EB1209"/>
    <w:rsid w:val="00EB186E"/>
    <w:rsid w:val="00EB1B8B"/>
    <w:rsid w:val="00EB1BC7"/>
    <w:rsid w:val="00EB1DFB"/>
    <w:rsid w:val="00EB2590"/>
    <w:rsid w:val="00EB25D0"/>
    <w:rsid w:val="00EB2988"/>
    <w:rsid w:val="00EB3DDA"/>
    <w:rsid w:val="00EB4D36"/>
    <w:rsid w:val="00EB56BE"/>
    <w:rsid w:val="00EB584A"/>
    <w:rsid w:val="00EB63D5"/>
    <w:rsid w:val="00EB6519"/>
    <w:rsid w:val="00EB671A"/>
    <w:rsid w:val="00EB6E40"/>
    <w:rsid w:val="00EB6E9D"/>
    <w:rsid w:val="00EB6F5F"/>
    <w:rsid w:val="00EB744D"/>
    <w:rsid w:val="00EB75B1"/>
    <w:rsid w:val="00EB76E2"/>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C757B"/>
    <w:rsid w:val="00ED09EB"/>
    <w:rsid w:val="00ED1E85"/>
    <w:rsid w:val="00ED21F7"/>
    <w:rsid w:val="00ED2F36"/>
    <w:rsid w:val="00ED315A"/>
    <w:rsid w:val="00ED3B77"/>
    <w:rsid w:val="00ED40D1"/>
    <w:rsid w:val="00ED4329"/>
    <w:rsid w:val="00ED462B"/>
    <w:rsid w:val="00ED472D"/>
    <w:rsid w:val="00ED4784"/>
    <w:rsid w:val="00ED4BB0"/>
    <w:rsid w:val="00ED4CF2"/>
    <w:rsid w:val="00ED53F2"/>
    <w:rsid w:val="00ED62B5"/>
    <w:rsid w:val="00ED687E"/>
    <w:rsid w:val="00ED6DF5"/>
    <w:rsid w:val="00ED71D4"/>
    <w:rsid w:val="00ED7C0E"/>
    <w:rsid w:val="00ED7FC0"/>
    <w:rsid w:val="00EE0810"/>
    <w:rsid w:val="00EE17FE"/>
    <w:rsid w:val="00EE1C1F"/>
    <w:rsid w:val="00EE21BD"/>
    <w:rsid w:val="00EE22C7"/>
    <w:rsid w:val="00EE24DE"/>
    <w:rsid w:val="00EE280A"/>
    <w:rsid w:val="00EE28F5"/>
    <w:rsid w:val="00EE2A7B"/>
    <w:rsid w:val="00EE2B4E"/>
    <w:rsid w:val="00EE4289"/>
    <w:rsid w:val="00EE52BF"/>
    <w:rsid w:val="00EE531D"/>
    <w:rsid w:val="00EE5A1F"/>
    <w:rsid w:val="00EE5A8D"/>
    <w:rsid w:val="00EE5AA2"/>
    <w:rsid w:val="00EE6459"/>
    <w:rsid w:val="00EE6FE4"/>
    <w:rsid w:val="00EE77D6"/>
    <w:rsid w:val="00EE7908"/>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2DB"/>
    <w:rsid w:val="00F007DF"/>
    <w:rsid w:val="00F00D3C"/>
    <w:rsid w:val="00F012EB"/>
    <w:rsid w:val="00F01528"/>
    <w:rsid w:val="00F03AFE"/>
    <w:rsid w:val="00F04546"/>
    <w:rsid w:val="00F0486D"/>
    <w:rsid w:val="00F04A4F"/>
    <w:rsid w:val="00F05240"/>
    <w:rsid w:val="00F05313"/>
    <w:rsid w:val="00F05D84"/>
    <w:rsid w:val="00F06FCF"/>
    <w:rsid w:val="00F0738C"/>
    <w:rsid w:val="00F076A3"/>
    <w:rsid w:val="00F10976"/>
    <w:rsid w:val="00F11911"/>
    <w:rsid w:val="00F11E24"/>
    <w:rsid w:val="00F1213C"/>
    <w:rsid w:val="00F12D8C"/>
    <w:rsid w:val="00F130AF"/>
    <w:rsid w:val="00F134D2"/>
    <w:rsid w:val="00F13507"/>
    <w:rsid w:val="00F13615"/>
    <w:rsid w:val="00F139CB"/>
    <w:rsid w:val="00F142CC"/>
    <w:rsid w:val="00F162FA"/>
    <w:rsid w:val="00F17B36"/>
    <w:rsid w:val="00F206B7"/>
    <w:rsid w:val="00F20FB7"/>
    <w:rsid w:val="00F21056"/>
    <w:rsid w:val="00F21194"/>
    <w:rsid w:val="00F214C0"/>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98E"/>
    <w:rsid w:val="00F27EE1"/>
    <w:rsid w:val="00F3030A"/>
    <w:rsid w:val="00F30994"/>
    <w:rsid w:val="00F3105E"/>
    <w:rsid w:val="00F31064"/>
    <w:rsid w:val="00F314C1"/>
    <w:rsid w:val="00F31D66"/>
    <w:rsid w:val="00F3237A"/>
    <w:rsid w:val="00F32434"/>
    <w:rsid w:val="00F3265A"/>
    <w:rsid w:val="00F32C67"/>
    <w:rsid w:val="00F33488"/>
    <w:rsid w:val="00F33678"/>
    <w:rsid w:val="00F33F6B"/>
    <w:rsid w:val="00F34006"/>
    <w:rsid w:val="00F341C7"/>
    <w:rsid w:val="00F34474"/>
    <w:rsid w:val="00F34918"/>
    <w:rsid w:val="00F34D13"/>
    <w:rsid w:val="00F35616"/>
    <w:rsid w:val="00F3591C"/>
    <w:rsid w:val="00F372EF"/>
    <w:rsid w:val="00F37648"/>
    <w:rsid w:val="00F37BB5"/>
    <w:rsid w:val="00F37C9C"/>
    <w:rsid w:val="00F37DBB"/>
    <w:rsid w:val="00F40BFD"/>
    <w:rsid w:val="00F40C3A"/>
    <w:rsid w:val="00F40CFB"/>
    <w:rsid w:val="00F40DB4"/>
    <w:rsid w:val="00F40EE1"/>
    <w:rsid w:val="00F41A2F"/>
    <w:rsid w:val="00F41A5B"/>
    <w:rsid w:val="00F426FB"/>
    <w:rsid w:val="00F42783"/>
    <w:rsid w:val="00F42A89"/>
    <w:rsid w:val="00F42BAA"/>
    <w:rsid w:val="00F43408"/>
    <w:rsid w:val="00F436F7"/>
    <w:rsid w:val="00F43832"/>
    <w:rsid w:val="00F43878"/>
    <w:rsid w:val="00F43953"/>
    <w:rsid w:val="00F43F15"/>
    <w:rsid w:val="00F44087"/>
    <w:rsid w:val="00F44476"/>
    <w:rsid w:val="00F44781"/>
    <w:rsid w:val="00F45744"/>
    <w:rsid w:val="00F458AB"/>
    <w:rsid w:val="00F459BC"/>
    <w:rsid w:val="00F459F5"/>
    <w:rsid w:val="00F45D32"/>
    <w:rsid w:val="00F45E87"/>
    <w:rsid w:val="00F45FAD"/>
    <w:rsid w:val="00F46135"/>
    <w:rsid w:val="00F461FF"/>
    <w:rsid w:val="00F467A2"/>
    <w:rsid w:val="00F46D90"/>
    <w:rsid w:val="00F474AB"/>
    <w:rsid w:val="00F475F0"/>
    <w:rsid w:val="00F4764E"/>
    <w:rsid w:val="00F47F06"/>
    <w:rsid w:val="00F50057"/>
    <w:rsid w:val="00F500C3"/>
    <w:rsid w:val="00F50A1A"/>
    <w:rsid w:val="00F50C06"/>
    <w:rsid w:val="00F515C0"/>
    <w:rsid w:val="00F5174D"/>
    <w:rsid w:val="00F51752"/>
    <w:rsid w:val="00F523E9"/>
    <w:rsid w:val="00F52E08"/>
    <w:rsid w:val="00F52F4D"/>
    <w:rsid w:val="00F53C28"/>
    <w:rsid w:val="00F54723"/>
    <w:rsid w:val="00F54843"/>
    <w:rsid w:val="00F54F79"/>
    <w:rsid w:val="00F5506B"/>
    <w:rsid w:val="00F563CC"/>
    <w:rsid w:val="00F56586"/>
    <w:rsid w:val="00F5696E"/>
    <w:rsid w:val="00F56EC2"/>
    <w:rsid w:val="00F60487"/>
    <w:rsid w:val="00F60523"/>
    <w:rsid w:val="00F60906"/>
    <w:rsid w:val="00F60E65"/>
    <w:rsid w:val="00F61807"/>
    <w:rsid w:val="00F61DA1"/>
    <w:rsid w:val="00F61DF0"/>
    <w:rsid w:val="00F62826"/>
    <w:rsid w:val="00F634EF"/>
    <w:rsid w:val="00F635A7"/>
    <w:rsid w:val="00F638B1"/>
    <w:rsid w:val="00F63BB2"/>
    <w:rsid w:val="00F63E7E"/>
    <w:rsid w:val="00F64187"/>
    <w:rsid w:val="00F645A7"/>
    <w:rsid w:val="00F648C7"/>
    <w:rsid w:val="00F64E41"/>
    <w:rsid w:val="00F65ABC"/>
    <w:rsid w:val="00F65E96"/>
    <w:rsid w:val="00F66842"/>
    <w:rsid w:val="00F67A42"/>
    <w:rsid w:val="00F67BA7"/>
    <w:rsid w:val="00F67D35"/>
    <w:rsid w:val="00F700BC"/>
    <w:rsid w:val="00F710AA"/>
    <w:rsid w:val="00F7141C"/>
    <w:rsid w:val="00F71C01"/>
    <w:rsid w:val="00F722C7"/>
    <w:rsid w:val="00F7289E"/>
    <w:rsid w:val="00F72A74"/>
    <w:rsid w:val="00F72DC7"/>
    <w:rsid w:val="00F73961"/>
    <w:rsid w:val="00F74C22"/>
    <w:rsid w:val="00F751C5"/>
    <w:rsid w:val="00F756AB"/>
    <w:rsid w:val="00F75FE0"/>
    <w:rsid w:val="00F7604E"/>
    <w:rsid w:val="00F76A81"/>
    <w:rsid w:val="00F76C85"/>
    <w:rsid w:val="00F76FCC"/>
    <w:rsid w:val="00F77790"/>
    <w:rsid w:val="00F77807"/>
    <w:rsid w:val="00F77BB2"/>
    <w:rsid w:val="00F77F12"/>
    <w:rsid w:val="00F808DA"/>
    <w:rsid w:val="00F80F65"/>
    <w:rsid w:val="00F811C5"/>
    <w:rsid w:val="00F81EE2"/>
    <w:rsid w:val="00F81F20"/>
    <w:rsid w:val="00F828B3"/>
    <w:rsid w:val="00F82A73"/>
    <w:rsid w:val="00F83017"/>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6D7"/>
    <w:rsid w:val="00F95A4B"/>
    <w:rsid w:val="00F95D1D"/>
    <w:rsid w:val="00F97653"/>
    <w:rsid w:val="00FA0396"/>
    <w:rsid w:val="00FA0741"/>
    <w:rsid w:val="00FA1637"/>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A5C"/>
    <w:rsid w:val="00FA6E6B"/>
    <w:rsid w:val="00FA771C"/>
    <w:rsid w:val="00FA79CB"/>
    <w:rsid w:val="00FA7BF8"/>
    <w:rsid w:val="00FA7DCB"/>
    <w:rsid w:val="00FB0CED"/>
    <w:rsid w:val="00FB12DF"/>
    <w:rsid w:val="00FB17C3"/>
    <w:rsid w:val="00FB2E40"/>
    <w:rsid w:val="00FB3244"/>
    <w:rsid w:val="00FB32C2"/>
    <w:rsid w:val="00FB361C"/>
    <w:rsid w:val="00FB3A43"/>
    <w:rsid w:val="00FB416D"/>
    <w:rsid w:val="00FB4676"/>
    <w:rsid w:val="00FB4B54"/>
    <w:rsid w:val="00FB4F5B"/>
    <w:rsid w:val="00FB526E"/>
    <w:rsid w:val="00FB52EB"/>
    <w:rsid w:val="00FB5A21"/>
    <w:rsid w:val="00FB64F8"/>
    <w:rsid w:val="00FB7046"/>
    <w:rsid w:val="00FB765E"/>
    <w:rsid w:val="00FB781B"/>
    <w:rsid w:val="00FB798F"/>
    <w:rsid w:val="00FB7F94"/>
    <w:rsid w:val="00FB7FCC"/>
    <w:rsid w:val="00FC012F"/>
    <w:rsid w:val="00FC05A3"/>
    <w:rsid w:val="00FC0DB0"/>
    <w:rsid w:val="00FC1E02"/>
    <w:rsid w:val="00FC1F59"/>
    <w:rsid w:val="00FC2541"/>
    <w:rsid w:val="00FC25B9"/>
    <w:rsid w:val="00FC2796"/>
    <w:rsid w:val="00FC4021"/>
    <w:rsid w:val="00FC4B81"/>
    <w:rsid w:val="00FC54C4"/>
    <w:rsid w:val="00FC5A96"/>
    <w:rsid w:val="00FC5C42"/>
    <w:rsid w:val="00FC628A"/>
    <w:rsid w:val="00FC6438"/>
    <w:rsid w:val="00FC67E9"/>
    <w:rsid w:val="00FC6DF4"/>
    <w:rsid w:val="00FC6E85"/>
    <w:rsid w:val="00FC733E"/>
    <w:rsid w:val="00FC78FE"/>
    <w:rsid w:val="00FC7B2B"/>
    <w:rsid w:val="00FC7E34"/>
    <w:rsid w:val="00FC7F89"/>
    <w:rsid w:val="00FD0192"/>
    <w:rsid w:val="00FD0210"/>
    <w:rsid w:val="00FD05E1"/>
    <w:rsid w:val="00FD0671"/>
    <w:rsid w:val="00FD0905"/>
    <w:rsid w:val="00FD0E3C"/>
    <w:rsid w:val="00FD1487"/>
    <w:rsid w:val="00FD1550"/>
    <w:rsid w:val="00FD196B"/>
    <w:rsid w:val="00FD3BF5"/>
    <w:rsid w:val="00FD3E0A"/>
    <w:rsid w:val="00FD47E2"/>
    <w:rsid w:val="00FD5125"/>
    <w:rsid w:val="00FD512F"/>
    <w:rsid w:val="00FD5781"/>
    <w:rsid w:val="00FD5850"/>
    <w:rsid w:val="00FD6964"/>
    <w:rsid w:val="00FD6E46"/>
    <w:rsid w:val="00FD6E8F"/>
    <w:rsid w:val="00FD71C4"/>
    <w:rsid w:val="00FD77F4"/>
    <w:rsid w:val="00FE027A"/>
    <w:rsid w:val="00FE03A3"/>
    <w:rsid w:val="00FE0A60"/>
    <w:rsid w:val="00FE1AF5"/>
    <w:rsid w:val="00FE1E8D"/>
    <w:rsid w:val="00FE23EA"/>
    <w:rsid w:val="00FE258A"/>
    <w:rsid w:val="00FE2F98"/>
    <w:rsid w:val="00FE3C55"/>
    <w:rsid w:val="00FE3D56"/>
    <w:rsid w:val="00FE4088"/>
    <w:rsid w:val="00FE42B6"/>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E50"/>
    <w:rsid w:val="00FF3F99"/>
    <w:rsid w:val="00FF4937"/>
    <w:rsid w:val="00FF54DB"/>
    <w:rsid w:val="00FF6833"/>
    <w:rsid w:val="00FF6B15"/>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uiPriority="0"/>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9F"/>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8871C2"/>
    <w:pPr>
      <w:spacing w:after="120"/>
      <w:ind w:left="360" w:right="-45" w:hanging="360"/>
    </w:pPr>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EC7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522">
      <w:bodyDiv w:val="1"/>
      <w:marLeft w:val="0"/>
      <w:marRight w:val="0"/>
      <w:marTop w:val="0"/>
      <w:marBottom w:val="0"/>
      <w:divBdr>
        <w:top w:val="none" w:sz="0" w:space="0" w:color="auto"/>
        <w:left w:val="none" w:sz="0" w:space="0" w:color="auto"/>
        <w:bottom w:val="none" w:sz="0" w:space="0" w:color="auto"/>
        <w:right w:val="none" w:sz="0" w:space="0" w:color="auto"/>
      </w:divBdr>
      <w:divsChild>
        <w:div w:id="1281759843">
          <w:marLeft w:val="0"/>
          <w:marRight w:val="0"/>
          <w:marTop w:val="0"/>
          <w:marBottom w:val="0"/>
          <w:divBdr>
            <w:top w:val="none" w:sz="0" w:space="0" w:color="auto"/>
            <w:left w:val="none" w:sz="0" w:space="0" w:color="auto"/>
            <w:bottom w:val="none" w:sz="0" w:space="0" w:color="auto"/>
            <w:right w:val="none" w:sz="0" w:space="0" w:color="auto"/>
          </w:divBdr>
        </w:div>
        <w:div w:id="1437794943">
          <w:marLeft w:val="0"/>
          <w:marRight w:val="0"/>
          <w:marTop w:val="0"/>
          <w:marBottom w:val="0"/>
          <w:divBdr>
            <w:top w:val="none" w:sz="0" w:space="0" w:color="auto"/>
            <w:left w:val="none" w:sz="0" w:space="0" w:color="auto"/>
            <w:bottom w:val="none" w:sz="0" w:space="0" w:color="auto"/>
            <w:right w:val="none" w:sz="0" w:space="0" w:color="auto"/>
          </w:divBdr>
        </w:div>
        <w:div w:id="1542546699">
          <w:marLeft w:val="0"/>
          <w:marRight w:val="0"/>
          <w:marTop w:val="0"/>
          <w:marBottom w:val="0"/>
          <w:divBdr>
            <w:top w:val="none" w:sz="0" w:space="0" w:color="auto"/>
            <w:left w:val="none" w:sz="0" w:space="0" w:color="auto"/>
            <w:bottom w:val="none" w:sz="0" w:space="0" w:color="auto"/>
            <w:right w:val="none" w:sz="0" w:space="0" w:color="auto"/>
          </w:divBdr>
        </w:div>
      </w:divsChild>
    </w:div>
    <w:div w:id="27142802">
      <w:bodyDiv w:val="1"/>
      <w:marLeft w:val="0"/>
      <w:marRight w:val="0"/>
      <w:marTop w:val="0"/>
      <w:marBottom w:val="0"/>
      <w:divBdr>
        <w:top w:val="none" w:sz="0" w:space="0" w:color="auto"/>
        <w:left w:val="none" w:sz="0" w:space="0" w:color="auto"/>
        <w:bottom w:val="none" w:sz="0" w:space="0" w:color="auto"/>
        <w:right w:val="none" w:sz="0" w:space="0" w:color="auto"/>
      </w:divBdr>
      <w:divsChild>
        <w:div w:id="1196849675">
          <w:marLeft w:val="0"/>
          <w:marRight w:val="0"/>
          <w:marTop w:val="0"/>
          <w:marBottom w:val="0"/>
          <w:divBdr>
            <w:top w:val="none" w:sz="0" w:space="0" w:color="auto"/>
            <w:left w:val="none" w:sz="0" w:space="0" w:color="auto"/>
            <w:bottom w:val="none" w:sz="0" w:space="0" w:color="auto"/>
            <w:right w:val="none" w:sz="0" w:space="0" w:color="auto"/>
          </w:divBdr>
        </w:div>
        <w:div w:id="902637519">
          <w:marLeft w:val="0"/>
          <w:marRight w:val="0"/>
          <w:marTop w:val="0"/>
          <w:marBottom w:val="0"/>
          <w:divBdr>
            <w:top w:val="none" w:sz="0" w:space="0" w:color="auto"/>
            <w:left w:val="none" w:sz="0" w:space="0" w:color="auto"/>
            <w:bottom w:val="none" w:sz="0" w:space="0" w:color="auto"/>
            <w:right w:val="none" w:sz="0" w:space="0" w:color="auto"/>
          </w:divBdr>
        </w:div>
        <w:div w:id="982656523">
          <w:marLeft w:val="0"/>
          <w:marRight w:val="0"/>
          <w:marTop w:val="0"/>
          <w:marBottom w:val="0"/>
          <w:divBdr>
            <w:top w:val="none" w:sz="0" w:space="0" w:color="auto"/>
            <w:left w:val="none" w:sz="0" w:space="0" w:color="auto"/>
            <w:bottom w:val="none" w:sz="0" w:space="0" w:color="auto"/>
            <w:right w:val="none" w:sz="0" w:space="0" w:color="auto"/>
          </w:divBdr>
        </w:div>
        <w:div w:id="33775852">
          <w:marLeft w:val="0"/>
          <w:marRight w:val="0"/>
          <w:marTop w:val="0"/>
          <w:marBottom w:val="0"/>
          <w:divBdr>
            <w:top w:val="none" w:sz="0" w:space="0" w:color="auto"/>
            <w:left w:val="none" w:sz="0" w:space="0" w:color="auto"/>
            <w:bottom w:val="none" w:sz="0" w:space="0" w:color="auto"/>
            <w:right w:val="none" w:sz="0" w:space="0" w:color="auto"/>
          </w:divBdr>
        </w:div>
        <w:div w:id="1501963757">
          <w:marLeft w:val="0"/>
          <w:marRight w:val="0"/>
          <w:marTop w:val="0"/>
          <w:marBottom w:val="0"/>
          <w:divBdr>
            <w:top w:val="none" w:sz="0" w:space="0" w:color="auto"/>
            <w:left w:val="none" w:sz="0" w:space="0" w:color="auto"/>
            <w:bottom w:val="none" w:sz="0" w:space="0" w:color="auto"/>
            <w:right w:val="none" w:sz="0" w:space="0" w:color="auto"/>
          </w:divBdr>
        </w:div>
      </w:divsChild>
    </w:div>
    <w:div w:id="55394737">
      <w:bodyDiv w:val="1"/>
      <w:marLeft w:val="0"/>
      <w:marRight w:val="0"/>
      <w:marTop w:val="0"/>
      <w:marBottom w:val="0"/>
      <w:divBdr>
        <w:top w:val="none" w:sz="0" w:space="0" w:color="auto"/>
        <w:left w:val="none" w:sz="0" w:space="0" w:color="auto"/>
        <w:bottom w:val="none" w:sz="0" w:space="0" w:color="auto"/>
        <w:right w:val="none" w:sz="0" w:space="0" w:color="auto"/>
      </w:divBdr>
      <w:divsChild>
        <w:div w:id="1882748162">
          <w:marLeft w:val="0"/>
          <w:marRight w:val="0"/>
          <w:marTop w:val="0"/>
          <w:marBottom w:val="0"/>
          <w:divBdr>
            <w:top w:val="none" w:sz="0" w:space="0" w:color="auto"/>
            <w:left w:val="none" w:sz="0" w:space="0" w:color="auto"/>
            <w:bottom w:val="none" w:sz="0" w:space="0" w:color="auto"/>
            <w:right w:val="none" w:sz="0" w:space="0" w:color="auto"/>
          </w:divBdr>
        </w:div>
        <w:div w:id="1732313293">
          <w:marLeft w:val="0"/>
          <w:marRight w:val="0"/>
          <w:marTop w:val="0"/>
          <w:marBottom w:val="0"/>
          <w:divBdr>
            <w:top w:val="none" w:sz="0" w:space="0" w:color="auto"/>
            <w:left w:val="none" w:sz="0" w:space="0" w:color="auto"/>
            <w:bottom w:val="none" w:sz="0" w:space="0" w:color="auto"/>
            <w:right w:val="none" w:sz="0" w:space="0" w:color="auto"/>
          </w:divBdr>
        </w:div>
        <w:div w:id="1401714870">
          <w:marLeft w:val="0"/>
          <w:marRight w:val="0"/>
          <w:marTop w:val="0"/>
          <w:marBottom w:val="0"/>
          <w:divBdr>
            <w:top w:val="none" w:sz="0" w:space="0" w:color="auto"/>
            <w:left w:val="none" w:sz="0" w:space="0" w:color="auto"/>
            <w:bottom w:val="none" w:sz="0" w:space="0" w:color="auto"/>
            <w:right w:val="none" w:sz="0" w:space="0" w:color="auto"/>
          </w:divBdr>
        </w:div>
        <w:div w:id="330330965">
          <w:marLeft w:val="0"/>
          <w:marRight w:val="0"/>
          <w:marTop w:val="0"/>
          <w:marBottom w:val="0"/>
          <w:divBdr>
            <w:top w:val="none" w:sz="0" w:space="0" w:color="auto"/>
            <w:left w:val="none" w:sz="0" w:space="0" w:color="auto"/>
            <w:bottom w:val="none" w:sz="0" w:space="0" w:color="auto"/>
            <w:right w:val="none" w:sz="0" w:space="0" w:color="auto"/>
          </w:divBdr>
        </w:div>
        <w:div w:id="1034115585">
          <w:marLeft w:val="0"/>
          <w:marRight w:val="0"/>
          <w:marTop w:val="0"/>
          <w:marBottom w:val="0"/>
          <w:divBdr>
            <w:top w:val="none" w:sz="0" w:space="0" w:color="auto"/>
            <w:left w:val="none" w:sz="0" w:space="0" w:color="auto"/>
            <w:bottom w:val="none" w:sz="0" w:space="0" w:color="auto"/>
            <w:right w:val="none" w:sz="0" w:space="0" w:color="auto"/>
          </w:divBdr>
        </w:div>
        <w:div w:id="178735601">
          <w:marLeft w:val="0"/>
          <w:marRight w:val="0"/>
          <w:marTop w:val="0"/>
          <w:marBottom w:val="0"/>
          <w:divBdr>
            <w:top w:val="none" w:sz="0" w:space="0" w:color="auto"/>
            <w:left w:val="none" w:sz="0" w:space="0" w:color="auto"/>
            <w:bottom w:val="none" w:sz="0" w:space="0" w:color="auto"/>
            <w:right w:val="none" w:sz="0" w:space="0" w:color="auto"/>
          </w:divBdr>
        </w:div>
        <w:div w:id="1041052593">
          <w:marLeft w:val="0"/>
          <w:marRight w:val="0"/>
          <w:marTop w:val="0"/>
          <w:marBottom w:val="0"/>
          <w:divBdr>
            <w:top w:val="none" w:sz="0" w:space="0" w:color="auto"/>
            <w:left w:val="none" w:sz="0" w:space="0" w:color="auto"/>
            <w:bottom w:val="none" w:sz="0" w:space="0" w:color="auto"/>
            <w:right w:val="none" w:sz="0" w:space="0" w:color="auto"/>
          </w:divBdr>
        </w:div>
        <w:div w:id="717125760">
          <w:marLeft w:val="0"/>
          <w:marRight w:val="0"/>
          <w:marTop w:val="0"/>
          <w:marBottom w:val="0"/>
          <w:divBdr>
            <w:top w:val="none" w:sz="0" w:space="0" w:color="auto"/>
            <w:left w:val="none" w:sz="0" w:space="0" w:color="auto"/>
            <w:bottom w:val="none" w:sz="0" w:space="0" w:color="auto"/>
            <w:right w:val="none" w:sz="0" w:space="0" w:color="auto"/>
          </w:divBdr>
        </w:div>
      </w:divsChild>
    </w:div>
    <w:div w:id="252520088">
      <w:bodyDiv w:val="1"/>
      <w:marLeft w:val="0"/>
      <w:marRight w:val="0"/>
      <w:marTop w:val="0"/>
      <w:marBottom w:val="0"/>
      <w:divBdr>
        <w:top w:val="none" w:sz="0" w:space="0" w:color="auto"/>
        <w:left w:val="none" w:sz="0" w:space="0" w:color="auto"/>
        <w:bottom w:val="none" w:sz="0" w:space="0" w:color="auto"/>
        <w:right w:val="none" w:sz="0" w:space="0" w:color="auto"/>
      </w:divBdr>
    </w:div>
    <w:div w:id="265118831">
      <w:bodyDiv w:val="1"/>
      <w:marLeft w:val="0"/>
      <w:marRight w:val="0"/>
      <w:marTop w:val="0"/>
      <w:marBottom w:val="0"/>
      <w:divBdr>
        <w:top w:val="none" w:sz="0" w:space="0" w:color="auto"/>
        <w:left w:val="none" w:sz="0" w:space="0" w:color="auto"/>
        <w:bottom w:val="none" w:sz="0" w:space="0" w:color="auto"/>
        <w:right w:val="none" w:sz="0" w:space="0" w:color="auto"/>
      </w:divBdr>
      <w:divsChild>
        <w:div w:id="881096845">
          <w:marLeft w:val="0"/>
          <w:marRight w:val="0"/>
          <w:marTop w:val="0"/>
          <w:marBottom w:val="0"/>
          <w:divBdr>
            <w:top w:val="none" w:sz="0" w:space="0" w:color="auto"/>
            <w:left w:val="none" w:sz="0" w:space="0" w:color="auto"/>
            <w:bottom w:val="none" w:sz="0" w:space="0" w:color="auto"/>
            <w:right w:val="none" w:sz="0" w:space="0" w:color="auto"/>
          </w:divBdr>
        </w:div>
        <w:div w:id="1706905772">
          <w:marLeft w:val="0"/>
          <w:marRight w:val="0"/>
          <w:marTop w:val="0"/>
          <w:marBottom w:val="0"/>
          <w:divBdr>
            <w:top w:val="none" w:sz="0" w:space="0" w:color="auto"/>
            <w:left w:val="none" w:sz="0" w:space="0" w:color="auto"/>
            <w:bottom w:val="none" w:sz="0" w:space="0" w:color="auto"/>
            <w:right w:val="none" w:sz="0" w:space="0" w:color="auto"/>
          </w:divBdr>
        </w:div>
        <w:div w:id="1946961332">
          <w:marLeft w:val="0"/>
          <w:marRight w:val="0"/>
          <w:marTop w:val="0"/>
          <w:marBottom w:val="0"/>
          <w:divBdr>
            <w:top w:val="none" w:sz="0" w:space="0" w:color="auto"/>
            <w:left w:val="none" w:sz="0" w:space="0" w:color="auto"/>
            <w:bottom w:val="none" w:sz="0" w:space="0" w:color="auto"/>
            <w:right w:val="none" w:sz="0" w:space="0" w:color="auto"/>
          </w:divBdr>
        </w:div>
        <w:div w:id="821317174">
          <w:marLeft w:val="0"/>
          <w:marRight w:val="0"/>
          <w:marTop w:val="0"/>
          <w:marBottom w:val="0"/>
          <w:divBdr>
            <w:top w:val="none" w:sz="0" w:space="0" w:color="auto"/>
            <w:left w:val="none" w:sz="0" w:space="0" w:color="auto"/>
            <w:bottom w:val="none" w:sz="0" w:space="0" w:color="auto"/>
            <w:right w:val="none" w:sz="0" w:space="0" w:color="auto"/>
          </w:divBdr>
        </w:div>
        <w:div w:id="519780498">
          <w:marLeft w:val="0"/>
          <w:marRight w:val="0"/>
          <w:marTop w:val="0"/>
          <w:marBottom w:val="0"/>
          <w:divBdr>
            <w:top w:val="none" w:sz="0" w:space="0" w:color="auto"/>
            <w:left w:val="none" w:sz="0" w:space="0" w:color="auto"/>
            <w:bottom w:val="none" w:sz="0" w:space="0" w:color="auto"/>
            <w:right w:val="none" w:sz="0" w:space="0" w:color="auto"/>
          </w:divBdr>
        </w:div>
        <w:div w:id="1438253600">
          <w:marLeft w:val="0"/>
          <w:marRight w:val="0"/>
          <w:marTop w:val="0"/>
          <w:marBottom w:val="0"/>
          <w:divBdr>
            <w:top w:val="none" w:sz="0" w:space="0" w:color="auto"/>
            <w:left w:val="none" w:sz="0" w:space="0" w:color="auto"/>
            <w:bottom w:val="none" w:sz="0" w:space="0" w:color="auto"/>
            <w:right w:val="none" w:sz="0" w:space="0" w:color="auto"/>
          </w:divBdr>
        </w:div>
        <w:div w:id="508638733">
          <w:marLeft w:val="0"/>
          <w:marRight w:val="0"/>
          <w:marTop w:val="0"/>
          <w:marBottom w:val="0"/>
          <w:divBdr>
            <w:top w:val="none" w:sz="0" w:space="0" w:color="auto"/>
            <w:left w:val="none" w:sz="0" w:space="0" w:color="auto"/>
            <w:bottom w:val="none" w:sz="0" w:space="0" w:color="auto"/>
            <w:right w:val="none" w:sz="0" w:space="0" w:color="auto"/>
          </w:divBdr>
        </w:div>
        <w:div w:id="942490937">
          <w:marLeft w:val="0"/>
          <w:marRight w:val="0"/>
          <w:marTop w:val="0"/>
          <w:marBottom w:val="0"/>
          <w:divBdr>
            <w:top w:val="none" w:sz="0" w:space="0" w:color="auto"/>
            <w:left w:val="none" w:sz="0" w:space="0" w:color="auto"/>
            <w:bottom w:val="none" w:sz="0" w:space="0" w:color="auto"/>
            <w:right w:val="none" w:sz="0" w:space="0" w:color="auto"/>
          </w:divBdr>
        </w:div>
        <w:div w:id="957831352">
          <w:marLeft w:val="0"/>
          <w:marRight w:val="0"/>
          <w:marTop w:val="0"/>
          <w:marBottom w:val="0"/>
          <w:divBdr>
            <w:top w:val="none" w:sz="0" w:space="0" w:color="auto"/>
            <w:left w:val="none" w:sz="0" w:space="0" w:color="auto"/>
            <w:bottom w:val="none" w:sz="0" w:space="0" w:color="auto"/>
            <w:right w:val="none" w:sz="0" w:space="0" w:color="auto"/>
          </w:divBdr>
        </w:div>
        <w:div w:id="838345423">
          <w:marLeft w:val="0"/>
          <w:marRight w:val="0"/>
          <w:marTop w:val="0"/>
          <w:marBottom w:val="0"/>
          <w:divBdr>
            <w:top w:val="none" w:sz="0" w:space="0" w:color="auto"/>
            <w:left w:val="none" w:sz="0" w:space="0" w:color="auto"/>
            <w:bottom w:val="none" w:sz="0" w:space="0" w:color="auto"/>
            <w:right w:val="none" w:sz="0" w:space="0" w:color="auto"/>
          </w:divBdr>
        </w:div>
        <w:div w:id="1849322162">
          <w:marLeft w:val="0"/>
          <w:marRight w:val="0"/>
          <w:marTop w:val="0"/>
          <w:marBottom w:val="0"/>
          <w:divBdr>
            <w:top w:val="none" w:sz="0" w:space="0" w:color="auto"/>
            <w:left w:val="none" w:sz="0" w:space="0" w:color="auto"/>
            <w:bottom w:val="none" w:sz="0" w:space="0" w:color="auto"/>
            <w:right w:val="none" w:sz="0" w:space="0" w:color="auto"/>
          </w:divBdr>
        </w:div>
        <w:div w:id="1253397172">
          <w:marLeft w:val="0"/>
          <w:marRight w:val="0"/>
          <w:marTop w:val="0"/>
          <w:marBottom w:val="0"/>
          <w:divBdr>
            <w:top w:val="none" w:sz="0" w:space="0" w:color="auto"/>
            <w:left w:val="none" w:sz="0" w:space="0" w:color="auto"/>
            <w:bottom w:val="none" w:sz="0" w:space="0" w:color="auto"/>
            <w:right w:val="none" w:sz="0" w:space="0" w:color="auto"/>
          </w:divBdr>
        </w:div>
        <w:div w:id="1607035124">
          <w:marLeft w:val="0"/>
          <w:marRight w:val="0"/>
          <w:marTop w:val="0"/>
          <w:marBottom w:val="0"/>
          <w:divBdr>
            <w:top w:val="none" w:sz="0" w:space="0" w:color="auto"/>
            <w:left w:val="none" w:sz="0" w:space="0" w:color="auto"/>
            <w:bottom w:val="none" w:sz="0" w:space="0" w:color="auto"/>
            <w:right w:val="none" w:sz="0" w:space="0" w:color="auto"/>
          </w:divBdr>
        </w:div>
        <w:div w:id="1874076742">
          <w:marLeft w:val="0"/>
          <w:marRight w:val="0"/>
          <w:marTop w:val="0"/>
          <w:marBottom w:val="0"/>
          <w:divBdr>
            <w:top w:val="none" w:sz="0" w:space="0" w:color="auto"/>
            <w:left w:val="none" w:sz="0" w:space="0" w:color="auto"/>
            <w:bottom w:val="none" w:sz="0" w:space="0" w:color="auto"/>
            <w:right w:val="none" w:sz="0" w:space="0" w:color="auto"/>
          </w:divBdr>
        </w:div>
        <w:div w:id="660743992">
          <w:marLeft w:val="0"/>
          <w:marRight w:val="0"/>
          <w:marTop w:val="0"/>
          <w:marBottom w:val="0"/>
          <w:divBdr>
            <w:top w:val="none" w:sz="0" w:space="0" w:color="auto"/>
            <w:left w:val="none" w:sz="0" w:space="0" w:color="auto"/>
            <w:bottom w:val="none" w:sz="0" w:space="0" w:color="auto"/>
            <w:right w:val="none" w:sz="0" w:space="0" w:color="auto"/>
          </w:divBdr>
        </w:div>
      </w:divsChild>
    </w:div>
    <w:div w:id="274681922">
      <w:bodyDiv w:val="1"/>
      <w:marLeft w:val="0"/>
      <w:marRight w:val="0"/>
      <w:marTop w:val="0"/>
      <w:marBottom w:val="0"/>
      <w:divBdr>
        <w:top w:val="none" w:sz="0" w:space="0" w:color="auto"/>
        <w:left w:val="none" w:sz="0" w:space="0" w:color="auto"/>
        <w:bottom w:val="none" w:sz="0" w:space="0" w:color="auto"/>
        <w:right w:val="none" w:sz="0" w:space="0" w:color="auto"/>
      </w:divBdr>
    </w:div>
    <w:div w:id="298652002">
      <w:bodyDiv w:val="1"/>
      <w:marLeft w:val="0"/>
      <w:marRight w:val="0"/>
      <w:marTop w:val="0"/>
      <w:marBottom w:val="0"/>
      <w:divBdr>
        <w:top w:val="none" w:sz="0" w:space="0" w:color="auto"/>
        <w:left w:val="none" w:sz="0" w:space="0" w:color="auto"/>
        <w:bottom w:val="none" w:sz="0" w:space="0" w:color="auto"/>
        <w:right w:val="none" w:sz="0" w:space="0" w:color="auto"/>
      </w:divBdr>
      <w:divsChild>
        <w:div w:id="253325205">
          <w:marLeft w:val="0"/>
          <w:marRight w:val="0"/>
          <w:marTop w:val="0"/>
          <w:marBottom w:val="0"/>
          <w:divBdr>
            <w:top w:val="none" w:sz="0" w:space="0" w:color="auto"/>
            <w:left w:val="none" w:sz="0" w:space="0" w:color="auto"/>
            <w:bottom w:val="none" w:sz="0" w:space="0" w:color="auto"/>
            <w:right w:val="none" w:sz="0" w:space="0" w:color="auto"/>
          </w:divBdr>
        </w:div>
        <w:div w:id="1289050694">
          <w:marLeft w:val="0"/>
          <w:marRight w:val="0"/>
          <w:marTop w:val="0"/>
          <w:marBottom w:val="0"/>
          <w:divBdr>
            <w:top w:val="none" w:sz="0" w:space="0" w:color="auto"/>
            <w:left w:val="none" w:sz="0" w:space="0" w:color="auto"/>
            <w:bottom w:val="none" w:sz="0" w:space="0" w:color="auto"/>
            <w:right w:val="none" w:sz="0" w:space="0" w:color="auto"/>
          </w:divBdr>
        </w:div>
        <w:div w:id="1450003271">
          <w:marLeft w:val="0"/>
          <w:marRight w:val="0"/>
          <w:marTop w:val="0"/>
          <w:marBottom w:val="0"/>
          <w:divBdr>
            <w:top w:val="none" w:sz="0" w:space="0" w:color="auto"/>
            <w:left w:val="none" w:sz="0" w:space="0" w:color="auto"/>
            <w:bottom w:val="none" w:sz="0" w:space="0" w:color="auto"/>
            <w:right w:val="none" w:sz="0" w:space="0" w:color="auto"/>
          </w:divBdr>
        </w:div>
        <w:div w:id="193036122">
          <w:marLeft w:val="0"/>
          <w:marRight w:val="0"/>
          <w:marTop w:val="0"/>
          <w:marBottom w:val="0"/>
          <w:divBdr>
            <w:top w:val="none" w:sz="0" w:space="0" w:color="auto"/>
            <w:left w:val="none" w:sz="0" w:space="0" w:color="auto"/>
            <w:bottom w:val="none" w:sz="0" w:space="0" w:color="auto"/>
            <w:right w:val="none" w:sz="0" w:space="0" w:color="auto"/>
          </w:divBdr>
        </w:div>
        <w:div w:id="1592198463">
          <w:marLeft w:val="0"/>
          <w:marRight w:val="0"/>
          <w:marTop w:val="0"/>
          <w:marBottom w:val="0"/>
          <w:divBdr>
            <w:top w:val="none" w:sz="0" w:space="0" w:color="auto"/>
            <w:left w:val="none" w:sz="0" w:space="0" w:color="auto"/>
            <w:bottom w:val="none" w:sz="0" w:space="0" w:color="auto"/>
            <w:right w:val="none" w:sz="0" w:space="0" w:color="auto"/>
          </w:divBdr>
        </w:div>
        <w:div w:id="1368489973">
          <w:marLeft w:val="0"/>
          <w:marRight w:val="0"/>
          <w:marTop w:val="0"/>
          <w:marBottom w:val="0"/>
          <w:divBdr>
            <w:top w:val="none" w:sz="0" w:space="0" w:color="auto"/>
            <w:left w:val="none" w:sz="0" w:space="0" w:color="auto"/>
            <w:bottom w:val="none" w:sz="0" w:space="0" w:color="auto"/>
            <w:right w:val="none" w:sz="0" w:space="0" w:color="auto"/>
          </w:divBdr>
        </w:div>
        <w:div w:id="45105013">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2533684">
      <w:bodyDiv w:val="1"/>
      <w:marLeft w:val="0"/>
      <w:marRight w:val="0"/>
      <w:marTop w:val="0"/>
      <w:marBottom w:val="0"/>
      <w:divBdr>
        <w:top w:val="none" w:sz="0" w:space="0" w:color="auto"/>
        <w:left w:val="none" w:sz="0" w:space="0" w:color="auto"/>
        <w:bottom w:val="none" w:sz="0" w:space="0" w:color="auto"/>
        <w:right w:val="none" w:sz="0" w:space="0" w:color="auto"/>
      </w:divBdr>
      <w:divsChild>
        <w:div w:id="707147819">
          <w:marLeft w:val="0"/>
          <w:marRight w:val="0"/>
          <w:marTop w:val="0"/>
          <w:marBottom w:val="0"/>
          <w:divBdr>
            <w:top w:val="none" w:sz="0" w:space="0" w:color="auto"/>
            <w:left w:val="none" w:sz="0" w:space="0" w:color="auto"/>
            <w:bottom w:val="none" w:sz="0" w:space="0" w:color="auto"/>
            <w:right w:val="none" w:sz="0" w:space="0" w:color="auto"/>
          </w:divBdr>
        </w:div>
        <w:div w:id="1946307555">
          <w:marLeft w:val="0"/>
          <w:marRight w:val="0"/>
          <w:marTop w:val="0"/>
          <w:marBottom w:val="0"/>
          <w:divBdr>
            <w:top w:val="none" w:sz="0" w:space="0" w:color="auto"/>
            <w:left w:val="none" w:sz="0" w:space="0" w:color="auto"/>
            <w:bottom w:val="none" w:sz="0" w:space="0" w:color="auto"/>
            <w:right w:val="none" w:sz="0" w:space="0" w:color="auto"/>
          </w:divBdr>
        </w:div>
        <w:div w:id="1888683982">
          <w:marLeft w:val="0"/>
          <w:marRight w:val="0"/>
          <w:marTop w:val="0"/>
          <w:marBottom w:val="0"/>
          <w:divBdr>
            <w:top w:val="none" w:sz="0" w:space="0" w:color="auto"/>
            <w:left w:val="none" w:sz="0" w:space="0" w:color="auto"/>
            <w:bottom w:val="none" w:sz="0" w:space="0" w:color="auto"/>
            <w:right w:val="none" w:sz="0" w:space="0" w:color="auto"/>
          </w:divBdr>
        </w:div>
        <w:div w:id="1866627833">
          <w:marLeft w:val="0"/>
          <w:marRight w:val="0"/>
          <w:marTop w:val="0"/>
          <w:marBottom w:val="0"/>
          <w:divBdr>
            <w:top w:val="none" w:sz="0" w:space="0" w:color="auto"/>
            <w:left w:val="none" w:sz="0" w:space="0" w:color="auto"/>
            <w:bottom w:val="none" w:sz="0" w:space="0" w:color="auto"/>
            <w:right w:val="none" w:sz="0" w:space="0" w:color="auto"/>
          </w:divBdr>
        </w:div>
        <w:div w:id="1422336906">
          <w:marLeft w:val="0"/>
          <w:marRight w:val="0"/>
          <w:marTop w:val="0"/>
          <w:marBottom w:val="0"/>
          <w:divBdr>
            <w:top w:val="none" w:sz="0" w:space="0" w:color="auto"/>
            <w:left w:val="none" w:sz="0" w:space="0" w:color="auto"/>
            <w:bottom w:val="none" w:sz="0" w:space="0" w:color="auto"/>
            <w:right w:val="none" w:sz="0" w:space="0" w:color="auto"/>
          </w:divBdr>
        </w:div>
        <w:div w:id="67922617">
          <w:marLeft w:val="0"/>
          <w:marRight w:val="0"/>
          <w:marTop w:val="0"/>
          <w:marBottom w:val="0"/>
          <w:divBdr>
            <w:top w:val="none" w:sz="0" w:space="0" w:color="auto"/>
            <w:left w:val="none" w:sz="0" w:space="0" w:color="auto"/>
            <w:bottom w:val="none" w:sz="0" w:space="0" w:color="auto"/>
            <w:right w:val="none" w:sz="0" w:space="0" w:color="auto"/>
          </w:divBdr>
        </w:div>
        <w:div w:id="1794327047">
          <w:marLeft w:val="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9317640">
      <w:bodyDiv w:val="1"/>
      <w:marLeft w:val="0"/>
      <w:marRight w:val="0"/>
      <w:marTop w:val="0"/>
      <w:marBottom w:val="0"/>
      <w:divBdr>
        <w:top w:val="none" w:sz="0" w:space="0" w:color="auto"/>
        <w:left w:val="none" w:sz="0" w:space="0" w:color="auto"/>
        <w:bottom w:val="none" w:sz="0" w:space="0" w:color="auto"/>
        <w:right w:val="none" w:sz="0" w:space="0" w:color="auto"/>
      </w:divBdr>
      <w:divsChild>
        <w:div w:id="420683316">
          <w:marLeft w:val="0"/>
          <w:marRight w:val="0"/>
          <w:marTop w:val="0"/>
          <w:marBottom w:val="0"/>
          <w:divBdr>
            <w:top w:val="none" w:sz="0" w:space="0" w:color="auto"/>
            <w:left w:val="none" w:sz="0" w:space="0" w:color="auto"/>
            <w:bottom w:val="none" w:sz="0" w:space="0" w:color="auto"/>
            <w:right w:val="none" w:sz="0" w:space="0" w:color="auto"/>
          </w:divBdr>
        </w:div>
        <w:div w:id="1112168289">
          <w:marLeft w:val="0"/>
          <w:marRight w:val="0"/>
          <w:marTop w:val="0"/>
          <w:marBottom w:val="0"/>
          <w:divBdr>
            <w:top w:val="none" w:sz="0" w:space="0" w:color="auto"/>
            <w:left w:val="none" w:sz="0" w:space="0" w:color="auto"/>
            <w:bottom w:val="none" w:sz="0" w:space="0" w:color="auto"/>
            <w:right w:val="none" w:sz="0" w:space="0" w:color="auto"/>
          </w:divBdr>
        </w:div>
        <w:div w:id="880093031">
          <w:marLeft w:val="0"/>
          <w:marRight w:val="0"/>
          <w:marTop w:val="0"/>
          <w:marBottom w:val="0"/>
          <w:divBdr>
            <w:top w:val="none" w:sz="0" w:space="0" w:color="auto"/>
            <w:left w:val="none" w:sz="0" w:space="0" w:color="auto"/>
            <w:bottom w:val="none" w:sz="0" w:space="0" w:color="auto"/>
            <w:right w:val="none" w:sz="0" w:space="0" w:color="auto"/>
          </w:divBdr>
        </w:div>
        <w:div w:id="1051464702">
          <w:marLeft w:val="0"/>
          <w:marRight w:val="0"/>
          <w:marTop w:val="0"/>
          <w:marBottom w:val="0"/>
          <w:divBdr>
            <w:top w:val="none" w:sz="0" w:space="0" w:color="auto"/>
            <w:left w:val="none" w:sz="0" w:space="0" w:color="auto"/>
            <w:bottom w:val="none" w:sz="0" w:space="0" w:color="auto"/>
            <w:right w:val="none" w:sz="0" w:space="0" w:color="auto"/>
          </w:divBdr>
        </w:div>
        <w:div w:id="174073437">
          <w:marLeft w:val="0"/>
          <w:marRight w:val="0"/>
          <w:marTop w:val="0"/>
          <w:marBottom w:val="0"/>
          <w:divBdr>
            <w:top w:val="none" w:sz="0" w:space="0" w:color="auto"/>
            <w:left w:val="none" w:sz="0" w:space="0" w:color="auto"/>
            <w:bottom w:val="none" w:sz="0" w:space="0" w:color="auto"/>
            <w:right w:val="none" w:sz="0" w:space="0" w:color="auto"/>
          </w:divBdr>
        </w:div>
        <w:div w:id="1553886740">
          <w:marLeft w:val="0"/>
          <w:marRight w:val="0"/>
          <w:marTop w:val="0"/>
          <w:marBottom w:val="0"/>
          <w:divBdr>
            <w:top w:val="none" w:sz="0" w:space="0" w:color="auto"/>
            <w:left w:val="none" w:sz="0" w:space="0" w:color="auto"/>
            <w:bottom w:val="none" w:sz="0" w:space="0" w:color="auto"/>
            <w:right w:val="none" w:sz="0" w:space="0" w:color="auto"/>
          </w:divBdr>
        </w:div>
      </w:divsChild>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18950368">
      <w:bodyDiv w:val="1"/>
      <w:marLeft w:val="0"/>
      <w:marRight w:val="0"/>
      <w:marTop w:val="0"/>
      <w:marBottom w:val="0"/>
      <w:divBdr>
        <w:top w:val="none" w:sz="0" w:space="0" w:color="auto"/>
        <w:left w:val="none" w:sz="0" w:space="0" w:color="auto"/>
        <w:bottom w:val="none" w:sz="0" w:space="0" w:color="auto"/>
        <w:right w:val="none" w:sz="0" w:space="0" w:color="auto"/>
      </w:divBdr>
      <w:divsChild>
        <w:div w:id="24866511">
          <w:marLeft w:val="0"/>
          <w:marRight w:val="0"/>
          <w:marTop w:val="0"/>
          <w:marBottom w:val="0"/>
          <w:divBdr>
            <w:top w:val="none" w:sz="0" w:space="0" w:color="auto"/>
            <w:left w:val="none" w:sz="0" w:space="0" w:color="auto"/>
            <w:bottom w:val="none" w:sz="0" w:space="0" w:color="auto"/>
            <w:right w:val="none" w:sz="0" w:space="0" w:color="auto"/>
          </w:divBdr>
        </w:div>
        <w:div w:id="635768375">
          <w:marLeft w:val="0"/>
          <w:marRight w:val="0"/>
          <w:marTop w:val="0"/>
          <w:marBottom w:val="0"/>
          <w:divBdr>
            <w:top w:val="none" w:sz="0" w:space="0" w:color="auto"/>
            <w:left w:val="none" w:sz="0" w:space="0" w:color="auto"/>
            <w:bottom w:val="none" w:sz="0" w:space="0" w:color="auto"/>
            <w:right w:val="none" w:sz="0" w:space="0" w:color="auto"/>
          </w:divBdr>
        </w:div>
        <w:div w:id="1520658774">
          <w:marLeft w:val="0"/>
          <w:marRight w:val="0"/>
          <w:marTop w:val="0"/>
          <w:marBottom w:val="0"/>
          <w:divBdr>
            <w:top w:val="none" w:sz="0" w:space="0" w:color="auto"/>
            <w:left w:val="none" w:sz="0" w:space="0" w:color="auto"/>
            <w:bottom w:val="none" w:sz="0" w:space="0" w:color="auto"/>
            <w:right w:val="none" w:sz="0" w:space="0" w:color="auto"/>
          </w:divBdr>
        </w:div>
      </w:divsChild>
    </w:div>
    <w:div w:id="910695950">
      <w:bodyDiv w:val="1"/>
      <w:marLeft w:val="0"/>
      <w:marRight w:val="0"/>
      <w:marTop w:val="0"/>
      <w:marBottom w:val="0"/>
      <w:divBdr>
        <w:top w:val="none" w:sz="0" w:space="0" w:color="auto"/>
        <w:left w:val="none" w:sz="0" w:space="0" w:color="auto"/>
        <w:bottom w:val="none" w:sz="0" w:space="0" w:color="auto"/>
        <w:right w:val="none" w:sz="0" w:space="0" w:color="auto"/>
      </w:divBdr>
    </w:div>
    <w:div w:id="92734705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49572328">
      <w:bodyDiv w:val="1"/>
      <w:marLeft w:val="0"/>
      <w:marRight w:val="0"/>
      <w:marTop w:val="0"/>
      <w:marBottom w:val="0"/>
      <w:divBdr>
        <w:top w:val="none" w:sz="0" w:space="0" w:color="auto"/>
        <w:left w:val="none" w:sz="0" w:space="0" w:color="auto"/>
        <w:bottom w:val="none" w:sz="0" w:space="0" w:color="auto"/>
        <w:right w:val="none" w:sz="0" w:space="0" w:color="auto"/>
      </w:divBdr>
    </w:div>
    <w:div w:id="1863084508">
      <w:bodyDiv w:val="1"/>
      <w:marLeft w:val="0"/>
      <w:marRight w:val="0"/>
      <w:marTop w:val="0"/>
      <w:marBottom w:val="0"/>
      <w:divBdr>
        <w:top w:val="none" w:sz="0" w:space="0" w:color="auto"/>
        <w:left w:val="none" w:sz="0" w:space="0" w:color="auto"/>
        <w:bottom w:val="none" w:sz="0" w:space="0" w:color="auto"/>
        <w:right w:val="none" w:sz="0" w:space="0" w:color="auto"/>
      </w:divBdr>
      <w:divsChild>
        <w:div w:id="810174445">
          <w:marLeft w:val="0"/>
          <w:marRight w:val="0"/>
          <w:marTop w:val="0"/>
          <w:marBottom w:val="0"/>
          <w:divBdr>
            <w:top w:val="none" w:sz="0" w:space="0" w:color="auto"/>
            <w:left w:val="none" w:sz="0" w:space="0" w:color="auto"/>
            <w:bottom w:val="none" w:sz="0" w:space="0" w:color="auto"/>
            <w:right w:val="none" w:sz="0" w:space="0" w:color="auto"/>
          </w:divBdr>
        </w:div>
      </w:divsChild>
    </w:div>
    <w:div w:id="1914775138">
      <w:bodyDiv w:val="1"/>
      <w:marLeft w:val="0"/>
      <w:marRight w:val="0"/>
      <w:marTop w:val="0"/>
      <w:marBottom w:val="0"/>
      <w:divBdr>
        <w:top w:val="none" w:sz="0" w:space="0" w:color="auto"/>
        <w:left w:val="none" w:sz="0" w:space="0" w:color="auto"/>
        <w:bottom w:val="none" w:sz="0" w:space="0" w:color="auto"/>
        <w:right w:val="none" w:sz="0" w:space="0" w:color="auto"/>
      </w:divBdr>
      <w:divsChild>
        <w:div w:id="1176067832">
          <w:marLeft w:val="0"/>
          <w:marRight w:val="0"/>
          <w:marTop w:val="0"/>
          <w:marBottom w:val="0"/>
          <w:divBdr>
            <w:top w:val="none" w:sz="0" w:space="0" w:color="auto"/>
            <w:left w:val="none" w:sz="0" w:space="0" w:color="auto"/>
            <w:bottom w:val="none" w:sz="0" w:space="0" w:color="auto"/>
            <w:right w:val="none" w:sz="0" w:space="0" w:color="auto"/>
          </w:divBdr>
        </w:div>
        <w:div w:id="1725369550">
          <w:marLeft w:val="0"/>
          <w:marRight w:val="0"/>
          <w:marTop w:val="0"/>
          <w:marBottom w:val="0"/>
          <w:divBdr>
            <w:top w:val="none" w:sz="0" w:space="0" w:color="auto"/>
            <w:left w:val="none" w:sz="0" w:space="0" w:color="auto"/>
            <w:bottom w:val="none" w:sz="0" w:space="0" w:color="auto"/>
            <w:right w:val="none" w:sz="0" w:space="0" w:color="auto"/>
          </w:divBdr>
        </w:div>
        <w:div w:id="1325664778">
          <w:marLeft w:val="0"/>
          <w:marRight w:val="0"/>
          <w:marTop w:val="0"/>
          <w:marBottom w:val="0"/>
          <w:divBdr>
            <w:top w:val="none" w:sz="0" w:space="0" w:color="auto"/>
            <w:left w:val="none" w:sz="0" w:space="0" w:color="auto"/>
            <w:bottom w:val="none" w:sz="0" w:space="0" w:color="auto"/>
            <w:right w:val="none" w:sz="0" w:space="0" w:color="auto"/>
          </w:divBdr>
        </w:div>
        <w:div w:id="992222089">
          <w:marLeft w:val="0"/>
          <w:marRight w:val="0"/>
          <w:marTop w:val="0"/>
          <w:marBottom w:val="0"/>
          <w:divBdr>
            <w:top w:val="none" w:sz="0" w:space="0" w:color="auto"/>
            <w:left w:val="none" w:sz="0" w:space="0" w:color="auto"/>
            <w:bottom w:val="none" w:sz="0" w:space="0" w:color="auto"/>
            <w:right w:val="none" w:sz="0" w:space="0" w:color="auto"/>
          </w:divBdr>
        </w:div>
      </w:divsChild>
    </w:div>
    <w:div w:id="1978486584">
      <w:bodyDiv w:val="1"/>
      <w:marLeft w:val="0"/>
      <w:marRight w:val="0"/>
      <w:marTop w:val="0"/>
      <w:marBottom w:val="0"/>
      <w:divBdr>
        <w:top w:val="none" w:sz="0" w:space="0" w:color="auto"/>
        <w:left w:val="none" w:sz="0" w:space="0" w:color="auto"/>
        <w:bottom w:val="none" w:sz="0" w:space="0" w:color="auto"/>
        <w:right w:val="none" w:sz="0" w:space="0" w:color="auto"/>
      </w:divBdr>
      <w:divsChild>
        <w:div w:id="459767228">
          <w:marLeft w:val="0"/>
          <w:marRight w:val="0"/>
          <w:marTop w:val="0"/>
          <w:marBottom w:val="0"/>
          <w:divBdr>
            <w:top w:val="none" w:sz="0" w:space="0" w:color="auto"/>
            <w:left w:val="none" w:sz="0" w:space="0" w:color="auto"/>
            <w:bottom w:val="none" w:sz="0" w:space="0" w:color="auto"/>
            <w:right w:val="none" w:sz="0" w:space="0" w:color="auto"/>
          </w:divBdr>
        </w:div>
        <w:div w:id="1077828248">
          <w:marLeft w:val="0"/>
          <w:marRight w:val="0"/>
          <w:marTop w:val="0"/>
          <w:marBottom w:val="0"/>
          <w:divBdr>
            <w:top w:val="none" w:sz="0" w:space="0" w:color="auto"/>
            <w:left w:val="none" w:sz="0" w:space="0" w:color="auto"/>
            <w:bottom w:val="none" w:sz="0" w:space="0" w:color="auto"/>
            <w:right w:val="none" w:sz="0" w:space="0" w:color="auto"/>
          </w:divBdr>
        </w:div>
        <w:div w:id="277496636">
          <w:marLeft w:val="0"/>
          <w:marRight w:val="0"/>
          <w:marTop w:val="0"/>
          <w:marBottom w:val="0"/>
          <w:divBdr>
            <w:top w:val="none" w:sz="0" w:space="0" w:color="auto"/>
            <w:left w:val="none" w:sz="0" w:space="0" w:color="auto"/>
            <w:bottom w:val="none" w:sz="0" w:space="0" w:color="auto"/>
            <w:right w:val="none" w:sz="0" w:space="0" w:color="auto"/>
          </w:divBdr>
        </w:div>
        <w:div w:id="1825929337">
          <w:marLeft w:val="0"/>
          <w:marRight w:val="0"/>
          <w:marTop w:val="0"/>
          <w:marBottom w:val="0"/>
          <w:divBdr>
            <w:top w:val="none" w:sz="0" w:space="0" w:color="auto"/>
            <w:left w:val="none" w:sz="0" w:space="0" w:color="auto"/>
            <w:bottom w:val="none" w:sz="0" w:space="0" w:color="auto"/>
            <w:right w:val="none" w:sz="0" w:space="0" w:color="auto"/>
          </w:divBdr>
        </w:div>
        <w:div w:id="1602958705">
          <w:marLeft w:val="0"/>
          <w:marRight w:val="0"/>
          <w:marTop w:val="0"/>
          <w:marBottom w:val="0"/>
          <w:divBdr>
            <w:top w:val="none" w:sz="0" w:space="0" w:color="auto"/>
            <w:left w:val="none" w:sz="0" w:space="0" w:color="auto"/>
            <w:bottom w:val="none" w:sz="0" w:space="0" w:color="auto"/>
            <w:right w:val="none" w:sz="0" w:space="0" w:color="auto"/>
          </w:divBdr>
        </w:div>
        <w:div w:id="1159689783">
          <w:marLeft w:val="0"/>
          <w:marRight w:val="0"/>
          <w:marTop w:val="0"/>
          <w:marBottom w:val="0"/>
          <w:divBdr>
            <w:top w:val="none" w:sz="0" w:space="0" w:color="auto"/>
            <w:left w:val="none" w:sz="0" w:space="0" w:color="auto"/>
            <w:bottom w:val="none" w:sz="0" w:space="0" w:color="auto"/>
            <w:right w:val="none" w:sz="0" w:space="0" w:color="auto"/>
          </w:divBdr>
        </w:div>
        <w:div w:id="1455056640">
          <w:marLeft w:val="0"/>
          <w:marRight w:val="0"/>
          <w:marTop w:val="0"/>
          <w:marBottom w:val="0"/>
          <w:divBdr>
            <w:top w:val="none" w:sz="0" w:space="0" w:color="auto"/>
            <w:left w:val="none" w:sz="0" w:space="0" w:color="auto"/>
            <w:bottom w:val="none" w:sz="0" w:space="0" w:color="auto"/>
            <w:right w:val="none" w:sz="0" w:space="0" w:color="auto"/>
          </w:divBdr>
        </w:div>
        <w:div w:id="53748543">
          <w:marLeft w:val="0"/>
          <w:marRight w:val="0"/>
          <w:marTop w:val="0"/>
          <w:marBottom w:val="0"/>
          <w:divBdr>
            <w:top w:val="none" w:sz="0" w:space="0" w:color="auto"/>
            <w:left w:val="none" w:sz="0" w:space="0" w:color="auto"/>
            <w:bottom w:val="none" w:sz="0" w:space="0" w:color="auto"/>
            <w:right w:val="none" w:sz="0" w:space="0" w:color="auto"/>
          </w:divBdr>
        </w:div>
        <w:div w:id="971861349">
          <w:marLeft w:val="0"/>
          <w:marRight w:val="0"/>
          <w:marTop w:val="0"/>
          <w:marBottom w:val="0"/>
          <w:divBdr>
            <w:top w:val="none" w:sz="0" w:space="0" w:color="auto"/>
            <w:left w:val="none" w:sz="0" w:space="0" w:color="auto"/>
            <w:bottom w:val="none" w:sz="0" w:space="0" w:color="auto"/>
            <w:right w:val="none" w:sz="0" w:space="0" w:color="auto"/>
          </w:divBdr>
        </w:div>
      </w:divsChild>
    </w:div>
    <w:div w:id="1996177041">
      <w:bodyDiv w:val="1"/>
      <w:marLeft w:val="0"/>
      <w:marRight w:val="0"/>
      <w:marTop w:val="0"/>
      <w:marBottom w:val="0"/>
      <w:divBdr>
        <w:top w:val="none" w:sz="0" w:space="0" w:color="auto"/>
        <w:left w:val="none" w:sz="0" w:space="0" w:color="auto"/>
        <w:bottom w:val="none" w:sz="0" w:space="0" w:color="auto"/>
        <w:right w:val="none" w:sz="0" w:space="0" w:color="auto"/>
      </w:divBdr>
    </w:div>
    <w:div w:id="1996496391">
      <w:bodyDiv w:val="1"/>
      <w:marLeft w:val="0"/>
      <w:marRight w:val="0"/>
      <w:marTop w:val="0"/>
      <w:marBottom w:val="0"/>
      <w:divBdr>
        <w:top w:val="none" w:sz="0" w:space="0" w:color="auto"/>
        <w:left w:val="none" w:sz="0" w:space="0" w:color="auto"/>
        <w:bottom w:val="none" w:sz="0" w:space="0" w:color="auto"/>
        <w:right w:val="none" w:sz="0" w:space="0" w:color="auto"/>
      </w:divBdr>
      <w:divsChild>
        <w:div w:id="519972503">
          <w:marLeft w:val="0"/>
          <w:marRight w:val="0"/>
          <w:marTop w:val="0"/>
          <w:marBottom w:val="0"/>
          <w:divBdr>
            <w:top w:val="none" w:sz="0" w:space="0" w:color="auto"/>
            <w:left w:val="none" w:sz="0" w:space="0" w:color="auto"/>
            <w:bottom w:val="none" w:sz="0" w:space="0" w:color="auto"/>
            <w:right w:val="none" w:sz="0" w:space="0" w:color="auto"/>
          </w:divBdr>
        </w:div>
        <w:div w:id="341979908">
          <w:marLeft w:val="0"/>
          <w:marRight w:val="0"/>
          <w:marTop w:val="0"/>
          <w:marBottom w:val="0"/>
          <w:divBdr>
            <w:top w:val="none" w:sz="0" w:space="0" w:color="auto"/>
            <w:left w:val="none" w:sz="0" w:space="0" w:color="auto"/>
            <w:bottom w:val="none" w:sz="0" w:space="0" w:color="auto"/>
            <w:right w:val="none" w:sz="0" w:space="0" w:color="auto"/>
          </w:divBdr>
        </w:div>
        <w:div w:id="1067415715">
          <w:marLeft w:val="0"/>
          <w:marRight w:val="0"/>
          <w:marTop w:val="0"/>
          <w:marBottom w:val="0"/>
          <w:divBdr>
            <w:top w:val="none" w:sz="0" w:space="0" w:color="auto"/>
            <w:left w:val="none" w:sz="0" w:space="0" w:color="auto"/>
            <w:bottom w:val="none" w:sz="0" w:space="0" w:color="auto"/>
            <w:right w:val="none" w:sz="0" w:space="0" w:color="auto"/>
          </w:divBdr>
        </w:div>
        <w:div w:id="970525525">
          <w:marLeft w:val="0"/>
          <w:marRight w:val="0"/>
          <w:marTop w:val="0"/>
          <w:marBottom w:val="0"/>
          <w:divBdr>
            <w:top w:val="none" w:sz="0" w:space="0" w:color="auto"/>
            <w:left w:val="none" w:sz="0" w:space="0" w:color="auto"/>
            <w:bottom w:val="none" w:sz="0" w:space="0" w:color="auto"/>
            <w:right w:val="none" w:sz="0" w:space="0" w:color="auto"/>
          </w:divBdr>
        </w:div>
        <w:div w:id="1053045291">
          <w:marLeft w:val="0"/>
          <w:marRight w:val="0"/>
          <w:marTop w:val="0"/>
          <w:marBottom w:val="0"/>
          <w:divBdr>
            <w:top w:val="none" w:sz="0" w:space="0" w:color="auto"/>
            <w:left w:val="none" w:sz="0" w:space="0" w:color="auto"/>
            <w:bottom w:val="none" w:sz="0" w:space="0" w:color="auto"/>
            <w:right w:val="none" w:sz="0" w:space="0" w:color="auto"/>
          </w:divBdr>
        </w:div>
        <w:div w:id="1077559908">
          <w:marLeft w:val="0"/>
          <w:marRight w:val="0"/>
          <w:marTop w:val="0"/>
          <w:marBottom w:val="0"/>
          <w:divBdr>
            <w:top w:val="none" w:sz="0" w:space="0" w:color="auto"/>
            <w:left w:val="none" w:sz="0" w:space="0" w:color="auto"/>
            <w:bottom w:val="none" w:sz="0" w:space="0" w:color="auto"/>
            <w:right w:val="none" w:sz="0" w:space="0" w:color="auto"/>
          </w:divBdr>
        </w:div>
        <w:div w:id="299044995">
          <w:marLeft w:val="0"/>
          <w:marRight w:val="0"/>
          <w:marTop w:val="0"/>
          <w:marBottom w:val="0"/>
          <w:divBdr>
            <w:top w:val="none" w:sz="0" w:space="0" w:color="auto"/>
            <w:left w:val="none" w:sz="0" w:space="0" w:color="auto"/>
            <w:bottom w:val="none" w:sz="0" w:space="0" w:color="auto"/>
            <w:right w:val="none" w:sz="0" w:space="0" w:color="auto"/>
          </w:divBdr>
        </w:div>
        <w:div w:id="1937008489">
          <w:marLeft w:val="0"/>
          <w:marRight w:val="0"/>
          <w:marTop w:val="0"/>
          <w:marBottom w:val="0"/>
          <w:divBdr>
            <w:top w:val="none" w:sz="0" w:space="0" w:color="auto"/>
            <w:left w:val="none" w:sz="0" w:space="0" w:color="auto"/>
            <w:bottom w:val="none" w:sz="0" w:space="0" w:color="auto"/>
            <w:right w:val="none" w:sz="0" w:space="0" w:color="auto"/>
          </w:divBdr>
        </w:div>
        <w:div w:id="1349402600">
          <w:marLeft w:val="0"/>
          <w:marRight w:val="0"/>
          <w:marTop w:val="0"/>
          <w:marBottom w:val="0"/>
          <w:divBdr>
            <w:top w:val="none" w:sz="0" w:space="0" w:color="auto"/>
            <w:left w:val="none" w:sz="0" w:space="0" w:color="auto"/>
            <w:bottom w:val="none" w:sz="0" w:space="0" w:color="auto"/>
            <w:right w:val="none" w:sz="0" w:space="0" w:color="auto"/>
          </w:divBdr>
        </w:div>
        <w:div w:id="930042780">
          <w:marLeft w:val="0"/>
          <w:marRight w:val="0"/>
          <w:marTop w:val="0"/>
          <w:marBottom w:val="0"/>
          <w:divBdr>
            <w:top w:val="none" w:sz="0" w:space="0" w:color="auto"/>
            <w:left w:val="none" w:sz="0" w:space="0" w:color="auto"/>
            <w:bottom w:val="none" w:sz="0" w:space="0" w:color="auto"/>
            <w:right w:val="none" w:sz="0" w:space="0" w:color="auto"/>
          </w:divBdr>
        </w:div>
        <w:div w:id="849225604">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43414">
      <w:bodyDiv w:val="1"/>
      <w:marLeft w:val="0"/>
      <w:marRight w:val="0"/>
      <w:marTop w:val="0"/>
      <w:marBottom w:val="0"/>
      <w:divBdr>
        <w:top w:val="none" w:sz="0" w:space="0" w:color="auto"/>
        <w:left w:val="none" w:sz="0" w:space="0" w:color="auto"/>
        <w:bottom w:val="none" w:sz="0" w:space="0" w:color="auto"/>
        <w:right w:val="none" w:sz="0" w:space="0" w:color="auto"/>
      </w:divBdr>
      <w:divsChild>
        <w:div w:id="495535790">
          <w:marLeft w:val="0"/>
          <w:marRight w:val="0"/>
          <w:marTop w:val="0"/>
          <w:marBottom w:val="0"/>
          <w:divBdr>
            <w:top w:val="none" w:sz="0" w:space="0" w:color="auto"/>
            <w:left w:val="none" w:sz="0" w:space="0" w:color="auto"/>
            <w:bottom w:val="none" w:sz="0" w:space="0" w:color="auto"/>
            <w:right w:val="none" w:sz="0" w:space="0" w:color="auto"/>
          </w:divBdr>
        </w:div>
        <w:div w:id="823283373">
          <w:marLeft w:val="0"/>
          <w:marRight w:val="0"/>
          <w:marTop w:val="0"/>
          <w:marBottom w:val="0"/>
          <w:divBdr>
            <w:top w:val="none" w:sz="0" w:space="0" w:color="auto"/>
            <w:left w:val="none" w:sz="0" w:space="0" w:color="auto"/>
            <w:bottom w:val="none" w:sz="0" w:space="0" w:color="auto"/>
            <w:right w:val="none" w:sz="0" w:space="0" w:color="auto"/>
          </w:divBdr>
        </w:div>
        <w:div w:id="1345207593">
          <w:marLeft w:val="0"/>
          <w:marRight w:val="0"/>
          <w:marTop w:val="0"/>
          <w:marBottom w:val="0"/>
          <w:divBdr>
            <w:top w:val="none" w:sz="0" w:space="0" w:color="auto"/>
            <w:left w:val="none" w:sz="0" w:space="0" w:color="auto"/>
            <w:bottom w:val="none" w:sz="0" w:space="0" w:color="auto"/>
            <w:right w:val="none" w:sz="0" w:space="0" w:color="auto"/>
          </w:divBdr>
        </w:div>
        <w:div w:id="1609972155">
          <w:marLeft w:val="0"/>
          <w:marRight w:val="0"/>
          <w:marTop w:val="0"/>
          <w:marBottom w:val="0"/>
          <w:divBdr>
            <w:top w:val="none" w:sz="0" w:space="0" w:color="auto"/>
            <w:left w:val="none" w:sz="0" w:space="0" w:color="auto"/>
            <w:bottom w:val="none" w:sz="0" w:space="0" w:color="auto"/>
            <w:right w:val="none" w:sz="0" w:space="0" w:color="auto"/>
          </w:divBdr>
        </w:div>
        <w:div w:id="1345127212">
          <w:marLeft w:val="0"/>
          <w:marRight w:val="0"/>
          <w:marTop w:val="0"/>
          <w:marBottom w:val="0"/>
          <w:divBdr>
            <w:top w:val="none" w:sz="0" w:space="0" w:color="auto"/>
            <w:left w:val="none" w:sz="0" w:space="0" w:color="auto"/>
            <w:bottom w:val="none" w:sz="0" w:space="0" w:color="auto"/>
            <w:right w:val="none" w:sz="0" w:space="0" w:color="auto"/>
          </w:divBdr>
        </w:div>
        <w:div w:id="1247421489">
          <w:marLeft w:val="0"/>
          <w:marRight w:val="0"/>
          <w:marTop w:val="0"/>
          <w:marBottom w:val="0"/>
          <w:divBdr>
            <w:top w:val="none" w:sz="0" w:space="0" w:color="auto"/>
            <w:left w:val="none" w:sz="0" w:space="0" w:color="auto"/>
            <w:bottom w:val="none" w:sz="0" w:space="0" w:color="auto"/>
            <w:right w:val="none" w:sz="0" w:space="0" w:color="auto"/>
          </w:divBdr>
        </w:div>
      </w:divsChild>
    </w:div>
    <w:div w:id="2130857601">
      <w:bodyDiv w:val="1"/>
      <w:marLeft w:val="0"/>
      <w:marRight w:val="0"/>
      <w:marTop w:val="0"/>
      <w:marBottom w:val="0"/>
      <w:divBdr>
        <w:top w:val="none" w:sz="0" w:space="0" w:color="auto"/>
        <w:left w:val="none" w:sz="0" w:space="0" w:color="auto"/>
        <w:bottom w:val="none" w:sz="0" w:space="0" w:color="auto"/>
        <w:right w:val="none" w:sz="0" w:space="0" w:color="auto"/>
      </w:divBdr>
      <w:divsChild>
        <w:div w:id="1726105327">
          <w:marLeft w:val="0"/>
          <w:marRight w:val="0"/>
          <w:marTop w:val="0"/>
          <w:marBottom w:val="0"/>
          <w:divBdr>
            <w:top w:val="none" w:sz="0" w:space="0" w:color="auto"/>
            <w:left w:val="none" w:sz="0" w:space="0" w:color="auto"/>
            <w:bottom w:val="none" w:sz="0" w:space="0" w:color="auto"/>
            <w:right w:val="none" w:sz="0" w:space="0" w:color="auto"/>
          </w:divBdr>
        </w:div>
        <w:div w:id="1658149350">
          <w:marLeft w:val="0"/>
          <w:marRight w:val="0"/>
          <w:marTop w:val="0"/>
          <w:marBottom w:val="0"/>
          <w:divBdr>
            <w:top w:val="none" w:sz="0" w:space="0" w:color="auto"/>
            <w:left w:val="none" w:sz="0" w:space="0" w:color="auto"/>
            <w:bottom w:val="none" w:sz="0" w:space="0" w:color="auto"/>
            <w:right w:val="none" w:sz="0" w:space="0" w:color="auto"/>
          </w:divBdr>
        </w:div>
        <w:div w:id="1622375505">
          <w:marLeft w:val="0"/>
          <w:marRight w:val="0"/>
          <w:marTop w:val="0"/>
          <w:marBottom w:val="0"/>
          <w:divBdr>
            <w:top w:val="none" w:sz="0" w:space="0" w:color="auto"/>
            <w:left w:val="none" w:sz="0" w:space="0" w:color="auto"/>
            <w:bottom w:val="none" w:sz="0" w:space="0" w:color="auto"/>
            <w:right w:val="none" w:sz="0" w:space="0" w:color="auto"/>
          </w:divBdr>
        </w:div>
        <w:div w:id="1469741954">
          <w:marLeft w:val="0"/>
          <w:marRight w:val="0"/>
          <w:marTop w:val="0"/>
          <w:marBottom w:val="0"/>
          <w:divBdr>
            <w:top w:val="none" w:sz="0" w:space="0" w:color="auto"/>
            <w:left w:val="none" w:sz="0" w:space="0" w:color="auto"/>
            <w:bottom w:val="none" w:sz="0" w:space="0" w:color="auto"/>
            <w:right w:val="none" w:sz="0" w:space="0" w:color="auto"/>
          </w:divBdr>
        </w:div>
        <w:div w:id="1188833610">
          <w:marLeft w:val="0"/>
          <w:marRight w:val="0"/>
          <w:marTop w:val="0"/>
          <w:marBottom w:val="0"/>
          <w:divBdr>
            <w:top w:val="none" w:sz="0" w:space="0" w:color="auto"/>
            <w:left w:val="none" w:sz="0" w:space="0" w:color="auto"/>
            <w:bottom w:val="none" w:sz="0" w:space="0" w:color="auto"/>
            <w:right w:val="none" w:sz="0" w:space="0" w:color="auto"/>
          </w:divBdr>
        </w:div>
        <w:div w:id="318120159">
          <w:marLeft w:val="0"/>
          <w:marRight w:val="0"/>
          <w:marTop w:val="0"/>
          <w:marBottom w:val="0"/>
          <w:divBdr>
            <w:top w:val="none" w:sz="0" w:space="0" w:color="auto"/>
            <w:left w:val="none" w:sz="0" w:space="0" w:color="auto"/>
            <w:bottom w:val="none" w:sz="0" w:space="0" w:color="auto"/>
            <w:right w:val="none" w:sz="0" w:space="0" w:color="auto"/>
          </w:divBdr>
        </w:div>
        <w:div w:id="770473443">
          <w:marLeft w:val="0"/>
          <w:marRight w:val="0"/>
          <w:marTop w:val="0"/>
          <w:marBottom w:val="0"/>
          <w:divBdr>
            <w:top w:val="none" w:sz="0" w:space="0" w:color="auto"/>
            <w:left w:val="none" w:sz="0" w:space="0" w:color="auto"/>
            <w:bottom w:val="none" w:sz="0" w:space="0" w:color="auto"/>
            <w:right w:val="none" w:sz="0" w:space="0" w:color="auto"/>
          </w:divBdr>
        </w:div>
        <w:div w:id="336621387">
          <w:marLeft w:val="0"/>
          <w:marRight w:val="0"/>
          <w:marTop w:val="0"/>
          <w:marBottom w:val="0"/>
          <w:divBdr>
            <w:top w:val="none" w:sz="0" w:space="0" w:color="auto"/>
            <w:left w:val="none" w:sz="0" w:space="0" w:color="auto"/>
            <w:bottom w:val="none" w:sz="0" w:space="0" w:color="auto"/>
            <w:right w:val="none" w:sz="0" w:space="0" w:color="auto"/>
          </w:divBdr>
        </w:div>
        <w:div w:id="1233009434">
          <w:marLeft w:val="0"/>
          <w:marRight w:val="0"/>
          <w:marTop w:val="0"/>
          <w:marBottom w:val="0"/>
          <w:divBdr>
            <w:top w:val="none" w:sz="0" w:space="0" w:color="auto"/>
            <w:left w:val="none" w:sz="0" w:space="0" w:color="auto"/>
            <w:bottom w:val="none" w:sz="0" w:space="0" w:color="auto"/>
            <w:right w:val="none" w:sz="0" w:space="0" w:color="auto"/>
          </w:divBdr>
        </w:div>
        <w:div w:id="1688869852">
          <w:marLeft w:val="0"/>
          <w:marRight w:val="0"/>
          <w:marTop w:val="0"/>
          <w:marBottom w:val="0"/>
          <w:divBdr>
            <w:top w:val="none" w:sz="0" w:space="0" w:color="auto"/>
            <w:left w:val="none" w:sz="0" w:space="0" w:color="auto"/>
            <w:bottom w:val="none" w:sz="0" w:space="0" w:color="auto"/>
            <w:right w:val="none" w:sz="0" w:space="0" w:color="auto"/>
          </w:divBdr>
        </w:div>
        <w:div w:id="140302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7FBD5-D044-4546-AF1E-CE3DAF2F37B3}">
  <ds:schemaRefs>
    <ds:schemaRef ds:uri="http://schemas.openxmlformats.org/officeDocument/2006/bibliography"/>
  </ds:schemaRefs>
</ds:datastoreItem>
</file>

<file path=customXml/itemProps2.xml><?xml version="1.0" encoding="utf-8"?>
<ds:datastoreItem xmlns:ds="http://schemas.openxmlformats.org/officeDocument/2006/customXml" ds:itemID="{307CA7F3-7AC2-4B3A-8E96-7C4B8302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21</Pages>
  <Words>7572</Words>
  <Characters>39266</Characters>
  <Application>Microsoft Office Word</Application>
  <DocSecurity>0</DocSecurity>
  <Lines>727</Lines>
  <Paragraphs>280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 Stephanie</dc:creator>
  <cp:keywords>Senior Practitioner Amendment Bill 2019, Senior Practitioner Act 2018, restrictive practice</cp:keywords>
  <dc:description/>
  <cp:lastModifiedBy>Moxon, KarenL</cp:lastModifiedBy>
  <cp:revision>5</cp:revision>
  <cp:lastPrinted>2020-11-14T23:52:00Z</cp:lastPrinted>
  <dcterms:created xsi:type="dcterms:W3CDTF">2020-12-01T07:43:00Z</dcterms:created>
  <dcterms:modified xsi:type="dcterms:W3CDTF">2020-12-01T23:44:00Z</dcterms:modified>
</cp:coreProperties>
</file>