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9D84" w14:textId="77777777" w:rsidR="00157490" w:rsidRDefault="00157490" w:rsidP="00157490">
      <w:pPr>
        <w:spacing w:before="120"/>
        <w:rPr>
          <w:rFonts w:ascii="Arial" w:hAnsi="Arial" w:cs="Arial"/>
        </w:rPr>
      </w:pPr>
      <w:bookmarkStart w:id="0" w:name="_Toc44738651"/>
      <w:r>
        <w:rPr>
          <w:rFonts w:ascii="Arial" w:hAnsi="Arial" w:cs="Arial"/>
        </w:rPr>
        <w:t>Australian Capital Territory</w:t>
      </w:r>
    </w:p>
    <w:p w14:paraId="2F12BFEC" w14:textId="7E71B5C6" w:rsidR="00157490" w:rsidRDefault="00157490" w:rsidP="00157490">
      <w:pPr>
        <w:pStyle w:val="Billname"/>
        <w:spacing w:before="700"/>
      </w:pPr>
      <w:r>
        <w:t xml:space="preserve">Working </w:t>
      </w:r>
      <w:r w:rsidR="00374BB2">
        <w:t>w</w:t>
      </w:r>
      <w:r>
        <w:t xml:space="preserve">ith Vulnerable People </w:t>
      </w:r>
      <w:r w:rsidR="00374BB2">
        <w:t>(</w:t>
      </w:r>
      <w:r>
        <w:t>Background Checking</w:t>
      </w:r>
      <w:r w:rsidR="00374BB2">
        <w:t>)</w:t>
      </w:r>
      <w:r>
        <w:t xml:space="preserve"> </w:t>
      </w:r>
      <w:r w:rsidR="00E854D9">
        <w:t>Risk Assessment Guidelines</w:t>
      </w:r>
      <w:r>
        <w:t xml:space="preserve"> </w:t>
      </w:r>
      <w:r w:rsidR="004C7A9A">
        <w:t>202</w:t>
      </w:r>
      <w:r w:rsidR="00C362BB">
        <w:t>1</w:t>
      </w:r>
      <w:r w:rsidR="004C7A9A">
        <w:t xml:space="preserve"> </w:t>
      </w:r>
      <w:r w:rsidR="00445532">
        <w:t>(No 1)</w:t>
      </w:r>
    </w:p>
    <w:p w14:paraId="6FB75DC8" w14:textId="024C51B6" w:rsidR="009C1902" w:rsidRDefault="00157490" w:rsidP="00191E6F">
      <w:pPr>
        <w:spacing w:before="240" w:after="60"/>
        <w:rPr>
          <w:rFonts w:ascii="Arial" w:hAnsi="Arial" w:cs="Arial"/>
          <w:b/>
          <w:bCs/>
        </w:rPr>
      </w:pPr>
      <w:r>
        <w:rPr>
          <w:rFonts w:ascii="Arial" w:hAnsi="Arial" w:cs="Arial"/>
          <w:b/>
          <w:bCs/>
        </w:rPr>
        <w:t>Disallowable instrument DI</w:t>
      </w:r>
      <w:r w:rsidR="002610D9">
        <w:rPr>
          <w:rFonts w:ascii="Arial" w:hAnsi="Arial" w:cs="Arial"/>
          <w:b/>
          <w:bCs/>
        </w:rPr>
        <w:t>20</w:t>
      </w:r>
      <w:r w:rsidR="00C362BB">
        <w:rPr>
          <w:rFonts w:ascii="Arial" w:hAnsi="Arial" w:cs="Arial"/>
          <w:b/>
          <w:bCs/>
        </w:rPr>
        <w:t>21–</w:t>
      </w:r>
      <w:r w:rsidR="00BA689C">
        <w:rPr>
          <w:rFonts w:ascii="Arial" w:hAnsi="Arial" w:cs="Arial"/>
          <w:b/>
          <w:bCs/>
        </w:rPr>
        <w:t>4</w:t>
      </w:r>
    </w:p>
    <w:p w14:paraId="719D0A4C" w14:textId="718770B9" w:rsidR="00157490" w:rsidRDefault="00157490" w:rsidP="00191E6F">
      <w:pPr>
        <w:spacing w:before="240" w:after="60"/>
      </w:pPr>
      <w:r>
        <w:t>made under the</w:t>
      </w:r>
    </w:p>
    <w:p w14:paraId="28A2F9C4" w14:textId="5E5369DF" w:rsidR="006C0C58" w:rsidRDefault="00157490" w:rsidP="009C1902">
      <w:pPr>
        <w:pStyle w:val="CoverActName"/>
        <w:spacing w:after="360"/>
        <w:rPr>
          <w:rFonts w:cs="Arial"/>
          <w:sz w:val="20"/>
        </w:rPr>
      </w:pPr>
      <w:r w:rsidRPr="00C362BB">
        <w:rPr>
          <w:rFonts w:cs="Arial"/>
          <w:i/>
          <w:iCs/>
          <w:sz w:val="20"/>
        </w:rPr>
        <w:t xml:space="preserve">Working </w:t>
      </w:r>
      <w:r w:rsidR="00CB3730" w:rsidRPr="00C362BB">
        <w:rPr>
          <w:rFonts w:cs="Arial"/>
          <w:i/>
          <w:iCs/>
          <w:sz w:val="20"/>
        </w:rPr>
        <w:t xml:space="preserve">with </w:t>
      </w:r>
      <w:r w:rsidRPr="00C362BB">
        <w:rPr>
          <w:rFonts w:cs="Arial"/>
          <w:i/>
          <w:iCs/>
          <w:sz w:val="20"/>
        </w:rPr>
        <w:t>Vulnerable People (Background Checking) Act 2011</w:t>
      </w:r>
      <w:r w:rsidRPr="00D60218">
        <w:rPr>
          <w:rFonts w:cs="Arial"/>
          <w:sz w:val="20"/>
        </w:rPr>
        <w:t xml:space="preserve">, </w:t>
      </w:r>
      <w:r w:rsidR="00C362BB">
        <w:rPr>
          <w:rFonts w:cs="Arial"/>
          <w:sz w:val="20"/>
        </w:rPr>
        <w:t>section</w:t>
      </w:r>
      <w:r>
        <w:rPr>
          <w:rFonts w:cs="Arial"/>
          <w:sz w:val="20"/>
        </w:rPr>
        <w:t xml:space="preserve"> </w:t>
      </w:r>
      <w:r w:rsidR="00E854D9">
        <w:rPr>
          <w:rFonts w:cs="Arial"/>
          <w:sz w:val="20"/>
        </w:rPr>
        <w:t>27</w:t>
      </w:r>
      <w:r>
        <w:rPr>
          <w:rFonts w:cs="Arial"/>
          <w:sz w:val="20"/>
        </w:rPr>
        <w:t xml:space="preserve"> (</w:t>
      </w:r>
      <w:r w:rsidR="00E854D9">
        <w:rPr>
          <w:rFonts w:cs="Arial"/>
          <w:sz w:val="20"/>
        </w:rPr>
        <w:t xml:space="preserve">Risk </w:t>
      </w:r>
      <w:r w:rsidR="00374BB2">
        <w:rPr>
          <w:rFonts w:cs="Arial"/>
          <w:sz w:val="20"/>
        </w:rPr>
        <w:t>assessment g</w:t>
      </w:r>
      <w:r w:rsidR="00E854D9">
        <w:rPr>
          <w:rFonts w:cs="Arial"/>
          <w:sz w:val="20"/>
        </w:rPr>
        <w:t>uidelines</w:t>
      </w:r>
      <w:r>
        <w:rPr>
          <w:rFonts w:cs="Arial"/>
          <w:sz w:val="20"/>
        </w:rPr>
        <w:t>)</w:t>
      </w:r>
    </w:p>
    <w:p w14:paraId="3A69FE6D" w14:textId="542107E8" w:rsidR="00157490" w:rsidRPr="009C1902" w:rsidRDefault="006C0C58" w:rsidP="009C1902">
      <w:pPr>
        <w:pStyle w:val="CoverActName"/>
        <w:rPr>
          <w:sz w:val="32"/>
          <w:szCs w:val="32"/>
        </w:rPr>
      </w:pPr>
      <w:r w:rsidRPr="006C0C58">
        <w:rPr>
          <w:rFonts w:cs="Arial"/>
          <w:sz w:val="32"/>
          <w:szCs w:val="32"/>
        </w:rPr>
        <w:t>EXPLANATORY STATEMENT</w:t>
      </w:r>
    </w:p>
    <w:p w14:paraId="0F5261BC" w14:textId="77777777" w:rsidR="00157490" w:rsidRPr="009D41CE" w:rsidRDefault="00157490" w:rsidP="00B416E7">
      <w:pPr>
        <w:pStyle w:val="N-line3"/>
        <w:pBdr>
          <w:top w:val="single" w:sz="12" w:space="1" w:color="auto"/>
          <w:bottom w:val="none" w:sz="0" w:space="0" w:color="auto"/>
        </w:pBdr>
        <w:spacing w:before="120" w:after="120"/>
        <w:jc w:val="left"/>
        <w:rPr>
          <w:rFonts w:ascii="Arial" w:hAnsi="Arial" w:cs="Arial"/>
          <w:b/>
          <w:sz w:val="22"/>
          <w:szCs w:val="22"/>
        </w:rPr>
      </w:pPr>
    </w:p>
    <w:p w14:paraId="1599F330" w14:textId="2E9D19F8" w:rsidR="00C04138" w:rsidRDefault="00C45607" w:rsidP="00C45607">
      <w:pPr>
        <w:rPr>
          <w:rFonts w:ascii="Arial" w:hAnsi="Arial" w:cs="Arial"/>
          <w:sz w:val="22"/>
          <w:szCs w:val="22"/>
        </w:rPr>
      </w:pPr>
      <w:r w:rsidRPr="000C2210">
        <w:rPr>
          <w:rFonts w:ascii="Arial" w:hAnsi="Arial" w:cs="Arial"/>
          <w:sz w:val="22"/>
          <w:szCs w:val="22"/>
        </w:rPr>
        <w:t xml:space="preserve">The intent of the Working </w:t>
      </w:r>
      <w:r>
        <w:rPr>
          <w:rFonts w:ascii="Arial" w:hAnsi="Arial" w:cs="Arial"/>
          <w:sz w:val="22"/>
          <w:szCs w:val="22"/>
        </w:rPr>
        <w:t>w</w:t>
      </w:r>
      <w:r w:rsidRPr="000C2210">
        <w:rPr>
          <w:rFonts w:ascii="Arial" w:hAnsi="Arial" w:cs="Arial"/>
          <w:sz w:val="22"/>
          <w:szCs w:val="22"/>
        </w:rPr>
        <w:t xml:space="preserve">ith Vulnerable People scheme is to protect vulnerable people from harm. The intent is </w:t>
      </w:r>
      <w:r w:rsidRPr="000C2210">
        <w:rPr>
          <w:rFonts w:ascii="Arial" w:hAnsi="Arial" w:cs="Arial"/>
          <w:sz w:val="22"/>
          <w:szCs w:val="22"/>
          <w:u w:val="single"/>
        </w:rPr>
        <w:t>not</w:t>
      </w:r>
      <w:r w:rsidRPr="000C2210">
        <w:rPr>
          <w:rFonts w:ascii="Arial" w:hAnsi="Arial" w:cs="Arial"/>
          <w:sz w:val="22"/>
          <w:szCs w:val="22"/>
        </w:rPr>
        <w:t xml:space="preserve"> to ensure that all individuals can engage in an activity of their choice, particularly if they are assessed as posing an unacceptable risk of harm to a vulnerable person.</w:t>
      </w:r>
      <w:r w:rsidR="00A62B0B">
        <w:rPr>
          <w:rFonts w:ascii="Arial" w:hAnsi="Arial" w:cs="Arial"/>
          <w:sz w:val="22"/>
          <w:szCs w:val="22"/>
        </w:rPr>
        <w:t xml:space="preserve"> </w:t>
      </w:r>
    </w:p>
    <w:p w14:paraId="2DA12EC4" w14:textId="5BFA024E" w:rsidR="00C45607" w:rsidRPr="00C45607" w:rsidRDefault="00A62B0B" w:rsidP="000C2210">
      <w:pPr>
        <w:rPr>
          <w:rFonts w:ascii="Arial" w:hAnsi="Arial" w:cs="Arial"/>
          <w:sz w:val="22"/>
          <w:szCs w:val="22"/>
        </w:rPr>
      </w:pPr>
      <w:r>
        <w:rPr>
          <w:rFonts w:ascii="Arial" w:hAnsi="Arial" w:cs="Arial"/>
          <w:sz w:val="22"/>
          <w:szCs w:val="22"/>
        </w:rPr>
        <w:t xml:space="preserve">New section 6A of the </w:t>
      </w:r>
      <w:r>
        <w:rPr>
          <w:rFonts w:ascii="Arial" w:hAnsi="Arial" w:cs="Arial"/>
          <w:i/>
          <w:iCs/>
          <w:sz w:val="22"/>
          <w:szCs w:val="22"/>
        </w:rPr>
        <w:t>Working with Vulnerable People (Background Checking) Act</w:t>
      </w:r>
      <w:r w:rsidR="00191E6F">
        <w:rPr>
          <w:rFonts w:ascii="Arial" w:hAnsi="Arial" w:cs="Arial"/>
          <w:i/>
          <w:iCs/>
          <w:sz w:val="22"/>
          <w:szCs w:val="22"/>
        </w:rPr>
        <w:t> </w:t>
      </w:r>
      <w:r>
        <w:rPr>
          <w:rFonts w:ascii="Arial" w:hAnsi="Arial" w:cs="Arial"/>
          <w:i/>
          <w:iCs/>
          <w:sz w:val="22"/>
          <w:szCs w:val="22"/>
        </w:rPr>
        <w:t xml:space="preserve">2011 </w:t>
      </w:r>
      <w:r>
        <w:rPr>
          <w:rFonts w:ascii="Arial" w:hAnsi="Arial" w:cs="Arial"/>
          <w:sz w:val="22"/>
          <w:szCs w:val="22"/>
        </w:rPr>
        <w:t>(the Act) puts the best interests of vulnerable people as the paramount consideration.</w:t>
      </w:r>
    </w:p>
    <w:p w14:paraId="667C1D5F" w14:textId="54254F1B" w:rsidR="00305796" w:rsidRPr="005A3931" w:rsidRDefault="00305796" w:rsidP="00B416E7">
      <w:pPr>
        <w:spacing w:before="120" w:after="120"/>
        <w:rPr>
          <w:rFonts w:ascii="Arial" w:hAnsi="Arial" w:cs="Arial"/>
          <w:sz w:val="22"/>
          <w:szCs w:val="22"/>
        </w:rPr>
      </w:pPr>
      <w:r w:rsidRPr="005A3931">
        <w:rPr>
          <w:rFonts w:ascii="Arial" w:hAnsi="Arial" w:cs="Arial"/>
          <w:sz w:val="22"/>
          <w:szCs w:val="22"/>
        </w:rPr>
        <w:t xml:space="preserve">Section 27 of the </w:t>
      </w:r>
      <w:r w:rsidRPr="005A3931">
        <w:rPr>
          <w:rFonts w:ascii="Arial" w:hAnsi="Arial" w:cs="Arial"/>
          <w:i/>
          <w:sz w:val="22"/>
          <w:szCs w:val="22"/>
        </w:rPr>
        <w:t xml:space="preserve">Working with Vulnerable People (Background Checking) Act 2011 </w:t>
      </w:r>
      <w:r w:rsidRPr="005A3931">
        <w:rPr>
          <w:rFonts w:ascii="Arial" w:hAnsi="Arial" w:cs="Arial"/>
          <w:sz w:val="22"/>
          <w:szCs w:val="22"/>
        </w:rPr>
        <w:t>(the Act) requires the Commissioner for Fair Trading (the Commissioner) to make Risk Assessment Guidelines</w:t>
      </w:r>
      <w:r w:rsidR="00497B1E" w:rsidRPr="005A3931">
        <w:rPr>
          <w:rFonts w:ascii="Arial" w:hAnsi="Arial" w:cs="Arial"/>
          <w:sz w:val="22"/>
          <w:szCs w:val="22"/>
        </w:rPr>
        <w:t xml:space="preserve"> (the Guidelines)</w:t>
      </w:r>
      <w:r w:rsidRPr="005A3931">
        <w:rPr>
          <w:rFonts w:ascii="Arial" w:hAnsi="Arial" w:cs="Arial"/>
          <w:sz w:val="22"/>
          <w:szCs w:val="22"/>
        </w:rPr>
        <w:t xml:space="preserve"> about how the Commissioner will conduct risk assessments for the purposes of </w:t>
      </w:r>
      <w:r w:rsidR="000574BB" w:rsidRPr="005A3931">
        <w:rPr>
          <w:rFonts w:ascii="Arial" w:hAnsi="Arial" w:cs="Arial"/>
          <w:sz w:val="22"/>
          <w:szCs w:val="22"/>
        </w:rPr>
        <w:t>determining whether a person poses an unacceptable risk of harm to a vulnerable person accessing a regulated activity</w:t>
      </w:r>
      <w:r w:rsidRPr="005A3931">
        <w:rPr>
          <w:rFonts w:ascii="Arial" w:hAnsi="Arial" w:cs="Arial"/>
          <w:sz w:val="22"/>
          <w:szCs w:val="22"/>
        </w:rPr>
        <w:t>.</w:t>
      </w:r>
    </w:p>
    <w:p w14:paraId="427FA891" w14:textId="49174F1E" w:rsidR="00067C32" w:rsidRPr="005A3931" w:rsidRDefault="0025060E" w:rsidP="00B416E7">
      <w:pPr>
        <w:spacing w:before="120" w:after="120"/>
        <w:rPr>
          <w:rFonts w:ascii="Arial" w:hAnsi="Arial" w:cs="Arial"/>
          <w:i/>
          <w:sz w:val="22"/>
          <w:szCs w:val="22"/>
        </w:rPr>
      </w:pPr>
      <w:r>
        <w:rPr>
          <w:rFonts w:ascii="Arial" w:hAnsi="Arial" w:cs="Arial"/>
          <w:sz w:val="22"/>
          <w:szCs w:val="22"/>
        </w:rPr>
        <w:t xml:space="preserve">The </w:t>
      </w:r>
      <w:r w:rsidR="00E73F69">
        <w:rPr>
          <w:rFonts w:ascii="Arial" w:hAnsi="Arial" w:cs="Arial"/>
          <w:sz w:val="22"/>
          <w:szCs w:val="22"/>
        </w:rPr>
        <w:t xml:space="preserve">Guidelines </w:t>
      </w:r>
      <w:r w:rsidR="00305796" w:rsidRPr="005A3931">
        <w:rPr>
          <w:rFonts w:ascii="Arial" w:hAnsi="Arial" w:cs="Arial"/>
          <w:sz w:val="22"/>
          <w:szCs w:val="22"/>
        </w:rPr>
        <w:t>outline the factors that will be considered by the Commissioner in conducting a risk assessment.</w:t>
      </w:r>
      <w:r w:rsidR="00497B1E" w:rsidRPr="005A3931">
        <w:rPr>
          <w:rFonts w:ascii="Arial" w:hAnsi="Arial" w:cs="Arial"/>
          <w:sz w:val="22"/>
          <w:szCs w:val="22"/>
        </w:rPr>
        <w:t xml:space="preserve"> </w:t>
      </w:r>
      <w:r w:rsidR="00C04138" w:rsidRPr="005A3931">
        <w:rPr>
          <w:rFonts w:ascii="Arial" w:hAnsi="Arial" w:cs="Arial"/>
          <w:sz w:val="22"/>
          <w:szCs w:val="22"/>
        </w:rPr>
        <w:t>Australia</w:t>
      </w:r>
      <w:r w:rsidR="00C04138">
        <w:rPr>
          <w:rFonts w:ascii="Arial" w:hAnsi="Arial" w:cs="Arial"/>
          <w:sz w:val="22"/>
          <w:szCs w:val="22"/>
        </w:rPr>
        <w:t>n</w:t>
      </w:r>
      <w:r w:rsidR="00C04138" w:rsidRPr="005A3931">
        <w:rPr>
          <w:rFonts w:ascii="Arial" w:hAnsi="Arial" w:cs="Arial"/>
          <w:sz w:val="22"/>
          <w:szCs w:val="22"/>
        </w:rPr>
        <w:t xml:space="preserve"> Standard </w:t>
      </w:r>
      <w:r w:rsidR="00C04138" w:rsidRPr="005A3931">
        <w:rPr>
          <w:rFonts w:ascii="Arial" w:hAnsi="Arial" w:cs="Arial"/>
          <w:i/>
          <w:sz w:val="22"/>
          <w:szCs w:val="22"/>
        </w:rPr>
        <w:t>AS ISO 31000:20</w:t>
      </w:r>
      <w:r w:rsidR="00C04138">
        <w:rPr>
          <w:rFonts w:ascii="Arial" w:hAnsi="Arial" w:cs="Arial"/>
          <w:i/>
          <w:sz w:val="22"/>
          <w:szCs w:val="22"/>
        </w:rPr>
        <w:t>18</w:t>
      </w:r>
      <w:r w:rsidR="00C04138" w:rsidRPr="005A3931">
        <w:rPr>
          <w:rFonts w:ascii="Arial" w:hAnsi="Arial" w:cs="Arial"/>
          <w:i/>
          <w:sz w:val="22"/>
          <w:szCs w:val="22"/>
        </w:rPr>
        <w:t xml:space="preserve"> Risk</w:t>
      </w:r>
      <w:r w:rsidR="00191E6F">
        <w:rPr>
          <w:rFonts w:ascii="Arial" w:hAnsi="Arial" w:cs="Arial"/>
          <w:i/>
          <w:sz w:val="22"/>
          <w:szCs w:val="22"/>
        </w:rPr>
        <w:t> </w:t>
      </w:r>
      <w:r w:rsidR="00C04138" w:rsidRPr="005A3931">
        <w:rPr>
          <w:rFonts w:ascii="Arial" w:hAnsi="Arial" w:cs="Arial"/>
          <w:i/>
          <w:sz w:val="22"/>
          <w:szCs w:val="22"/>
        </w:rPr>
        <w:t>management–</w:t>
      </w:r>
      <w:r w:rsidR="00C04138">
        <w:rPr>
          <w:rFonts w:ascii="Arial" w:hAnsi="Arial" w:cs="Arial"/>
          <w:i/>
          <w:sz w:val="22"/>
          <w:szCs w:val="22"/>
        </w:rPr>
        <w:t>G</w:t>
      </w:r>
      <w:r w:rsidR="00C04138" w:rsidRPr="005A3931">
        <w:rPr>
          <w:rFonts w:ascii="Arial" w:hAnsi="Arial" w:cs="Arial"/>
          <w:i/>
          <w:sz w:val="22"/>
          <w:szCs w:val="22"/>
        </w:rPr>
        <w:t>uidelines</w:t>
      </w:r>
      <w:r w:rsidR="00C04138">
        <w:rPr>
          <w:rFonts w:ascii="Arial" w:hAnsi="Arial" w:cs="Arial"/>
          <w:iCs/>
          <w:sz w:val="22"/>
          <w:szCs w:val="22"/>
        </w:rPr>
        <w:t xml:space="preserve"> (the Risk Standard) is a principle which is observed within the Guidelines however the Risk Standard does not in and of itself </w:t>
      </w:r>
      <w:r w:rsidR="005939EC">
        <w:rPr>
          <w:rFonts w:ascii="Arial" w:hAnsi="Arial" w:cs="Arial"/>
          <w:iCs/>
          <w:sz w:val="22"/>
          <w:szCs w:val="22"/>
        </w:rPr>
        <w:t>influence</w:t>
      </w:r>
      <w:r w:rsidR="00C04138">
        <w:rPr>
          <w:rFonts w:ascii="Arial" w:hAnsi="Arial" w:cs="Arial"/>
          <w:iCs/>
          <w:sz w:val="22"/>
          <w:szCs w:val="22"/>
        </w:rPr>
        <w:t xml:space="preserve"> decision making</w:t>
      </w:r>
      <w:r w:rsidR="00C04138" w:rsidRPr="005A3931">
        <w:rPr>
          <w:rFonts w:ascii="Arial" w:hAnsi="Arial" w:cs="Arial"/>
          <w:i/>
          <w:sz w:val="22"/>
          <w:szCs w:val="22"/>
        </w:rPr>
        <w:t>.</w:t>
      </w:r>
    </w:p>
    <w:p w14:paraId="69AB8D33" w14:textId="1AD089AA" w:rsidR="009A2FBD" w:rsidRDefault="00CB3730">
      <w:pPr>
        <w:spacing w:before="120" w:after="120"/>
        <w:rPr>
          <w:rFonts w:ascii="Arial" w:hAnsi="Arial" w:cs="Arial"/>
          <w:sz w:val="22"/>
          <w:szCs w:val="22"/>
        </w:rPr>
      </w:pPr>
      <w:r>
        <w:rPr>
          <w:rFonts w:ascii="Arial" w:hAnsi="Arial" w:cs="Arial"/>
          <w:sz w:val="22"/>
          <w:szCs w:val="22"/>
        </w:rPr>
        <w:t xml:space="preserve">The Act was amended in 2019 </w:t>
      </w:r>
      <w:r w:rsidR="009A2FBD">
        <w:rPr>
          <w:rFonts w:ascii="Arial" w:hAnsi="Arial" w:cs="Arial"/>
          <w:sz w:val="22"/>
          <w:szCs w:val="22"/>
        </w:rPr>
        <w:t xml:space="preserve">and again in 2020 </w:t>
      </w:r>
      <w:r>
        <w:rPr>
          <w:rFonts w:ascii="Arial" w:hAnsi="Arial" w:cs="Arial"/>
          <w:sz w:val="22"/>
          <w:szCs w:val="22"/>
        </w:rPr>
        <w:t xml:space="preserve">with </w:t>
      </w:r>
      <w:r w:rsidR="009A2FBD">
        <w:rPr>
          <w:rFonts w:ascii="Arial" w:hAnsi="Arial" w:cs="Arial"/>
          <w:sz w:val="22"/>
          <w:szCs w:val="22"/>
        </w:rPr>
        <w:t>all</w:t>
      </w:r>
      <w:r>
        <w:rPr>
          <w:rFonts w:ascii="Arial" w:hAnsi="Arial" w:cs="Arial"/>
          <w:sz w:val="22"/>
          <w:szCs w:val="22"/>
        </w:rPr>
        <w:t xml:space="preserve"> changes commencing</w:t>
      </w:r>
      <w:r w:rsidR="00191E6F">
        <w:rPr>
          <w:rFonts w:ascii="Arial" w:hAnsi="Arial" w:cs="Arial"/>
          <w:sz w:val="22"/>
          <w:szCs w:val="22"/>
        </w:rPr>
        <w:t xml:space="preserve"> </w:t>
      </w:r>
      <w:r w:rsidR="00A62B0B">
        <w:rPr>
          <w:rFonts w:ascii="Arial" w:hAnsi="Arial" w:cs="Arial"/>
          <w:sz w:val="22"/>
          <w:szCs w:val="22"/>
        </w:rPr>
        <w:t>on</w:t>
      </w:r>
      <w:r w:rsidR="00191E6F">
        <w:rPr>
          <w:rFonts w:ascii="Arial" w:hAnsi="Arial" w:cs="Arial"/>
          <w:sz w:val="22"/>
          <w:szCs w:val="22"/>
        </w:rPr>
        <w:t> </w:t>
      </w:r>
      <w:r w:rsidR="00A62B0B">
        <w:rPr>
          <w:rFonts w:ascii="Arial" w:hAnsi="Arial" w:cs="Arial"/>
          <w:sz w:val="22"/>
          <w:szCs w:val="22"/>
        </w:rPr>
        <w:t>1</w:t>
      </w:r>
      <w:r w:rsidR="00191E6F">
        <w:rPr>
          <w:rFonts w:ascii="Arial" w:hAnsi="Arial" w:cs="Arial"/>
          <w:sz w:val="22"/>
          <w:szCs w:val="22"/>
        </w:rPr>
        <w:t> </w:t>
      </w:r>
      <w:r w:rsidR="00A62B0B">
        <w:rPr>
          <w:rFonts w:ascii="Arial" w:hAnsi="Arial" w:cs="Arial"/>
          <w:sz w:val="22"/>
          <w:szCs w:val="22"/>
        </w:rPr>
        <w:t>February 2021</w:t>
      </w:r>
      <w:r>
        <w:rPr>
          <w:rFonts w:ascii="Arial" w:hAnsi="Arial" w:cs="Arial"/>
          <w:sz w:val="22"/>
          <w:szCs w:val="22"/>
        </w:rPr>
        <w:t xml:space="preserve">. </w:t>
      </w:r>
      <w:r w:rsidR="00A62B0B">
        <w:rPr>
          <w:rFonts w:ascii="Arial" w:hAnsi="Arial" w:cs="Arial"/>
          <w:sz w:val="22"/>
          <w:szCs w:val="22"/>
        </w:rPr>
        <w:t xml:space="preserve">Notable changes as a result of both amendments are: the introduction of disqualifying offences for people seeking registration to work in an NDIS activity or to work with children; </w:t>
      </w:r>
      <w:r w:rsidR="00414197">
        <w:rPr>
          <w:rFonts w:ascii="Arial" w:hAnsi="Arial" w:cs="Arial"/>
          <w:sz w:val="22"/>
          <w:szCs w:val="22"/>
        </w:rPr>
        <w:t>continuous monitoring of registered persons; strengthened information sharing arrangements between the Commissioner for Fair Trading and a range of entities; and change to the maximum registration duration from 3 years to 5 years.</w:t>
      </w:r>
      <w:r w:rsidR="00A62B0B">
        <w:rPr>
          <w:rFonts w:ascii="Arial" w:hAnsi="Arial" w:cs="Arial"/>
          <w:sz w:val="22"/>
          <w:szCs w:val="22"/>
        </w:rPr>
        <w:t xml:space="preserve"> </w:t>
      </w:r>
      <w:r w:rsidR="00414197">
        <w:rPr>
          <w:rFonts w:ascii="Arial" w:hAnsi="Arial" w:cs="Arial"/>
          <w:sz w:val="22"/>
          <w:szCs w:val="22"/>
        </w:rPr>
        <w:t xml:space="preserve">Many of the changes being implemented align the scheme with the national approach to worker </w:t>
      </w:r>
      <w:r w:rsidR="00CC6413">
        <w:rPr>
          <w:rFonts w:ascii="Arial" w:hAnsi="Arial" w:cs="Arial"/>
          <w:sz w:val="22"/>
          <w:szCs w:val="22"/>
        </w:rPr>
        <w:t>screening</w:t>
      </w:r>
      <w:r w:rsidR="00414197">
        <w:rPr>
          <w:rFonts w:ascii="Arial" w:hAnsi="Arial" w:cs="Arial"/>
          <w:sz w:val="22"/>
          <w:szCs w:val="22"/>
        </w:rPr>
        <w:t xml:space="preserve"> for the NDIS and also to national arrangements for working with children</w:t>
      </w:r>
      <w:r w:rsidR="00567C8D">
        <w:rPr>
          <w:rFonts w:ascii="Arial" w:hAnsi="Arial" w:cs="Arial"/>
          <w:sz w:val="22"/>
          <w:szCs w:val="22"/>
        </w:rPr>
        <w:t xml:space="preserve"> checks</w:t>
      </w:r>
      <w:r w:rsidR="00414197">
        <w:rPr>
          <w:rFonts w:ascii="Arial" w:hAnsi="Arial" w:cs="Arial"/>
          <w:sz w:val="22"/>
          <w:szCs w:val="22"/>
        </w:rPr>
        <w:t xml:space="preserve"> following the </w:t>
      </w:r>
      <w:r w:rsidR="00A17F3C">
        <w:rPr>
          <w:rFonts w:ascii="Arial" w:hAnsi="Arial" w:cs="Arial"/>
          <w:sz w:val="22"/>
          <w:szCs w:val="22"/>
        </w:rPr>
        <w:t>Royal Commission into Institutional Responses to Child Sexual Abuse.</w:t>
      </w:r>
    </w:p>
    <w:p w14:paraId="3672A176" w14:textId="7BA7AC17" w:rsidR="00374BB2" w:rsidRPr="005A3931" w:rsidRDefault="00497B1E" w:rsidP="009C1902">
      <w:pPr>
        <w:keepNext/>
        <w:keepLines/>
        <w:spacing w:before="120" w:after="120"/>
        <w:rPr>
          <w:rFonts w:ascii="Arial" w:hAnsi="Arial" w:cs="Arial"/>
          <w:sz w:val="22"/>
          <w:szCs w:val="22"/>
        </w:rPr>
      </w:pPr>
      <w:r w:rsidRPr="005A3931">
        <w:rPr>
          <w:rFonts w:ascii="Arial" w:hAnsi="Arial" w:cs="Arial"/>
          <w:sz w:val="22"/>
          <w:szCs w:val="22"/>
        </w:rPr>
        <w:lastRenderedPageBreak/>
        <w:t>The Act requires that the Guidelines</w:t>
      </w:r>
      <w:r w:rsidR="00374BB2" w:rsidRPr="005A3931">
        <w:rPr>
          <w:rFonts w:ascii="Arial" w:hAnsi="Arial" w:cs="Arial"/>
          <w:sz w:val="22"/>
          <w:szCs w:val="22"/>
        </w:rPr>
        <w:t xml:space="preserve"> </w:t>
      </w:r>
      <w:r w:rsidRPr="005A3931">
        <w:rPr>
          <w:rFonts w:ascii="Arial" w:hAnsi="Arial" w:cs="Arial"/>
          <w:sz w:val="22"/>
          <w:szCs w:val="22"/>
        </w:rPr>
        <w:t xml:space="preserve">must </w:t>
      </w:r>
      <w:r w:rsidR="00AA0355" w:rsidRPr="005A3931">
        <w:rPr>
          <w:rFonts w:ascii="Arial" w:hAnsi="Arial" w:cs="Arial"/>
          <w:sz w:val="22"/>
          <w:szCs w:val="22"/>
        </w:rPr>
        <w:t>provide for the matters the Commissioner must or may take into account</w:t>
      </w:r>
      <w:r w:rsidR="000574BB" w:rsidRPr="005A3931">
        <w:rPr>
          <w:rFonts w:ascii="Arial" w:hAnsi="Arial" w:cs="Arial"/>
          <w:sz w:val="22"/>
          <w:szCs w:val="22"/>
        </w:rPr>
        <w:t>,</w:t>
      </w:r>
      <w:r w:rsidR="00AA0355" w:rsidRPr="005A3931">
        <w:rPr>
          <w:rFonts w:ascii="Arial" w:hAnsi="Arial" w:cs="Arial"/>
          <w:sz w:val="22"/>
          <w:szCs w:val="22"/>
        </w:rPr>
        <w:t xml:space="preserve"> and how</w:t>
      </w:r>
      <w:r w:rsidR="00C04138">
        <w:rPr>
          <w:rFonts w:ascii="Arial" w:hAnsi="Arial" w:cs="Arial"/>
          <w:sz w:val="22"/>
          <w:szCs w:val="22"/>
        </w:rPr>
        <w:t>,</w:t>
      </w:r>
      <w:r w:rsidR="00B64157">
        <w:rPr>
          <w:rFonts w:ascii="Arial" w:hAnsi="Arial" w:cs="Arial"/>
          <w:sz w:val="22"/>
          <w:szCs w:val="22"/>
        </w:rPr>
        <w:t xml:space="preserve"> when making a </w:t>
      </w:r>
      <w:r w:rsidR="00716E68">
        <w:rPr>
          <w:rFonts w:ascii="Arial" w:hAnsi="Arial" w:cs="Arial"/>
          <w:sz w:val="22"/>
          <w:szCs w:val="22"/>
        </w:rPr>
        <w:t>decision</w:t>
      </w:r>
      <w:r w:rsidR="00AA0355" w:rsidRPr="005A3931">
        <w:rPr>
          <w:rFonts w:ascii="Arial" w:hAnsi="Arial" w:cs="Arial"/>
          <w:sz w:val="22"/>
          <w:szCs w:val="22"/>
        </w:rPr>
        <w:t>.  At a minimum</w:t>
      </w:r>
      <w:r w:rsidR="00DC45E6" w:rsidRPr="005A3931">
        <w:rPr>
          <w:rFonts w:ascii="Arial" w:hAnsi="Arial" w:cs="Arial"/>
          <w:sz w:val="22"/>
          <w:szCs w:val="22"/>
        </w:rPr>
        <w:t>:</w:t>
      </w:r>
      <w:r w:rsidR="00AA0355" w:rsidRPr="005A3931">
        <w:rPr>
          <w:rFonts w:ascii="Arial" w:hAnsi="Arial" w:cs="Arial"/>
          <w:sz w:val="22"/>
          <w:szCs w:val="22"/>
        </w:rPr>
        <w:t xml:space="preserve"> </w:t>
      </w:r>
      <w:r w:rsidR="00DC45E6" w:rsidRPr="005A3931">
        <w:rPr>
          <w:rFonts w:ascii="Arial" w:hAnsi="Arial" w:cs="Arial"/>
          <w:sz w:val="22"/>
          <w:szCs w:val="22"/>
        </w:rPr>
        <w:t>the person’s criminal history</w:t>
      </w:r>
      <w:r w:rsidR="00C45607">
        <w:rPr>
          <w:rFonts w:ascii="Arial" w:hAnsi="Arial" w:cs="Arial"/>
          <w:sz w:val="22"/>
          <w:szCs w:val="22"/>
        </w:rPr>
        <w:t xml:space="preserve"> (including for NDIS applicants</w:t>
      </w:r>
      <w:r w:rsidR="009A2FBD">
        <w:rPr>
          <w:rFonts w:ascii="Arial" w:hAnsi="Arial" w:cs="Arial"/>
          <w:sz w:val="22"/>
          <w:szCs w:val="22"/>
        </w:rPr>
        <w:t xml:space="preserve"> and those seeking a registration to work with children</w:t>
      </w:r>
      <w:r w:rsidR="00C45607">
        <w:rPr>
          <w:rFonts w:ascii="Arial" w:hAnsi="Arial" w:cs="Arial"/>
          <w:sz w:val="22"/>
          <w:szCs w:val="22"/>
        </w:rPr>
        <w:t>, whether or not there are disqualifying offences)</w:t>
      </w:r>
      <w:r w:rsidR="00DC45E6" w:rsidRPr="005A3931">
        <w:rPr>
          <w:rFonts w:ascii="Arial" w:hAnsi="Arial" w:cs="Arial"/>
          <w:sz w:val="22"/>
          <w:szCs w:val="22"/>
        </w:rPr>
        <w:t>;</w:t>
      </w:r>
      <w:r w:rsidRPr="005A3931">
        <w:rPr>
          <w:rFonts w:ascii="Arial" w:hAnsi="Arial" w:cs="Arial"/>
          <w:sz w:val="22"/>
          <w:szCs w:val="22"/>
        </w:rPr>
        <w:t xml:space="preserve"> non-conviction information</w:t>
      </w:r>
      <w:r w:rsidR="00DC45E6" w:rsidRPr="005A3931">
        <w:rPr>
          <w:rFonts w:ascii="Arial" w:hAnsi="Arial" w:cs="Arial"/>
          <w:sz w:val="22"/>
          <w:szCs w:val="22"/>
        </w:rPr>
        <w:t>;</w:t>
      </w:r>
      <w:r w:rsidRPr="005A3931">
        <w:rPr>
          <w:rFonts w:ascii="Arial" w:hAnsi="Arial" w:cs="Arial"/>
          <w:sz w:val="22"/>
          <w:szCs w:val="22"/>
        </w:rPr>
        <w:t xml:space="preserve"> whether the</w:t>
      </w:r>
      <w:r w:rsidR="00EF0D85" w:rsidRPr="005A3931">
        <w:rPr>
          <w:rFonts w:ascii="Arial" w:hAnsi="Arial" w:cs="Arial"/>
          <w:sz w:val="22"/>
          <w:szCs w:val="22"/>
        </w:rPr>
        <w:t>y</w:t>
      </w:r>
      <w:r w:rsidRPr="005A3931">
        <w:rPr>
          <w:rFonts w:ascii="Arial" w:hAnsi="Arial" w:cs="Arial"/>
          <w:sz w:val="22"/>
          <w:szCs w:val="22"/>
        </w:rPr>
        <w:t xml:space="preserve"> w</w:t>
      </w:r>
      <w:r w:rsidR="00EF0D85" w:rsidRPr="005A3931">
        <w:rPr>
          <w:rFonts w:ascii="Arial" w:hAnsi="Arial" w:cs="Arial"/>
          <w:sz w:val="22"/>
          <w:szCs w:val="22"/>
        </w:rPr>
        <w:t>ere</w:t>
      </w:r>
      <w:r w:rsidRPr="005A3931">
        <w:rPr>
          <w:rFonts w:ascii="Arial" w:hAnsi="Arial" w:cs="Arial"/>
          <w:sz w:val="22"/>
          <w:szCs w:val="22"/>
        </w:rPr>
        <w:t xml:space="preserve"> previously given a negative notice under the Act or a corr</w:t>
      </w:r>
      <w:r w:rsidR="00DC45E6" w:rsidRPr="005A3931">
        <w:rPr>
          <w:rFonts w:ascii="Arial" w:hAnsi="Arial" w:cs="Arial"/>
          <w:sz w:val="22"/>
          <w:szCs w:val="22"/>
        </w:rPr>
        <w:t>esponding law;</w:t>
      </w:r>
      <w:r w:rsidRPr="005A3931">
        <w:rPr>
          <w:rFonts w:ascii="Arial" w:hAnsi="Arial" w:cs="Arial"/>
          <w:sz w:val="22"/>
          <w:szCs w:val="22"/>
        </w:rPr>
        <w:t xml:space="preserve"> whether the</w:t>
      </w:r>
      <w:r w:rsidR="00EF0D85" w:rsidRPr="005A3931">
        <w:rPr>
          <w:rFonts w:ascii="Arial" w:hAnsi="Arial" w:cs="Arial"/>
          <w:sz w:val="22"/>
          <w:szCs w:val="22"/>
        </w:rPr>
        <w:t>y</w:t>
      </w:r>
      <w:r w:rsidRPr="005A3931">
        <w:rPr>
          <w:rFonts w:ascii="Arial" w:hAnsi="Arial" w:cs="Arial"/>
          <w:sz w:val="22"/>
          <w:szCs w:val="22"/>
        </w:rPr>
        <w:t xml:space="preserve"> w</w:t>
      </w:r>
      <w:r w:rsidR="00EF0D85" w:rsidRPr="005A3931">
        <w:rPr>
          <w:rFonts w:ascii="Arial" w:hAnsi="Arial" w:cs="Arial"/>
          <w:sz w:val="22"/>
          <w:szCs w:val="22"/>
        </w:rPr>
        <w:t>ere</w:t>
      </w:r>
      <w:r w:rsidRPr="005A3931">
        <w:rPr>
          <w:rFonts w:ascii="Arial" w:hAnsi="Arial" w:cs="Arial"/>
          <w:sz w:val="22"/>
          <w:szCs w:val="22"/>
        </w:rPr>
        <w:t xml:space="preserve"> </w:t>
      </w:r>
      <w:r w:rsidR="00143084" w:rsidRPr="005A3931">
        <w:rPr>
          <w:rFonts w:ascii="Arial" w:hAnsi="Arial" w:cs="Arial"/>
          <w:sz w:val="22"/>
          <w:szCs w:val="22"/>
        </w:rPr>
        <w:t>previously registered under the</w:t>
      </w:r>
      <w:r w:rsidRPr="005A3931">
        <w:rPr>
          <w:rFonts w:ascii="Arial" w:hAnsi="Arial" w:cs="Arial"/>
          <w:sz w:val="22"/>
          <w:szCs w:val="22"/>
        </w:rPr>
        <w:t xml:space="preserve"> Act or a corresponding law</w:t>
      </w:r>
      <w:r w:rsidR="00DC45E6" w:rsidRPr="005A3931">
        <w:rPr>
          <w:rFonts w:ascii="Arial" w:hAnsi="Arial" w:cs="Arial"/>
          <w:sz w:val="22"/>
          <w:szCs w:val="22"/>
        </w:rPr>
        <w:t>;</w:t>
      </w:r>
      <w:r w:rsidRPr="005A3931">
        <w:rPr>
          <w:rFonts w:ascii="Arial" w:hAnsi="Arial" w:cs="Arial"/>
          <w:sz w:val="22"/>
          <w:szCs w:val="22"/>
        </w:rPr>
        <w:t xml:space="preserve"> and any other information the Commissioner believes on reasonable grounds is or may be relevant in deciding whether the applicant poses a risk of harm to a vulnerable person</w:t>
      </w:r>
      <w:r w:rsidR="00DC45E6" w:rsidRPr="005A3931">
        <w:rPr>
          <w:rFonts w:ascii="Arial" w:hAnsi="Arial" w:cs="Arial"/>
          <w:sz w:val="22"/>
          <w:szCs w:val="22"/>
        </w:rPr>
        <w:t>,</w:t>
      </w:r>
      <w:r w:rsidR="00AA0355" w:rsidRPr="005A3931">
        <w:rPr>
          <w:rFonts w:ascii="Arial" w:hAnsi="Arial" w:cs="Arial"/>
          <w:sz w:val="22"/>
          <w:szCs w:val="22"/>
        </w:rPr>
        <w:t xml:space="preserve"> must be taken into account</w:t>
      </w:r>
      <w:r w:rsidRPr="005A3931">
        <w:rPr>
          <w:rFonts w:ascii="Arial" w:hAnsi="Arial" w:cs="Arial"/>
          <w:sz w:val="22"/>
          <w:szCs w:val="22"/>
        </w:rPr>
        <w:t>.</w:t>
      </w:r>
    </w:p>
    <w:p w14:paraId="66A8FD16" w14:textId="73833A70" w:rsidR="00374BB2" w:rsidRDefault="000574BB" w:rsidP="00B416E7">
      <w:pPr>
        <w:spacing w:before="120" w:after="120"/>
        <w:rPr>
          <w:rFonts w:ascii="Arial" w:hAnsi="Arial" w:cs="Arial"/>
          <w:sz w:val="22"/>
          <w:szCs w:val="22"/>
        </w:rPr>
      </w:pPr>
      <w:r w:rsidRPr="005A3931">
        <w:rPr>
          <w:rFonts w:ascii="Arial" w:hAnsi="Arial" w:cs="Arial"/>
          <w:sz w:val="22"/>
          <w:szCs w:val="22"/>
        </w:rPr>
        <w:t>Accordingly, t</w:t>
      </w:r>
      <w:r w:rsidR="00526482" w:rsidRPr="005A3931">
        <w:rPr>
          <w:rFonts w:ascii="Arial" w:hAnsi="Arial" w:cs="Arial"/>
          <w:sz w:val="22"/>
          <w:szCs w:val="22"/>
        </w:rPr>
        <w:t xml:space="preserve">he Guidelines outline the minimum mandatory considerations and provide for other matters the </w:t>
      </w:r>
      <w:r w:rsidR="00526482" w:rsidRPr="005A3931">
        <w:rPr>
          <w:rStyle w:val="CharChapNo"/>
          <w:rFonts w:ascii="Arial" w:hAnsi="Arial" w:cs="Arial"/>
          <w:sz w:val="22"/>
          <w:szCs w:val="22"/>
        </w:rPr>
        <w:t xml:space="preserve">Commissioner </w:t>
      </w:r>
      <w:r w:rsidR="00526482" w:rsidRPr="005A3931">
        <w:rPr>
          <w:rFonts w:ascii="Arial" w:hAnsi="Arial" w:cs="Arial"/>
          <w:sz w:val="22"/>
          <w:szCs w:val="22"/>
        </w:rPr>
        <w:t xml:space="preserve">may consider when assessing an individual’s risk of harm. </w:t>
      </w:r>
      <w:r w:rsidR="00D16001" w:rsidRPr="005A3931">
        <w:rPr>
          <w:rFonts w:ascii="Arial" w:hAnsi="Arial" w:cs="Arial"/>
          <w:sz w:val="22"/>
          <w:szCs w:val="22"/>
        </w:rPr>
        <w:t xml:space="preserve"> </w:t>
      </w:r>
      <w:r w:rsidR="00C45607">
        <w:rPr>
          <w:rFonts w:ascii="Arial" w:hAnsi="Arial" w:cs="Arial"/>
          <w:sz w:val="22"/>
          <w:szCs w:val="22"/>
        </w:rPr>
        <w:t>With the exception of</w:t>
      </w:r>
      <w:r w:rsidR="00BE283F">
        <w:rPr>
          <w:rFonts w:ascii="Arial" w:hAnsi="Arial" w:cs="Arial"/>
          <w:sz w:val="22"/>
          <w:szCs w:val="22"/>
        </w:rPr>
        <w:t xml:space="preserve"> disqualifying offences in the case of an applicant seeking registration for NDIS work</w:t>
      </w:r>
      <w:r w:rsidR="009A2FBD">
        <w:rPr>
          <w:rFonts w:ascii="Arial" w:hAnsi="Arial" w:cs="Arial"/>
          <w:sz w:val="22"/>
          <w:szCs w:val="22"/>
        </w:rPr>
        <w:t xml:space="preserve"> or to work with children</w:t>
      </w:r>
      <w:r w:rsidR="00BE283F">
        <w:rPr>
          <w:rFonts w:ascii="Arial" w:hAnsi="Arial" w:cs="Arial"/>
          <w:sz w:val="22"/>
          <w:szCs w:val="22"/>
        </w:rPr>
        <w:t>,</w:t>
      </w:r>
      <w:r w:rsidR="00D16001" w:rsidRPr="005A3931">
        <w:rPr>
          <w:rFonts w:ascii="Arial" w:hAnsi="Arial" w:cs="Arial"/>
          <w:sz w:val="22"/>
          <w:szCs w:val="22"/>
        </w:rPr>
        <w:t xml:space="preserve"> t</w:t>
      </w:r>
      <w:r w:rsidR="00526482" w:rsidRPr="005A3931">
        <w:rPr>
          <w:rFonts w:ascii="Arial" w:hAnsi="Arial" w:cs="Arial"/>
          <w:sz w:val="22"/>
          <w:szCs w:val="22"/>
        </w:rPr>
        <w:t xml:space="preserve">he Guidelines recognise that the existence of a criminal history </w:t>
      </w:r>
      <w:r w:rsidR="00EF0D85" w:rsidRPr="005A3931">
        <w:rPr>
          <w:rFonts w:ascii="Arial" w:hAnsi="Arial" w:cs="Arial"/>
          <w:sz w:val="22"/>
          <w:szCs w:val="22"/>
        </w:rPr>
        <w:t xml:space="preserve">in itself </w:t>
      </w:r>
      <w:r w:rsidR="00BE283F">
        <w:rPr>
          <w:rFonts w:ascii="Arial" w:hAnsi="Arial" w:cs="Arial"/>
          <w:sz w:val="22"/>
          <w:szCs w:val="22"/>
        </w:rPr>
        <w:t>may</w:t>
      </w:r>
      <w:r w:rsidR="00BE283F" w:rsidRPr="005A3931">
        <w:rPr>
          <w:rFonts w:ascii="Arial" w:hAnsi="Arial" w:cs="Arial"/>
          <w:sz w:val="22"/>
          <w:szCs w:val="22"/>
        </w:rPr>
        <w:t xml:space="preserve"> </w:t>
      </w:r>
      <w:r w:rsidR="00EF0D85" w:rsidRPr="005A3931">
        <w:rPr>
          <w:rFonts w:ascii="Arial" w:hAnsi="Arial" w:cs="Arial"/>
          <w:sz w:val="22"/>
          <w:szCs w:val="22"/>
        </w:rPr>
        <w:t>not</w:t>
      </w:r>
      <w:r w:rsidR="009A1729" w:rsidRPr="005A3931">
        <w:rPr>
          <w:rFonts w:ascii="Arial" w:hAnsi="Arial" w:cs="Arial"/>
          <w:sz w:val="22"/>
          <w:szCs w:val="22"/>
        </w:rPr>
        <w:t xml:space="preserve"> necessarily</w:t>
      </w:r>
      <w:r w:rsidR="00EF0D85" w:rsidRPr="005A3931">
        <w:rPr>
          <w:rFonts w:ascii="Arial" w:hAnsi="Arial" w:cs="Arial"/>
          <w:sz w:val="22"/>
          <w:szCs w:val="22"/>
        </w:rPr>
        <w:t xml:space="preserve"> </w:t>
      </w:r>
      <w:r w:rsidR="00526482" w:rsidRPr="005A3931">
        <w:rPr>
          <w:rFonts w:ascii="Arial" w:hAnsi="Arial" w:cs="Arial"/>
          <w:sz w:val="22"/>
          <w:szCs w:val="22"/>
        </w:rPr>
        <w:t xml:space="preserve">make a person unsuitable to have contact with vulnerable people accessing a regulated activity.  </w:t>
      </w:r>
      <w:r w:rsidR="00BE283F">
        <w:rPr>
          <w:rFonts w:ascii="Arial" w:hAnsi="Arial" w:cs="Arial"/>
          <w:sz w:val="22"/>
          <w:szCs w:val="22"/>
        </w:rPr>
        <w:t xml:space="preserve">In circumstances where disqualifying offences do not apply, the </w:t>
      </w:r>
      <w:r w:rsidR="00526482" w:rsidRPr="005A3931">
        <w:rPr>
          <w:rFonts w:ascii="Arial" w:hAnsi="Arial" w:cs="Arial"/>
          <w:sz w:val="22"/>
          <w:szCs w:val="22"/>
        </w:rPr>
        <w:t>inherent requirements of the role</w:t>
      </w:r>
      <w:r w:rsidR="00D16001" w:rsidRPr="005A3931">
        <w:rPr>
          <w:rFonts w:ascii="Arial" w:hAnsi="Arial" w:cs="Arial"/>
          <w:sz w:val="22"/>
          <w:szCs w:val="22"/>
        </w:rPr>
        <w:t>,</w:t>
      </w:r>
      <w:r w:rsidR="00526482" w:rsidRPr="005A3931">
        <w:rPr>
          <w:rFonts w:ascii="Arial" w:hAnsi="Arial" w:cs="Arial"/>
          <w:sz w:val="22"/>
          <w:szCs w:val="22"/>
        </w:rPr>
        <w:t xml:space="preserve"> the ‘risk factors’ (behaviours or circumstances which indicate a risk) and the ‘mitigating factors’ (behaviours or circumstances which reduce the level of identified risk) </w:t>
      </w:r>
      <w:r w:rsidR="00AA0296" w:rsidRPr="005A3931">
        <w:rPr>
          <w:rFonts w:ascii="Arial" w:hAnsi="Arial" w:cs="Arial"/>
          <w:sz w:val="22"/>
          <w:szCs w:val="22"/>
        </w:rPr>
        <w:t>are all</w:t>
      </w:r>
      <w:r w:rsidR="002945EC" w:rsidRPr="005A3931">
        <w:rPr>
          <w:rFonts w:ascii="Arial" w:hAnsi="Arial" w:cs="Arial"/>
          <w:sz w:val="22"/>
          <w:szCs w:val="22"/>
        </w:rPr>
        <w:t xml:space="preserve"> considered during a risk assessment to ensure </w:t>
      </w:r>
      <w:r w:rsidR="00BE283F">
        <w:rPr>
          <w:rFonts w:ascii="Arial" w:hAnsi="Arial" w:cs="Arial"/>
          <w:sz w:val="22"/>
          <w:szCs w:val="22"/>
        </w:rPr>
        <w:t xml:space="preserve">that </w:t>
      </w:r>
      <w:r w:rsidR="002945EC" w:rsidRPr="005A3931">
        <w:rPr>
          <w:rFonts w:ascii="Arial" w:hAnsi="Arial" w:cs="Arial"/>
          <w:sz w:val="22"/>
          <w:szCs w:val="22"/>
        </w:rPr>
        <w:t>an accurate profile of the applicant’s risk</w:t>
      </w:r>
      <w:r w:rsidR="00AA0296" w:rsidRPr="005A3931">
        <w:rPr>
          <w:rFonts w:ascii="Arial" w:hAnsi="Arial" w:cs="Arial"/>
          <w:sz w:val="22"/>
          <w:szCs w:val="22"/>
        </w:rPr>
        <w:t xml:space="preserve"> is determined</w:t>
      </w:r>
      <w:r w:rsidR="002945EC" w:rsidRPr="005A3931">
        <w:rPr>
          <w:rFonts w:ascii="Arial" w:hAnsi="Arial" w:cs="Arial"/>
          <w:sz w:val="22"/>
          <w:szCs w:val="22"/>
        </w:rPr>
        <w:t>.</w:t>
      </w:r>
    </w:p>
    <w:p w14:paraId="5735B27F" w14:textId="3157FE00" w:rsidR="00EA7A05" w:rsidRDefault="00EA7A05" w:rsidP="00B416E7">
      <w:pPr>
        <w:spacing w:before="120" w:after="120"/>
        <w:rPr>
          <w:rFonts w:ascii="Arial" w:hAnsi="Arial" w:cs="Arial"/>
          <w:sz w:val="22"/>
          <w:szCs w:val="22"/>
        </w:rPr>
      </w:pPr>
      <w:r>
        <w:rPr>
          <w:rFonts w:ascii="Arial" w:hAnsi="Arial" w:cs="Arial"/>
          <w:sz w:val="22"/>
          <w:szCs w:val="22"/>
        </w:rPr>
        <w:t xml:space="preserve">The definition of risk has been adopted from </w:t>
      </w:r>
      <w:r w:rsidR="00F97B57">
        <w:rPr>
          <w:rFonts w:ascii="Arial" w:hAnsi="Arial" w:cs="Arial"/>
          <w:sz w:val="22"/>
          <w:szCs w:val="22"/>
        </w:rPr>
        <w:t>the</w:t>
      </w:r>
      <w:r>
        <w:rPr>
          <w:rFonts w:ascii="Arial" w:hAnsi="Arial" w:cs="Arial"/>
          <w:sz w:val="22"/>
          <w:szCs w:val="22"/>
        </w:rPr>
        <w:t xml:space="preserve"> ACT Civil &amp; Administrative Tribunal</w:t>
      </w:r>
      <w:r w:rsidR="0049755D">
        <w:rPr>
          <w:rFonts w:ascii="Arial" w:hAnsi="Arial" w:cs="Arial"/>
          <w:sz w:val="22"/>
          <w:szCs w:val="22"/>
        </w:rPr>
        <w:t xml:space="preserve"> </w:t>
      </w:r>
      <w:r w:rsidR="00D62BB9">
        <w:rPr>
          <w:rFonts w:ascii="Arial" w:hAnsi="Arial" w:cs="Arial"/>
          <w:sz w:val="22"/>
          <w:szCs w:val="22"/>
        </w:rPr>
        <w:t xml:space="preserve">matter, </w:t>
      </w:r>
      <w:r w:rsidR="00D62BB9">
        <w:rPr>
          <w:rFonts w:ascii="Arial" w:hAnsi="Arial" w:cs="Arial"/>
          <w:i/>
          <w:iCs/>
          <w:sz w:val="22"/>
          <w:szCs w:val="22"/>
        </w:rPr>
        <w:t>Applicant 201915 v Commissioner</w:t>
      </w:r>
      <w:r w:rsidR="00941180">
        <w:rPr>
          <w:rFonts w:ascii="Arial" w:hAnsi="Arial" w:cs="Arial"/>
          <w:i/>
          <w:iCs/>
          <w:sz w:val="22"/>
          <w:szCs w:val="22"/>
        </w:rPr>
        <w:t xml:space="preserve"> For Fair Trading (Occupational Regulation) [2019] ACAT 117</w:t>
      </w:r>
      <w:r w:rsidR="00D62BB9">
        <w:rPr>
          <w:rFonts w:ascii="Arial" w:hAnsi="Arial" w:cs="Arial"/>
          <w:i/>
          <w:iCs/>
          <w:sz w:val="22"/>
          <w:szCs w:val="22"/>
        </w:rPr>
        <w:t xml:space="preserve"> </w:t>
      </w:r>
      <w:r>
        <w:rPr>
          <w:rStyle w:val="FootnoteReference"/>
          <w:rFonts w:ascii="Arial" w:hAnsi="Arial"/>
          <w:sz w:val="22"/>
          <w:szCs w:val="22"/>
        </w:rPr>
        <w:footnoteReference w:id="1"/>
      </w:r>
      <w:r>
        <w:rPr>
          <w:rFonts w:ascii="Arial" w:hAnsi="Arial" w:cs="Arial"/>
          <w:sz w:val="22"/>
          <w:szCs w:val="22"/>
        </w:rPr>
        <w:t xml:space="preserve"> and means a ‘</w:t>
      </w:r>
      <w:r w:rsidR="00C96F89">
        <w:rPr>
          <w:rFonts w:ascii="Arial" w:hAnsi="Arial" w:cs="Arial"/>
          <w:sz w:val="22"/>
          <w:szCs w:val="22"/>
        </w:rPr>
        <w:t>”</w:t>
      </w:r>
      <w:r>
        <w:rPr>
          <w:rFonts w:ascii="Arial" w:hAnsi="Arial" w:cs="Arial"/>
          <w:sz w:val="22"/>
          <w:szCs w:val="22"/>
        </w:rPr>
        <w:t xml:space="preserve">chance or </w:t>
      </w:r>
      <w:r w:rsidR="00C96F89">
        <w:rPr>
          <w:rFonts w:ascii="Arial" w:hAnsi="Arial" w:cs="Arial"/>
          <w:sz w:val="22"/>
          <w:szCs w:val="22"/>
        </w:rPr>
        <w:t xml:space="preserve">the </w:t>
      </w:r>
      <w:r>
        <w:rPr>
          <w:rFonts w:ascii="Arial" w:hAnsi="Arial" w:cs="Arial"/>
          <w:sz w:val="22"/>
          <w:szCs w:val="22"/>
        </w:rPr>
        <w:t>‘possibility</w:t>
      </w:r>
      <w:r w:rsidR="00C96F89">
        <w:rPr>
          <w:rFonts w:ascii="Arial" w:hAnsi="Arial" w:cs="Arial"/>
          <w:sz w:val="22"/>
          <w:szCs w:val="22"/>
        </w:rPr>
        <w:t>’”</w:t>
      </w:r>
      <w:r>
        <w:rPr>
          <w:rFonts w:ascii="Arial" w:hAnsi="Arial" w:cs="Arial"/>
          <w:sz w:val="22"/>
          <w:szCs w:val="22"/>
        </w:rPr>
        <w:t xml:space="preserve">, while harm is described in that same decision as </w:t>
      </w:r>
      <w:r w:rsidR="00C96F89">
        <w:rPr>
          <w:rFonts w:ascii="Arial" w:hAnsi="Arial" w:cs="Arial"/>
          <w:sz w:val="22"/>
          <w:szCs w:val="22"/>
        </w:rPr>
        <w:t>a “physical injury or a ‘moral’ one, which in turn means an emotional or psychological harm.”</w:t>
      </w:r>
    </w:p>
    <w:p w14:paraId="258A10AF" w14:textId="53518CCB" w:rsidR="00BE283F" w:rsidRPr="005A3931" w:rsidRDefault="00BE283F" w:rsidP="00B416E7">
      <w:pPr>
        <w:spacing w:before="120" w:after="120"/>
        <w:rPr>
          <w:rFonts w:ascii="Arial" w:hAnsi="Arial" w:cs="Arial"/>
          <w:sz w:val="22"/>
          <w:szCs w:val="22"/>
        </w:rPr>
      </w:pPr>
      <w:r>
        <w:rPr>
          <w:rFonts w:ascii="Arial" w:hAnsi="Arial" w:cs="Arial"/>
          <w:sz w:val="22"/>
          <w:szCs w:val="22"/>
        </w:rPr>
        <w:t xml:space="preserve">The primary source of risk </w:t>
      </w:r>
      <w:r w:rsidR="00C71B12">
        <w:rPr>
          <w:rFonts w:ascii="Arial" w:hAnsi="Arial" w:cs="Arial"/>
          <w:sz w:val="22"/>
          <w:szCs w:val="22"/>
        </w:rPr>
        <w:t>identification</w:t>
      </w:r>
      <w:r>
        <w:rPr>
          <w:rFonts w:ascii="Arial" w:hAnsi="Arial" w:cs="Arial"/>
          <w:sz w:val="22"/>
          <w:szCs w:val="22"/>
        </w:rPr>
        <w:t xml:space="preserve"> is the criminal history check</w:t>
      </w:r>
      <w:r w:rsidR="00E75F0F">
        <w:rPr>
          <w:rFonts w:ascii="Arial" w:hAnsi="Arial" w:cs="Arial"/>
          <w:sz w:val="22"/>
          <w:szCs w:val="22"/>
        </w:rPr>
        <w:t>, though other sources of information may also prove valuable in determining levels of risk.</w:t>
      </w:r>
    </w:p>
    <w:p w14:paraId="1A9B86D6" w14:textId="5D87A767" w:rsidR="00C71B12" w:rsidRDefault="00EB5FC8" w:rsidP="00B416E7">
      <w:pPr>
        <w:spacing w:before="120" w:after="120"/>
        <w:rPr>
          <w:rFonts w:ascii="Arial" w:hAnsi="Arial" w:cs="Arial"/>
          <w:sz w:val="22"/>
          <w:szCs w:val="22"/>
        </w:rPr>
      </w:pPr>
      <w:r w:rsidRPr="005A3931">
        <w:rPr>
          <w:rFonts w:ascii="Arial" w:hAnsi="Arial" w:cs="Arial"/>
          <w:sz w:val="22"/>
          <w:szCs w:val="22"/>
        </w:rPr>
        <w:t>Risk analysis begins when a criminal history or other information that warrants assessment is identified</w:t>
      </w:r>
      <w:r w:rsidR="003A7090" w:rsidRPr="005A3931">
        <w:rPr>
          <w:rFonts w:ascii="Arial" w:hAnsi="Arial" w:cs="Arial"/>
          <w:sz w:val="22"/>
          <w:szCs w:val="22"/>
        </w:rPr>
        <w:t xml:space="preserve"> during the application process</w:t>
      </w:r>
      <w:r w:rsidRPr="005A3931">
        <w:rPr>
          <w:rFonts w:ascii="Arial" w:hAnsi="Arial" w:cs="Arial"/>
          <w:sz w:val="22"/>
          <w:szCs w:val="22"/>
        </w:rPr>
        <w:t xml:space="preserve">. </w:t>
      </w:r>
      <w:r w:rsidR="00D62BB9">
        <w:rPr>
          <w:rFonts w:ascii="Arial" w:hAnsi="Arial" w:cs="Arial"/>
          <w:sz w:val="22"/>
          <w:szCs w:val="22"/>
        </w:rPr>
        <w:t>A risk analysis can also be conducted when there is new relevant information about a registered person.</w:t>
      </w:r>
      <w:r w:rsidRPr="005A3931">
        <w:rPr>
          <w:rFonts w:ascii="Arial" w:hAnsi="Arial" w:cs="Arial"/>
          <w:sz w:val="22"/>
          <w:szCs w:val="22"/>
        </w:rPr>
        <w:t xml:space="preserve"> </w:t>
      </w:r>
    </w:p>
    <w:p w14:paraId="4F98016E" w14:textId="580553FE" w:rsidR="00C71B12" w:rsidRDefault="008E2DF1" w:rsidP="00B416E7">
      <w:pPr>
        <w:spacing w:before="120" w:after="120"/>
        <w:rPr>
          <w:rFonts w:ascii="Arial" w:hAnsi="Arial" w:cs="Arial"/>
          <w:sz w:val="22"/>
          <w:szCs w:val="22"/>
        </w:rPr>
      </w:pPr>
      <w:r w:rsidRPr="005A3931">
        <w:rPr>
          <w:rFonts w:ascii="Arial" w:hAnsi="Arial" w:cs="Arial"/>
          <w:sz w:val="22"/>
          <w:szCs w:val="22"/>
        </w:rPr>
        <w:t>Table 1</w:t>
      </w:r>
      <w:r w:rsidR="00BE283F">
        <w:rPr>
          <w:rFonts w:ascii="Arial" w:hAnsi="Arial" w:cs="Arial"/>
          <w:sz w:val="22"/>
          <w:szCs w:val="22"/>
        </w:rPr>
        <w:t xml:space="preserve"> in the Guidelines</w:t>
      </w:r>
      <w:r w:rsidR="00A17F3C">
        <w:rPr>
          <w:rFonts w:ascii="Arial" w:hAnsi="Arial" w:cs="Arial"/>
          <w:sz w:val="22"/>
          <w:szCs w:val="22"/>
        </w:rPr>
        <w:t xml:space="preserve"> relates to disqualifying offences and</w:t>
      </w:r>
      <w:r w:rsidR="00BE283F">
        <w:rPr>
          <w:rFonts w:ascii="Arial" w:hAnsi="Arial" w:cs="Arial"/>
          <w:sz w:val="22"/>
          <w:szCs w:val="22"/>
        </w:rPr>
        <w:t xml:space="preserve"> applies </w:t>
      </w:r>
      <w:r w:rsidR="00BE283F" w:rsidRPr="000C2210">
        <w:rPr>
          <w:rFonts w:ascii="Arial" w:hAnsi="Arial" w:cs="Arial"/>
          <w:sz w:val="22"/>
          <w:szCs w:val="22"/>
          <w:u w:val="single"/>
        </w:rPr>
        <w:t>only</w:t>
      </w:r>
      <w:r w:rsidR="00BE283F">
        <w:rPr>
          <w:rFonts w:ascii="Arial" w:hAnsi="Arial" w:cs="Arial"/>
          <w:sz w:val="22"/>
          <w:szCs w:val="22"/>
        </w:rPr>
        <w:t xml:space="preserve"> to applicants </w:t>
      </w:r>
      <w:r w:rsidR="00A17F3C">
        <w:rPr>
          <w:rFonts w:ascii="Arial" w:hAnsi="Arial" w:cs="Arial"/>
          <w:sz w:val="22"/>
          <w:szCs w:val="22"/>
        </w:rPr>
        <w:t>seeking</w:t>
      </w:r>
      <w:r w:rsidR="00BE283F">
        <w:rPr>
          <w:rFonts w:ascii="Arial" w:hAnsi="Arial" w:cs="Arial"/>
          <w:sz w:val="22"/>
          <w:szCs w:val="22"/>
        </w:rPr>
        <w:t xml:space="preserve"> registration </w:t>
      </w:r>
      <w:r w:rsidR="00A17F3C">
        <w:rPr>
          <w:rFonts w:ascii="Arial" w:hAnsi="Arial" w:cs="Arial"/>
          <w:sz w:val="22"/>
          <w:szCs w:val="22"/>
        </w:rPr>
        <w:t xml:space="preserve">to work in an NDIS activity or a regulated activity involving children. </w:t>
      </w:r>
      <w:r w:rsidR="00C71B12">
        <w:rPr>
          <w:rFonts w:ascii="Arial" w:hAnsi="Arial" w:cs="Arial"/>
          <w:sz w:val="22"/>
          <w:szCs w:val="22"/>
        </w:rPr>
        <w:t>Subject to some conditions, which are described in the Act and</w:t>
      </w:r>
      <w:r w:rsidR="00567C8D">
        <w:rPr>
          <w:rFonts w:ascii="Arial" w:hAnsi="Arial" w:cs="Arial"/>
          <w:sz w:val="22"/>
          <w:szCs w:val="22"/>
        </w:rPr>
        <w:t xml:space="preserve"> referenced</w:t>
      </w:r>
      <w:r w:rsidR="00C71B12">
        <w:rPr>
          <w:rFonts w:ascii="Arial" w:hAnsi="Arial" w:cs="Arial"/>
          <w:sz w:val="22"/>
          <w:szCs w:val="22"/>
        </w:rPr>
        <w:t xml:space="preserve"> </w:t>
      </w:r>
      <w:r w:rsidR="00567C8D">
        <w:rPr>
          <w:rFonts w:ascii="Arial" w:hAnsi="Arial" w:cs="Arial"/>
          <w:sz w:val="22"/>
          <w:szCs w:val="22"/>
        </w:rPr>
        <w:t xml:space="preserve">in </w:t>
      </w:r>
      <w:r w:rsidR="00C71B12">
        <w:rPr>
          <w:rFonts w:ascii="Arial" w:hAnsi="Arial" w:cs="Arial"/>
          <w:sz w:val="22"/>
          <w:szCs w:val="22"/>
        </w:rPr>
        <w:t>the Guidelines, a person seeking registration for NDIS work</w:t>
      </w:r>
      <w:r w:rsidR="00567C8D">
        <w:rPr>
          <w:rFonts w:ascii="Arial" w:hAnsi="Arial" w:cs="Arial"/>
          <w:sz w:val="22"/>
          <w:szCs w:val="22"/>
        </w:rPr>
        <w:t xml:space="preserve"> or to work with children</w:t>
      </w:r>
      <w:r w:rsidR="00C71B12">
        <w:rPr>
          <w:rFonts w:ascii="Arial" w:hAnsi="Arial" w:cs="Arial"/>
          <w:sz w:val="22"/>
          <w:szCs w:val="22"/>
        </w:rPr>
        <w:t xml:space="preserve"> may be excluded based on the existence of a disqualifying offence.</w:t>
      </w:r>
      <w:r w:rsidR="006C6821">
        <w:rPr>
          <w:rFonts w:ascii="Arial" w:hAnsi="Arial" w:cs="Arial"/>
          <w:sz w:val="22"/>
          <w:szCs w:val="22"/>
        </w:rPr>
        <w:t xml:space="preserve"> </w:t>
      </w:r>
    </w:p>
    <w:p w14:paraId="7B2A178F" w14:textId="5F74226B" w:rsidR="00EF0D85" w:rsidRPr="005A3931" w:rsidRDefault="00C71B12" w:rsidP="00B416E7">
      <w:pPr>
        <w:spacing w:before="120" w:after="120"/>
        <w:rPr>
          <w:rFonts w:ascii="Arial" w:hAnsi="Arial" w:cs="Arial"/>
          <w:sz w:val="22"/>
          <w:szCs w:val="22"/>
        </w:rPr>
      </w:pPr>
      <w:r>
        <w:rPr>
          <w:rFonts w:ascii="Arial" w:hAnsi="Arial" w:cs="Arial"/>
          <w:sz w:val="22"/>
          <w:szCs w:val="22"/>
        </w:rPr>
        <w:t xml:space="preserve">Tables 2 and 3 in the Guidelines represent the factors to be considered in relation to criminal history, non-conviction information, and other information, all of which the Commissioner is required to consider when making an assessment about the level of risk to vulnerable people posed by an applicant. Such information includes </w:t>
      </w:r>
      <w:r w:rsidRPr="005A3931">
        <w:rPr>
          <w:rFonts w:ascii="Arial" w:hAnsi="Arial" w:cs="Arial"/>
          <w:sz w:val="22"/>
          <w:szCs w:val="22"/>
        </w:rPr>
        <w:t>previous negative notices</w:t>
      </w:r>
      <w:r w:rsidR="0061760C">
        <w:rPr>
          <w:rFonts w:ascii="Arial" w:hAnsi="Arial" w:cs="Arial"/>
          <w:sz w:val="22"/>
          <w:szCs w:val="22"/>
        </w:rPr>
        <w:t xml:space="preserve"> and </w:t>
      </w:r>
      <w:r w:rsidRPr="005A3931">
        <w:rPr>
          <w:rFonts w:ascii="Arial" w:hAnsi="Arial" w:cs="Arial"/>
          <w:sz w:val="22"/>
          <w:szCs w:val="22"/>
        </w:rPr>
        <w:t>previous registrations</w:t>
      </w:r>
      <w:r w:rsidR="0061760C">
        <w:rPr>
          <w:rFonts w:ascii="Arial" w:hAnsi="Arial" w:cs="Arial"/>
          <w:sz w:val="22"/>
          <w:szCs w:val="22"/>
        </w:rPr>
        <w:t>,</w:t>
      </w:r>
      <w:r w:rsidRPr="005A3931" w:rsidDel="00C71B12">
        <w:rPr>
          <w:rFonts w:ascii="Arial" w:hAnsi="Arial" w:cs="Arial"/>
          <w:sz w:val="22"/>
          <w:szCs w:val="22"/>
        </w:rPr>
        <w:t xml:space="preserve"> </w:t>
      </w:r>
      <w:r w:rsidR="00F24678">
        <w:rPr>
          <w:rFonts w:ascii="Arial" w:hAnsi="Arial" w:cs="Arial"/>
          <w:sz w:val="22"/>
          <w:szCs w:val="22"/>
        </w:rPr>
        <w:t xml:space="preserve">whether the registration was suspended or cancelled, </w:t>
      </w:r>
      <w:r>
        <w:rPr>
          <w:rFonts w:ascii="Arial" w:hAnsi="Arial" w:cs="Arial"/>
          <w:sz w:val="22"/>
          <w:szCs w:val="22"/>
        </w:rPr>
        <w:t xml:space="preserve">and will link to national data relating to NDIS worker </w:t>
      </w:r>
      <w:r w:rsidR="006116B3">
        <w:rPr>
          <w:rFonts w:ascii="Arial" w:hAnsi="Arial" w:cs="Arial"/>
          <w:sz w:val="22"/>
          <w:szCs w:val="22"/>
        </w:rPr>
        <w:t xml:space="preserve">screening </w:t>
      </w:r>
      <w:r>
        <w:rPr>
          <w:rFonts w:ascii="Arial" w:hAnsi="Arial" w:cs="Arial"/>
          <w:sz w:val="22"/>
          <w:szCs w:val="22"/>
        </w:rPr>
        <w:t xml:space="preserve">as well as working with children checks. </w:t>
      </w:r>
      <w:r w:rsidRPr="005A3931">
        <w:rPr>
          <w:rFonts w:ascii="Arial" w:hAnsi="Arial" w:cs="Arial"/>
          <w:sz w:val="22"/>
          <w:szCs w:val="22"/>
        </w:rPr>
        <w:t xml:space="preserve">Examples of the sources </w:t>
      </w:r>
      <w:r>
        <w:rPr>
          <w:rFonts w:ascii="Arial" w:hAnsi="Arial" w:cs="Arial"/>
          <w:sz w:val="22"/>
          <w:szCs w:val="22"/>
        </w:rPr>
        <w:t>of evidence which might be referred to in the process</w:t>
      </w:r>
      <w:r w:rsidRPr="005A3931">
        <w:rPr>
          <w:rFonts w:ascii="Arial" w:hAnsi="Arial" w:cs="Arial"/>
          <w:sz w:val="22"/>
          <w:szCs w:val="22"/>
        </w:rPr>
        <w:t xml:space="preserve"> are provided</w:t>
      </w:r>
      <w:r>
        <w:rPr>
          <w:rFonts w:ascii="Arial" w:hAnsi="Arial" w:cs="Arial"/>
          <w:sz w:val="22"/>
          <w:szCs w:val="22"/>
        </w:rPr>
        <w:t xml:space="preserve"> in these tables</w:t>
      </w:r>
      <w:r w:rsidRPr="005A3931">
        <w:rPr>
          <w:rFonts w:ascii="Arial" w:hAnsi="Arial" w:cs="Arial"/>
          <w:sz w:val="22"/>
          <w:szCs w:val="22"/>
        </w:rPr>
        <w:t xml:space="preserve">, but </w:t>
      </w:r>
      <w:r>
        <w:rPr>
          <w:rFonts w:ascii="Arial" w:hAnsi="Arial" w:cs="Arial"/>
          <w:sz w:val="22"/>
          <w:szCs w:val="22"/>
        </w:rPr>
        <w:t>this does</w:t>
      </w:r>
      <w:r w:rsidRPr="005A3931">
        <w:rPr>
          <w:rFonts w:ascii="Arial" w:hAnsi="Arial" w:cs="Arial"/>
          <w:sz w:val="22"/>
          <w:szCs w:val="22"/>
        </w:rPr>
        <w:t xml:space="preserve"> not limit the type </w:t>
      </w:r>
      <w:r w:rsidR="00F852D1">
        <w:rPr>
          <w:rFonts w:ascii="Arial" w:hAnsi="Arial" w:cs="Arial"/>
          <w:sz w:val="22"/>
          <w:szCs w:val="22"/>
        </w:rPr>
        <w:t xml:space="preserve">or source </w:t>
      </w:r>
      <w:r w:rsidRPr="005A3931">
        <w:rPr>
          <w:rFonts w:ascii="Arial" w:hAnsi="Arial" w:cs="Arial"/>
          <w:sz w:val="22"/>
          <w:szCs w:val="22"/>
        </w:rPr>
        <w:t>of information that may be obtained and/or provided</w:t>
      </w:r>
      <w:r w:rsidR="00F852D1">
        <w:rPr>
          <w:rFonts w:ascii="Arial" w:hAnsi="Arial" w:cs="Arial"/>
          <w:sz w:val="22"/>
          <w:szCs w:val="22"/>
        </w:rPr>
        <w:t xml:space="preserve"> and considered in the process</w:t>
      </w:r>
      <w:r w:rsidRPr="005A3931">
        <w:rPr>
          <w:rFonts w:ascii="Arial" w:hAnsi="Arial" w:cs="Arial"/>
          <w:sz w:val="22"/>
          <w:szCs w:val="22"/>
        </w:rPr>
        <w:t xml:space="preserve">.  </w:t>
      </w:r>
    </w:p>
    <w:p w14:paraId="0082CADA" w14:textId="540B5BBF" w:rsidR="00403E2F" w:rsidRPr="005A3931" w:rsidRDefault="003A7090" w:rsidP="00B416E7">
      <w:pPr>
        <w:spacing w:before="120" w:after="120"/>
        <w:rPr>
          <w:rFonts w:ascii="Arial" w:hAnsi="Arial" w:cs="Arial"/>
          <w:sz w:val="22"/>
          <w:szCs w:val="22"/>
        </w:rPr>
      </w:pPr>
      <w:r w:rsidRPr="005A3931">
        <w:rPr>
          <w:rFonts w:ascii="Arial" w:hAnsi="Arial" w:cs="Arial"/>
          <w:sz w:val="22"/>
          <w:szCs w:val="22"/>
        </w:rPr>
        <w:lastRenderedPageBreak/>
        <w:t>A</w:t>
      </w:r>
      <w:r w:rsidR="003B4F95" w:rsidRPr="005A3931">
        <w:rPr>
          <w:rFonts w:ascii="Arial" w:hAnsi="Arial" w:cs="Arial"/>
          <w:sz w:val="22"/>
          <w:szCs w:val="22"/>
        </w:rPr>
        <w:t xml:space="preserve"> relative weighting is given to each factor</w:t>
      </w:r>
      <w:r w:rsidRPr="005A3931">
        <w:rPr>
          <w:rFonts w:ascii="Arial" w:hAnsi="Arial" w:cs="Arial"/>
          <w:sz w:val="22"/>
          <w:szCs w:val="22"/>
        </w:rPr>
        <w:t xml:space="preserve"> </w:t>
      </w:r>
      <w:r w:rsidR="00C71B12">
        <w:rPr>
          <w:rFonts w:ascii="Arial" w:hAnsi="Arial" w:cs="Arial"/>
          <w:sz w:val="22"/>
          <w:szCs w:val="22"/>
        </w:rPr>
        <w:t xml:space="preserve">which may be linked </w:t>
      </w:r>
      <w:r w:rsidR="00C04138">
        <w:rPr>
          <w:rFonts w:ascii="Arial" w:hAnsi="Arial" w:cs="Arial"/>
          <w:sz w:val="22"/>
          <w:szCs w:val="22"/>
        </w:rPr>
        <w:t xml:space="preserve">to </w:t>
      </w:r>
      <w:r w:rsidR="00567C8D">
        <w:rPr>
          <w:rFonts w:ascii="Arial" w:hAnsi="Arial" w:cs="Arial"/>
          <w:sz w:val="22"/>
          <w:szCs w:val="22"/>
        </w:rPr>
        <w:t xml:space="preserve">contemporary thinking in relation to </w:t>
      </w:r>
      <w:r w:rsidRPr="005A3931">
        <w:rPr>
          <w:rFonts w:ascii="Arial" w:hAnsi="Arial" w:cs="Arial"/>
          <w:sz w:val="22"/>
          <w:szCs w:val="22"/>
        </w:rPr>
        <w:t>recidivism and risk factors</w:t>
      </w:r>
      <w:r w:rsidR="009729FF" w:rsidRPr="005A3931">
        <w:rPr>
          <w:rFonts w:ascii="Arial" w:hAnsi="Arial" w:cs="Arial"/>
          <w:sz w:val="22"/>
          <w:szCs w:val="22"/>
        </w:rPr>
        <w:t xml:space="preserve"> for harm against children</w:t>
      </w:r>
      <w:r w:rsidR="003B4F95" w:rsidRPr="005A3931">
        <w:rPr>
          <w:rFonts w:ascii="Arial" w:hAnsi="Arial" w:cs="Arial"/>
          <w:sz w:val="22"/>
          <w:szCs w:val="22"/>
        </w:rPr>
        <w:t xml:space="preserve">.  </w:t>
      </w:r>
      <w:r w:rsidR="003637FC" w:rsidRPr="005A3931">
        <w:rPr>
          <w:rFonts w:ascii="Arial" w:hAnsi="Arial" w:cs="Arial"/>
          <w:sz w:val="22"/>
          <w:szCs w:val="22"/>
        </w:rPr>
        <w:t>While there is substantial research on risk factors for sexual offences and abuse of children, comprehensive data on the incidence and risk factors of harm to disadvantaged adults</w:t>
      </w:r>
      <w:r w:rsidR="00403E2F" w:rsidRPr="005A3931">
        <w:rPr>
          <w:rFonts w:ascii="Arial" w:hAnsi="Arial" w:cs="Arial"/>
          <w:sz w:val="22"/>
          <w:szCs w:val="22"/>
        </w:rPr>
        <w:t xml:space="preserve"> is lacking – particularly given the breadth of the definition of disadvantaged adults. </w:t>
      </w:r>
    </w:p>
    <w:p w14:paraId="34ACCEFC" w14:textId="730B8B10" w:rsidR="009729FF" w:rsidRDefault="00403E2F" w:rsidP="00B416E7">
      <w:pPr>
        <w:spacing w:before="120" w:after="120"/>
        <w:rPr>
          <w:rFonts w:ascii="Arial" w:hAnsi="Arial" w:cs="Arial"/>
          <w:sz w:val="22"/>
          <w:szCs w:val="22"/>
        </w:rPr>
      </w:pPr>
      <w:r w:rsidRPr="005A3931">
        <w:rPr>
          <w:rFonts w:ascii="Arial" w:hAnsi="Arial" w:cs="Arial"/>
          <w:sz w:val="22"/>
          <w:szCs w:val="22"/>
        </w:rPr>
        <w:t>It is for this reason that no definitive cut-offs are given for defining a person’s level of risk.  Each person’s unique combination of background and mitigating factors (including prospective or actual employment role) will change how risk is considered in their circumstances, and hence the likely outcome.</w:t>
      </w:r>
      <w:r w:rsidR="00567C8D">
        <w:rPr>
          <w:rFonts w:ascii="Arial" w:hAnsi="Arial" w:cs="Arial"/>
          <w:sz w:val="22"/>
          <w:szCs w:val="22"/>
        </w:rPr>
        <w:t xml:space="preserve"> It should be noted that decision makers for the purposes of risk assessment outcomes will keep the paramount consideration of the Act at the forefront of thinking.</w:t>
      </w:r>
    </w:p>
    <w:p w14:paraId="1995AAEE" w14:textId="7559A47B" w:rsidR="00E75F0F" w:rsidRPr="00AF2998" w:rsidRDefault="00E75F0F" w:rsidP="00C362BB">
      <w:pPr>
        <w:rPr>
          <w:rFonts w:ascii="Arial" w:hAnsi="Arial" w:cs="Arial"/>
          <w:sz w:val="22"/>
          <w:szCs w:val="22"/>
        </w:rPr>
      </w:pPr>
      <w:r>
        <w:rPr>
          <w:rFonts w:ascii="Arial" w:hAnsi="Arial" w:cs="Arial"/>
          <w:sz w:val="22"/>
          <w:szCs w:val="22"/>
        </w:rPr>
        <w:t xml:space="preserve">The end result of this process is to </w:t>
      </w:r>
      <w:r w:rsidR="00D62BB9">
        <w:rPr>
          <w:rFonts w:ascii="Arial" w:hAnsi="Arial" w:cs="Arial"/>
          <w:sz w:val="22"/>
          <w:szCs w:val="22"/>
        </w:rPr>
        <w:t xml:space="preserve">firstly </w:t>
      </w:r>
      <w:r>
        <w:rPr>
          <w:rFonts w:ascii="Arial" w:hAnsi="Arial" w:cs="Arial"/>
          <w:sz w:val="22"/>
          <w:szCs w:val="22"/>
        </w:rPr>
        <w:t>determine the level of risk posed by an applicant</w:t>
      </w:r>
      <w:r w:rsidR="00D62BB9">
        <w:rPr>
          <w:rFonts w:ascii="Arial" w:hAnsi="Arial" w:cs="Arial"/>
          <w:sz w:val="22"/>
          <w:szCs w:val="22"/>
        </w:rPr>
        <w:t>, particularly</w:t>
      </w:r>
      <w:r>
        <w:rPr>
          <w:rFonts w:ascii="Arial" w:hAnsi="Arial" w:cs="Arial"/>
          <w:sz w:val="22"/>
          <w:szCs w:val="22"/>
        </w:rPr>
        <w:t xml:space="preserve"> whether or not the applicant poses an </w:t>
      </w:r>
      <w:r w:rsidRPr="000C2210">
        <w:rPr>
          <w:rFonts w:ascii="Arial" w:hAnsi="Arial" w:cs="Arial"/>
          <w:i/>
          <w:iCs/>
          <w:sz w:val="22"/>
          <w:szCs w:val="22"/>
        </w:rPr>
        <w:t>unacceptable risk of harm</w:t>
      </w:r>
      <w:r>
        <w:rPr>
          <w:rFonts w:ascii="Arial" w:hAnsi="Arial" w:cs="Arial"/>
          <w:sz w:val="22"/>
          <w:szCs w:val="22"/>
        </w:rPr>
        <w:t xml:space="preserve"> to vulnerable peopl</w:t>
      </w:r>
      <w:r w:rsidR="00D62BB9">
        <w:rPr>
          <w:rFonts w:ascii="Arial" w:hAnsi="Arial" w:cs="Arial"/>
          <w:sz w:val="22"/>
          <w:szCs w:val="22"/>
        </w:rPr>
        <w:t xml:space="preserve">e and also to, where appropriate, </w:t>
      </w:r>
      <w:r w:rsidR="001A262D">
        <w:rPr>
          <w:rFonts w:ascii="Arial" w:hAnsi="Arial" w:cs="Arial"/>
          <w:sz w:val="22"/>
          <w:szCs w:val="22"/>
        </w:rPr>
        <w:t xml:space="preserve">determine whether or not </w:t>
      </w:r>
      <w:r w:rsidR="00567C8D">
        <w:rPr>
          <w:rFonts w:ascii="Arial" w:hAnsi="Arial" w:cs="Arial"/>
          <w:sz w:val="22"/>
          <w:szCs w:val="22"/>
        </w:rPr>
        <w:t xml:space="preserve">restrictions </w:t>
      </w:r>
      <w:r w:rsidR="001A262D">
        <w:rPr>
          <w:rFonts w:ascii="Arial" w:hAnsi="Arial" w:cs="Arial"/>
          <w:sz w:val="22"/>
          <w:szCs w:val="22"/>
        </w:rPr>
        <w:t>need to be imposed on the registration in order to address the identified level of risk</w:t>
      </w:r>
      <w:r w:rsidR="00D62BB9">
        <w:rPr>
          <w:rFonts w:ascii="Arial" w:hAnsi="Arial" w:cs="Arial"/>
          <w:sz w:val="22"/>
          <w:szCs w:val="22"/>
        </w:rPr>
        <w:t xml:space="preserve">. </w:t>
      </w:r>
      <w:r>
        <w:rPr>
          <w:rFonts w:ascii="Arial" w:hAnsi="Arial" w:cs="Arial"/>
          <w:sz w:val="22"/>
          <w:szCs w:val="22"/>
        </w:rPr>
        <w:t xml:space="preserve"> In considering this, the Commissioner </w:t>
      </w:r>
      <w:r w:rsidR="00AF2998">
        <w:rPr>
          <w:rFonts w:ascii="Arial" w:hAnsi="Arial" w:cs="Arial"/>
          <w:sz w:val="22"/>
          <w:szCs w:val="22"/>
        </w:rPr>
        <w:t xml:space="preserve">adopts observations from </w:t>
      </w:r>
      <w:r w:rsidR="008913F2">
        <w:rPr>
          <w:rFonts w:ascii="Arial" w:hAnsi="Arial" w:cs="Arial"/>
          <w:sz w:val="22"/>
          <w:szCs w:val="22"/>
        </w:rPr>
        <w:t>a decision of the Victorian Supreme Court</w:t>
      </w:r>
      <w:r w:rsidR="008913F2">
        <w:rPr>
          <w:rStyle w:val="FootnoteReference"/>
          <w:rFonts w:ascii="Arial" w:hAnsi="Arial"/>
          <w:sz w:val="22"/>
          <w:szCs w:val="22"/>
        </w:rPr>
        <w:footnoteReference w:id="2"/>
      </w:r>
      <w:r>
        <w:rPr>
          <w:rFonts w:ascii="Arial" w:hAnsi="Arial" w:cs="Arial"/>
          <w:sz w:val="22"/>
          <w:szCs w:val="22"/>
        </w:rPr>
        <w:t xml:space="preserve"> </w:t>
      </w:r>
      <w:r w:rsidR="008913F2">
        <w:rPr>
          <w:rFonts w:ascii="Arial" w:hAnsi="Arial" w:cs="Arial"/>
          <w:sz w:val="22"/>
          <w:szCs w:val="22"/>
        </w:rPr>
        <w:t xml:space="preserve">in which </w:t>
      </w:r>
      <w:r w:rsidR="00AF2998">
        <w:rPr>
          <w:rFonts w:ascii="Arial" w:hAnsi="Arial" w:cs="Arial"/>
          <w:sz w:val="22"/>
          <w:szCs w:val="22"/>
        </w:rPr>
        <w:t>that</w:t>
      </w:r>
      <w:r w:rsidR="008913F2">
        <w:rPr>
          <w:rFonts w:ascii="Arial" w:hAnsi="Arial" w:cs="Arial"/>
          <w:sz w:val="22"/>
          <w:szCs w:val="22"/>
        </w:rPr>
        <w:t xml:space="preserve"> </w:t>
      </w:r>
      <w:r w:rsidR="00AF2998">
        <w:rPr>
          <w:rFonts w:ascii="Arial" w:hAnsi="Arial" w:cs="Arial"/>
          <w:sz w:val="22"/>
          <w:szCs w:val="22"/>
        </w:rPr>
        <w:t>C</w:t>
      </w:r>
      <w:r w:rsidR="008913F2">
        <w:rPr>
          <w:rFonts w:ascii="Arial" w:hAnsi="Arial" w:cs="Arial"/>
          <w:sz w:val="22"/>
          <w:szCs w:val="22"/>
        </w:rPr>
        <w:t xml:space="preserve">ourt </w:t>
      </w:r>
      <w:r w:rsidR="00AF2998">
        <w:rPr>
          <w:rFonts w:ascii="Arial" w:hAnsi="Arial" w:cs="Arial"/>
          <w:sz w:val="22"/>
          <w:szCs w:val="22"/>
        </w:rPr>
        <w:t>reasoned</w:t>
      </w:r>
      <w:r w:rsidR="008913F2">
        <w:rPr>
          <w:rFonts w:ascii="Arial" w:hAnsi="Arial" w:cs="Arial"/>
          <w:sz w:val="22"/>
          <w:szCs w:val="22"/>
        </w:rPr>
        <w:t xml:space="preserve"> that </w:t>
      </w:r>
      <w:r w:rsidR="00AF2998">
        <w:rPr>
          <w:rFonts w:ascii="Arial" w:hAnsi="Arial" w:cs="Arial"/>
          <w:sz w:val="22"/>
          <w:szCs w:val="22"/>
        </w:rPr>
        <w:t>the term ‘</w:t>
      </w:r>
      <w:r w:rsidR="00AF2998">
        <w:rPr>
          <w:rFonts w:ascii="Arial" w:hAnsi="Arial" w:cs="Arial"/>
          <w:i/>
          <w:iCs/>
          <w:sz w:val="22"/>
          <w:szCs w:val="22"/>
        </w:rPr>
        <w:t>unacceptable risk’</w:t>
      </w:r>
      <w:r w:rsidR="00AF2998">
        <w:rPr>
          <w:rFonts w:ascii="Arial" w:hAnsi="Arial" w:cs="Arial"/>
          <w:sz w:val="22"/>
          <w:szCs w:val="22"/>
        </w:rPr>
        <w:t xml:space="preserve"> is established if </w:t>
      </w:r>
      <w:r w:rsidR="00AF2998">
        <w:rPr>
          <w:rFonts w:ascii="Arial" w:hAnsi="Arial" w:cs="Arial"/>
          <w:i/>
          <w:iCs/>
          <w:sz w:val="22"/>
          <w:szCs w:val="22"/>
        </w:rPr>
        <w:t xml:space="preserve">“there is </w:t>
      </w:r>
      <w:r w:rsidR="00AD6400">
        <w:rPr>
          <w:rFonts w:ascii="Arial" w:hAnsi="Arial" w:cs="Arial"/>
          <w:i/>
          <w:iCs/>
          <w:sz w:val="22"/>
          <w:szCs w:val="22"/>
        </w:rPr>
        <w:t>a</w:t>
      </w:r>
      <w:r w:rsidR="00AF2998">
        <w:rPr>
          <w:rFonts w:ascii="Arial" w:hAnsi="Arial" w:cs="Arial"/>
          <w:i/>
          <w:iCs/>
          <w:sz w:val="22"/>
          <w:szCs w:val="22"/>
        </w:rPr>
        <w:t xml:space="preserve"> </w:t>
      </w:r>
      <w:r w:rsidR="00AD6400">
        <w:rPr>
          <w:rFonts w:ascii="Arial" w:hAnsi="Arial" w:cs="Arial"/>
          <w:i/>
          <w:iCs/>
          <w:sz w:val="22"/>
          <w:szCs w:val="22"/>
        </w:rPr>
        <w:t>sufficient</w:t>
      </w:r>
      <w:r w:rsidR="00AF2998">
        <w:rPr>
          <w:rFonts w:ascii="Arial" w:hAnsi="Arial" w:cs="Arial"/>
          <w:i/>
          <w:iCs/>
          <w:sz w:val="22"/>
          <w:szCs w:val="22"/>
        </w:rPr>
        <w:t xml:space="preserve"> likelihood of the occurrence of the risk which, having regard to all relevant circumstances, make it unacceptable.”</w:t>
      </w:r>
      <w:r w:rsidR="00AF2998">
        <w:rPr>
          <w:rStyle w:val="FootnoteReference"/>
          <w:rFonts w:ascii="Arial" w:hAnsi="Arial"/>
          <w:i/>
          <w:iCs/>
          <w:sz w:val="22"/>
          <w:szCs w:val="22"/>
        </w:rPr>
        <w:footnoteReference w:id="3"/>
      </w:r>
      <w:r w:rsidR="00AD6400" w:rsidRPr="00AD6400">
        <w:t xml:space="preserve"> </w:t>
      </w:r>
      <w:r w:rsidR="00AD6400">
        <w:t xml:space="preserve"> </w:t>
      </w:r>
      <w:r w:rsidR="00AD6400" w:rsidRPr="000C2210">
        <w:rPr>
          <w:rFonts w:ascii="Arial" w:hAnsi="Arial" w:cs="Arial"/>
          <w:sz w:val="22"/>
          <w:szCs w:val="22"/>
        </w:rPr>
        <w:t xml:space="preserve">Further to this, the risk assessment process also adopts the observation from the same </w:t>
      </w:r>
      <w:r w:rsidR="00F852D1">
        <w:rPr>
          <w:rFonts w:ascii="Arial" w:hAnsi="Arial" w:cs="Arial"/>
          <w:sz w:val="22"/>
          <w:szCs w:val="22"/>
        </w:rPr>
        <w:t>case in</w:t>
      </w:r>
      <w:r w:rsidR="00AD6400" w:rsidRPr="000C2210">
        <w:rPr>
          <w:rFonts w:ascii="Arial" w:hAnsi="Arial" w:cs="Arial"/>
          <w:sz w:val="22"/>
          <w:szCs w:val="22"/>
        </w:rPr>
        <w:t xml:space="preserve"> that </w:t>
      </w:r>
      <w:r w:rsidR="00AD6400" w:rsidRPr="000C2210">
        <w:rPr>
          <w:rFonts w:ascii="Arial" w:hAnsi="Arial" w:cs="Arial"/>
          <w:i/>
          <w:iCs/>
          <w:sz w:val="22"/>
          <w:szCs w:val="22"/>
        </w:rPr>
        <w:t>“Whether a risk is unacceptable will depend not only upon the likelihood of it becoming reality but also on the seriousness of the consequences if it does.”</w:t>
      </w:r>
      <w:r w:rsidR="00AD6400">
        <w:rPr>
          <w:rStyle w:val="FootnoteReference"/>
          <w:rFonts w:ascii="Arial" w:hAnsi="Arial"/>
          <w:sz w:val="22"/>
          <w:szCs w:val="22"/>
        </w:rPr>
        <w:footnoteReference w:id="4"/>
      </w:r>
      <w:r w:rsidR="00AD6400">
        <w:rPr>
          <w:rFonts w:ascii="Arial" w:hAnsi="Arial" w:cs="Arial"/>
          <w:sz w:val="22"/>
          <w:szCs w:val="22"/>
        </w:rPr>
        <w:t xml:space="preserve"> This latter point </w:t>
      </w:r>
      <w:r w:rsidR="0081365F">
        <w:rPr>
          <w:rFonts w:ascii="Arial" w:hAnsi="Arial" w:cs="Arial"/>
          <w:sz w:val="22"/>
          <w:szCs w:val="22"/>
        </w:rPr>
        <w:t>reflects that it is the nature of the</w:t>
      </w:r>
      <w:r w:rsidR="00F852D1">
        <w:rPr>
          <w:rFonts w:ascii="Arial" w:hAnsi="Arial" w:cs="Arial"/>
          <w:sz w:val="22"/>
          <w:szCs w:val="22"/>
        </w:rPr>
        <w:t xml:space="preserve"> potential</w:t>
      </w:r>
      <w:r w:rsidR="0081365F">
        <w:rPr>
          <w:rFonts w:ascii="Arial" w:hAnsi="Arial" w:cs="Arial"/>
          <w:sz w:val="22"/>
          <w:szCs w:val="22"/>
        </w:rPr>
        <w:t xml:space="preserve"> consequences that might elevate the r</w:t>
      </w:r>
      <w:r w:rsidR="00AD6400">
        <w:rPr>
          <w:rFonts w:ascii="Arial" w:hAnsi="Arial" w:cs="Arial"/>
          <w:sz w:val="22"/>
          <w:szCs w:val="22"/>
        </w:rPr>
        <w:t>is</w:t>
      </w:r>
      <w:r w:rsidR="0081365F">
        <w:rPr>
          <w:rFonts w:ascii="Arial" w:hAnsi="Arial" w:cs="Arial"/>
          <w:sz w:val="22"/>
          <w:szCs w:val="22"/>
        </w:rPr>
        <w:t>k level. This is</w:t>
      </w:r>
      <w:r w:rsidR="00AD6400">
        <w:rPr>
          <w:rFonts w:ascii="Arial" w:hAnsi="Arial" w:cs="Arial"/>
          <w:sz w:val="22"/>
          <w:szCs w:val="22"/>
        </w:rPr>
        <w:t xml:space="preserve"> consistent with the approach adopted by the Risk Standard in so far as a risk can become unacceptable</w:t>
      </w:r>
      <w:r w:rsidR="001535C5">
        <w:rPr>
          <w:rFonts w:ascii="Arial" w:hAnsi="Arial" w:cs="Arial"/>
          <w:sz w:val="22"/>
          <w:szCs w:val="22"/>
        </w:rPr>
        <w:t xml:space="preserve"> where consequences are serious,</w:t>
      </w:r>
      <w:r w:rsidR="00AD6400">
        <w:rPr>
          <w:rFonts w:ascii="Arial" w:hAnsi="Arial" w:cs="Arial"/>
          <w:sz w:val="22"/>
          <w:szCs w:val="22"/>
        </w:rPr>
        <w:t xml:space="preserve"> even if </w:t>
      </w:r>
      <w:r w:rsidR="0081365F">
        <w:rPr>
          <w:rFonts w:ascii="Arial" w:hAnsi="Arial" w:cs="Arial"/>
          <w:sz w:val="22"/>
          <w:szCs w:val="22"/>
        </w:rPr>
        <w:t>the</w:t>
      </w:r>
      <w:r w:rsidR="00AD6400">
        <w:rPr>
          <w:rFonts w:ascii="Arial" w:hAnsi="Arial" w:cs="Arial"/>
          <w:sz w:val="22"/>
          <w:szCs w:val="22"/>
        </w:rPr>
        <w:t xml:space="preserve"> likelihood </w:t>
      </w:r>
      <w:r w:rsidR="0081365F">
        <w:rPr>
          <w:rFonts w:ascii="Arial" w:hAnsi="Arial" w:cs="Arial"/>
          <w:sz w:val="22"/>
          <w:szCs w:val="22"/>
        </w:rPr>
        <w:t>is low or infrequent.</w:t>
      </w:r>
    </w:p>
    <w:p w14:paraId="298071CD" w14:textId="01CAE5E8" w:rsidR="000574BB" w:rsidRPr="005A3931" w:rsidRDefault="00EF0D85" w:rsidP="00B416E7">
      <w:pPr>
        <w:spacing w:before="120" w:after="120"/>
        <w:rPr>
          <w:rFonts w:ascii="Arial" w:hAnsi="Arial" w:cs="Arial"/>
          <w:sz w:val="22"/>
          <w:szCs w:val="22"/>
        </w:rPr>
      </w:pPr>
      <w:r w:rsidRPr="005A3931">
        <w:rPr>
          <w:rFonts w:ascii="Arial" w:hAnsi="Arial" w:cs="Arial"/>
          <w:sz w:val="22"/>
          <w:szCs w:val="22"/>
        </w:rPr>
        <w:t xml:space="preserve">The </w:t>
      </w:r>
      <w:r w:rsidR="00154C5D">
        <w:rPr>
          <w:rFonts w:ascii="Arial" w:hAnsi="Arial" w:cs="Arial"/>
          <w:sz w:val="22"/>
          <w:szCs w:val="22"/>
        </w:rPr>
        <w:t xml:space="preserve">risk </w:t>
      </w:r>
      <w:r w:rsidR="0061760C">
        <w:rPr>
          <w:rFonts w:ascii="Arial" w:hAnsi="Arial" w:cs="Arial"/>
          <w:sz w:val="22"/>
          <w:szCs w:val="22"/>
        </w:rPr>
        <w:t>rating table</w:t>
      </w:r>
      <w:r w:rsidR="00154C5D">
        <w:rPr>
          <w:rFonts w:ascii="Arial" w:hAnsi="Arial" w:cs="Arial"/>
          <w:sz w:val="22"/>
          <w:szCs w:val="22"/>
        </w:rPr>
        <w:t xml:space="preserve"> which is included as part of Table 5 of the Guidelines</w:t>
      </w:r>
      <w:r w:rsidRPr="005A3931">
        <w:rPr>
          <w:rFonts w:ascii="Arial" w:hAnsi="Arial" w:cs="Arial"/>
          <w:sz w:val="22"/>
          <w:szCs w:val="22"/>
        </w:rPr>
        <w:t xml:space="preserve"> identifies the </w:t>
      </w:r>
      <w:r w:rsidR="0044252C" w:rsidRPr="005A3931">
        <w:rPr>
          <w:rFonts w:ascii="Arial" w:hAnsi="Arial" w:cs="Arial"/>
          <w:sz w:val="22"/>
          <w:szCs w:val="22"/>
        </w:rPr>
        <w:t xml:space="preserve">registration outcome based on the </w:t>
      </w:r>
      <w:r w:rsidRPr="005A3931">
        <w:rPr>
          <w:rFonts w:ascii="Arial" w:hAnsi="Arial" w:cs="Arial"/>
          <w:sz w:val="22"/>
          <w:szCs w:val="22"/>
        </w:rPr>
        <w:t xml:space="preserve">level </w:t>
      </w:r>
      <w:r w:rsidR="0044252C" w:rsidRPr="005A3931">
        <w:rPr>
          <w:rFonts w:ascii="Arial" w:hAnsi="Arial" w:cs="Arial"/>
          <w:sz w:val="22"/>
          <w:szCs w:val="22"/>
        </w:rPr>
        <w:t xml:space="preserve">of risk assessed.  </w:t>
      </w:r>
      <w:r w:rsidR="009A1729" w:rsidRPr="005A3931">
        <w:rPr>
          <w:rFonts w:ascii="Arial" w:hAnsi="Arial" w:cs="Arial"/>
          <w:sz w:val="22"/>
          <w:szCs w:val="22"/>
        </w:rPr>
        <w:t xml:space="preserve">Very low and low risk applicants will </w:t>
      </w:r>
      <w:r w:rsidR="0061760C">
        <w:rPr>
          <w:rFonts w:ascii="Arial" w:hAnsi="Arial" w:cs="Arial"/>
          <w:sz w:val="22"/>
          <w:szCs w:val="22"/>
        </w:rPr>
        <w:t xml:space="preserve">likely </w:t>
      </w:r>
      <w:r w:rsidR="009A1729" w:rsidRPr="005A3931">
        <w:rPr>
          <w:rFonts w:ascii="Arial" w:hAnsi="Arial" w:cs="Arial"/>
          <w:sz w:val="22"/>
          <w:szCs w:val="22"/>
        </w:rPr>
        <w:t xml:space="preserve">receive </w:t>
      </w:r>
      <w:r w:rsidR="003570A4">
        <w:rPr>
          <w:rFonts w:ascii="Arial" w:hAnsi="Arial" w:cs="Arial"/>
          <w:sz w:val="22"/>
          <w:szCs w:val="22"/>
        </w:rPr>
        <w:t>positive</w:t>
      </w:r>
      <w:r w:rsidR="003570A4" w:rsidRPr="005A3931">
        <w:rPr>
          <w:rFonts w:ascii="Arial" w:hAnsi="Arial" w:cs="Arial"/>
          <w:sz w:val="22"/>
          <w:szCs w:val="22"/>
        </w:rPr>
        <w:t xml:space="preserve"> </w:t>
      </w:r>
      <w:r w:rsidR="009A1729" w:rsidRPr="005A3931">
        <w:rPr>
          <w:rFonts w:ascii="Arial" w:hAnsi="Arial" w:cs="Arial"/>
          <w:sz w:val="22"/>
          <w:szCs w:val="22"/>
        </w:rPr>
        <w:t xml:space="preserve">registration.  </w:t>
      </w:r>
      <w:r w:rsidR="00327FB3" w:rsidRPr="005A3931">
        <w:rPr>
          <w:rFonts w:ascii="Arial" w:hAnsi="Arial" w:cs="Arial"/>
          <w:sz w:val="22"/>
          <w:szCs w:val="22"/>
        </w:rPr>
        <w:t>The Guidelines identify that where</w:t>
      </w:r>
      <w:r w:rsidR="007A24FC" w:rsidRPr="005A3931">
        <w:rPr>
          <w:rFonts w:ascii="Arial" w:hAnsi="Arial" w:cs="Arial"/>
          <w:sz w:val="22"/>
          <w:szCs w:val="22"/>
        </w:rPr>
        <w:t xml:space="preserve"> </w:t>
      </w:r>
      <w:r w:rsidR="00AA0296" w:rsidRPr="005A3931">
        <w:rPr>
          <w:rFonts w:ascii="Arial" w:hAnsi="Arial" w:cs="Arial"/>
          <w:sz w:val="22"/>
          <w:szCs w:val="22"/>
        </w:rPr>
        <w:t xml:space="preserve">a </w:t>
      </w:r>
      <w:r w:rsidR="007A24FC" w:rsidRPr="005A3931">
        <w:rPr>
          <w:rFonts w:ascii="Arial" w:hAnsi="Arial" w:cs="Arial"/>
          <w:sz w:val="22"/>
          <w:szCs w:val="22"/>
        </w:rPr>
        <w:t>m</w:t>
      </w:r>
      <w:r w:rsidR="00AA0296" w:rsidRPr="005A3931">
        <w:rPr>
          <w:rFonts w:ascii="Arial" w:hAnsi="Arial" w:cs="Arial"/>
          <w:sz w:val="22"/>
          <w:szCs w:val="22"/>
        </w:rPr>
        <w:t xml:space="preserve">oderate </w:t>
      </w:r>
      <w:r w:rsidR="007A24FC" w:rsidRPr="005A3931">
        <w:rPr>
          <w:rFonts w:ascii="Arial" w:hAnsi="Arial" w:cs="Arial"/>
          <w:sz w:val="22"/>
          <w:szCs w:val="22"/>
        </w:rPr>
        <w:t>or high</w:t>
      </w:r>
      <w:r w:rsidR="00327FB3" w:rsidRPr="005A3931">
        <w:rPr>
          <w:rFonts w:ascii="Arial" w:hAnsi="Arial" w:cs="Arial"/>
          <w:sz w:val="22"/>
          <w:szCs w:val="22"/>
        </w:rPr>
        <w:t xml:space="preserve"> </w:t>
      </w:r>
      <w:r w:rsidR="00AA0296" w:rsidRPr="005A3931">
        <w:rPr>
          <w:rFonts w:ascii="Arial" w:hAnsi="Arial" w:cs="Arial"/>
          <w:sz w:val="22"/>
          <w:szCs w:val="22"/>
        </w:rPr>
        <w:t xml:space="preserve">level of </w:t>
      </w:r>
      <w:r w:rsidR="00327FB3" w:rsidRPr="005A3931">
        <w:rPr>
          <w:rFonts w:ascii="Arial" w:hAnsi="Arial" w:cs="Arial"/>
          <w:sz w:val="22"/>
          <w:szCs w:val="22"/>
        </w:rPr>
        <w:t xml:space="preserve">risk exists, </w:t>
      </w:r>
      <w:r w:rsidR="007A24FC" w:rsidRPr="005A3931">
        <w:rPr>
          <w:rFonts w:ascii="Arial" w:hAnsi="Arial" w:cs="Arial"/>
          <w:sz w:val="22"/>
          <w:szCs w:val="22"/>
        </w:rPr>
        <w:t xml:space="preserve">mitigation (in the form of </w:t>
      </w:r>
      <w:r w:rsidR="003570A4">
        <w:rPr>
          <w:rFonts w:ascii="Arial" w:hAnsi="Arial" w:cs="Arial"/>
          <w:sz w:val="22"/>
          <w:szCs w:val="22"/>
        </w:rPr>
        <w:t>restrictions including a</w:t>
      </w:r>
      <w:r w:rsidR="007A24FC" w:rsidRPr="005A3931">
        <w:rPr>
          <w:rFonts w:ascii="Arial" w:hAnsi="Arial" w:cs="Arial"/>
          <w:sz w:val="22"/>
          <w:szCs w:val="22"/>
        </w:rPr>
        <w:t xml:space="preserve"> role-based registration) is</w:t>
      </w:r>
      <w:r w:rsidR="0061760C">
        <w:rPr>
          <w:rFonts w:ascii="Arial" w:hAnsi="Arial" w:cs="Arial"/>
          <w:sz w:val="22"/>
          <w:szCs w:val="22"/>
        </w:rPr>
        <w:t xml:space="preserve"> likely</w:t>
      </w:r>
      <w:r w:rsidR="007A24FC" w:rsidRPr="005A3931">
        <w:rPr>
          <w:rFonts w:ascii="Arial" w:hAnsi="Arial" w:cs="Arial"/>
          <w:sz w:val="22"/>
          <w:szCs w:val="22"/>
        </w:rPr>
        <w:t xml:space="preserve"> required.  Critical risks are unacceptable and will </w:t>
      </w:r>
      <w:r w:rsidR="0061760C">
        <w:rPr>
          <w:rFonts w:ascii="Arial" w:hAnsi="Arial" w:cs="Arial"/>
          <w:sz w:val="22"/>
          <w:szCs w:val="22"/>
        </w:rPr>
        <w:t xml:space="preserve">likely </w:t>
      </w:r>
      <w:r w:rsidR="007A24FC" w:rsidRPr="005A3931">
        <w:rPr>
          <w:rFonts w:ascii="Arial" w:hAnsi="Arial" w:cs="Arial"/>
          <w:sz w:val="22"/>
          <w:szCs w:val="22"/>
        </w:rPr>
        <w:t>result in a negative notice.</w:t>
      </w:r>
    </w:p>
    <w:p w14:paraId="3F9A8CE1" w14:textId="41013A99" w:rsidR="00CD75C1" w:rsidRPr="005A3931" w:rsidRDefault="009D41CE" w:rsidP="00B416E7">
      <w:pPr>
        <w:spacing w:before="120" w:after="120"/>
        <w:rPr>
          <w:rFonts w:ascii="Arial" w:hAnsi="Arial" w:cs="Arial"/>
          <w:sz w:val="22"/>
          <w:szCs w:val="22"/>
        </w:rPr>
      </w:pPr>
      <w:r w:rsidRPr="005A3931">
        <w:rPr>
          <w:rFonts w:ascii="Arial" w:hAnsi="Arial" w:cs="Arial"/>
          <w:sz w:val="22"/>
          <w:szCs w:val="22"/>
        </w:rPr>
        <w:t xml:space="preserve">Procedural fairness, or natural justice, is a core aspect of the </w:t>
      </w:r>
      <w:r w:rsidR="009A1729" w:rsidRPr="005A3931">
        <w:rPr>
          <w:rFonts w:ascii="Arial" w:hAnsi="Arial" w:cs="Arial"/>
          <w:sz w:val="22"/>
          <w:szCs w:val="22"/>
        </w:rPr>
        <w:t xml:space="preserve">Guidelines’ </w:t>
      </w:r>
      <w:r w:rsidR="00C362BB" w:rsidRPr="005A3931">
        <w:rPr>
          <w:rFonts w:ascii="Arial" w:hAnsi="Arial" w:cs="Arial"/>
          <w:sz w:val="22"/>
          <w:szCs w:val="22"/>
        </w:rPr>
        <w:t>decision</w:t>
      </w:r>
      <w:r w:rsidR="00C362BB">
        <w:rPr>
          <w:rFonts w:ascii="Arial" w:hAnsi="Arial" w:cs="Arial"/>
          <w:sz w:val="22"/>
          <w:szCs w:val="22"/>
        </w:rPr>
        <w:noBreakHyphen/>
      </w:r>
      <w:r w:rsidR="00C362BB" w:rsidRPr="005A3931">
        <w:rPr>
          <w:rFonts w:ascii="Arial" w:hAnsi="Arial" w:cs="Arial"/>
          <w:sz w:val="22"/>
          <w:szCs w:val="22"/>
        </w:rPr>
        <w:t>making</w:t>
      </w:r>
      <w:r w:rsidR="00B416E7" w:rsidRPr="005A3931">
        <w:rPr>
          <w:rFonts w:ascii="Arial" w:hAnsi="Arial" w:cs="Arial"/>
          <w:sz w:val="22"/>
          <w:szCs w:val="22"/>
        </w:rPr>
        <w:t xml:space="preserve"> process. This means that </w:t>
      </w:r>
      <w:r w:rsidRPr="005A3931">
        <w:rPr>
          <w:rFonts w:ascii="Arial" w:hAnsi="Arial" w:cs="Arial"/>
          <w:sz w:val="22"/>
          <w:szCs w:val="22"/>
        </w:rPr>
        <w:t>the applicant will be given the opportunity to reply/make submissions prior to a decision being made;</w:t>
      </w:r>
      <w:r w:rsidR="00B416E7" w:rsidRPr="005A3931">
        <w:rPr>
          <w:rFonts w:ascii="Arial" w:hAnsi="Arial" w:cs="Arial"/>
          <w:sz w:val="22"/>
          <w:szCs w:val="22"/>
        </w:rPr>
        <w:t xml:space="preserve"> </w:t>
      </w:r>
      <w:r w:rsidRPr="005A3931">
        <w:rPr>
          <w:rFonts w:ascii="Arial" w:hAnsi="Arial" w:cs="Arial"/>
          <w:sz w:val="22"/>
          <w:szCs w:val="22"/>
        </w:rPr>
        <w:t>there will be a</w:t>
      </w:r>
      <w:r w:rsidR="00567C8D">
        <w:rPr>
          <w:rFonts w:ascii="Arial" w:hAnsi="Arial" w:cs="Arial"/>
          <w:sz w:val="22"/>
          <w:szCs w:val="22"/>
        </w:rPr>
        <w:t xml:space="preserve">n absence </w:t>
      </w:r>
      <w:r w:rsidRPr="005A3931">
        <w:rPr>
          <w:rFonts w:ascii="Arial" w:hAnsi="Arial" w:cs="Arial"/>
          <w:sz w:val="22"/>
          <w:szCs w:val="22"/>
        </w:rPr>
        <w:t>of bias or predisposition by the decision maker;</w:t>
      </w:r>
      <w:r w:rsidR="00B416E7" w:rsidRPr="005A3931">
        <w:rPr>
          <w:rFonts w:ascii="Arial" w:hAnsi="Arial" w:cs="Arial"/>
          <w:sz w:val="22"/>
          <w:szCs w:val="22"/>
        </w:rPr>
        <w:t xml:space="preserve"> </w:t>
      </w:r>
      <w:r w:rsidR="00567C8D">
        <w:rPr>
          <w:rFonts w:ascii="Arial" w:hAnsi="Arial" w:cs="Arial"/>
          <w:sz w:val="22"/>
          <w:szCs w:val="22"/>
        </w:rPr>
        <w:t xml:space="preserve">wherever possible </w:t>
      </w:r>
      <w:r w:rsidRPr="005A3931">
        <w:rPr>
          <w:rFonts w:ascii="Arial" w:hAnsi="Arial" w:cs="Arial"/>
          <w:sz w:val="22"/>
          <w:szCs w:val="22"/>
        </w:rPr>
        <w:t xml:space="preserve">evidence will be used to support a decision; </w:t>
      </w:r>
      <w:r w:rsidR="00567C8D">
        <w:rPr>
          <w:rFonts w:ascii="Arial" w:hAnsi="Arial" w:cs="Arial"/>
          <w:sz w:val="22"/>
          <w:szCs w:val="22"/>
        </w:rPr>
        <w:t xml:space="preserve"> and </w:t>
      </w:r>
      <w:r w:rsidRPr="005A3931">
        <w:rPr>
          <w:rFonts w:ascii="Arial" w:hAnsi="Arial" w:cs="Arial"/>
          <w:sz w:val="22"/>
          <w:szCs w:val="22"/>
        </w:rPr>
        <w:t>disputed matters will be investigated</w:t>
      </w:r>
      <w:r w:rsidR="00567C8D">
        <w:rPr>
          <w:rFonts w:ascii="Arial" w:hAnsi="Arial" w:cs="Arial"/>
          <w:sz w:val="22"/>
          <w:szCs w:val="22"/>
        </w:rPr>
        <w:t xml:space="preserve"> where appropriate</w:t>
      </w:r>
      <w:r w:rsidR="00CD75C1" w:rsidRPr="005A3931">
        <w:rPr>
          <w:rFonts w:ascii="Arial" w:hAnsi="Arial" w:cs="Arial"/>
          <w:sz w:val="22"/>
          <w:szCs w:val="22"/>
        </w:rPr>
        <w:t xml:space="preserve">. </w:t>
      </w:r>
    </w:p>
    <w:p w14:paraId="271B718D" w14:textId="77777777" w:rsidR="00D76EE3" w:rsidRPr="005A3931" w:rsidRDefault="00CD75C1" w:rsidP="00B416E7">
      <w:pPr>
        <w:spacing w:before="120" w:after="120"/>
        <w:rPr>
          <w:rFonts w:ascii="Arial" w:hAnsi="Arial" w:cs="Arial"/>
          <w:sz w:val="22"/>
          <w:szCs w:val="22"/>
        </w:rPr>
      </w:pPr>
      <w:r w:rsidRPr="005A3931">
        <w:rPr>
          <w:rFonts w:ascii="Arial" w:hAnsi="Arial" w:cs="Arial"/>
          <w:sz w:val="22"/>
          <w:szCs w:val="22"/>
        </w:rPr>
        <w:t>The Act requires</w:t>
      </w:r>
      <w:r w:rsidR="00B416E7" w:rsidRPr="005A3931">
        <w:rPr>
          <w:rFonts w:ascii="Arial" w:hAnsi="Arial" w:cs="Arial"/>
          <w:sz w:val="22"/>
          <w:szCs w:val="22"/>
        </w:rPr>
        <w:t xml:space="preserve"> the applicant</w:t>
      </w:r>
      <w:r w:rsidR="00D76EE3" w:rsidRPr="005A3931">
        <w:rPr>
          <w:rFonts w:ascii="Arial" w:hAnsi="Arial" w:cs="Arial"/>
          <w:sz w:val="22"/>
          <w:szCs w:val="22"/>
        </w:rPr>
        <w:t xml:space="preserve"> consent</w:t>
      </w:r>
      <w:r w:rsidR="00B416E7" w:rsidRPr="005A3931">
        <w:rPr>
          <w:rFonts w:ascii="Arial" w:hAnsi="Arial" w:cs="Arial"/>
          <w:sz w:val="22"/>
          <w:szCs w:val="22"/>
        </w:rPr>
        <w:t>ing</w:t>
      </w:r>
      <w:r w:rsidR="00D76EE3" w:rsidRPr="005A3931">
        <w:rPr>
          <w:rFonts w:ascii="Arial" w:hAnsi="Arial" w:cs="Arial"/>
          <w:sz w:val="22"/>
          <w:szCs w:val="22"/>
        </w:rPr>
        <w:t xml:space="preserve"> to the Commissioner:</w:t>
      </w:r>
    </w:p>
    <w:p w14:paraId="62DFF195" w14:textId="77777777" w:rsidR="00D76EE3" w:rsidRPr="005A3931" w:rsidRDefault="00D76EE3" w:rsidP="00B416E7">
      <w:pPr>
        <w:pStyle w:val="ListParagraph"/>
        <w:numPr>
          <w:ilvl w:val="0"/>
          <w:numId w:val="2"/>
        </w:numPr>
        <w:spacing w:before="120" w:after="120"/>
        <w:contextualSpacing w:val="0"/>
        <w:rPr>
          <w:rFonts w:ascii="Arial" w:hAnsi="Arial" w:cs="Arial"/>
          <w:sz w:val="22"/>
          <w:szCs w:val="22"/>
        </w:rPr>
      </w:pPr>
      <w:r w:rsidRPr="005A3931">
        <w:rPr>
          <w:rFonts w:ascii="Arial" w:hAnsi="Arial" w:cs="Arial"/>
          <w:sz w:val="22"/>
          <w:szCs w:val="22"/>
        </w:rPr>
        <w:t>checking the applicant’s criminal history;</w:t>
      </w:r>
    </w:p>
    <w:p w14:paraId="4443C648" w14:textId="77777777" w:rsidR="00D76EE3" w:rsidRPr="005A3931" w:rsidRDefault="00D76EE3" w:rsidP="00B416E7">
      <w:pPr>
        <w:pStyle w:val="ListParagraph"/>
        <w:numPr>
          <w:ilvl w:val="0"/>
          <w:numId w:val="2"/>
        </w:numPr>
        <w:spacing w:before="120" w:after="120"/>
        <w:contextualSpacing w:val="0"/>
        <w:rPr>
          <w:rFonts w:ascii="Arial" w:hAnsi="Arial" w:cs="Arial"/>
          <w:sz w:val="22"/>
          <w:szCs w:val="22"/>
        </w:rPr>
      </w:pPr>
      <w:r w:rsidRPr="005A3931">
        <w:rPr>
          <w:rFonts w:ascii="Arial" w:hAnsi="Arial" w:cs="Arial"/>
          <w:sz w:val="22"/>
          <w:szCs w:val="22"/>
        </w:rPr>
        <w:t>checking non-conviction information;</w:t>
      </w:r>
    </w:p>
    <w:p w14:paraId="771A9A3C" w14:textId="77777777" w:rsidR="00D76EE3" w:rsidRPr="005A3931" w:rsidRDefault="00D76EE3" w:rsidP="00B416E7">
      <w:pPr>
        <w:pStyle w:val="ListParagraph"/>
        <w:numPr>
          <w:ilvl w:val="0"/>
          <w:numId w:val="2"/>
        </w:numPr>
        <w:spacing w:before="120" w:after="120"/>
        <w:contextualSpacing w:val="0"/>
        <w:rPr>
          <w:rFonts w:ascii="Arial" w:hAnsi="Arial" w:cs="Arial"/>
          <w:sz w:val="22"/>
          <w:szCs w:val="22"/>
        </w:rPr>
      </w:pPr>
      <w:bookmarkStart w:id="2" w:name="OLE_LINK1"/>
      <w:bookmarkStart w:id="3" w:name="OLE_LINK2"/>
      <w:r w:rsidRPr="005A3931">
        <w:rPr>
          <w:rFonts w:ascii="Arial" w:hAnsi="Arial" w:cs="Arial"/>
          <w:sz w:val="22"/>
          <w:szCs w:val="22"/>
        </w:rPr>
        <w:lastRenderedPageBreak/>
        <w:t xml:space="preserve">checking </w:t>
      </w:r>
      <w:bookmarkEnd w:id="2"/>
      <w:bookmarkEnd w:id="3"/>
      <w:r w:rsidRPr="005A3931">
        <w:rPr>
          <w:rFonts w:ascii="Arial" w:hAnsi="Arial" w:cs="Arial"/>
          <w:sz w:val="22"/>
          <w:szCs w:val="22"/>
        </w:rPr>
        <w:t>other information that may be relevant in assessing the application;</w:t>
      </w:r>
    </w:p>
    <w:p w14:paraId="529BE715" w14:textId="77777777" w:rsidR="00D76EE3" w:rsidRPr="005A3931" w:rsidRDefault="00D76EE3" w:rsidP="00B416E7">
      <w:pPr>
        <w:pStyle w:val="ListParagraph"/>
        <w:numPr>
          <w:ilvl w:val="0"/>
          <w:numId w:val="2"/>
        </w:numPr>
        <w:spacing w:before="120" w:after="120"/>
        <w:contextualSpacing w:val="0"/>
        <w:rPr>
          <w:rFonts w:ascii="Arial" w:hAnsi="Arial" w:cs="Arial"/>
          <w:sz w:val="22"/>
          <w:szCs w:val="22"/>
        </w:rPr>
      </w:pPr>
      <w:r w:rsidRPr="005A3931">
        <w:rPr>
          <w:rFonts w:ascii="Arial" w:hAnsi="Arial" w:cs="Arial"/>
          <w:sz w:val="22"/>
          <w:szCs w:val="22"/>
        </w:rPr>
        <w:t>seeking information or advice from any entity in relation to the application or registration; and</w:t>
      </w:r>
    </w:p>
    <w:p w14:paraId="6B87FDCE" w14:textId="15941F98" w:rsidR="001D6BA5" w:rsidRPr="009C1902" w:rsidRDefault="00B416E7" w:rsidP="00067C32">
      <w:pPr>
        <w:pStyle w:val="ListParagraph"/>
        <w:numPr>
          <w:ilvl w:val="0"/>
          <w:numId w:val="2"/>
        </w:numPr>
        <w:spacing w:before="120" w:after="120"/>
        <w:contextualSpacing w:val="0"/>
        <w:rPr>
          <w:rFonts w:ascii="Arial" w:hAnsi="Arial" w:cs="Arial"/>
          <w:sz w:val="22"/>
          <w:szCs w:val="22"/>
        </w:rPr>
      </w:pPr>
      <w:r w:rsidRPr="005A3931">
        <w:rPr>
          <w:rFonts w:ascii="Arial" w:hAnsi="Arial" w:cs="Arial"/>
          <w:sz w:val="22"/>
          <w:szCs w:val="22"/>
        </w:rPr>
        <w:t xml:space="preserve">when necessary, </w:t>
      </w:r>
      <w:r w:rsidR="00D76EE3" w:rsidRPr="005A3931">
        <w:rPr>
          <w:rFonts w:ascii="Arial" w:hAnsi="Arial" w:cs="Arial"/>
          <w:sz w:val="22"/>
          <w:szCs w:val="22"/>
        </w:rPr>
        <w:t>contacting a named employer in relation to the status of the application or registration.</w:t>
      </w:r>
      <w:bookmarkEnd w:id="0"/>
    </w:p>
    <w:p w14:paraId="4C927E38" w14:textId="73490FAD" w:rsidR="001D6BA5" w:rsidRPr="009C1902" w:rsidRDefault="001D6BA5" w:rsidP="001D6BA5">
      <w:pPr>
        <w:rPr>
          <w:rFonts w:ascii="Arial" w:hAnsi="Arial" w:cs="Arial"/>
          <w:i/>
          <w:iCs/>
          <w:sz w:val="22"/>
          <w:szCs w:val="22"/>
        </w:rPr>
      </w:pPr>
      <w:r w:rsidRPr="00191E6F">
        <w:rPr>
          <w:rFonts w:ascii="Arial" w:hAnsi="Arial" w:cs="Arial"/>
          <w:sz w:val="22"/>
          <w:szCs w:val="22"/>
        </w:rPr>
        <w:t xml:space="preserve">The human rights </w:t>
      </w:r>
      <w:r w:rsidR="009C1902">
        <w:rPr>
          <w:rFonts w:ascii="Arial" w:hAnsi="Arial" w:cs="Arial"/>
          <w:sz w:val="22"/>
          <w:szCs w:val="22"/>
        </w:rPr>
        <w:t>compatibility statements</w:t>
      </w:r>
      <w:r w:rsidRPr="00191E6F">
        <w:rPr>
          <w:rFonts w:ascii="Arial" w:hAnsi="Arial" w:cs="Arial"/>
          <w:sz w:val="22"/>
          <w:szCs w:val="22"/>
        </w:rPr>
        <w:t xml:space="preserve"> of both the 2019 and 2020 amendments to the Act acknowledge that the changes will impact on a small number of registrants and future applicants under the scheme. The </w:t>
      </w:r>
      <w:r w:rsidR="009C1902">
        <w:rPr>
          <w:rFonts w:ascii="Arial" w:hAnsi="Arial" w:cs="Arial"/>
          <w:sz w:val="22"/>
          <w:szCs w:val="22"/>
        </w:rPr>
        <w:t>compatibility statements</w:t>
      </w:r>
      <w:r w:rsidRPr="00191E6F">
        <w:rPr>
          <w:rFonts w:ascii="Arial" w:hAnsi="Arial" w:cs="Arial"/>
          <w:sz w:val="22"/>
          <w:szCs w:val="22"/>
        </w:rPr>
        <w:t xml:space="preserve"> for the 2019 </w:t>
      </w:r>
      <w:r>
        <w:rPr>
          <w:rFonts w:ascii="Arial" w:hAnsi="Arial" w:cs="Arial"/>
          <w:sz w:val="22"/>
          <w:szCs w:val="22"/>
        </w:rPr>
        <w:t xml:space="preserve">changes to the </w:t>
      </w:r>
      <w:r w:rsidRPr="00191E6F">
        <w:rPr>
          <w:rFonts w:ascii="Arial" w:hAnsi="Arial" w:cs="Arial"/>
          <w:sz w:val="22"/>
          <w:szCs w:val="22"/>
        </w:rPr>
        <w:t>Act noted that the amendments “</w:t>
      </w:r>
      <w:r w:rsidRPr="00191E6F">
        <w:rPr>
          <w:rFonts w:ascii="Arial" w:hAnsi="Arial" w:cs="Arial"/>
          <w:i/>
          <w:iCs/>
          <w:sz w:val="22"/>
          <w:szCs w:val="22"/>
        </w:rPr>
        <w:t>will impact on the human rights of a small number of registrants under the Working with Vulnerable People Scheme…</w:t>
      </w:r>
      <w:r w:rsidRPr="00191E6F">
        <w:rPr>
          <w:rFonts w:ascii="Arial" w:hAnsi="Arial" w:cs="Arial"/>
          <w:sz w:val="22"/>
          <w:szCs w:val="22"/>
        </w:rPr>
        <w:t xml:space="preserve">” That </w:t>
      </w:r>
      <w:r w:rsidR="009C1902">
        <w:rPr>
          <w:rFonts w:ascii="Arial" w:hAnsi="Arial" w:cs="Arial"/>
          <w:sz w:val="22"/>
          <w:szCs w:val="22"/>
        </w:rPr>
        <w:t>statement</w:t>
      </w:r>
      <w:r w:rsidRPr="00191E6F">
        <w:rPr>
          <w:rFonts w:ascii="Arial" w:hAnsi="Arial" w:cs="Arial"/>
          <w:sz w:val="22"/>
          <w:szCs w:val="22"/>
        </w:rPr>
        <w:t xml:space="preserve"> also note</w:t>
      </w:r>
      <w:r w:rsidR="00191E6F">
        <w:rPr>
          <w:rFonts w:ascii="Arial" w:hAnsi="Arial" w:cs="Arial"/>
          <w:sz w:val="22"/>
          <w:szCs w:val="22"/>
        </w:rPr>
        <w:t>s</w:t>
      </w:r>
      <w:r w:rsidRPr="00191E6F">
        <w:rPr>
          <w:rFonts w:ascii="Arial" w:hAnsi="Arial" w:cs="Arial"/>
          <w:sz w:val="22"/>
          <w:szCs w:val="22"/>
        </w:rPr>
        <w:t xml:space="preserve"> that the changes to the Act “…</w:t>
      </w:r>
      <w:r w:rsidRPr="00191E6F">
        <w:rPr>
          <w:rFonts w:ascii="Arial" w:hAnsi="Arial" w:cs="Arial"/>
          <w:i/>
          <w:sz w:val="22"/>
          <w:szCs w:val="22"/>
        </w:rPr>
        <w:t>seeks</w:t>
      </w:r>
      <w:r w:rsidRPr="00191E6F">
        <w:rPr>
          <w:rFonts w:ascii="Arial" w:hAnsi="Arial" w:cs="Arial"/>
          <w:i/>
          <w:iCs/>
          <w:sz w:val="22"/>
          <w:szCs w:val="22"/>
        </w:rPr>
        <w:t xml:space="preserve"> to protect the rights and dignity of vulnerable people by limiting their exposure to those who pose a risk to their safety and well-being”</w:t>
      </w:r>
      <w:r w:rsidRPr="00191E6F">
        <w:rPr>
          <w:rFonts w:ascii="Arial" w:hAnsi="Arial" w:cs="Arial"/>
          <w:sz w:val="22"/>
          <w:szCs w:val="22"/>
        </w:rPr>
        <w:t xml:space="preserve"> and concluded that </w:t>
      </w:r>
      <w:r w:rsidRPr="00191E6F">
        <w:rPr>
          <w:rFonts w:ascii="Arial" w:hAnsi="Arial" w:cs="Arial"/>
          <w:i/>
          <w:iCs/>
          <w:sz w:val="22"/>
          <w:szCs w:val="22"/>
        </w:rPr>
        <w:t>“For the purpose of background checking, the person’s right to protection from harm was determined to be the prevailing right.”</w:t>
      </w:r>
      <w:r w:rsidRPr="00191E6F">
        <w:rPr>
          <w:rFonts w:ascii="Arial" w:hAnsi="Arial" w:cs="Arial"/>
          <w:sz w:val="22"/>
          <w:szCs w:val="22"/>
        </w:rPr>
        <w:t xml:space="preserve"> The human rights </w:t>
      </w:r>
      <w:r w:rsidR="009C1902">
        <w:rPr>
          <w:rFonts w:ascii="Arial" w:hAnsi="Arial" w:cs="Arial"/>
          <w:sz w:val="22"/>
          <w:szCs w:val="22"/>
        </w:rPr>
        <w:t>compatibility statement</w:t>
      </w:r>
      <w:r w:rsidRPr="00191E6F">
        <w:rPr>
          <w:rFonts w:ascii="Arial" w:hAnsi="Arial" w:cs="Arial"/>
          <w:sz w:val="22"/>
          <w:szCs w:val="22"/>
        </w:rPr>
        <w:t xml:space="preserve"> of the 2019 </w:t>
      </w:r>
      <w:r w:rsidR="00191E6F">
        <w:rPr>
          <w:rFonts w:ascii="Arial" w:hAnsi="Arial" w:cs="Arial"/>
          <w:sz w:val="22"/>
          <w:szCs w:val="22"/>
        </w:rPr>
        <w:t>amendments</w:t>
      </w:r>
      <w:r w:rsidRPr="00191E6F">
        <w:rPr>
          <w:rFonts w:ascii="Arial" w:hAnsi="Arial" w:cs="Arial"/>
          <w:sz w:val="22"/>
          <w:szCs w:val="22"/>
        </w:rPr>
        <w:t xml:space="preserve"> to the Act also concluded that “</w:t>
      </w:r>
      <w:r w:rsidRPr="00191E6F">
        <w:rPr>
          <w:rFonts w:ascii="Arial" w:hAnsi="Arial" w:cs="Arial"/>
          <w:i/>
          <w:iCs/>
          <w:sz w:val="22"/>
          <w:szCs w:val="22"/>
        </w:rPr>
        <w:t>While the WWVP registration scheme is inherently discriminatory</w:t>
      </w:r>
      <w:r w:rsidRPr="00191E6F">
        <w:rPr>
          <w:rFonts w:ascii="Arial" w:hAnsi="Arial" w:cs="Arial"/>
          <w:sz w:val="22"/>
          <w:szCs w:val="22"/>
        </w:rPr>
        <w:t xml:space="preserve"> [toward some applicants or registered persons]</w:t>
      </w:r>
      <w:r w:rsidRPr="00191E6F">
        <w:rPr>
          <w:rFonts w:ascii="Arial" w:hAnsi="Arial" w:cs="Arial"/>
          <w:i/>
          <w:iCs/>
          <w:sz w:val="22"/>
          <w:szCs w:val="22"/>
        </w:rPr>
        <w:t xml:space="preserve"> as it draws a distinction between individuals who have been convicted, found guilty of, or charged (or to be charged) with certain offences, the reason for the differential treatment is proportionate to the risk.”</w:t>
      </w:r>
    </w:p>
    <w:p w14:paraId="1187B1E6" w14:textId="3443EA68" w:rsidR="001D6BA5" w:rsidRDefault="001D6BA5" w:rsidP="009C1902">
      <w:pPr>
        <w:rPr>
          <w:rFonts w:ascii="Arial" w:hAnsi="Arial" w:cs="Arial"/>
          <w:sz w:val="22"/>
          <w:szCs w:val="22"/>
        </w:rPr>
      </w:pPr>
      <w:r w:rsidRPr="00191E6F">
        <w:rPr>
          <w:rFonts w:ascii="Arial" w:hAnsi="Arial" w:cs="Arial"/>
          <w:sz w:val="22"/>
          <w:szCs w:val="22"/>
        </w:rPr>
        <w:t xml:space="preserve">Additionally, the human rights </w:t>
      </w:r>
      <w:r w:rsidR="009C1902">
        <w:rPr>
          <w:rFonts w:ascii="Arial" w:hAnsi="Arial" w:cs="Arial"/>
          <w:sz w:val="22"/>
          <w:szCs w:val="22"/>
        </w:rPr>
        <w:t>compatibility statement</w:t>
      </w:r>
      <w:r w:rsidRPr="00191E6F">
        <w:rPr>
          <w:rFonts w:ascii="Arial" w:hAnsi="Arial" w:cs="Arial"/>
          <w:sz w:val="22"/>
          <w:szCs w:val="22"/>
        </w:rPr>
        <w:t xml:space="preserve"> of the 2020 amendments to the WWVP</w:t>
      </w:r>
      <w:r w:rsidR="00191E6F">
        <w:rPr>
          <w:rFonts w:ascii="Arial" w:hAnsi="Arial" w:cs="Arial"/>
          <w:sz w:val="22"/>
          <w:szCs w:val="22"/>
        </w:rPr>
        <w:t> </w:t>
      </w:r>
      <w:r w:rsidRPr="00191E6F">
        <w:rPr>
          <w:rFonts w:ascii="Arial" w:hAnsi="Arial" w:cs="Arial"/>
          <w:sz w:val="22"/>
          <w:szCs w:val="22"/>
        </w:rPr>
        <w:t xml:space="preserve">Act concluded that </w:t>
      </w:r>
      <w:r w:rsidRPr="00191E6F">
        <w:rPr>
          <w:rFonts w:ascii="Arial" w:hAnsi="Arial" w:cs="Arial"/>
          <w:i/>
          <w:iCs/>
          <w:sz w:val="22"/>
          <w:szCs w:val="22"/>
        </w:rPr>
        <w:t xml:space="preserve">“the protection of children and other vulnerable people is the paramount consideration and is prioritised over the rights of others involved in the WWVP scheme, including applicants.” </w:t>
      </w:r>
      <w:r w:rsidR="009C1902">
        <w:rPr>
          <w:rFonts w:ascii="Arial" w:hAnsi="Arial" w:cs="Arial"/>
          <w:sz w:val="22"/>
          <w:szCs w:val="22"/>
        </w:rPr>
        <w:t>This compatibility statement</w:t>
      </w:r>
      <w:r w:rsidRPr="00191E6F">
        <w:rPr>
          <w:rFonts w:ascii="Arial" w:hAnsi="Arial" w:cs="Arial"/>
          <w:sz w:val="22"/>
          <w:szCs w:val="22"/>
        </w:rPr>
        <w:t xml:space="preserve"> went on to state that “</w:t>
      </w:r>
      <w:r w:rsidRPr="00191E6F">
        <w:rPr>
          <w:rFonts w:ascii="Arial" w:hAnsi="Arial" w:cs="Arial"/>
          <w:i/>
          <w:iCs/>
          <w:sz w:val="22"/>
          <w:szCs w:val="22"/>
        </w:rPr>
        <w:t>It is therefore necessary to treat certain people differently to best protect the rights and freedoms of vulnerable people.</w:t>
      </w:r>
      <w:r>
        <w:rPr>
          <w:rFonts w:ascii="Arial" w:hAnsi="Arial" w:cs="Arial"/>
          <w:i/>
          <w:iCs/>
          <w:sz w:val="22"/>
          <w:szCs w:val="22"/>
        </w:rPr>
        <w:t xml:space="preserve"> </w:t>
      </w:r>
      <w:r>
        <w:rPr>
          <w:rFonts w:ascii="Arial" w:hAnsi="Arial" w:cs="Arial"/>
          <w:sz w:val="22"/>
          <w:szCs w:val="22"/>
        </w:rPr>
        <w:t>The Guidelines and processes of background screening place the best interests of vulnerable people as the paramount consideration while also ensuring that natural justice and procedural fairness, within the constraints of the Act, are applied.</w:t>
      </w:r>
    </w:p>
    <w:p w14:paraId="3A6F21CA" w14:textId="7E957DEE" w:rsidR="00066499" w:rsidRPr="00C362BB" w:rsidRDefault="00567C8D" w:rsidP="00C362BB">
      <w:pPr>
        <w:spacing w:before="120" w:after="120"/>
        <w:rPr>
          <w:rFonts w:ascii="Arial" w:hAnsi="Arial" w:cs="Arial"/>
          <w:sz w:val="22"/>
          <w:szCs w:val="22"/>
        </w:rPr>
      </w:pPr>
      <w:r>
        <w:rPr>
          <w:rFonts w:ascii="Arial" w:hAnsi="Arial" w:cs="Arial"/>
          <w:sz w:val="22"/>
          <w:szCs w:val="22"/>
        </w:rPr>
        <w:t>In addition to changes already outlined, other changes include</w:t>
      </w:r>
      <w:r w:rsidR="009C5738">
        <w:rPr>
          <w:rFonts w:ascii="Arial" w:hAnsi="Arial" w:cs="Arial"/>
          <w:sz w:val="22"/>
          <w:szCs w:val="22"/>
        </w:rPr>
        <w:t xml:space="preserve">: a </w:t>
      </w:r>
      <w:r w:rsidR="00F852D1">
        <w:rPr>
          <w:rFonts w:ascii="Arial" w:hAnsi="Arial" w:cs="Arial"/>
          <w:sz w:val="22"/>
          <w:szCs w:val="22"/>
        </w:rPr>
        <w:t xml:space="preserve">requirement for the Commissioner to refer, where necessary, a matter to only one Independent Advisor instead of </w:t>
      </w:r>
      <w:r w:rsidR="00061D5C">
        <w:rPr>
          <w:rFonts w:ascii="Arial" w:hAnsi="Arial" w:cs="Arial"/>
          <w:sz w:val="22"/>
          <w:szCs w:val="22"/>
        </w:rPr>
        <w:t>three</w:t>
      </w:r>
      <w:r w:rsidR="00F852D1">
        <w:rPr>
          <w:rFonts w:ascii="Arial" w:hAnsi="Arial" w:cs="Arial"/>
          <w:sz w:val="22"/>
          <w:szCs w:val="22"/>
        </w:rPr>
        <w:t>;</w:t>
      </w:r>
      <w:r w:rsidR="00154C5D">
        <w:rPr>
          <w:rFonts w:ascii="Arial" w:hAnsi="Arial" w:cs="Arial"/>
          <w:sz w:val="22"/>
          <w:szCs w:val="22"/>
        </w:rPr>
        <w:t xml:space="preserve"> </w:t>
      </w:r>
      <w:r w:rsidR="009C5738">
        <w:rPr>
          <w:rFonts w:ascii="Arial" w:hAnsi="Arial" w:cs="Arial"/>
          <w:sz w:val="22"/>
          <w:szCs w:val="22"/>
        </w:rPr>
        <w:t xml:space="preserve">the </w:t>
      </w:r>
      <w:r w:rsidR="008D375A">
        <w:rPr>
          <w:rFonts w:ascii="Arial" w:hAnsi="Arial" w:cs="Arial"/>
          <w:sz w:val="22"/>
          <w:szCs w:val="22"/>
        </w:rPr>
        <w:t xml:space="preserve">inclusion of </w:t>
      </w:r>
      <w:r w:rsidR="00061D5C">
        <w:rPr>
          <w:rFonts w:ascii="Arial" w:hAnsi="Arial" w:cs="Arial"/>
          <w:sz w:val="22"/>
          <w:szCs w:val="22"/>
        </w:rPr>
        <w:t xml:space="preserve">a </w:t>
      </w:r>
      <w:r w:rsidR="008D375A">
        <w:rPr>
          <w:rFonts w:ascii="Arial" w:hAnsi="Arial" w:cs="Arial"/>
          <w:sz w:val="22"/>
          <w:szCs w:val="22"/>
        </w:rPr>
        <w:t>new section relating to weighting of non-conviction information and other information;</w:t>
      </w:r>
      <w:r w:rsidR="009C5738">
        <w:rPr>
          <w:rFonts w:ascii="Arial" w:hAnsi="Arial" w:cs="Arial"/>
          <w:sz w:val="22"/>
          <w:szCs w:val="22"/>
        </w:rPr>
        <w:t xml:space="preserve"> </w:t>
      </w:r>
      <w:r w:rsidR="000205C2">
        <w:rPr>
          <w:rFonts w:ascii="Arial" w:hAnsi="Arial" w:cs="Arial"/>
          <w:sz w:val="22"/>
          <w:szCs w:val="22"/>
        </w:rPr>
        <w:t xml:space="preserve">and </w:t>
      </w:r>
      <w:r w:rsidR="009C5738">
        <w:rPr>
          <w:rFonts w:ascii="Arial" w:hAnsi="Arial" w:cs="Arial"/>
          <w:sz w:val="22"/>
          <w:szCs w:val="22"/>
        </w:rPr>
        <w:t>the</w:t>
      </w:r>
      <w:r w:rsidR="008D375A">
        <w:rPr>
          <w:rFonts w:ascii="Arial" w:hAnsi="Arial" w:cs="Arial"/>
          <w:sz w:val="22"/>
          <w:szCs w:val="22"/>
        </w:rPr>
        <w:t xml:space="preserve"> inclusion of a new section on giving consideration to exceptional circumstances. There has also been change to the format of the Guidelines.</w:t>
      </w:r>
    </w:p>
    <w:sectPr w:rsidR="00066499" w:rsidRPr="00C362BB" w:rsidSect="00D87B79">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F79CE" w14:textId="77777777" w:rsidR="009F5953" w:rsidRDefault="009F5953" w:rsidP="000D7B1E">
      <w:r>
        <w:separator/>
      </w:r>
    </w:p>
  </w:endnote>
  <w:endnote w:type="continuationSeparator" w:id="0">
    <w:p w14:paraId="1E3CD05E" w14:textId="77777777" w:rsidR="009F5953" w:rsidRDefault="009F5953" w:rsidP="000D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BA88" w14:textId="77777777" w:rsidR="00884F45" w:rsidRDefault="0088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110671"/>
      <w:docPartObj>
        <w:docPartGallery w:val="Page Numbers (Bottom of Page)"/>
        <w:docPartUnique/>
      </w:docPartObj>
    </w:sdtPr>
    <w:sdtEndPr/>
    <w:sdtContent>
      <w:sdt>
        <w:sdtPr>
          <w:id w:val="-1769616900"/>
          <w:docPartObj>
            <w:docPartGallery w:val="Page Numbers (Top of Page)"/>
            <w:docPartUnique/>
          </w:docPartObj>
        </w:sdtPr>
        <w:sdtEndPr/>
        <w:sdtContent>
          <w:p w14:paraId="7D4FFA03" w14:textId="6444962A" w:rsidR="00C362BB" w:rsidRDefault="00C362B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5E443B8" w14:textId="2367CB02" w:rsidR="00626263" w:rsidRPr="00884F45" w:rsidRDefault="00884F45" w:rsidP="00884F45">
    <w:pPr>
      <w:pStyle w:val="Footer"/>
      <w:jc w:val="center"/>
      <w:rPr>
        <w:rFonts w:ascii="Arial" w:hAnsi="Arial" w:cs="Arial"/>
        <w:sz w:val="14"/>
      </w:rPr>
    </w:pPr>
    <w:r w:rsidRPr="00884F4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E04D" w14:textId="77777777" w:rsidR="00884F45" w:rsidRDefault="0088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DC38" w14:textId="77777777" w:rsidR="009F5953" w:rsidRDefault="009F5953" w:rsidP="000D7B1E">
      <w:r>
        <w:separator/>
      </w:r>
    </w:p>
  </w:footnote>
  <w:footnote w:type="continuationSeparator" w:id="0">
    <w:p w14:paraId="6D8579D8" w14:textId="77777777" w:rsidR="009F5953" w:rsidRDefault="009F5953" w:rsidP="000D7B1E">
      <w:r>
        <w:continuationSeparator/>
      </w:r>
    </w:p>
  </w:footnote>
  <w:footnote w:id="1">
    <w:p w14:paraId="7C316392" w14:textId="7FE6B833" w:rsidR="00EA7A05" w:rsidRPr="000C2210" w:rsidRDefault="00EA7A05">
      <w:pPr>
        <w:pStyle w:val="FootnoteText"/>
        <w:rPr>
          <w:rFonts w:ascii="Arial" w:hAnsi="Arial" w:cs="Arial"/>
          <w:i/>
          <w:iCs/>
          <w:sz w:val="16"/>
          <w:szCs w:val="16"/>
          <w:lang w:val="en-AU"/>
        </w:rPr>
      </w:pPr>
      <w:r w:rsidRPr="000C2210">
        <w:rPr>
          <w:rStyle w:val="FootnoteReference"/>
          <w:rFonts w:ascii="Arial" w:hAnsi="Arial" w:cs="Arial"/>
          <w:sz w:val="16"/>
          <w:szCs w:val="16"/>
        </w:rPr>
        <w:footnoteRef/>
      </w:r>
      <w:r w:rsidRPr="000C2210">
        <w:rPr>
          <w:rFonts w:ascii="Arial" w:hAnsi="Arial" w:cs="Arial"/>
          <w:sz w:val="16"/>
          <w:szCs w:val="16"/>
        </w:rPr>
        <w:t xml:space="preserve"> </w:t>
      </w:r>
      <w:r w:rsidRPr="000C2210">
        <w:rPr>
          <w:rFonts w:ascii="Arial" w:hAnsi="Arial" w:cs="Arial"/>
          <w:sz w:val="16"/>
          <w:szCs w:val="16"/>
          <w:lang w:val="en-AU"/>
        </w:rPr>
        <w:t xml:space="preserve">ACT Civil &amp; Administrative Tribunal </w:t>
      </w:r>
      <w:bookmarkStart w:id="1" w:name="_Hlk28955331"/>
      <w:r w:rsidRPr="000C2210">
        <w:rPr>
          <w:rFonts w:ascii="Arial" w:hAnsi="Arial" w:cs="Arial"/>
          <w:i/>
          <w:iCs/>
          <w:sz w:val="16"/>
          <w:szCs w:val="16"/>
          <w:lang w:val="en-AU"/>
        </w:rPr>
        <w:t>Applicant 201915 v Commissioner For Fair Trading (Occupational Regulation) [2019] ACAT 117</w:t>
      </w:r>
      <w:bookmarkEnd w:id="1"/>
    </w:p>
  </w:footnote>
  <w:footnote w:id="2">
    <w:p w14:paraId="7F1346E8" w14:textId="778F20AD" w:rsidR="008913F2" w:rsidRPr="000C2210" w:rsidRDefault="008913F2">
      <w:pPr>
        <w:pStyle w:val="FootnoteText"/>
        <w:rPr>
          <w:lang w:val="en-AU"/>
        </w:rPr>
      </w:pPr>
      <w:r>
        <w:rPr>
          <w:rStyle w:val="FootnoteReference"/>
        </w:rPr>
        <w:footnoteRef/>
      </w:r>
      <w:r>
        <w:t xml:space="preserve"> </w:t>
      </w:r>
      <w:r w:rsidRPr="000C2210">
        <w:rPr>
          <w:rFonts w:ascii="Arial" w:hAnsi="Arial" w:cs="Arial"/>
          <w:sz w:val="16"/>
          <w:szCs w:val="16"/>
          <w:lang w:val="en-AU"/>
        </w:rPr>
        <w:t xml:space="preserve">Victorian Supreme Court </w:t>
      </w:r>
      <w:r w:rsidRPr="000C2210">
        <w:rPr>
          <w:rFonts w:ascii="Arial" w:hAnsi="Arial" w:cs="Arial"/>
          <w:sz w:val="16"/>
          <w:szCs w:val="16"/>
        </w:rPr>
        <w:t xml:space="preserve">Department of Human Services v DR </w:t>
      </w:r>
      <w:r>
        <w:rPr>
          <w:rFonts w:ascii="Arial" w:hAnsi="Arial" w:cs="Arial"/>
          <w:sz w:val="16"/>
          <w:szCs w:val="16"/>
        </w:rPr>
        <w:t>[</w:t>
      </w:r>
      <w:r w:rsidRPr="000C2210">
        <w:rPr>
          <w:rFonts w:ascii="Arial" w:hAnsi="Arial" w:cs="Arial"/>
          <w:sz w:val="16"/>
          <w:szCs w:val="16"/>
        </w:rPr>
        <w:t>2013</w:t>
      </w:r>
      <w:r>
        <w:rPr>
          <w:rFonts w:ascii="Arial" w:hAnsi="Arial" w:cs="Arial"/>
          <w:sz w:val="16"/>
          <w:szCs w:val="16"/>
        </w:rPr>
        <w:t>]</w:t>
      </w:r>
      <w:r w:rsidRPr="000C2210">
        <w:rPr>
          <w:rFonts w:ascii="Arial" w:hAnsi="Arial" w:cs="Arial"/>
          <w:sz w:val="16"/>
          <w:szCs w:val="16"/>
        </w:rPr>
        <w:t xml:space="preserve"> VSC 579</w:t>
      </w:r>
    </w:p>
  </w:footnote>
  <w:footnote w:id="3">
    <w:p w14:paraId="5D934E8C" w14:textId="1350CAB9" w:rsidR="00AF2998" w:rsidRPr="000C2210" w:rsidRDefault="00AF2998">
      <w:pPr>
        <w:pStyle w:val="FootnoteText"/>
        <w:rPr>
          <w:lang w:val="en-AU"/>
        </w:rPr>
      </w:pPr>
      <w:r>
        <w:rPr>
          <w:rStyle w:val="FootnoteReference"/>
        </w:rPr>
        <w:footnoteRef/>
      </w:r>
      <w:r>
        <w:t xml:space="preserve"> </w:t>
      </w:r>
      <w:r w:rsidRPr="000C2210">
        <w:rPr>
          <w:rFonts w:ascii="Arial" w:hAnsi="Arial" w:cs="Arial"/>
          <w:sz w:val="16"/>
          <w:szCs w:val="16"/>
        </w:rPr>
        <w:t>2013</w:t>
      </w:r>
      <w:r>
        <w:t xml:space="preserve"> </w:t>
      </w:r>
      <w:r w:rsidRPr="000C2210">
        <w:rPr>
          <w:rFonts w:ascii="Arial" w:hAnsi="Arial" w:cs="Arial"/>
          <w:sz w:val="16"/>
          <w:szCs w:val="16"/>
          <w:lang w:val="en-AU"/>
        </w:rPr>
        <w:t>VSC 579 [60]</w:t>
      </w:r>
    </w:p>
  </w:footnote>
  <w:footnote w:id="4">
    <w:p w14:paraId="1CA14DA5" w14:textId="403B02C3" w:rsidR="00AD6400" w:rsidRPr="000C2210" w:rsidRDefault="00AD6400">
      <w:pPr>
        <w:pStyle w:val="FootnoteText"/>
        <w:rPr>
          <w:lang w:val="en-AU"/>
        </w:rPr>
      </w:pPr>
      <w:r>
        <w:rPr>
          <w:rStyle w:val="FootnoteReference"/>
        </w:rPr>
        <w:footnoteRef/>
      </w:r>
      <w:r>
        <w:t xml:space="preserve"> </w:t>
      </w:r>
      <w:r w:rsidRPr="000C2210">
        <w:rPr>
          <w:rFonts w:ascii="Arial" w:hAnsi="Arial" w:cs="Arial"/>
          <w:sz w:val="16"/>
          <w:szCs w:val="16"/>
          <w:lang w:val="en-AU"/>
        </w:rPr>
        <w:t>2013 VSC 579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0ED2" w14:textId="77777777" w:rsidR="00884F45" w:rsidRDefault="00884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2F86" w14:textId="77777777" w:rsidR="00884F45" w:rsidRDefault="00884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1F0C" w14:textId="77777777" w:rsidR="00884F45" w:rsidRDefault="0088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06ADA"/>
    <w:multiLevelType w:val="hybridMultilevel"/>
    <w:tmpl w:val="EBAE23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 w15:restartNumberingAfterBreak="0">
    <w:nsid w:val="58615B9D"/>
    <w:multiLevelType w:val="hybridMultilevel"/>
    <w:tmpl w:val="DEFE6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B36F73"/>
    <w:multiLevelType w:val="hybridMultilevel"/>
    <w:tmpl w:val="078E1DCA"/>
    <w:lvl w:ilvl="0" w:tplc="7FD6A5B2">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0"/>
    <w:rsid w:val="00000C10"/>
    <w:rsid w:val="00001B18"/>
    <w:rsid w:val="00001F9C"/>
    <w:rsid w:val="00002633"/>
    <w:rsid w:val="00002D4A"/>
    <w:rsid w:val="00003422"/>
    <w:rsid w:val="00004EE9"/>
    <w:rsid w:val="00005208"/>
    <w:rsid w:val="00005518"/>
    <w:rsid w:val="000062BC"/>
    <w:rsid w:val="000065E4"/>
    <w:rsid w:val="00007876"/>
    <w:rsid w:val="00010CC5"/>
    <w:rsid w:val="000110E2"/>
    <w:rsid w:val="000122E7"/>
    <w:rsid w:val="00012C60"/>
    <w:rsid w:val="000144C1"/>
    <w:rsid w:val="00014636"/>
    <w:rsid w:val="00015BC2"/>
    <w:rsid w:val="00017C59"/>
    <w:rsid w:val="000205C2"/>
    <w:rsid w:val="000219C7"/>
    <w:rsid w:val="00021C7A"/>
    <w:rsid w:val="00022103"/>
    <w:rsid w:val="00022DA2"/>
    <w:rsid w:val="000242A9"/>
    <w:rsid w:val="0002441D"/>
    <w:rsid w:val="00024689"/>
    <w:rsid w:val="000258A1"/>
    <w:rsid w:val="000258D1"/>
    <w:rsid w:val="000259B5"/>
    <w:rsid w:val="00025DFC"/>
    <w:rsid w:val="0002642E"/>
    <w:rsid w:val="0002649A"/>
    <w:rsid w:val="00026C38"/>
    <w:rsid w:val="00027B21"/>
    <w:rsid w:val="0003013C"/>
    <w:rsid w:val="0003422A"/>
    <w:rsid w:val="0003443C"/>
    <w:rsid w:val="00034B41"/>
    <w:rsid w:val="0003550F"/>
    <w:rsid w:val="00035E3C"/>
    <w:rsid w:val="00036205"/>
    <w:rsid w:val="0003778E"/>
    <w:rsid w:val="0003797D"/>
    <w:rsid w:val="000404E3"/>
    <w:rsid w:val="000416AC"/>
    <w:rsid w:val="00041FC8"/>
    <w:rsid w:val="00043739"/>
    <w:rsid w:val="0004396F"/>
    <w:rsid w:val="00044BE0"/>
    <w:rsid w:val="00045E71"/>
    <w:rsid w:val="00047BA3"/>
    <w:rsid w:val="00047E58"/>
    <w:rsid w:val="000500B0"/>
    <w:rsid w:val="000526DF"/>
    <w:rsid w:val="00053CE0"/>
    <w:rsid w:val="00053ED2"/>
    <w:rsid w:val="000549BE"/>
    <w:rsid w:val="00056FB2"/>
    <w:rsid w:val="000574BB"/>
    <w:rsid w:val="0005798B"/>
    <w:rsid w:val="00060850"/>
    <w:rsid w:val="0006139D"/>
    <w:rsid w:val="00061D5C"/>
    <w:rsid w:val="00062749"/>
    <w:rsid w:val="0006296D"/>
    <w:rsid w:val="00066034"/>
    <w:rsid w:val="0006629D"/>
    <w:rsid w:val="00066499"/>
    <w:rsid w:val="00067C32"/>
    <w:rsid w:val="00070324"/>
    <w:rsid w:val="00072089"/>
    <w:rsid w:val="00073E4B"/>
    <w:rsid w:val="000740FA"/>
    <w:rsid w:val="00074B47"/>
    <w:rsid w:val="00074C46"/>
    <w:rsid w:val="00074D38"/>
    <w:rsid w:val="000771D6"/>
    <w:rsid w:val="00080463"/>
    <w:rsid w:val="00080B5B"/>
    <w:rsid w:val="00080DD6"/>
    <w:rsid w:val="00081D32"/>
    <w:rsid w:val="00082536"/>
    <w:rsid w:val="000837EA"/>
    <w:rsid w:val="00083C7E"/>
    <w:rsid w:val="00083F8A"/>
    <w:rsid w:val="000846C5"/>
    <w:rsid w:val="000856A5"/>
    <w:rsid w:val="00085E31"/>
    <w:rsid w:val="00086007"/>
    <w:rsid w:val="00086273"/>
    <w:rsid w:val="00086AEB"/>
    <w:rsid w:val="00090223"/>
    <w:rsid w:val="000912EE"/>
    <w:rsid w:val="0009379E"/>
    <w:rsid w:val="00093F1F"/>
    <w:rsid w:val="0009409A"/>
    <w:rsid w:val="000945B7"/>
    <w:rsid w:val="000950E1"/>
    <w:rsid w:val="0009593B"/>
    <w:rsid w:val="00095E01"/>
    <w:rsid w:val="00095EE1"/>
    <w:rsid w:val="00095F0C"/>
    <w:rsid w:val="000964D5"/>
    <w:rsid w:val="00096E46"/>
    <w:rsid w:val="00097994"/>
    <w:rsid w:val="000A0DF8"/>
    <w:rsid w:val="000A1C3C"/>
    <w:rsid w:val="000A1E3A"/>
    <w:rsid w:val="000A25E5"/>
    <w:rsid w:val="000A2C1C"/>
    <w:rsid w:val="000A3C07"/>
    <w:rsid w:val="000A3F0D"/>
    <w:rsid w:val="000A443C"/>
    <w:rsid w:val="000A5207"/>
    <w:rsid w:val="000A5328"/>
    <w:rsid w:val="000B01E7"/>
    <w:rsid w:val="000B3F69"/>
    <w:rsid w:val="000B45A3"/>
    <w:rsid w:val="000B5A2C"/>
    <w:rsid w:val="000B5C08"/>
    <w:rsid w:val="000C0774"/>
    <w:rsid w:val="000C1409"/>
    <w:rsid w:val="000C1505"/>
    <w:rsid w:val="000C1F22"/>
    <w:rsid w:val="000C2210"/>
    <w:rsid w:val="000C2425"/>
    <w:rsid w:val="000C246C"/>
    <w:rsid w:val="000C27E8"/>
    <w:rsid w:val="000C2A73"/>
    <w:rsid w:val="000C2B9A"/>
    <w:rsid w:val="000C3E0F"/>
    <w:rsid w:val="000C3FEE"/>
    <w:rsid w:val="000C5002"/>
    <w:rsid w:val="000C7B0C"/>
    <w:rsid w:val="000D141D"/>
    <w:rsid w:val="000D1F68"/>
    <w:rsid w:val="000D2323"/>
    <w:rsid w:val="000D2886"/>
    <w:rsid w:val="000D2AE0"/>
    <w:rsid w:val="000D60CD"/>
    <w:rsid w:val="000D6364"/>
    <w:rsid w:val="000D767B"/>
    <w:rsid w:val="000D79FC"/>
    <w:rsid w:val="000D7B1E"/>
    <w:rsid w:val="000E090D"/>
    <w:rsid w:val="000E1534"/>
    <w:rsid w:val="000E2138"/>
    <w:rsid w:val="000E2167"/>
    <w:rsid w:val="000E44D3"/>
    <w:rsid w:val="000E4D95"/>
    <w:rsid w:val="000E5DC6"/>
    <w:rsid w:val="000E6D8A"/>
    <w:rsid w:val="000E76B8"/>
    <w:rsid w:val="000F0AD7"/>
    <w:rsid w:val="000F0AFB"/>
    <w:rsid w:val="000F122D"/>
    <w:rsid w:val="000F1C5F"/>
    <w:rsid w:val="000F2237"/>
    <w:rsid w:val="000F2693"/>
    <w:rsid w:val="000F2C06"/>
    <w:rsid w:val="000F444C"/>
    <w:rsid w:val="000F498D"/>
    <w:rsid w:val="000F4C11"/>
    <w:rsid w:val="000F697B"/>
    <w:rsid w:val="000F69D5"/>
    <w:rsid w:val="000F6E9C"/>
    <w:rsid w:val="000F7323"/>
    <w:rsid w:val="0010083E"/>
    <w:rsid w:val="0010206A"/>
    <w:rsid w:val="00102477"/>
    <w:rsid w:val="0010253D"/>
    <w:rsid w:val="00102736"/>
    <w:rsid w:val="001029FD"/>
    <w:rsid w:val="001036DA"/>
    <w:rsid w:val="0010377C"/>
    <w:rsid w:val="00103D7E"/>
    <w:rsid w:val="0010415A"/>
    <w:rsid w:val="00104D00"/>
    <w:rsid w:val="00107563"/>
    <w:rsid w:val="00107626"/>
    <w:rsid w:val="00110660"/>
    <w:rsid w:val="00111287"/>
    <w:rsid w:val="001125AF"/>
    <w:rsid w:val="001131EF"/>
    <w:rsid w:val="00113455"/>
    <w:rsid w:val="00113D10"/>
    <w:rsid w:val="00114DBE"/>
    <w:rsid w:val="001154EE"/>
    <w:rsid w:val="00116958"/>
    <w:rsid w:val="00116ACD"/>
    <w:rsid w:val="00117358"/>
    <w:rsid w:val="00117FB9"/>
    <w:rsid w:val="00120ABA"/>
    <w:rsid w:val="001221D7"/>
    <w:rsid w:val="0012345B"/>
    <w:rsid w:val="00123B6F"/>
    <w:rsid w:val="00123E27"/>
    <w:rsid w:val="00123ED1"/>
    <w:rsid w:val="001244B0"/>
    <w:rsid w:val="001252B9"/>
    <w:rsid w:val="00125523"/>
    <w:rsid w:val="00125899"/>
    <w:rsid w:val="00125D70"/>
    <w:rsid w:val="0012686D"/>
    <w:rsid w:val="00126D90"/>
    <w:rsid w:val="001270FD"/>
    <w:rsid w:val="00127513"/>
    <w:rsid w:val="001300B2"/>
    <w:rsid w:val="001308FE"/>
    <w:rsid w:val="00131956"/>
    <w:rsid w:val="001320E1"/>
    <w:rsid w:val="00132739"/>
    <w:rsid w:val="00132F49"/>
    <w:rsid w:val="00133B5E"/>
    <w:rsid w:val="00134E9B"/>
    <w:rsid w:val="00137030"/>
    <w:rsid w:val="001425AC"/>
    <w:rsid w:val="0014280B"/>
    <w:rsid w:val="00142E86"/>
    <w:rsid w:val="00143084"/>
    <w:rsid w:val="00143166"/>
    <w:rsid w:val="00143768"/>
    <w:rsid w:val="00144FD5"/>
    <w:rsid w:val="001453E2"/>
    <w:rsid w:val="00146F8E"/>
    <w:rsid w:val="00147685"/>
    <w:rsid w:val="00147950"/>
    <w:rsid w:val="0015056A"/>
    <w:rsid w:val="0015092A"/>
    <w:rsid w:val="0015130C"/>
    <w:rsid w:val="00152A34"/>
    <w:rsid w:val="001530BD"/>
    <w:rsid w:val="001535C5"/>
    <w:rsid w:val="00153A2A"/>
    <w:rsid w:val="00153E53"/>
    <w:rsid w:val="001541B0"/>
    <w:rsid w:val="001548EC"/>
    <w:rsid w:val="0015491D"/>
    <w:rsid w:val="00154C5D"/>
    <w:rsid w:val="00155700"/>
    <w:rsid w:val="0015579A"/>
    <w:rsid w:val="001557B7"/>
    <w:rsid w:val="00156D2C"/>
    <w:rsid w:val="00156ED3"/>
    <w:rsid w:val="00157490"/>
    <w:rsid w:val="00160A02"/>
    <w:rsid w:val="00161EC0"/>
    <w:rsid w:val="001626B2"/>
    <w:rsid w:val="00162B62"/>
    <w:rsid w:val="00163792"/>
    <w:rsid w:val="0016404C"/>
    <w:rsid w:val="001649AE"/>
    <w:rsid w:val="00165E91"/>
    <w:rsid w:val="00165EAC"/>
    <w:rsid w:val="0016770C"/>
    <w:rsid w:val="001706AC"/>
    <w:rsid w:val="00171058"/>
    <w:rsid w:val="00171B1A"/>
    <w:rsid w:val="001722DA"/>
    <w:rsid w:val="00174C3E"/>
    <w:rsid w:val="00176271"/>
    <w:rsid w:val="00176387"/>
    <w:rsid w:val="00176D6A"/>
    <w:rsid w:val="0017730D"/>
    <w:rsid w:val="00181614"/>
    <w:rsid w:val="00181CB2"/>
    <w:rsid w:val="00183E2A"/>
    <w:rsid w:val="00183F0E"/>
    <w:rsid w:val="0018467E"/>
    <w:rsid w:val="00184721"/>
    <w:rsid w:val="001858AE"/>
    <w:rsid w:val="00185F67"/>
    <w:rsid w:val="00191319"/>
    <w:rsid w:val="001918F4"/>
    <w:rsid w:val="00191E6F"/>
    <w:rsid w:val="00192DEC"/>
    <w:rsid w:val="00193088"/>
    <w:rsid w:val="00194AFF"/>
    <w:rsid w:val="001954D3"/>
    <w:rsid w:val="0019583E"/>
    <w:rsid w:val="0019591F"/>
    <w:rsid w:val="00195D96"/>
    <w:rsid w:val="0019640F"/>
    <w:rsid w:val="001A1EFC"/>
    <w:rsid w:val="001A1F09"/>
    <w:rsid w:val="001A2236"/>
    <w:rsid w:val="001A262D"/>
    <w:rsid w:val="001A286A"/>
    <w:rsid w:val="001A2EE7"/>
    <w:rsid w:val="001A3A7F"/>
    <w:rsid w:val="001A3E65"/>
    <w:rsid w:val="001A47A7"/>
    <w:rsid w:val="001A4ED2"/>
    <w:rsid w:val="001A5479"/>
    <w:rsid w:val="001A5F58"/>
    <w:rsid w:val="001A67A6"/>
    <w:rsid w:val="001A6A58"/>
    <w:rsid w:val="001A6D70"/>
    <w:rsid w:val="001A6E92"/>
    <w:rsid w:val="001A6E96"/>
    <w:rsid w:val="001A7173"/>
    <w:rsid w:val="001A7192"/>
    <w:rsid w:val="001A72B3"/>
    <w:rsid w:val="001B1120"/>
    <w:rsid w:val="001B2D1D"/>
    <w:rsid w:val="001B6557"/>
    <w:rsid w:val="001B67E5"/>
    <w:rsid w:val="001B7DF7"/>
    <w:rsid w:val="001C1D2E"/>
    <w:rsid w:val="001C2E5C"/>
    <w:rsid w:val="001C5177"/>
    <w:rsid w:val="001C63F5"/>
    <w:rsid w:val="001C6A4B"/>
    <w:rsid w:val="001C6F32"/>
    <w:rsid w:val="001D18C9"/>
    <w:rsid w:val="001D226D"/>
    <w:rsid w:val="001D2462"/>
    <w:rsid w:val="001D278B"/>
    <w:rsid w:val="001D2D65"/>
    <w:rsid w:val="001D667A"/>
    <w:rsid w:val="001D697D"/>
    <w:rsid w:val="001D6BA5"/>
    <w:rsid w:val="001E07F8"/>
    <w:rsid w:val="001E0E2A"/>
    <w:rsid w:val="001E1333"/>
    <w:rsid w:val="001E2204"/>
    <w:rsid w:val="001E26AC"/>
    <w:rsid w:val="001E2DE5"/>
    <w:rsid w:val="001E359F"/>
    <w:rsid w:val="001E65AB"/>
    <w:rsid w:val="001E6FB0"/>
    <w:rsid w:val="001E7C68"/>
    <w:rsid w:val="001E7D3A"/>
    <w:rsid w:val="001E7D8F"/>
    <w:rsid w:val="001F0553"/>
    <w:rsid w:val="001F09DB"/>
    <w:rsid w:val="001F11C7"/>
    <w:rsid w:val="001F1276"/>
    <w:rsid w:val="001F1358"/>
    <w:rsid w:val="001F1F34"/>
    <w:rsid w:val="001F2BC9"/>
    <w:rsid w:val="001F3C15"/>
    <w:rsid w:val="001F489F"/>
    <w:rsid w:val="001F492F"/>
    <w:rsid w:val="001F53B6"/>
    <w:rsid w:val="001F57EE"/>
    <w:rsid w:val="001F6F1A"/>
    <w:rsid w:val="001F76D7"/>
    <w:rsid w:val="00203A14"/>
    <w:rsid w:val="0020474C"/>
    <w:rsid w:val="002049BC"/>
    <w:rsid w:val="00205BCE"/>
    <w:rsid w:val="00205EDC"/>
    <w:rsid w:val="00206B5B"/>
    <w:rsid w:val="00207208"/>
    <w:rsid w:val="002076C8"/>
    <w:rsid w:val="00210705"/>
    <w:rsid w:val="002113F9"/>
    <w:rsid w:val="00211739"/>
    <w:rsid w:val="002128AD"/>
    <w:rsid w:val="00212A23"/>
    <w:rsid w:val="0021374B"/>
    <w:rsid w:val="00214737"/>
    <w:rsid w:val="00214D43"/>
    <w:rsid w:val="00214FC0"/>
    <w:rsid w:val="002152FA"/>
    <w:rsid w:val="00215994"/>
    <w:rsid w:val="00215CD1"/>
    <w:rsid w:val="00216154"/>
    <w:rsid w:val="00216322"/>
    <w:rsid w:val="00216455"/>
    <w:rsid w:val="002165F4"/>
    <w:rsid w:val="002171F9"/>
    <w:rsid w:val="00217420"/>
    <w:rsid w:val="00217D2F"/>
    <w:rsid w:val="002247EE"/>
    <w:rsid w:val="00225231"/>
    <w:rsid w:val="002255FC"/>
    <w:rsid w:val="00225FE4"/>
    <w:rsid w:val="002261BE"/>
    <w:rsid w:val="0023147B"/>
    <w:rsid w:val="002314BB"/>
    <w:rsid w:val="002315DF"/>
    <w:rsid w:val="00233646"/>
    <w:rsid w:val="002341D5"/>
    <w:rsid w:val="00234831"/>
    <w:rsid w:val="00234C52"/>
    <w:rsid w:val="00234E7B"/>
    <w:rsid w:val="0023619E"/>
    <w:rsid w:val="00242958"/>
    <w:rsid w:val="00243F70"/>
    <w:rsid w:val="0024623B"/>
    <w:rsid w:val="002479A5"/>
    <w:rsid w:val="0025047A"/>
    <w:rsid w:val="0025060E"/>
    <w:rsid w:val="00251E47"/>
    <w:rsid w:val="0025283D"/>
    <w:rsid w:val="00252EAC"/>
    <w:rsid w:val="002551C0"/>
    <w:rsid w:val="002561B2"/>
    <w:rsid w:val="00260A87"/>
    <w:rsid w:val="00260C69"/>
    <w:rsid w:val="00260F60"/>
    <w:rsid w:val="00261031"/>
    <w:rsid w:val="002610D9"/>
    <w:rsid w:val="00262711"/>
    <w:rsid w:val="002643F4"/>
    <w:rsid w:val="002652FE"/>
    <w:rsid w:val="002663FD"/>
    <w:rsid w:val="00266A1C"/>
    <w:rsid w:val="002706DA"/>
    <w:rsid w:val="0027080A"/>
    <w:rsid w:val="00271307"/>
    <w:rsid w:val="00273D84"/>
    <w:rsid w:val="00274160"/>
    <w:rsid w:val="00274BDF"/>
    <w:rsid w:val="00275052"/>
    <w:rsid w:val="00276FA8"/>
    <w:rsid w:val="00277009"/>
    <w:rsid w:val="00277AA4"/>
    <w:rsid w:val="00280453"/>
    <w:rsid w:val="002806F0"/>
    <w:rsid w:val="00280978"/>
    <w:rsid w:val="00280B66"/>
    <w:rsid w:val="00281B5A"/>
    <w:rsid w:val="00282B01"/>
    <w:rsid w:val="00283143"/>
    <w:rsid w:val="0028404F"/>
    <w:rsid w:val="002842CF"/>
    <w:rsid w:val="002849A9"/>
    <w:rsid w:val="00284BF6"/>
    <w:rsid w:val="00284CCD"/>
    <w:rsid w:val="002857A0"/>
    <w:rsid w:val="002858A4"/>
    <w:rsid w:val="00285FDC"/>
    <w:rsid w:val="0028634D"/>
    <w:rsid w:val="00286C2E"/>
    <w:rsid w:val="00291427"/>
    <w:rsid w:val="0029283E"/>
    <w:rsid w:val="002945EC"/>
    <w:rsid w:val="00294FFD"/>
    <w:rsid w:val="00295300"/>
    <w:rsid w:val="00295E5C"/>
    <w:rsid w:val="002A0651"/>
    <w:rsid w:val="002A178A"/>
    <w:rsid w:val="002A1BF4"/>
    <w:rsid w:val="002A1D56"/>
    <w:rsid w:val="002A2D24"/>
    <w:rsid w:val="002A37D8"/>
    <w:rsid w:val="002A4091"/>
    <w:rsid w:val="002A463E"/>
    <w:rsid w:val="002A46C3"/>
    <w:rsid w:val="002A5748"/>
    <w:rsid w:val="002A7DCE"/>
    <w:rsid w:val="002B1344"/>
    <w:rsid w:val="002B1EDC"/>
    <w:rsid w:val="002B2C97"/>
    <w:rsid w:val="002B2D8A"/>
    <w:rsid w:val="002B3479"/>
    <w:rsid w:val="002B37EF"/>
    <w:rsid w:val="002B4490"/>
    <w:rsid w:val="002B5279"/>
    <w:rsid w:val="002B546E"/>
    <w:rsid w:val="002B558E"/>
    <w:rsid w:val="002B56F9"/>
    <w:rsid w:val="002B618E"/>
    <w:rsid w:val="002B6587"/>
    <w:rsid w:val="002B7ECB"/>
    <w:rsid w:val="002C0564"/>
    <w:rsid w:val="002C0F13"/>
    <w:rsid w:val="002C140F"/>
    <w:rsid w:val="002C3E31"/>
    <w:rsid w:val="002C4B06"/>
    <w:rsid w:val="002C58EA"/>
    <w:rsid w:val="002C5CBF"/>
    <w:rsid w:val="002C6AE3"/>
    <w:rsid w:val="002C7E4B"/>
    <w:rsid w:val="002D0067"/>
    <w:rsid w:val="002D18C9"/>
    <w:rsid w:val="002D3564"/>
    <w:rsid w:val="002D4C8F"/>
    <w:rsid w:val="002D4F04"/>
    <w:rsid w:val="002D6799"/>
    <w:rsid w:val="002D71E4"/>
    <w:rsid w:val="002D7703"/>
    <w:rsid w:val="002D7709"/>
    <w:rsid w:val="002E0450"/>
    <w:rsid w:val="002E0842"/>
    <w:rsid w:val="002E0C94"/>
    <w:rsid w:val="002E0E7B"/>
    <w:rsid w:val="002E1316"/>
    <w:rsid w:val="002E17AE"/>
    <w:rsid w:val="002E1F55"/>
    <w:rsid w:val="002E1FE5"/>
    <w:rsid w:val="002E2DD6"/>
    <w:rsid w:val="002E326C"/>
    <w:rsid w:val="002E3732"/>
    <w:rsid w:val="002E4376"/>
    <w:rsid w:val="002E4479"/>
    <w:rsid w:val="002E4936"/>
    <w:rsid w:val="002E4E99"/>
    <w:rsid w:val="002E516A"/>
    <w:rsid w:val="002E580F"/>
    <w:rsid w:val="002E65BA"/>
    <w:rsid w:val="002E66BF"/>
    <w:rsid w:val="002E68F2"/>
    <w:rsid w:val="002F0173"/>
    <w:rsid w:val="002F4838"/>
    <w:rsid w:val="002F4B54"/>
    <w:rsid w:val="002F4C7D"/>
    <w:rsid w:val="002F5AD9"/>
    <w:rsid w:val="002F7559"/>
    <w:rsid w:val="00300243"/>
    <w:rsid w:val="003033A8"/>
    <w:rsid w:val="003039FD"/>
    <w:rsid w:val="00304A45"/>
    <w:rsid w:val="003051E4"/>
    <w:rsid w:val="003054B0"/>
    <w:rsid w:val="00305796"/>
    <w:rsid w:val="00306DC3"/>
    <w:rsid w:val="003108E4"/>
    <w:rsid w:val="00311B51"/>
    <w:rsid w:val="00311B93"/>
    <w:rsid w:val="0031286F"/>
    <w:rsid w:val="00312AC4"/>
    <w:rsid w:val="00312E45"/>
    <w:rsid w:val="00312FDB"/>
    <w:rsid w:val="00314254"/>
    <w:rsid w:val="00314DC0"/>
    <w:rsid w:val="0031525E"/>
    <w:rsid w:val="003166D9"/>
    <w:rsid w:val="0031696C"/>
    <w:rsid w:val="00316A22"/>
    <w:rsid w:val="00316D9F"/>
    <w:rsid w:val="00316FA0"/>
    <w:rsid w:val="003203B6"/>
    <w:rsid w:val="003208C1"/>
    <w:rsid w:val="00320C0E"/>
    <w:rsid w:val="00322B92"/>
    <w:rsid w:val="0032346B"/>
    <w:rsid w:val="00323516"/>
    <w:rsid w:val="00323CF9"/>
    <w:rsid w:val="003240A3"/>
    <w:rsid w:val="00326A83"/>
    <w:rsid w:val="0032756E"/>
    <w:rsid w:val="0032781F"/>
    <w:rsid w:val="00327FB3"/>
    <w:rsid w:val="00330DFC"/>
    <w:rsid w:val="003337DD"/>
    <w:rsid w:val="00333A97"/>
    <w:rsid w:val="00333E87"/>
    <w:rsid w:val="003351EB"/>
    <w:rsid w:val="0033522D"/>
    <w:rsid w:val="00335237"/>
    <w:rsid w:val="0033734E"/>
    <w:rsid w:val="00337A50"/>
    <w:rsid w:val="00340C82"/>
    <w:rsid w:val="00341CB1"/>
    <w:rsid w:val="00343029"/>
    <w:rsid w:val="00343B04"/>
    <w:rsid w:val="00345517"/>
    <w:rsid w:val="00345596"/>
    <w:rsid w:val="003455D2"/>
    <w:rsid w:val="00345812"/>
    <w:rsid w:val="00345BBF"/>
    <w:rsid w:val="00345F59"/>
    <w:rsid w:val="00346D43"/>
    <w:rsid w:val="00347F31"/>
    <w:rsid w:val="003502E4"/>
    <w:rsid w:val="003525F1"/>
    <w:rsid w:val="00352C9D"/>
    <w:rsid w:val="00354A63"/>
    <w:rsid w:val="0035506C"/>
    <w:rsid w:val="003567D4"/>
    <w:rsid w:val="003570A4"/>
    <w:rsid w:val="003570FE"/>
    <w:rsid w:val="003579CE"/>
    <w:rsid w:val="00360B15"/>
    <w:rsid w:val="003617BD"/>
    <w:rsid w:val="003626CB"/>
    <w:rsid w:val="003628C5"/>
    <w:rsid w:val="003637FC"/>
    <w:rsid w:val="00364EDE"/>
    <w:rsid w:val="00365746"/>
    <w:rsid w:val="00367982"/>
    <w:rsid w:val="0037105A"/>
    <w:rsid w:val="0037175B"/>
    <w:rsid w:val="00373BD2"/>
    <w:rsid w:val="003747BF"/>
    <w:rsid w:val="00374BB2"/>
    <w:rsid w:val="00376090"/>
    <w:rsid w:val="003777ED"/>
    <w:rsid w:val="00377DE6"/>
    <w:rsid w:val="0038044A"/>
    <w:rsid w:val="00381968"/>
    <w:rsid w:val="00381D3D"/>
    <w:rsid w:val="003826C0"/>
    <w:rsid w:val="00382FEA"/>
    <w:rsid w:val="0038453C"/>
    <w:rsid w:val="00385142"/>
    <w:rsid w:val="00387902"/>
    <w:rsid w:val="003911A5"/>
    <w:rsid w:val="00391A45"/>
    <w:rsid w:val="00391A97"/>
    <w:rsid w:val="00392ACE"/>
    <w:rsid w:val="00393AD3"/>
    <w:rsid w:val="00393D3C"/>
    <w:rsid w:val="00395838"/>
    <w:rsid w:val="003959EE"/>
    <w:rsid w:val="003960AB"/>
    <w:rsid w:val="00396451"/>
    <w:rsid w:val="00396A64"/>
    <w:rsid w:val="003A0046"/>
    <w:rsid w:val="003A0714"/>
    <w:rsid w:val="003A1097"/>
    <w:rsid w:val="003A15F6"/>
    <w:rsid w:val="003A22E8"/>
    <w:rsid w:val="003A3576"/>
    <w:rsid w:val="003A42B1"/>
    <w:rsid w:val="003A441C"/>
    <w:rsid w:val="003A4440"/>
    <w:rsid w:val="003A44E0"/>
    <w:rsid w:val="003A50BB"/>
    <w:rsid w:val="003A5BF1"/>
    <w:rsid w:val="003A5D9C"/>
    <w:rsid w:val="003A67EC"/>
    <w:rsid w:val="003A7090"/>
    <w:rsid w:val="003A7A08"/>
    <w:rsid w:val="003B2F79"/>
    <w:rsid w:val="003B301D"/>
    <w:rsid w:val="003B4F95"/>
    <w:rsid w:val="003B533D"/>
    <w:rsid w:val="003B58DE"/>
    <w:rsid w:val="003B681E"/>
    <w:rsid w:val="003B6AC8"/>
    <w:rsid w:val="003B7324"/>
    <w:rsid w:val="003B74CE"/>
    <w:rsid w:val="003C062D"/>
    <w:rsid w:val="003C2324"/>
    <w:rsid w:val="003C2AE6"/>
    <w:rsid w:val="003C3264"/>
    <w:rsid w:val="003C47C9"/>
    <w:rsid w:val="003C4C87"/>
    <w:rsid w:val="003C5375"/>
    <w:rsid w:val="003C5B59"/>
    <w:rsid w:val="003C6926"/>
    <w:rsid w:val="003C6FBD"/>
    <w:rsid w:val="003D18D3"/>
    <w:rsid w:val="003D21EA"/>
    <w:rsid w:val="003D250B"/>
    <w:rsid w:val="003D2774"/>
    <w:rsid w:val="003D2CFA"/>
    <w:rsid w:val="003D45D1"/>
    <w:rsid w:val="003D5744"/>
    <w:rsid w:val="003D68A2"/>
    <w:rsid w:val="003D73E8"/>
    <w:rsid w:val="003D773E"/>
    <w:rsid w:val="003E0248"/>
    <w:rsid w:val="003E204D"/>
    <w:rsid w:val="003E481A"/>
    <w:rsid w:val="003E58A5"/>
    <w:rsid w:val="003E5A97"/>
    <w:rsid w:val="003E5C22"/>
    <w:rsid w:val="003E643A"/>
    <w:rsid w:val="003E6758"/>
    <w:rsid w:val="003E6B0D"/>
    <w:rsid w:val="003F0DE5"/>
    <w:rsid w:val="003F0DFE"/>
    <w:rsid w:val="003F0E36"/>
    <w:rsid w:val="003F12C4"/>
    <w:rsid w:val="003F2945"/>
    <w:rsid w:val="003F310A"/>
    <w:rsid w:val="003F4125"/>
    <w:rsid w:val="003F4A93"/>
    <w:rsid w:val="003F5D38"/>
    <w:rsid w:val="003F608E"/>
    <w:rsid w:val="003F6A73"/>
    <w:rsid w:val="003F7D9D"/>
    <w:rsid w:val="00400B63"/>
    <w:rsid w:val="004010C6"/>
    <w:rsid w:val="00401FAB"/>
    <w:rsid w:val="004038D2"/>
    <w:rsid w:val="00403D94"/>
    <w:rsid w:val="00403E2F"/>
    <w:rsid w:val="00406F5D"/>
    <w:rsid w:val="004070F6"/>
    <w:rsid w:val="00407E4B"/>
    <w:rsid w:val="004113AF"/>
    <w:rsid w:val="00412E1F"/>
    <w:rsid w:val="00414197"/>
    <w:rsid w:val="0041424B"/>
    <w:rsid w:val="0041569F"/>
    <w:rsid w:val="00416190"/>
    <w:rsid w:val="00420193"/>
    <w:rsid w:val="004202A5"/>
    <w:rsid w:val="004222ED"/>
    <w:rsid w:val="00422F51"/>
    <w:rsid w:val="00423405"/>
    <w:rsid w:val="004239B1"/>
    <w:rsid w:val="00423C3C"/>
    <w:rsid w:val="004249E9"/>
    <w:rsid w:val="00424D00"/>
    <w:rsid w:val="0042544B"/>
    <w:rsid w:val="004255F7"/>
    <w:rsid w:val="004258CC"/>
    <w:rsid w:val="004262A4"/>
    <w:rsid w:val="004268AE"/>
    <w:rsid w:val="00426997"/>
    <w:rsid w:val="00426C37"/>
    <w:rsid w:val="004277D8"/>
    <w:rsid w:val="0042790B"/>
    <w:rsid w:val="0042796D"/>
    <w:rsid w:val="00431297"/>
    <w:rsid w:val="004312DE"/>
    <w:rsid w:val="004325CD"/>
    <w:rsid w:val="00432D31"/>
    <w:rsid w:val="00433CE2"/>
    <w:rsid w:val="0043439E"/>
    <w:rsid w:val="00434E06"/>
    <w:rsid w:val="00434FDD"/>
    <w:rsid w:val="0043535F"/>
    <w:rsid w:val="00436760"/>
    <w:rsid w:val="004373D8"/>
    <w:rsid w:val="00437A69"/>
    <w:rsid w:val="00437B63"/>
    <w:rsid w:val="0044112E"/>
    <w:rsid w:val="00441AC9"/>
    <w:rsid w:val="00441CF6"/>
    <w:rsid w:val="0044252C"/>
    <w:rsid w:val="00442765"/>
    <w:rsid w:val="004445D6"/>
    <w:rsid w:val="004448D7"/>
    <w:rsid w:val="00445532"/>
    <w:rsid w:val="00446230"/>
    <w:rsid w:val="0044624D"/>
    <w:rsid w:val="004469FB"/>
    <w:rsid w:val="0045036A"/>
    <w:rsid w:val="0045288F"/>
    <w:rsid w:val="0045337B"/>
    <w:rsid w:val="00454096"/>
    <w:rsid w:val="00454546"/>
    <w:rsid w:val="00454F0D"/>
    <w:rsid w:val="00455956"/>
    <w:rsid w:val="004559DA"/>
    <w:rsid w:val="0045618A"/>
    <w:rsid w:val="004561D6"/>
    <w:rsid w:val="00456D0F"/>
    <w:rsid w:val="00457238"/>
    <w:rsid w:val="0045768F"/>
    <w:rsid w:val="00460A80"/>
    <w:rsid w:val="00460E3E"/>
    <w:rsid w:val="00461AA3"/>
    <w:rsid w:val="00462E92"/>
    <w:rsid w:val="0046366C"/>
    <w:rsid w:val="00463D15"/>
    <w:rsid w:val="00464DEE"/>
    <w:rsid w:val="0046529E"/>
    <w:rsid w:val="004653D7"/>
    <w:rsid w:val="00466F60"/>
    <w:rsid w:val="00467BD9"/>
    <w:rsid w:val="00467C0B"/>
    <w:rsid w:val="004701BA"/>
    <w:rsid w:val="00470558"/>
    <w:rsid w:val="00470670"/>
    <w:rsid w:val="00471852"/>
    <w:rsid w:val="004719EF"/>
    <w:rsid w:val="0047356F"/>
    <w:rsid w:val="0047411D"/>
    <w:rsid w:val="00474190"/>
    <w:rsid w:val="00474388"/>
    <w:rsid w:val="00476B18"/>
    <w:rsid w:val="00477590"/>
    <w:rsid w:val="004775B8"/>
    <w:rsid w:val="00480819"/>
    <w:rsid w:val="004809FB"/>
    <w:rsid w:val="00483C63"/>
    <w:rsid w:val="004843A3"/>
    <w:rsid w:val="00484612"/>
    <w:rsid w:val="00484A0C"/>
    <w:rsid w:val="0048521D"/>
    <w:rsid w:val="004862ED"/>
    <w:rsid w:val="004864EB"/>
    <w:rsid w:val="00486563"/>
    <w:rsid w:val="00487C9E"/>
    <w:rsid w:val="00487E24"/>
    <w:rsid w:val="00492F39"/>
    <w:rsid w:val="00493675"/>
    <w:rsid w:val="004948D7"/>
    <w:rsid w:val="00494B48"/>
    <w:rsid w:val="00495209"/>
    <w:rsid w:val="0049520E"/>
    <w:rsid w:val="00495447"/>
    <w:rsid w:val="0049658C"/>
    <w:rsid w:val="004969A2"/>
    <w:rsid w:val="0049755D"/>
    <w:rsid w:val="00497796"/>
    <w:rsid w:val="00497B1E"/>
    <w:rsid w:val="004A07C3"/>
    <w:rsid w:val="004A12A8"/>
    <w:rsid w:val="004A15B6"/>
    <w:rsid w:val="004A1BAF"/>
    <w:rsid w:val="004A35F8"/>
    <w:rsid w:val="004A382C"/>
    <w:rsid w:val="004A399E"/>
    <w:rsid w:val="004A4BCE"/>
    <w:rsid w:val="004A58FF"/>
    <w:rsid w:val="004A5E54"/>
    <w:rsid w:val="004A685E"/>
    <w:rsid w:val="004A6A0E"/>
    <w:rsid w:val="004A710B"/>
    <w:rsid w:val="004B2596"/>
    <w:rsid w:val="004B2FFC"/>
    <w:rsid w:val="004B341E"/>
    <w:rsid w:val="004B40D2"/>
    <w:rsid w:val="004B4511"/>
    <w:rsid w:val="004B4E48"/>
    <w:rsid w:val="004B560E"/>
    <w:rsid w:val="004B6F34"/>
    <w:rsid w:val="004B7739"/>
    <w:rsid w:val="004B7843"/>
    <w:rsid w:val="004C07AF"/>
    <w:rsid w:val="004C1F12"/>
    <w:rsid w:val="004C3C6F"/>
    <w:rsid w:val="004C4F1D"/>
    <w:rsid w:val="004C53FC"/>
    <w:rsid w:val="004C57CC"/>
    <w:rsid w:val="004C737E"/>
    <w:rsid w:val="004C778B"/>
    <w:rsid w:val="004C7A9A"/>
    <w:rsid w:val="004D081B"/>
    <w:rsid w:val="004D0CED"/>
    <w:rsid w:val="004D1263"/>
    <w:rsid w:val="004D1A90"/>
    <w:rsid w:val="004D1AFB"/>
    <w:rsid w:val="004D1FD1"/>
    <w:rsid w:val="004D4484"/>
    <w:rsid w:val="004D4884"/>
    <w:rsid w:val="004D4A1C"/>
    <w:rsid w:val="004D5F02"/>
    <w:rsid w:val="004D65E3"/>
    <w:rsid w:val="004D7999"/>
    <w:rsid w:val="004D7B1D"/>
    <w:rsid w:val="004E0A10"/>
    <w:rsid w:val="004E0E1F"/>
    <w:rsid w:val="004E3017"/>
    <w:rsid w:val="004E3227"/>
    <w:rsid w:val="004E3741"/>
    <w:rsid w:val="004E3CF2"/>
    <w:rsid w:val="004E4FE0"/>
    <w:rsid w:val="004E5132"/>
    <w:rsid w:val="004E5382"/>
    <w:rsid w:val="004E5F0B"/>
    <w:rsid w:val="004E6806"/>
    <w:rsid w:val="004E6B5C"/>
    <w:rsid w:val="004F0102"/>
    <w:rsid w:val="004F14FE"/>
    <w:rsid w:val="004F1B8F"/>
    <w:rsid w:val="004F247E"/>
    <w:rsid w:val="004F3904"/>
    <w:rsid w:val="004F40D4"/>
    <w:rsid w:val="004F5A8F"/>
    <w:rsid w:val="004F5ADA"/>
    <w:rsid w:val="004F5D0E"/>
    <w:rsid w:val="004F63F6"/>
    <w:rsid w:val="004F7552"/>
    <w:rsid w:val="004F7A9B"/>
    <w:rsid w:val="005003AF"/>
    <w:rsid w:val="00500D38"/>
    <w:rsid w:val="00502033"/>
    <w:rsid w:val="005020C5"/>
    <w:rsid w:val="00502BAE"/>
    <w:rsid w:val="0050348A"/>
    <w:rsid w:val="00503558"/>
    <w:rsid w:val="005035F0"/>
    <w:rsid w:val="005068E6"/>
    <w:rsid w:val="00510609"/>
    <w:rsid w:val="00510999"/>
    <w:rsid w:val="00510B51"/>
    <w:rsid w:val="00511C98"/>
    <w:rsid w:val="00513351"/>
    <w:rsid w:val="00513ADA"/>
    <w:rsid w:val="00513BBF"/>
    <w:rsid w:val="00513E9F"/>
    <w:rsid w:val="00514C91"/>
    <w:rsid w:val="00515091"/>
    <w:rsid w:val="005157E5"/>
    <w:rsid w:val="00515847"/>
    <w:rsid w:val="005237C6"/>
    <w:rsid w:val="00524D71"/>
    <w:rsid w:val="00524DD5"/>
    <w:rsid w:val="00524EEF"/>
    <w:rsid w:val="005262A4"/>
    <w:rsid w:val="00526428"/>
    <w:rsid w:val="00526482"/>
    <w:rsid w:val="005311DB"/>
    <w:rsid w:val="005318CA"/>
    <w:rsid w:val="00531E8B"/>
    <w:rsid w:val="00533E90"/>
    <w:rsid w:val="0053416B"/>
    <w:rsid w:val="0053444B"/>
    <w:rsid w:val="00534E02"/>
    <w:rsid w:val="00534EA7"/>
    <w:rsid w:val="00535CB1"/>
    <w:rsid w:val="00537325"/>
    <w:rsid w:val="005373C2"/>
    <w:rsid w:val="0054083F"/>
    <w:rsid w:val="00540B16"/>
    <w:rsid w:val="00541ACE"/>
    <w:rsid w:val="00542788"/>
    <w:rsid w:val="00542DC8"/>
    <w:rsid w:val="00543B0A"/>
    <w:rsid w:val="00543F48"/>
    <w:rsid w:val="00544667"/>
    <w:rsid w:val="00544DE7"/>
    <w:rsid w:val="00545D76"/>
    <w:rsid w:val="00550107"/>
    <w:rsid w:val="00550C4C"/>
    <w:rsid w:val="00551271"/>
    <w:rsid w:val="00551A2C"/>
    <w:rsid w:val="00552370"/>
    <w:rsid w:val="00552F2C"/>
    <w:rsid w:val="00553A9F"/>
    <w:rsid w:val="0055411E"/>
    <w:rsid w:val="00555048"/>
    <w:rsid w:val="00555C95"/>
    <w:rsid w:val="00555D99"/>
    <w:rsid w:val="00555FB0"/>
    <w:rsid w:val="00560CCC"/>
    <w:rsid w:val="00562547"/>
    <w:rsid w:val="005634D5"/>
    <w:rsid w:val="00564E56"/>
    <w:rsid w:val="005657C3"/>
    <w:rsid w:val="005660D3"/>
    <w:rsid w:val="00566CEC"/>
    <w:rsid w:val="00567C8D"/>
    <w:rsid w:val="005702BE"/>
    <w:rsid w:val="005702C2"/>
    <w:rsid w:val="00570746"/>
    <w:rsid w:val="0057109E"/>
    <w:rsid w:val="0057122F"/>
    <w:rsid w:val="00572097"/>
    <w:rsid w:val="00572330"/>
    <w:rsid w:val="00572369"/>
    <w:rsid w:val="005752F1"/>
    <w:rsid w:val="005753D6"/>
    <w:rsid w:val="00575DDD"/>
    <w:rsid w:val="005800B9"/>
    <w:rsid w:val="005802E0"/>
    <w:rsid w:val="00581E07"/>
    <w:rsid w:val="005826E9"/>
    <w:rsid w:val="00582A97"/>
    <w:rsid w:val="00586539"/>
    <w:rsid w:val="00587F5F"/>
    <w:rsid w:val="00591483"/>
    <w:rsid w:val="00592DE1"/>
    <w:rsid w:val="005933DA"/>
    <w:rsid w:val="005939EC"/>
    <w:rsid w:val="00594431"/>
    <w:rsid w:val="00596364"/>
    <w:rsid w:val="00596529"/>
    <w:rsid w:val="00596DAC"/>
    <w:rsid w:val="00597637"/>
    <w:rsid w:val="00597682"/>
    <w:rsid w:val="005A03E7"/>
    <w:rsid w:val="005A0884"/>
    <w:rsid w:val="005A0A93"/>
    <w:rsid w:val="005A0F10"/>
    <w:rsid w:val="005A2E48"/>
    <w:rsid w:val="005A339D"/>
    <w:rsid w:val="005A3931"/>
    <w:rsid w:val="005A4AFF"/>
    <w:rsid w:val="005A6520"/>
    <w:rsid w:val="005A7060"/>
    <w:rsid w:val="005B1BB4"/>
    <w:rsid w:val="005B2A0B"/>
    <w:rsid w:val="005B2F51"/>
    <w:rsid w:val="005B3F47"/>
    <w:rsid w:val="005B661C"/>
    <w:rsid w:val="005B6F62"/>
    <w:rsid w:val="005B74BE"/>
    <w:rsid w:val="005C2244"/>
    <w:rsid w:val="005C2266"/>
    <w:rsid w:val="005C243C"/>
    <w:rsid w:val="005C2F9A"/>
    <w:rsid w:val="005C399B"/>
    <w:rsid w:val="005C484C"/>
    <w:rsid w:val="005C4922"/>
    <w:rsid w:val="005C57E8"/>
    <w:rsid w:val="005C57E9"/>
    <w:rsid w:val="005C6D21"/>
    <w:rsid w:val="005C6DED"/>
    <w:rsid w:val="005C706E"/>
    <w:rsid w:val="005D0563"/>
    <w:rsid w:val="005D0A67"/>
    <w:rsid w:val="005D1630"/>
    <w:rsid w:val="005D2E2F"/>
    <w:rsid w:val="005D36BC"/>
    <w:rsid w:val="005D3E7C"/>
    <w:rsid w:val="005D4A7F"/>
    <w:rsid w:val="005D51E0"/>
    <w:rsid w:val="005D5611"/>
    <w:rsid w:val="005D5630"/>
    <w:rsid w:val="005D7334"/>
    <w:rsid w:val="005E246C"/>
    <w:rsid w:val="005E4124"/>
    <w:rsid w:val="005E459F"/>
    <w:rsid w:val="005E47AD"/>
    <w:rsid w:val="005E5037"/>
    <w:rsid w:val="005E5716"/>
    <w:rsid w:val="005E5C17"/>
    <w:rsid w:val="005E60BD"/>
    <w:rsid w:val="005E7BBC"/>
    <w:rsid w:val="005F1323"/>
    <w:rsid w:val="005F253C"/>
    <w:rsid w:val="005F31CA"/>
    <w:rsid w:val="005F3EE2"/>
    <w:rsid w:val="005F4573"/>
    <w:rsid w:val="005F4671"/>
    <w:rsid w:val="005F478D"/>
    <w:rsid w:val="005F5382"/>
    <w:rsid w:val="005F7636"/>
    <w:rsid w:val="0060205C"/>
    <w:rsid w:val="00602312"/>
    <w:rsid w:val="00602BB6"/>
    <w:rsid w:val="006030C4"/>
    <w:rsid w:val="006035A2"/>
    <w:rsid w:val="006048C0"/>
    <w:rsid w:val="006056A8"/>
    <w:rsid w:val="006057D3"/>
    <w:rsid w:val="006062F0"/>
    <w:rsid w:val="00606933"/>
    <w:rsid w:val="00606E06"/>
    <w:rsid w:val="00607A04"/>
    <w:rsid w:val="00607CC9"/>
    <w:rsid w:val="00610CE5"/>
    <w:rsid w:val="006116B3"/>
    <w:rsid w:val="00611B06"/>
    <w:rsid w:val="00611E91"/>
    <w:rsid w:val="0061207C"/>
    <w:rsid w:val="0061212C"/>
    <w:rsid w:val="0061303E"/>
    <w:rsid w:val="00613503"/>
    <w:rsid w:val="006140EE"/>
    <w:rsid w:val="00614219"/>
    <w:rsid w:val="00615518"/>
    <w:rsid w:val="00615848"/>
    <w:rsid w:val="00615BF6"/>
    <w:rsid w:val="00615F3B"/>
    <w:rsid w:val="00616CE4"/>
    <w:rsid w:val="0061718A"/>
    <w:rsid w:val="0061737F"/>
    <w:rsid w:val="0061760C"/>
    <w:rsid w:val="00617F58"/>
    <w:rsid w:val="006208C3"/>
    <w:rsid w:val="00620B94"/>
    <w:rsid w:val="00620D8F"/>
    <w:rsid w:val="00621513"/>
    <w:rsid w:val="00622191"/>
    <w:rsid w:val="0062247B"/>
    <w:rsid w:val="006227BC"/>
    <w:rsid w:val="0062308B"/>
    <w:rsid w:val="00624C29"/>
    <w:rsid w:val="00626263"/>
    <w:rsid w:val="006300BD"/>
    <w:rsid w:val="00630E6D"/>
    <w:rsid w:val="006324CD"/>
    <w:rsid w:val="00632682"/>
    <w:rsid w:val="00633AA4"/>
    <w:rsid w:val="00633D88"/>
    <w:rsid w:val="006348DF"/>
    <w:rsid w:val="0063574A"/>
    <w:rsid w:val="00635888"/>
    <w:rsid w:val="00636658"/>
    <w:rsid w:val="00636A35"/>
    <w:rsid w:val="00636F35"/>
    <w:rsid w:val="00637165"/>
    <w:rsid w:val="0063793B"/>
    <w:rsid w:val="00637A70"/>
    <w:rsid w:val="00637D6A"/>
    <w:rsid w:val="00637F58"/>
    <w:rsid w:val="00637F81"/>
    <w:rsid w:val="00641540"/>
    <w:rsid w:val="00642A4E"/>
    <w:rsid w:val="00642FC3"/>
    <w:rsid w:val="00644AF0"/>
    <w:rsid w:val="006451D4"/>
    <w:rsid w:val="00646474"/>
    <w:rsid w:val="00651002"/>
    <w:rsid w:val="00651149"/>
    <w:rsid w:val="006514E8"/>
    <w:rsid w:val="006514EE"/>
    <w:rsid w:val="006522F2"/>
    <w:rsid w:val="00652D4D"/>
    <w:rsid w:val="00653C44"/>
    <w:rsid w:val="00653D35"/>
    <w:rsid w:val="00654CB5"/>
    <w:rsid w:val="0065571A"/>
    <w:rsid w:val="0065761B"/>
    <w:rsid w:val="00660C68"/>
    <w:rsid w:val="006610A1"/>
    <w:rsid w:val="00661313"/>
    <w:rsid w:val="00663EE1"/>
    <w:rsid w:val="00665730"/>
    <w:rsid w:val="0066694E"/>
    <w:rsid w:val="006703AF"/>
    <w:rsid w:val="00670F45"/>
    <w:rsid w:val="00673B6A"/>
    <w:rsid w:val="006749F8"/>
    <w:rsid w:val="00674B6A"/>
    <w:rsid w:val="00675956"/>
    <w:rsid w:val="0067668E"/>
    <w:rsid w:val="0068016C"/>
    <w:rsid w:val="006804E7"/>
    <w:rsid w:val="006810C2"/>
    <w:rsid w:val="00682042"/>
    <w:rsid w:val="00682060"/>
    <w:rsid w:val="00682BD4"/>
    <w:rsid w:val="00682E8E"/>
    <w:rsid w:val="006836D6"/>
    <w:rsid w:val="0068426F"/>
    <w:rsid w:val="00685413"/>
    <w:rsid w:val="00685C88"/>
    <w:rsid w:val="006861D9"/>
    <w:rsid w:val="0068650E"/>
    <w:rsid w:val="00687C92"/>
    <w:rsid w:val="006900E6"/>
    <w:rsid w:val="006901CC"/>
    <w:rsid w:val="00690754"/>
    <w:rsid w:val="00690F4E"/>
    <w:rsid w:val="00692017"/>
    <w:rsid w:val="00692311"/>
    <w:rsid w:val="00693E16"/>
    <w:rsid w:val="006974F9"/>
    <w:rsid w:val="006A01C1"/>
    <w:rsid w:val="006A04FD"/>
    <w:rsid w:val="006A1D25"/>
    <w:rsid w:val="006A245D"/>
    <w:rsid w:val="006A2693"/>
    <w:rsid w:val="006A2E20"/>
    <w:rsid w:val="006A5A09"/>
    <w:rsid w:val="006A5CA8"/>
    <w:rsid w:val="006B0085"/>
    <w:rsid w:val="006B077A"/>
    <w:rsid w:val="006B078A"/>
    <w:rsid w:val="006B14B4"/>
    <w:rsid w:val="006B1B1F"/>
    <w:rsid w:val="006B1F4F"/>
    <w:rsid w:val="006B2513"/>
    <w:rsid w:val="006B27F2"/>
    <w:rsid w:val="006B4BD9"/>
    <w:rsid w:val="006B66A5"/>
    <w:rsid w:val="006B7BF1"/>
    <w:rsid w:val="006C039A"/>
    <w:rsid w:val="006C0847"/>
    <w:rsid w:val="006C0973"/>
    <w:rsid w:val="006C0C58"/>
    <w:rsid w:val="006C152D"/>
    <w:rsid w:val="006C1FCA"/>
    <w:rsid w:val="006C3D36"/>
    <w:rsid w:val="006C4222"/>
    <w:rsid w:val="006C4A0C"/>
    <w:rsid w:val="006C4A52"/>
    <w:rsid w:val="006C54B5"/>
    <w:rsid w:val="006C55F5"/>
    <w:rsid w:val="006C5B92"/>
    <w:rsid w:val="006C6110"/>
    <w:rsid w:val="006C6691"/>
    <w:rsid w:val="006C674A"/>
    <w:rsid w:val="006C6821"/>
    <w:rsid w:val="006C7741"/>
    <w:rsid w:val="006C7D38"/>
    <w:rsid w:val="006D024A"/>
    <w:rsid w:val="006D0B9D"/>
    <w:rsid w:val="006D13F2"/>
    <w:rsid w:val="006D1974"/>
    <w:rsid w:val="006D21E7"/>
    <w:rsid w:val="006D23BD"/>
    <w:rsid w:val="006D23F7"/>
    <w:rsid w:val="006D3219"/>
    <w:rsid w:val="006D3257"/>
    <w:rsid w:val="006D3A4C"/>
    <w:rsid w:val="006D4B90"/>
    <w:rsid w:val="006D4FAE"/>
    <w:rsid w:val="006D56FE"/>
    <w:rsid w:val="006D5A73"/>
    <w:rsid w:val="006D6012"/>
    <w:rsid w:val="006D693E"/>
    <w:rsid w:val="006D7268"/>
    <w:rsid w:val="006D7744"/>
    <w:rsid w:val="006E0959"/>
    <w:rsid w:val="006E0E09"/>
    <w:rsid w:val="006E1815"/>
    <w:rsid w:val="006E1AEC"/>
    <w:rsid w:val="006E29CF"/>
    <w:rsid w:val="006E2BFA"/>
    <w:rsid w:val="006E2E2B"/>
    <w:rsid w:val="006E46CA"/>
    <w:rsid w:val="006E4A54"/>
    <w:rsid w:val="006E5A58"/>
    <w:rsid w:val="006E6385"/>
    <w:rsid w:val="006E6516"/>
    <w:rsid w:val="006E70CA"/>
    <w:rsid w:val="006F3176"/>
    <w:rsid w:val="006F3D95"/>
    <w:rsid w:val="006F55C7"/>
    <w:rsid w:val="006F5D3B"/>
    <w:rsid w:val="006F60EC"/>
    <w:rsid w:val="007003BC"/>
    <w:rsid w:val="00700573"/>
    <w:rsid w:val="0070106D"/>
    <w:rsid w:val="00702F8E"/>
    <w:rsid w:val="0070439A"/>
    <w:rsid w:val="00706BE6"/>
    <w:rsid w:val="007073A6"/>
    <w:rsid w:val="00710041"/>
    <w:rsid w:val="00710090"/>
    <w:rsid w:val="0071081F"/>
    <w:rsid w:val="00710C0F"/>
    <w:rsid w:val="00712BC3"/>
    <w:rsid w:val="00713304"/>
    <w:rsid w:val="007146E5"/>
    <w:rsid w:val="00714B9F"/>
    <w:rsid w:val="007152FB"/>
    <w:rsid w:val="00716591"/>
    <w:rsid w:val="007165B1"/>
    <w:rsid w:val="007168D8"/>
    <w:rsid w:val="00716A13"/>
    <w:rsid w:val="00716A92"/>
    <w:rsid w:val="00716E68"/>
    <w:rsid w:val="0071792F"/>
    <w:rsid w:val="0072009B"/>
    <w:rsid w:val="007204A6"/>
    <w:rsid w:val="00720BF7"/>
    <w:rsid w:val="0072160E"/>
    <w:rsid w:val="00721C41"/>
    <w:rsid w:val="00721F0C"/>
    <w:rsid w:val="007221D9"/>
    <w:rsid w:val="00722268"/>
    <w:rsid w:val="00722EF6"/>
    <w:rsid w:val="007233BB"/>
    <w:rsid w:val="0072362D"/>
    <w:rsid w:val="007257A6"/>
    <w:rsid w:val="00730ECA"/>
    <w:rsid w:val="00732BF6"/>
    <w:rsid w:val="00733351"/>
    <w:rsid w:val="00733825"/>
    <w:rsid w:val="0073451C"/>
    <w:rsid w:val="00734649"/>
    <w:rsid w:val="007352C3"/>
    <w:rsid w:val="0073543C"/>
    <w:rsid w:val="007362DC"/>
    <w:rsid w:val="007365EF"/>
    <w:rsid w:val="007367F5"/>
    <w:rsid w:val="00737119"/>
    <w:rsid w:val="0074050F"/>
    <w:rsid w:val="007413A6"/>
    <w:rsid w:val="007425B7"/>
    <w:rsid w:val="00743E7C"/>
    <w:rsid w:val="00743F27"/>
    <w:rsid w:val="007442E3"/>
    <w:rsid w:val="00744B95"/>
    <w:rsid w:val="007461AC"/>
    <w:rsid w:val="00746DB0"/>
    <w:rsid w:val="00747A00"/>
    <w:rsid w:val="00747D09"/>
    <w:rsid w:val="00750972"/>
    <w:rsid w:val="007517BC"/>
    <w:rsid w:val="00751D86"/>
    <w:rsid w:val="00751FEC"/>
    <w:rsid w:val="00752BC1"/>
    <w:rsid w:val="00756E5B"/>
    <w:rsid w:val="007606C0"/>
    <w:rsid w:val="00760D35"/>
    <w:rsid w:val="0076107A"/>
    <w:rsid w:val="0076135E"/>
    <w:rsid w:val="00761F90"/>
    <w:rsid w:val="00762218"/>
    <w:rsid w:val="00762313"/>
    <w:rsid w:val="007623D9"/>
    <w:rsid w:val="00762E5F"/>
    <w:rsid w:val="00763BD7"/>
    <w:rsid w:val="0076429B"/>
    <w:rsid w:val="00764B28"/>
    <w:rsid w:val="00764BD2"/>
    <w:rsid w:val="00766D71"/>
    <w:rsid w:val="007671F8"/>
    <w:rsid w:val="007676CA"/>
    <w:rsid w:val="00767BCF"/>
    <w:rsid w:val="00767E77"/>
    <w:rsid w:val="00770210"/>
    <w:rsid w:val="00770661"/>
    <w:rsid w:val="00770AD7"/>
    <w:rsid w:val="007711DE"/>
    <w:rsid w:val="00771A03"/>
    <w:rsid w:val="00773EEC"/>
    <w:rsid w:val="007740BA"/>
    <w:rsid w:val="00776682"/>
    <w:rsid w:val="007766D0"/>
    <w:rsid w:val="00776E62"/>
    <w:rsid w:val="007778D9"/>
    <w:rsid w:val="00777D8D"/>
    <w:rsid w:val="0078206D"/>
    <w:rsid w:val="00782682"/>
    <w:rsid w:val="007828C0"/>
    <w:rsid w:val="007837FC"/>
    <w:rsid w:val="00784244"/>
    <w:rsid w:val="00784D70"/>
    <w:rsid w:val="007852B1"/>
    <w:rsid w:val="00787502"/>
    <w:rsid w:val="00791E73"/>
    <w:rsid w:val="0079453B"/>
    <w:rsid w:val="007948AC"/>
    <w:rsid w:val="00795337"/>
    <w:rsid w:val="00795DA6"/>
    <w:rsid w:val="007976A8"/>
    <w:rsid w:val="00797FBC"/>
    <w:rsid w:val="007A0088"/>
    <w:rsid w:val="007A02E5"/>
    <w:rsid w:val="007A100E"/>
    <w:rsid w:val="007A2470"/>
    <w:rsid w:val="007A24FC"/>
    <w:rsid w:val="007A2CF7"/>
    <w:rsid w:val="007A3F4F"/>
    <w:rsid w:val="007A4208"/>
    <w:rsid w:val="007A5056"/>
    <w:rsid w:val="007A514E"/>
    <w:rsid w:val="007A53A9"/>
    <w:rsid w:val="007A555D"/>
    <w:rsid w:val="007A572D"/>
    <w:rsid w:val="007A5CDA"/>
    <w:rsid w:val="007A6039"/>
    <w:rsid w:val="007A622F"/>
    <w:rsid w:val="007A6B38"/>
    <w:rsid w:val="007A6EA8"/>
    <w:rsid w:val="007A7C1E"/>
    <w:rsid w:val="007B010C"/>
    <w:rsid w:val="007B02A4"/>
    <w:rsid w:val="007B09C3"/>
    <w:rsid w:val="007B2676"/>
    <w:rsid w:val="007B2926"/>
    <w:rsid w:val="007B353C"/>
    <w:rsid w:val="007B4821"/>
    <w:rsid w:val="007B5161"/>
    <w:rsid w:val="007B5A7F"/>
    <w:rsid w:val="007B5AA9"/>
    <w:rsid w:val="007B5C33"/>
    <w:rsid w:val="007B67E7"/>
    <w:rsid w:val="007B7DD8"/>
    <w:rsid w:val="007C0B39"/>
    <w:rsid w:val="007C0C8E"/>
    <w:rsid w:val="007C1209"/>
    <w:rsid w:val="007C1F10"/>
    <w:rsid w:val="007C1F23"/>
    <w:rsid w:val="007C2D88"/>
    <w:rsid w:val="007C2FBF"/>
    <w:rsid w:val="007C30FE"/>
    <w:rsid w:val="007C36B1"/>
    <w:rsid w:val="007C503E"/>
    <w:rsid w:val="007C5F4C"/>
    <w:rsid w:val="007C60BC"/>
    <w:rsid w:val="007C6277"/>
    <w:rsid w:val="007C6B2A"/>
    <w:rsid w:val="007C7CEE"/>
    <w:rsid w:val="007D0F5F"/>
    <w:rsid w:val="007D10A5"/>
    <w:rsid w:val="007D24D4"/>
    <w:rsid w:val="007D3798"/>
    <w:rsid w:val="007D39ED"/>
    <w:rsid w:val="007D3CF6"/>
    <w:rsid w:val="007D55EF"/>
    <w:rsid w:val="007D6C13"/>
    <w:rsid w:val="007D6D31"/>
    <w:rsid w:val="007D76D4"/>
    <w:rsid w:val="007D7A15"/>
    <w:rsid w:val="007E01F1"/>
    <w:rsid w:val="007E0550"/>
    <w:rsid w:val="007E0C53"/>
    <w:rsid w:val="007E17F7"/>
    <w:rsid w:val="007E1C43"/>
    <w:rsid w:val="007E1F89"/>
    <w:rsid w:val="007E2A68"/>
    <w:rsid w:val="007E2B8C"/>
    <w:rsid w:val="007E348E"/>
    <w:rsid w:val="007E41A7"/>
    <w:rsid w:val="007E4A71"/>
    <w:rsid w:val="007E4B65"/>
    <w:rsid w:val="007E5379"/>
    <w:rsid w:val="007E5C71"/>
    <w:rsid w:val="007E63B4"/>
    <w:rsid w:val="007E7258"/>
    <w:rsid w:val="007F0C9E"/>
    <w:rsid w:val="007F12F7"/>
    <w:rsid w:val="007F182B"/>
    <w:rsid w:val="007F1BD1"/>
    <w:rsid w:val="007F20AF"/>
    <w:rsid w:val="007F2ED4"/>
    <w:rsid w:val="007F31EB"/>
    <w:rsid w:val="007F381B"/>
    <w:rsid w:val="007F3B6A"/>
    <w:rsid w:val="007F49B7"/>
    <w:rsid w:val="007F4CDC"/>
    <w:rsid w:val="007F5D52"/>
    <w:rsid w:val="00800D74"/>
    <w:rsid w:val="00801054"/>
    <w:rsid w:val="00801756"/>
    <w:rsid w:val="00801A03"/>
    <w:rsid w:val="00802F2E"/>
    <w:rsid w:val="00803892"/>
    <w:rsid w:val="00805D54"/>
    <w:rsid w:val="008065B3"/>
    <w:rsid w:val="008068BE"/>
    <w:rsid w:val="008068F2"/>
    <w:rsid w:val="0080797C"/>
    <w:rsid w:val="00811297"/>
    <w:rsid w:val="00812C78"/>
    <w:rsid w:val="00812E72"/>
    <w:rsid w:val="0081365F"/>
    <w:rsid w:val="00814357"/>
    <w:rsid w:val="00814C06"/>
    <w:rsid w:val="00815226"/>
    <w:rsid w:val="00816C9E"/>
    <w:rsid w:val="008209FD"/>
    <w:rsid w:val="00820D59"/>
    <w:rsid w:val="00821A4F"/>
    <w:rsid w:val="00822084"/>
    <w:rsid w:val="008220B3"/>
    <w:rsid w:val="00822252"/>
    <w:rsid w:val="00822253"/>
    <w:rsid w:val="008223DB"/>
    <w:rsid w:val="00823C47"/>
    <w:rsid w:val="00823D2A"/>
    <w:rsid w:val="00826DB0"/>
    <w:rsid w:val="00827258"/>
    <w:rsid w:val="00827B69"/>
    <w:rsid w:val="0083058A"/>
    <w:rsid w:val="00830AA1"/>
    <w:rsid w:val="008329A9"/>
    <w:rsid w:val="00833B49"/>
    <w:rsid w:val="0083480E"/>
    <w:rsid w:val="00834976"/>
    <w:rsid w:val="0083584B"/>
    <w:rsid w:val="00835A61"/>
    <w:rsid w:val="00835CCD"/>
    <w:rsid w:val="00837E94"/>
    <w:rsid w:val="00840942"/>
    <w:rsid w:val="00840D97"/>
    <w:rsid w:val="008418F6"/>
    <w:rsid w:val="00841BAA"/>
    <w:rsid w:val="00841EFB"/>
    <w:rsid w:val="008424A0"/>
    <w:rsid w:val="008426C6"/>
    <w:rsid w:val="00843EF9"/>
    <w:rsid w:val="00845517"/>
    <w:rsid w:val="008465E2"/>
    <w:rsid w:val="00847207"/>
    <w:rsid w:val="0084774E"/>
    <w:rsid w:val="008504F7"/>
    <w:rsid w:val="0085096E"/>
    <w:rsid w:val="0085119E"/>
    <w:rsid w:val="008530E0"/>
    <w:rsid w:val="008537B0"/>
    <w:rsid w:val="00855C0B"/>
    <w:rsid w:val="00856EF0"/>
    <w:rsid w:val="00857AB3"/>
    <w:rsid w:val="00857DDE"/>
    <w:rsid w:val="00860946"/>
    <w:rsid w:val="008618D0"/>
    <w:rsid w:val="00861915"/>
    <w:rsid w:val="00861FD4"/>
    <w:rsid w:val="00863EFE"/>
    <w:rsid w:val="00865479"/>
    <w:rsid w:val="00866682"/>
    <w:rsid w:val="00866C00"/>
    <w:rsid w:val="00867581"/>
    <w:rsid w:val="008677C6"/>
    <w:rsid w:val="00867A16"/>
    <w:rsid w:val="008703FC"/>
    <w:rsid w:val="008727A2"/>
    <w:rsid w:val="00873BF7"/>
    <w:rsid w:val="008755A3"/>
    <w:rsid w:val="00875AE5"/>
    <w:rsid w:val="00875D0D"/>
    <w:rsid w:val="00876078"/>
    <w:rsid w:val="00876119"/>
    <w:rsid w:val="0087750C"/>
    <w:rsid w:val="008808D9"/>
    <w:rsid w:val="00880F2D"/>
    <w:rsid w:val="00881FDF"/>
    <w:rsid w:val="00884F45"/>
    <w:rsid w:val="008850C0"/>
    <w:rsid w:val="008851A3"/>
    <w:rsid w:val="00885846"/>
    <w:rsid w:val="00885F6D"/>
    <w:rsid w:val="00886B1C"/>
    <w:rsid w:val="00886CA6"/>
    <w:rsid w:val="00886CF9"/>
    <w:rsid w:val="0089017E"/>
    <w:rsid w:val="008913F2"/>
    <w:rsid w:val="0089189B"/>
    <w:rsid w:val="008938D3"/>
    <w:rsid w:val="0089440F"/>
    <w:rsid w:val="00894769"/>
    <w:rsid w:val="00894BB1"/>
    <w:rsid w:val="00895132"/>
    <w:rsid w:val="008955F1"/>
    <w:rsid w:val="008959E2"/>
    <w:rsid w:val="0089625A"/>
    <w:rsid w:val="00896CD0"/>
    <w:rsid w:val="00896DF4"/>
    <w:rsid w:val="008A0937"/>
    <w:rsid w:val="008A1320"/>
    <w:rsid w:val="008A17C5"/>
    <w:rsid w:val="008A4385"/>
    <w:rsid w:val="008A4964"/>
    <w:rsid w:val="008A4E25"/>
    <w:rsid w:val="008A5B97"/>
    <w:rsid w:val="008A6B13"/>
    <w:rsid w:val="008A6BBF"/>
    <w:rsid w:val="008A755C"/>
    <w:rsid w:val="008B186D"/>
    <w:rsid w:val="008B1E02"/>
    <w:rsid w:val="008B1F19"/>
    <w:rsid w:val="008B36D2"/>
    <w:rsid w:val="008B37EF"/>
    <w:rsid w:val="008B46EE"/>
    <w:rsid w:val="008B7E9A"/>
    <w:rsid w:val="008C0C0C"/>
    <w:rsid w:val="008C1F5C"/>
    <w:rsid w:val="008C23A4"/>
    <w:rsid w:val="008C3347"/>
    <w:rsid w:val="008C398A"/>
    <w:rsid w:val="008C5A9A"/>
    <w:rsid w:val="008C5C6E"/>
    <w:rsid w:val="008C7560"/>
    <w:rsid w:val="008D08F3"/>
    <w:rsid w:val="008D3014"/>
    <w:rsid w:val="008D375A"/>
    <w:rsid w:val="008D38B9"/>
    <w:rsid w:val="008D4747"/>
    <w:rsid w:val="008D6CFA"/>
    <w:rsid w:val="008D719F"/>
    <w:rsid w:val="008D7DEE"/>
    <w:rsid w:val="008E1497"/>
    <w:rsid w:val="008E2339"/>
    <w:rsid w:val="008E2DF1"/>
    <w:rsid w:val="008E32B1"/>
    <w:rsid w:val="008E332D"/>
    <w:rsid w:val="008E45FB"/>
    <w:rsid w:val="008E4AC1"/>
    <w:rsid w:val="008E4C65"/>
    <w:rsid w:val="008E4FD4"/>
    <w:rsid w:val="008E6796"/>
    <w:rsid w:val="008E72BE"/>
    <w:rsid w:val="008F2BFF"/>
    <w:rsid w:val="008F2D7D"/>
    <w:rsid w:val="008F3854"/>
    <w:rsid w:val="008F3863"/>
    <w:rsid w:val="008F39E2"/>
    <w:rsid w:val="008F4AF6"/>
    <w:rsid w:val="008F67ED"/>
    <w:rsid w:val="00900A03"/>
    <w:rsid w:val="00900FEF"/>
    <w:rsid w:val="009011B2"/>
    <w:rsid w:val="009019DD"/>
    <w:rsid w:val="00902A66"/>
    <w:rsid w:val="00903040"/>
    <w:rsid w:val="009038B5"/>
    <w:rsid w:val="009046C5"/>
    <w:rsid w:val="009049FC"/>
    <w:rsid w:val="009064AE"/>
    <w:rsid w:val="00911195"/>
    <w:rsid w:val="00911D05"/>
    <w:rsid w:val="00911FFD"/>
    <w:rsid w:val="00912172"/>
    <w:rsid w:val="009143E6"/>
    <w:rsid w:val="009145E1"/>
    <w:rsid w:val="009147FC"/>
    <w:rsid w:val="00917609"/>
    <w:rsid w:val="00917B00"/>
    <w:rsid w:val="009203C4"/>
    <w:rsid w:val="00921133"/>
    <w:rsid w:val="009225C7"/>
    <w:rsid w:val="00924567"/>
    <w:rsid w:val="00926670"/>
    <w:rsid w:val="00926833"/>
    <w:rsid w:val="00926B45"/>
    <w:rsid w:val="00927AED"/>
    <w:rsid w:val="00927C79"/>
    <w:rsid w:val="00927F2C"/>
    <w:rsid w:val="009310FC"/>
    <w:rsid w:val="00931D48"/>
    <w:rsid w:val="009326E3"/>
    <w:rsid w:val="00932826"/>
    <w:rsid w:val="00935451"/>
    <w:rsid w:val="0093571A"/>
    <w:rsid w:val="00935DF2"/>
    <w:rsid w:val="00936121"/>
    <w:rsid w:val="009370C8"/>
    <w:rsid w:val="0093735E"/>
    <w:rsid w:val="00937E43"/>
    <w:rsid w:val="00940DFE"/>
    <w:rsid w:val="00941180"/>
    <w:rsid w:val="009424ED"/>
    <w:rsid w:val="00942AFC"/>
    <w:rsid w:val="00946B24"/>
    <w:rsid w:val="00946D1D"/>
    <w:rsid w:val="00951A46"/>
    <w:rsid w:val="00952178"/>
    <w:rsid w:val="009536AF"/>
    <w:rsid w:val="00953AD4"/>
    <w:rsid w:val="0095477C"/>
    <w:rsid w:val="00954857"/>
    <w:rsid w:val="0095576B"/>
    <w:rsid w:val="00955B26"/>
    <w:rsid w:val="00960F43"/>
    <w:rsid w:val="00962312"/>
    <w:rsid w:val="00963060"/>
    <w:rsid w:val="0096319F"/>
    <w:rsid w:val="00964928"/>
    <w:rsid w:val="00965128"/>
    <w:rsid w:val="00965C55"/>
    <w:rsid w:val="00966AB0"/>
    <w:rsid w:val="009706F1"/>
    <w:rsid w:val="009725D3"/>
    <w:rsid w:val="009729FF"/>
    <w:rsid w:val="0097323B"/>
    <w:rsid w:val="00973414"/>
    <w:rsid w:val="00974D3C"/>
    <w:rsid w:val="00975964"/>
    <w:rsid w:val="00976373"/>
    <w:rsid w:val="00977964"/>
    <w:rsid w:val="00980258"/>
    <w:rsid w:val="0098027E"/>
    <w:rsid w:val="00980B15"/>
    <w:rsid w:val="00980F56"/>
    <w:rsid w:val="009819CC"/>
    <w:rsid w:val="0098260E"/>
    <w:rsid w:val="00982C7D"/>
    <w:rsid w:val="00984D52"/>
    <w:rsid w:val="00985D8A"/>
    <w:rsid w:val="0099224D"/>
    <w:rsid w:val="00992C23"/>
    <w:rsid w:val="00993657"/>
    <w:rsid w:val="00993DFF"/>
    <w:rsid w:val="00994684"/>
    <w:rsid w:val="00994788"/>
    <w:rsid w:val="00994B65"/>
    <w:rsid w:val="00996505"/>
    <w:rsid w:val="00996A38"/>
    <w:rsid w:val="00996BC5"/>
    <w:rsid w:val="0099759A"/>
    <w:rsid w:val="009A1729"/>
    <w:rsid w:val="009A1EF1"/>
    <w:rsid w:val="009A203B"/>
    <w:rsid w:val="009A2FBD"/>
    <w:rsid w:val="009A334E"/>
    <w:rsid w:val="009A36BD"/>
    <w:rsid w:val="009A3DFB"/>
    <w:rsid w:val="009A41F3"/>
    <w:rsid w:val="009A4DE9"/>
    <w:rsid w:val="009A57CE"/>
    <w:rsid w:val="009A76D6"/>
    <w:rsid w:val="009A7F2A"/>
    <w:rsid w:val="009B13ED"/>
    <w:rsid w:val="009B17B9"/>
    <w:rsid w:val="009B1DEB"/>
    <w:rsid w:val="009B1EFB"/>
    <w:rsid w:val="009B2D71"/>
    <w:rsid w:val="009B3C20"/>
    <w:rsid w:val="009B3F34"/>
    <w:rsid w:val="009B54ED"/>
    <w:rsid w:val="009B573E"/>
    <w:rsid w:val="009B645B"/>
    <w:rsid w:val="009B6C85"/>
    <w:rsid w:val="009B76F9"/>
    <w:rsid w:val="009B7B2D"/>
    <w:rsid w:val="009B7CBE"/>
    <w:rsid w:val="009B7D57"/>
    <w:rsid w:val="009C1902"/>
    <w:rsid w:val="009C21BB"/>
    <w:rsid w:val="009C229B"/>
    <w:rsid w:val="009C298D"/>
    <w:rsid w:val="009C2F51"/>
    <w:rsid w:val="009C3134"/>
    <w:rsid w:val="009C31E5"/>
    <w:rsid w:val="009C3C86"/>
    <w:rsid w:val="009C3D0E"/>
    <w:rsid w:val="009C3D3B"/>
    <w:rsid w:val="009C4DDA"/>
    <w:rsid w:val="009C5738"/>
    <w:rsid w:val="009C6B30"/>
    <w:rsid w:val="009C6D47"/>
    <w:rsid w:val="009C7DA9"/>
    <w:rsid w:val="009D0008"/>
    <w:rsid w:val="009D02EF"/>
    <w:rsid w:val="009D0F02"/>
    <w:rsid w:val="009D41CE"/>
    <w:rsid w:val="009D65E2"/>
    <w:rsid w:val="009D7EFF"/>
    <w:rsid w:val="009E0065"/>
    <w:rsid w:val="009E03F8"/>
    <w:rsid w:val="009E06AE"/>
    <w:rsid w:val="009E40EF"/>
    <w:rsid w:val="009E4891"/>
    <w:rsid w:val="009E49F7"/>
    <w:rsid w:val="009E63A1"/>
    <w:rsid w:val="009E63E0"/>
    <w:rsid w:val="009E663F"/>
    <w:rsid w:val="009E73F5"/>
    <w:rsid w:val="009F0B0D"/>
    <w:rsid w:val="009F0DFE"/>
    <w:rsid w:val="009F1549"/>
    <w:rsid w:val="009F3544"/>
    <w:rsid w:val="009F3867"/>
    <w:rsid w:val="009F5953"/>
    <w:rsid w:val="009F5ADA"/>
    <w:rsid w:val="009F6334"/>
    <w:rsid w:val="009F63F8"/>
    <w:rsid w:val="009F67A6"/>
    <w:rsid w:val="009F6BC1"/>
    <w:rsid w:val="00A00144"/>
    <w:rsid w:val="00A01173"/>
    <w:rsid w:val="00A01A48"/>
    <w:rsid w:val="00A0222D"/>
    <w:rsid w:val="00A03320"/>
    <w:rsid w:val="00A03A6E"/>
    <w:rsid w:val="00A045CA"/>
    <w:rsid w:val="00A06B9E"/>
    <w:rsid w:val="00A06CCC"/>
    <w:rsid w:val="00A07DB7"/>
    <w:rsid w:val="00A1109E"/>
    <w:rsid w:val="00A121B4"/>
    <w:rsid w:val="00A12B8A"/>
    <w:rsid w:val="00A13BB5"/>
    <w:rsid w:val="00A1438E"/>
    <w:rsid w:val="00A1451B"/>
    <w:rsid w:val="00A14949"/>
    <w:rsid w:val="00A16605"/>
    <w:rsid w:val="00A1784C"/>
    <w:rsid w:val="00A17F3C"/>
    <w:rsid w:val="00A202C0"/>
    <w:rsid w:val="00A2182E"/>
    <w:rsid w:val="00A22283"/>
    <w:rsid w:val="00A224C6"/>
    <w:rsid w:val="00A23718"/>
    <w:rsid w:val="00A242BF"/>
    <w:rsid w:val="00A24731"/>
    <w:rsid w:val="00A26272"/>
    <w:rsid w:val="00A269CD"/>
    <w:rsid w:val="00A26F5B"/>
    <w:rsid w:val="00A2769A"/>
    <w:rsid w:val="00A3215F"/>
    <w:rsid w:val="00A32869"/>
    <w:rsid w:val="00A32F1B"/>
    <w:rsid w:val="00A34066"/>
    <w:rsid w:val="00A34075"/>
    <w:rsid w:val="00A34AFA"/>
    <w:rsid w:val="00A35692"/>
    <w:rsid w:val="00A3661C"/>
    <w:rsid w:val="00A367FE"/>
    <w:rsid w:val="00A402CA"/>
    <w:rsid w:val="00A40A52"/>
    <w:rsid w:val="00A42419"/>
    <w:rsid w:val="00A43023"/>
    <w:rsid w:val="00A44B1C"/>
    <w:rsid w:val="00A45866"/>
    <w:rsid w:val="00A47A2E"/>
    <w:rsid w:val="00A50BCE"/>
    <w:rsid w:val="00A5111B"/>
    <w:rsid w:val="00A515F6"/>
    <w:rsid w:val="00A53076"/>
    <w:rsid w:val="00A534A7"/>
    <w:rsid w:val="00A54E1A"/>
    <w:rsid w:val="00A54E56"/>
    <w:rsid w:val="00A56112"/>
    <w:rsid w:val="00A5750A"/>
    <w:rsid w:val="00A6066A"/>
    <w:rsid w:val="00A60ED5"/>
    <w:rsid w:val="00A6100C"/>
    <w:rsid w:val="00A61048"/>
    <w:rsid w:val="00A62B0B"/>
    <w:rsid w:val="00A645C0"/>
    <w:rsid w:val="00A646D4"/>
    <w:rsid w:val="00A651C6"/>
    <w:rsid w:val="00A669AD"/>
    <w:rsid w:val="00A66E83"/>
    <w:rsid w:val="00A67104"/>
    <w:rsid w:val="00A678FB"/>
    <w:rsid w:val="00A708E5"/>
    <w:rsid w:val="00A70939"/>
    <w:rsid w:val="00A728DA"/>
    <w:rsid w:val="00A74826"/>
    <w:rsid w:val="00A75BAE"/>
    <w:rsid w:val="00A767B5"/>
    <w:rsid w:val="00A76F07"/>
    <w:rsid w:val="00A77439"/>
    <w:rsid w:val="00A77487"/>
    <w:rsid w:val="00A80082"/>
    <w:rsid w:val="00A8138E"/>
    <w:rsid w:val="00A81788"/>
    <w:rsid w:val="00A81C34"/>
    <w:rsid w:val="00A81EF4"/>
    <w:rsid w:val="00A83DA3"/>
    <w:rsid w:val="00A8451E"/>
    <w:rsid w:val="00A84805"/>
    <w:rsid w:val="00A85473"/>
    <w:rsid w:val="00A85D28"/>
    <w:rsid w:val="00A860A5"/>
    <w:rsid w:val="00A8617C"/>
    <w:rsid w:val="00A86CFD"/>
    <w:rsid w:val="00A876E4"/>
    <w:rsid w:val="00A87E2D"/>
    <w:rsid w:val="00A920B8"/>
    <w:rsid w:val="00A922B6"/>
    <w:rsid w:val="00A9278B"/>
    <w:rsid w:val="00A959A2"/>
    <w:rsid w:val="00A97A4C"/>
    <w:rsid w:val="00A97CFC"/>
    <w:rsid w:val="00AA0296"/>
    <w:rsid w:val="00AA0355"/>
    <w:rsid w:val="00AA09EF"/>
    <w:rsid w:val="00AA0A43"/>
    <w:rsid w:val="00AA0F91"/>
    <w:rsid w:val="00AA105A"/>
    <w:rsid w:val="00AA1833"/>
    <w:rsid w:val="00AA1CDE"/>
    <w:rsid w:val="00AA338C"/>
    <w:rsid w:val="00AA345B"/>
    <w:rsid w:val="00AA3A4B"/>
    <w:rsid w:val="00AA3A66"/>
    <w:rsid w:val="00AA6405"/>
    <w:rsid w:val="00AA6B10"/>
    <w:rsid w:val="00AB0D94"/>
    <w:rsid w:val="00AB13D8"/>
    <w:rsid w:val="00AB18A3"/>
    <w:rsid w:val="00AB2253"/>
    <w:rsid w:val="00AB32BC"/>
    <w:rsid w:val="00AB402F"/>
    <w:rsid w:val="00AB53AE"/>
    <w:rsid w:val="00AB5906"/>
    <w:rsid w:val="00AB5C9D"/>
    <w:rsid w:val="00AC0110"/>
    <w:rsid w:val="00AC1C1E"/>
    <w:rsid w:val="00AC1D73"/>
    <w:rsid w:val="00AC20DC"/>
    <w:rsid w:val="00AC312A"/>
    <w:rsid w:val="00AC5015"/>
    <w:rsid w:val="00AC5A89"/>
    <w:rsid w:val="00AC648E"/>
    <w:rsid w:val="00AC6F0D"/>
    <w:rsid w:val="00AC7273"/>
    <w:rsid w:val="00AC7910"/>
    <w:rsid w:val="00AD262D"/>
    <w:rsid w:val="00AD2A16"/>
    <w:rsid w:val="00AD38B0"/>
    <w:rsid w:val="00AD6039"/>
    <w:rsid w:val="00AD6400"/>
    <w:rsid w:val="00AD70E8"/>
    <w:rsid w:val="00AD76B6"/>
    <w:rsid w:val="00AE0232"/>
    <w:rsid w:val="00AE0AC4"/>
    <w:rsid w:val="00AE1194"/>
    <w:rsid w:val="00AE4306"/>
    <w:rsid w:val="00AE4D58"/>
    <w:rsid w:val="00AE6133"/>
    <w:rsid w:val="00AE6549"/>
    <w:rsid w:val="00AE6588"/>
    <w:rsid w:val="00AE66A8"/>
    <w:rsid w:val="00AE6F12"/>
    <w:rsid w:val="00AE71E4"/>
    <w:rsid w:val="00AF0242"/>
    <w:rsid w:val="00AF06A0"/>
    <w:rsid w:val="00AF10DC"/>
    <w:rsid w:val="00AF2998"/>
    <w:rsid w:val="00AF3A36"/>
    <w:rsid w:val="00AF3FB1"/>
    <w:rsid w:val="00AF4019"/>
    <w:rsid w:val="00AF4150"/>
    <w:rsid w:val="00AF4735"/>
    <w:rsid w:val="00AF4D34"/>
    <w:rsid w:val="00AF5470"/>
    <w:rsid w:val="00AF6864"/>
    <w:rsid w:val="00AF7317"/>
    <w:rsid w:val="00AF7654"/>
    <w:rsid w:val="00AF7C69"/>
    <w:rsid w:val="00B00B8A"/>
    <w:rsid w:val="00B01484"/>
    <w:rsid w:val="00B01A3D"/>
    <w:rsid w:val="00B02130"/>
    <w:rsid w:val="00B051F4"/>
    <w:rsid w:val="00B05C55"/>
    <w:rsid w:val="00B065A1"/>
    <w:rsid w:val="00B074FD"/>
    <w:rsid w:val="00B079C3"/>
    <w:rsid w:val="00B11529"/>
    <w:rsid w:val="00B115D9"/>
    <w:rsid w:val="00B1287F"/>
    <w:rsid w:val="00B12AB8"/>
    <w:rsid w:val="00B159AA"/>
    <w:rsid w:val="00B15B68"/>
    <w:rsid w:val="00B15B77"/>
    <w:rsid w:val="00B160B2"/>
    <w:rsid w:val="00B1639B"/>
    <w:rsid w:val="00B168D3"/>
    <w:rsid w:val="00B16A40"/>
    <w:rsid w:val="00B171BB"/>
    <w:rsid w:val="00B20F26"/>
    <w:rsid w:val="00B21A41"/>
    <w:rsid w:val="00B21DFE"/>
    <w:rsid w:val="00B232B9"/>
    <w:rsid w:val="00B24CFB"/>
    <w:rsid w:val="00B250E3"/>
    <w:rsid w:val="00B2670A"/>
    <w:rsid w:val="00B2672A"/>
    <w:rsid w:val="00B2706A"/>
    <w:rsid w:val="00B27A4C"/>
    <w:rsid w:val="00B314CA"/>
    <w:rsid w:val="00B3395D"/>
    <w:rsid w:val="00B3398C"/>
    <w:rsid w:val="00B34701"/>
    <w:rsid w:val="00B3480A"/>
    <w:rsid w:val="00B3584B"/>
    <w:rsid w:val="00B365C7"/>
    <w:rsid w:val="00B37369"/>
    <w:rsid w:val="00B407B5"/>
    <w:rsid w:val="00B40C67"/>
    <w:rsid w:val="00B41191"/>
    <w:rsid w:val="00B41349"/>
    <w:rsid w:val="00B416E7"/>
    <w:rsid w:val="00B41CEB"/>
    <w:rsid w:val="00B42A48"/>
    <w:rsid w:val="00B42F4A"/>
    <w:rsid w:val="00B445E5"/>
    <w:rsid w:val="00B45A2A"/>
    <w:rsid w:val="00B460C3"/>
    <w:rsid w:val="00B4616F"/>
    <w:rsid w:val="00B46556"/>
    <w:rsid w:val="00B46C17"/>
    <w:rsid w:val="00B47552"/>
    <w:rsid w:val="00B47C89"/>
    <w:rsid w:val="00B47FC9"/>
    <w:rsid w:val="00B50610"/>
    <w:rsid w:val="00B51053"/>
    <w:rsid w:val="00B5240F"/>
    <w:rsid w:val="00B53193"/>
    <w:rsid w:val="00B53B88"/>
    <w:rsid w:val="00B54BB5"/>
    <w:rsid w:val="00B5537A"/>
    <w:rsid w:val="00B5542A"/>
    <w:rsid w:val="00B55470"/>
    <w:rsid w:val="00B55C46"/>
    <w:rsid w:val="00B564C5"/>
    <w:rsid w:val="00B5748B"/>
    <w:rsid w:val="00B60FAA"/>
    <w:rsid w:val="00B64157"/>
    <w:rsid w:val="00B6440E"/>
    <w:rsid w:val="00B64B9E"/>
    <w:rsid w:val="00B6531B"/>
    <w:rsid w:val="00B654DB"/>
    <w:rsid w:val="00B657D8"/>
    <w:rsid w:val="00B662BA"/>
    <w:rsid w:val="00B66801"/>
    <w:rsid w:val="00B67F80"/>
    <w:rsid w:val="00B70D08"/>
    <w:rsid w:val="00B71058"/>
    <w:rsid w:val="00B71EFA"/>
    <w:rsid w:val="00B74015"/>
    <w:rsid w:val="00B7522E"/>
    <w:rsid w:val="00B76098"/>
    <w:rsid w:val="00B8009F"/>
    <w:rsid w:val="00B80918"/>
    <w:rsid w:val="00B81199"/>
    <w:rsid w:val="00B812C3"/>
    <w:rsid w:val="00B8234B"/>
    <w:rsid w:val="00B82629"/>
    <w:rsid w:val="00B83C49"/>
    <w:rsid w:val="00B85526"/>
    <w:rsid w:val="00B85776"/>
    <w:rsid w:val="00B85B20"/>
    <w:rsid w:val="00B87DBE"/>
    <w:rsid w:val="00B91C31"/>
    <w:rsid w:val="00B924F9"/>
    <w:rsid w:val="00B933A2"/>
    <w:rsid w:val="00B93788"/>
    <w:rsid w:val="00B939FA"/>
    <w:rsid w:val="00B93D36"/>
    <w:rsid w:val="00B9486E"/>
    <w:rsid w:val="00B95B41"/>
    <w:rsid w:val="00B97017"/>
    <w:rsid w:val="00BA01B7"/>
    <w:rsid w:val="00BA0E1D"/>
    <w:rsid w:val="00BA1523"/>
    <w:rsid w:val="00BA1D7A"/>
    <w:rsid w:val="00BA2B57"/>
    <w:rsid w:val="00BA2ECF"/>
    <w:rsid w:val="00BA37C8"/>
    <w:rsid w:val="00BA689C"/>
    <w:rsid w:val="00BA6F97"/>
    <w:rsid w:val="00BA7930"/>
    <w:rsid w:val="00BB0427"/>
    <w:rsid w:val="00BB0836"/>
    <w:rsid w:val="00BB4AB2"/>
    <w:rsid w:val="00BB5220"/>
    <w:rsid w:val="00BB6957"/>
    <w:rsid w:val="00BB7A9E"/>
    <w:rsid w:val="00BB7E85"/>
    <w:rsid w:val="00BC019E"/>
    <w:rsid w:val="00BC0204"/>
    <w:rsid w:val="00BC0374"/>
    <w:rsid w:val="00BC04BB"/>
    <w:rsid w:val="00BC2ED9"/>
    <w:rsid w:val="00BC4095"/>
    <w:rsid w:val="00BC436A"/>
    <w:rsid w:val="00BC4DAE"/>
    <w:rsid w:val="00BC5F6A"/>
    <w:rsid w:val="00BC62AB"/>
    <w:rsid w:val="00BD115D"/>
    <w:rsid w:val="00BD1237"/>
    <w:rsid w:val="00BD13D6"/>
    <w:rsid w:val="00BD1D86"/>
    <w:rsid w:val="00BD2046"/>
    <w:rsid w:val="00BD33B8"/>
    <w:rsid w:val="00BD41C7"/>
    <w:rsid w:val="00BD487C"/>
    <w:rsid w:val="00BD4F7C"/>
    <w:rsid w:val="00BD547F"/>
    <w:rsid w:val="00BD5620"/>
    <w:rsid w:val="00BE1070"/>
    <w:rsid w:val="00BE1438"/>
    <w:rsid w:val="00BE1AF2"/>
    <w:rsid w:val="00BE283F"/>
    <w:rsid w:val="00BE2A46"/>
    <w:rsid w:val="00BE38E1"/>
    <w:rsid w:val="00BE3A06"/>
    <w:rsid w:val="00BE5352"/>
    <w:rsid w:val="00BE5DD2"/>
    <w:rsid w:val="00BE7B6E"/>
    <w:rsid w:val="00BF002C"/>
    <w:rsid w:val="00BF036D"/>
    <w:rsid w:val="00BF0C0D"/>
    <w:rsid w:val="00BF101B"/>
    <w:rsid w:val="00BF1709"/>
    <w:rsid w:val="00BF1831"/>
    <w:rsid w:val="00BF1BA8"/>
    <w:rsid w:val="00BF1E6A"/>
    <w:rsid w:val="00BF2015"/>
    <w:rsid w:val="00BF25F7"/>
    <w:rsid w:val="00BF4B9F"/>
    <w:rsid w:val="00BF5F30"/>
    <w:rsid w:val="00BF6DBE"/>
    <w:rsid w:val="00BF762E"/>
    <w:rsid w:val="00C01A4F"/>
    <w:rsid w:val="00C03394"/>
    <w:rsid w:val="00C03827"/>
    <w:rsid w:val="00C03C65"/>
    <w:rsid w:val="00C04138"/>
    <w:rsid w:val="00C0464A"/>
    <w:rsid w:val="00C04814"/>
    <w:rsid w:val="00C059CD"/>
    <w:rsid w:val="00C10AA0"/>
    <w:rsid w:val="00C10EBB"/>
    <w:rsid w:val="00C125B7"/>
    <w:rsid w:val="00C14194"/>
    <w:rsid w:val="00C1450A"/>
    <w:rsid w:val="00C14AE2"/>
    <w:rsid w:val="00C153FD"/>
    <w:rsid w:val="00C158A1"/>
    <w:rsid w:val="00C16959"/>
    <w:rsid w:val="00C17075"/>
    <w:rsid w:val="00C17B85"/>
    <w:rsid w:val="00C2036A"/>
    <w:rsid w:val="00C2137D"/>
    <w:rsid w:val="00C218D6"/>
    <w:rsid w:val="00C21AFA"/>
    <w:rsid w:val="00C23365"/>
    <w:rsid w:val="00C24290"/>
    <w:rsid w:val="00C24A61"/>
    <w:rsid w:val="00C26130"/>
    <w:rsid w:val="00C267D6"/>
    <w:rsid w:val="00C30D5C"/>
    <w:rsid w:val="00C32FBD"/>
    <w:rsid w:val="00C3381D"/>
    <w:rsid w:val="00C33D29"/>
    <w:rsid w:val="00C33DBD"/>
    <w:rsid w:val="00C34C9B"/>
    <w:rsid w:val="00C35060"/>
    <w:rsid w:val="00C35D65"/>
    <w:rsid w:val="00C35F80"/>
    <w:rsid w:val="00C362BB"/>
    <w:rsid w:val="00C37487"/>
    <w:rsid w:val="00C40878"/>
    <w:rsid w:val="00C40BC3"/>
    <w:rsid w:val="00C429E0"/>
    <w:rsid w:val="00C43235"/>
    <w:rsid w:val="00C436AB"/>
    <w:rsid w:val="00C437C5"/>
    <w:rsid w:val="00C43D42"/>
    <w:rsid w:val="00C45607"/>
    <w:rsid w:val="00C456FB"/>
    <w:rsid w:val="00C475E6"/>
    <w:rsid w:val="00C479B0"/>
    <w:rsid w:val="00C47B3F"/>
    <w:rsid w:val="00C500D2"/>
    <w:rsid w:val="00C5135B"/>
    <w:rsid w:val="00C5258A"/>
    <w:rsid w:val="00C53288"/>
    <w:rsid w:val="00C53407"/>
    <w:rsid w:val="00C55C4C"/>
    <w:rsid w:val="00C565E3"/>
    <w:rsid w:val="00C5660B"/>
    <w:rsid w:val="00C5712C"/>
    <w:rsid w:val="00C60001"/>
    <w:rsid w:val="00C607B6"/>
    <w:rsid w:val="00C607D6"/>
    <w:rsid w:val="00C60FCB"/>
    <w:rsid w:val="00C631BA"/>
    <w:rsid w:val="00C63D41"/>
    <w:rsid w:val="00C63F15"/>
    <w:rsid w:val="00C65608"/>
    <w:rsid w:val="00C661F1"/>
    <w:rsid w:val="00C70812"/>
    <w:rsid w:val="00C71091"/>
    <w:rsid w:val="00C712BD"/>
    <w:rsid w:val="00C71B12"/>
    <w:rsid w:val="00C71FC1"/>
    <w:rsid w:val="00C72994"/>
    <w:rsid w:val="00C739AB"/>
    <w:rsid w:val="00C741F0"/>
    <w:rsid w:val="00C74E67"/>
    <w:rsid w:val="00C75E3E"/>
    <w:rsid w:val="00C7653F"/>
    <w:rsid w:val="00C767BC"/>
    <w:rsid w:val="00C76EB1"/>
    <w:rsid w:val="00C774DE"/>
    <w:rsid w:val="00C77E58"/>
    <w:rsid w:val="00C8274C"/>
    <w:rsid w:val="00C83DBF"/>
    <w:rsid w:val="00C83DC7"/>
    <w:rsid w:val="00C85096"/>
    <w:rsid w:val="00C8542F"/>
    <w:rsid w:val="00C900C9"/>
    <w:rsid w:val="00C90141"/>
    <w:rsid w:val="00C916CD"/>
    <w:rsid w:val="00C91B5C"/>
    <w:rsid w:val="00C92626"/>
    <w:rsid w:val="00C92BD0"/>
    <w:rsid w:val="00C94815"/>
    <w:rsid w:val="00C94AD2"/>
    <w:rsid w:val="00C9698C"/>
    <w:rsid w:val="00C96F89"/>
    <w:rsid w:val="00C972F7"/>
    <w:rsid w:val="00C973A8"/>
    <w:rsid w:val="00CA059A"/>
    <w:rsid w:val="00CA0D71"/>
    <w:rsid w:val="00CA15AB"/>
    <w:rsid w:val="00CA3E35"/>
    <w:rsid w:val="00CA47A6"/>
    <w:rsid w:val="00CA4DBA"/>
    <w:rsid w:val="00CA5A62"/>
    <w:rsid w:val="00CA5F05"/>
    <w:rsid w:val="00CA6409"/>
    <w:rsid w:val="00CA7523"/>
    <w:rsid w:val="00CA7E73"/>
    <w:rsid w:val="00CB0112"/>
    <w:rsid w:val="00CB09B2"/>
    <w:rsid w:val="00CB0B50"/>
    <w:rsid w:val="00CB3730"/>
    <w:rsid w:val="00CB3F19"/>
    <w:rsid w:val="00CB58E5"/>
    <w:rsid w:val="00CB58F9"/>
    <w:rsid w:val="00CB59CC"/>
    <w:rsid w:val="00CB611F"/>
    <w:rsid w:val="00CB61E3"/>
    <w:rsid w:val="00CB6CDA"/>
    <w:rsid w:val="00CB7765"/>
    <w:rsid w:val="00CC03FF"/>
    <w:rsid w:val="00CC123B"/>
    <w:rsid w:val="00CC233B"/>
    <w:rsid w:val="00CC2418"/>
    <w:rsid w:val="00CC2E62"/>
    <w:rsid w:val="00CC6413"/>
    <w:rsid w:val="00CC6EEB"/>
    <w:rsid w:val="00CC7977"/>
    <w:rsid w:val="00CC7D46"/>
    <w:rsid w:val="00CD0446"/>
    <w:rsid w:val="00CD0E60"/>
    <w:rsid w:val="00CD1675"/>
    <w:rsid w:val="00CD304F"/>
    <w:rsid w:val="00CD3667"/>
    <w:rsid w:val="00CD3AF8"/>
    <w:rsid w:val="00CD41EA"/>
    <w:rsid w:val="00CD484E"/>
    <w:rsid w:val="00CD5975"/>
    <w:rsid w:val="00CD5BA7"/>
    <w:rsid w:val="00CD645C"/>
    <w:rsid w:val="00CD64EF"/>
    <w:rsid w:val="00CD6FCA"/>
    <w:rsid w:val="00CD75C1"/>
    <w:rsid w:val="00CE142E"/>
    <w:rsid w:val="00CE2217"/>
    <w:rsid w:val="00CE221D"/>
    <w:rsid w:val="00CE3727"/>
    <w:rsid w:val="00CE3E54"/>
    <w:rsid w:val="00CE4423"/>
    <w:rsid w:val="00CE46FA"/>
    <w:rsid w:val="00CE4841"/>
    <w:rsid w:val="00CE4ACF"/>
    <w:rsid w:val="00CE5187"/>
    <w:rsid w:val="00CE6168"/>
    <w:rsid w:val="00CE6C88"/>
    <w:rsid w:val="00CE70E3"/>
    <w:rsid w:val="00CE73ED"/>
    <w:rsid w:val="00CE7683"/>
    <w:rsid w:val="00CE7E64"/>
    <w:rsid w:val="00CF0799"/>
    <w:rsid w:val="00CF0A8E"/>
    <w:rsid w:val="00CF25E5"/>
    <w:rsid w:val="00CF395F"/>
    <w:rsid w:val="00CF3B2B"/>
    <w:rsid w:val="00CF6E73"/>
    <w:rsid w:val="00CF723A"/>
    <w:rsid w:val="00D00448"/>
    <w:rsid w:val="00D00B0B"/>
    <w:rsid w:val="00D011AD"/>
    <w:rsid w:val="00D01E15"/>
    <w:rsid w:val="00D026C3"/>
    <w:rsid w:val="00D02A68"/>
    <w:rsid w:val="00D04485"/>
    <w:rsid w:val="00D04931"/>
    <w:rsid w:val="00D0559E"/>
    <w:rsid w:val="00D070D5"/>
    <w:rsid w:val="00D074EA"/>
    <w:rsid w:val="00D07AA0"/>
    <w:rsid w:val="00D1076E"/>
    <w:rsid w:val="00D10E04"/>
    <w:rsid w:val="00D11D3F"/>
    <w:rsid w:val="00D1223A"/>
    <w:rsid w:val="00D12646"/>
    <w:rsid w:val="00D14539"/>
    <w:rsid w:val="00D16001"/>
    <w:rsid w:val="00D17D5E"/>
    <w:rsid w:val="00D2015C"/>
    <w:rsid w:val="00D205A9"/>
    <w:rsid w:val="00D216E8"/>
    <w:rsid w:val="00D21EA6"/>
    <w:rsid w:val="00D21FEE"/>
    <w:rsid w:val="00D22D95"/>
    <w:rsid w:val="00D22FF4"/>
    <w:rsid w:val="00D2389D"/>
    <w:rsid w:val="00D23B11"/>
    <w:rsid w:val="00D23B35"/>
    <w:rsid w:val="00D263A8"/>
    <w:rsid w:val="00D26909"/>
    <w:rsid w:val="00D26DED"/>
    <w:rsid w:val="00D27413"/>
    <w:rsid w:val="00D30D56"/>
    <w:rsid w:val="00D318F1"/>
    <w:rsid w:val="00D31E8D"/>
    <w:rsid w:val="00D32847"/>
    <w:rsid w:val="00D3321A"/>
    <w:rsid w:val="00D33BDA"/>
    <w:rsid w:val="00D34425"/>
    <w:rsid w:val="00D34672"/>
    <w:rsid w:val="00D348BA"/>
    <w:rsid w:val="00D36294"/>
    <w:rsid w:val="00D4159C"/>
    <w:rsid w:val="00D41B7C"/>
    <w:rsid w:val="00D41C98"/>
    <w:rsid w:val="00D42E89"/>
    <w:rsid w:val="00D44597"/>
    <w:rsid w:val="00D45723"/>
    <w:rsid w:val="00D45C9F"/>
    <w:rsid w:val="00D45CAE"/>
    <w:rsid w:val="00D466C9"/>
    <w:rsid w:val="00D46DAE"/>
    <w:rsid w:val="00D47242"/>
    <w:rsid w:val="00D50666"/>
    <w:rsid w:val="00D5109F"/>
    <w:rsid w:val="00D515D0"/>
    <w:rsid w:val="00D51ABE"/>
    <w:rsid w:val="00D51E23"/>
    <w:rsid w:val="00D52A9B"/>
    <w:rsid w:val="00D549E8"/>
    <w:rsid w:val="00D5553B"/>
    <w:rsid w:val="00D55846"/>
    <w:rsid w:val="00D56188"/>
    <w:rsid w:val="00D56D07"/>
    <w:rsid w:val="00D56DC5"/>
    <w:rsid w:val="00D571CD"/>
    <w:rsid w:val="00D57574"/>
    <w:rsid w:val="00D60218"/>
    <w:rsid w:val="00D61AFD"/>
    <w:rsid w:val="00D62BB9"/>
    <w:rsid w:val="00D634F6"/>
    <w:rsid w:val="00D63D89"/>
    <w:rsid w:val="00D658C6"/>
    <w:rsid w:val="00D66BBF"/>
    <w:rsid w:val="00D66E64"/>
    <w:rsid w:val="00D6767A"/>
    <w:rsid w:val="00D7019B"/>
    <w:rsid w:val="00D7200F"/>
    <w:rsid w:val="00D73C84"/>
    <w:rsid w:val="00D7459B"/>
    <w:rsid w:val="00D751BD"/>
    <w:rsid w:val="00D757F5"/>
    <w:rsid w:val="00D76347"/>
    <w:rsid w:val="00D76EE3"/>
    <w:rsid w:val="00D817A9"/>
    <w:rsid w:val="00D81DB4"/>
    <w:rsid w:val="00D82112"/>
    <w:rsid w:val="00D84B1F"/>
    <w:rsid w:val="00D8707F"/>
    <w:rsid w:val="00D87B79"/>
    <w:rsid w:val="00D910DB"/>
    <w:rsid w:val="00D91427"/>
    <w:rsid w:val="00D92470"/>
    <w:rsid w:val="00D92A56"/>
    <w:rsid w:val="00D93068"/>
    <w:rsid w:val="00D934B8"/>
    <w:rsid w:val="00D9455B"/>
    <w:rsid w:val="00D94FEC"/>
    <w:rsid w:val="00D95E72"/>
    <w:rsid w:val="00D967AE"/>
    <w:rsid w:val="00D96BD3"/>
    <w:rsid w:val="00D9724A"/>
    <w:rsid w:val="00D9796E"/>
    <w:rsid w:val="00DA08E9"/>
    <w:rsid w:val="00DA0932"/>
    <w:rsid w:val="00DA0C6D"/>
    <w:rsid w:val="00DA0D42"/>
    <w:rsid w:val="00DA1181"/>
    <w:rsid w:val="00DA1386"/>
    <w:rsid w:val="00DA1395"/>
    <w:rsid w:val="00DA168A"/>
    <w:rsid w:val="00DA1D4D"/>
    <w:rsid w:val="00DA338C"/>
    <w:rsid w:val="00DA4DF6"/>
    <w:rsid w:val="00DA5480"/>
    <w:rsid w:val="00DA5C26"/>
    <w:rsid w:val="00DA609A"/>
    <w:rsid w:val="00DA6CFF"/>
    <w:rsid w:val="00DB0CE8"/>
    <w:rsid w:val="00DB0FF0"/>
    <w:rsid w:val="00DB15E1"/>
    <w:rsid w:val="00DB475A"/>
    <w:rsid w:val="00DB48ED"/>
    <w:rsid w:val="00DB4DF6"/>
    <w:rsid w:val="00DB60A8"/>
    <w:rsid w:val="00DB70EC"/>
    <w:rsid w:val="00DC02C4"/>
    <w:rsid w:val="00DC1EE3"/>
    <w:rsid w:val="00DC21C1"/>
    <w:rsid w:val="00DC26CC"/>
    <w:rsid w:val="00DC28B9"/>
    <w:rsid w:val="00DC2C40"/>
    <w:rsid w:val="00DC315D"/>
    <w:rsid w:val="00DC3964"/>
    <w:rsid w:val="00DC3E50"/>
    <w:rsid w:val="00DC45E6"/>
    <w:rsid w:val="00DC4F5B"/>
    <w:rsid w:val="00DC52BF"/>
    <w:rsid w:val="00DC5EF5"/>
    <w:rsid w:val="00DD015D"/>
    <w:rsid w:val="00DD0B5A"/>
    <w:rsid w:val="00DD2C7D"/>
    <w:rsid w:val="00DD3227"/>
    <w:rsid w:val="00DD34C1"/>
    <w:rsid w:val="00DD4168"/>
    <w:rsid w:val="00DD481B"/>
    <w:rsid w:val="00DD4919"/>
    <w:rsid w:val="00DD5E52"/>
    <w:rsid w:val="00DD6634"/>
    <w:rsid w:val="00DD6670"/>
    <w:rsid w:val="00DD7C35"/>
    <w:rsid w:val="00DE0B5D"/>
    <w:rsid w:val="00DE0EC2"/>
    <w:rsid w:val="00DE1661"/>
    <w:rsid w:val="00DE17C7"/>
    <w:rsid w:val="00DE1DF5"/>
    <w:rsid w:val="00DE210C"/>
    <w:rsid w:val="00DE26DD"/>
    <w:rsid w:val="00DE29F3"/>
    <w:rsid w:val="00DE53BC"/>
    <w:rsid w:val="00DE57BA"/>
    <w:rsid w:val="00DE74F2"/>
    <w:rsid w:val="00DF0B0B"/>
    <w:rsid w:val="00DF0BA2"/>
    <w:rsid w:val="00DF13EB"/>
    <w:rsid w:val="00DF147A"/>
    <w:rsid w:val="00DF1C05"/>
    <w:rsid w:val="00DF2614"/>
    <w:rsid w:val="00DF2FFC"/>
    <w:rsid w:val="00DF4F13"/>
    <w:rsid w:val="00DF68A9"/>
    <w:rsid w:val="00DF7DDC"/>
    <w:rsid w:val="00E00087"/>
    <w:rsid w:val="00E000C4"/>
    <w:rsid w:val="00E001A8"/>
    <w:rsid w:val="00E00329"/>
    <w:rsid w:val="00E00F6B"/>
    <w:rsid w:val="00E01FF2"/>
    <w:rsid w:val="00E021A1"/>
    <w:rsid w:val="00E02561"/>
    <w:rsid w:val="00E02986"/>
    <w:rsid w:val="00E039AF"/>
    <w:rsid w:val="00E0425E"/>
    <w:rsid w:val="00E05633"/>
    <w:rsid w:val="00E064DA"/>
    <w:rsid w:val="00E076D6"/>
    <w:rsid w:val="00E07FFC"/>
    <w:rsid w:val="00E10279"/>
    <w:rsid w:val="00E14247"/>
    <w:rsid w:val="00E15D8D"/>
    <w:rsid w:val="00E16272"/>
    <w:rsid w:val="00E1775F"/>
    <w:rsid w:val="00E17B7F"/>
    <w:rsid w:val="00E17E58"/>
    <w:rsid w:val="00E2051E"/>
    <w:rsid w:val="00E205C5"/>
    <w:rsid w:val="00E20676"/>
    <w:rsid w:val="00E24155"/>
    <w:rsid w:val="00E2590B"/>
    <w:rsid w:val="00E25A0A"/>
    <w:rsid w:val="00E26212"/>
    <w:rsid w:val="00E26ED0"/>
    <w:rsid w:val="00E27784"/>
    <w:rsid w:val="00E27C96"/>
    <w:rsid w:val="00E302A8"/>
    <w:rsid w:val="00E30807"/>
    <w:rsid w:val="00E3449C"/>
    <w:rsid w:val="00E345AA"/>
    <w:rsid w:val="00E34B44"/>
    <w:rsid w:val="00E34FB2"/>
    <w:rsid w:val="00E3505C"/>
    <w:rsid w:val="00E3510C"/>
    <w:rsid w:val="00E3530A"/>
    <w:rsid w:val="00E36429"/>
    <w:rsid w:val="00E36543"/>
    <w:rsid w:val="00E36C3D"/>
    <w:rsid w:val="00E407F9"/>
    <w:rsid w:val="00E41B1C"/>
    <w:rsid w:val="00E42313"/>
    <w:rsid w:val="00E428D0"/>
    <w:rsid w:val="00E44BC2"/>
    <w:rsid w:val="00E45F7C"/>
    <w:rsid w:val="00E46B1F"/>
    <w:rsid w:val="00E4799B"/>
    <w:rsid w:val="00E47C5E"/>
    <w:rsid w:val="00E50479"/>
    <w:rsid w:val="00E50869"/>
    <w:rsid w:val="00E52376"/>
    <w:rsid w:val="00E52E52"/>
    <w:rsid w:val="00E5346B"/>
    <w:rsid w:val="00E53E5F"/>
    <w:rsid w:val="00E549DC"/>
    <w:rsid w:val="00E5505D"/>
    <w:rsid w:val="00E55B13"/>
    <w:rsid w:val="00E55FE1"/>
    <w:rsid w:val="00E5708B"/>
    <w:rsid w:val="00E600A4"/>
    <w:rsid w:val="00E6020A"/>
    <w:rsid w:val="00E60BEE"/>
    <w:rsid w:val="00E6173D"/>
    <w:rsid w:val="00E62963"/>
    <w:rsid w:val="00E62F56"/>
    <w:rsid w:val="00E6486C"/>
    <w:rsid w:val="00E65F29"/>
    <w:rsid w:val="00E670D7"/>
    <w:rsid w:val="00E67831"/>
    <w:rsid w:val="00E717DE"/>
    <w:rsid w:val="00E7187C"/>
    <w:rsid w:val="00E71ED0"/>
    <w:rsid w:val="00E726BB"/>
    <w:rsid w:val="00E72A2C"/>
    <w:rsid w:val="00E730B5"/>
    <w:rsid w:val="00E73DB4"/>
    <w:rsid w:val="00E73F69"/>
    <w:rsid w:val="00E75F0F"/>
    <w:rsid w:val="00E76CFB"/>
    <w:rsid w:val="00E76E6B"/>
    <w:rsid w:val="00E8006D"/>
    <w:rsid w:val="00E80CAF"/>
    <w:rsid w:val="00E82C24"/>
    <w:rsid w:val="00E82E75"/>
    <w:rsid w:val="00E82EFF"/>
    <w:rsid w:val="00E839E5"/>
    <w:rsid w:val="00E83A26"/>
    <w:rsid w:val="00E83F18"/>
    <w:rsid w:val="00E845DD"/>
    <w:rsid w:val="00E84848"/>
    <w:rsid w:val="00E84B6B"/>
    <w:rsid w:val="00E84FDC"/>
    <w:rsid w:val="00E854D9"/>
    <w:rsid w:val="00E86987"/>
    <w:rsid w:val="00E86A47"/>
    <w:rsid w:val="00E86B55"/>
    <w:rsid w:val="00E87020"/>
    <w:rsid w:val="00E90BB5"/>
    <w:rsid w:val="00E9155A"/>
    <w:rsid w:val="00E9177D"/>
    <w:rsid w:val="00E91C32"/>
    <w:rsid w:val="00E9326A"/>
    <w:rsid w:val="00E935F2"/>
    <w:rsid w:val="00E946F6"/>
    <w:rsid w:val="00E956DD"/>
    <w:rsid w:val="00E9782E"/>
    <w:rsid w:val="00EA0040"/>
    <w:rsid w:val="00EA014E"/>
    <w:rsid w:val="00EA0263"/>
    <w:rsid w:val="00EA09D7"/>
    <w:rsid w:val="00EA0D4E"/>
    <w:rsid w:val="00EA11B6"/>
    <w:rsid w:val="00EA1CEC"/>
    <w:rsid w:val="00EA1E19"/>
    <w:rsid w:val="00EA2CEC"/>
    <w:rsid w:val="00EA318C"/>
    <w:rsid w:val="00EA48DE"/>
    <w:rsid w:val="00EA4EE5"/>
    <w:rsid w:val="00EA5D92"/>
    <w:rsid w:val="00EA6801"/>
    <w:rsid w:val="00EA6BFE"/>
    <w:rsid w:val="00EA7431"/>
    <w:rsid w:val="00EA7A05"/>
    <w:rsid w:val="00EB0AD7"/>
    <w:rsid w:val="00EB0BBC"/>
    <w:rsid w:val="00EB0C3E"/>
    <w:rsid w:val="00EB1301"/>
    <w:rsid w:val="00EB1753"/>
    <w:rsid w:val="00EB2180"/>
    <w:rsid w:val="00EB276A"/>
    <w:rsid w:val="00EB4874"/>
    <w:rsid w:val="00EB4D77"/>
    <w:rsid w:val="00EB5AED"/>
    <w:rsid w:val="00EB5BD8"/>
    <w:rsid w:val="00EB5FC8"/>
    <w:rsid w:val="00EB637C"/>
    <w:rsid w:val="00EB66CA"/>
    <w:rsid w:val="00EB70F4"/>
    <w:rsid w:val="00EC164E"/>
    <w:rsid w:val="00EC28AD"/>
    <w:rsid w:val="00EC2B13"/>
    <w:rsid w:val="00EC2D4B"/>
    <w:rsid w:val="00EC33F7"/>
    <w:rsid w:val="00EC3F5C"/>
    <w:rsid w:val="00EC4186"/>
    <w:rsid w:val="00EC6455"/>
    <w:rsid w:val="00EC6CB6"/>
    <w:rsid w:val="00EC6E66"/>
    <w:rsid w:val="00EC723B"/>
    <w:rsid w:val="00ED064A"/>
    <w:rsid w:val="00ED0DAB"/>
    <w:rsid w:val="00ED16CD"/>
    <w:rsid w:val="00ED193C"/>
    <w:rsid w:val="00ED1AAB"/>
    <w:rsid w:val="00ED3053"/>
    <w:rsid w:val="00ED3E7C"/>
    <w:rsid w:val="00ED44F0"/>
    <w:rsid w:val="00ED4BCA"/>
    <w:rsid w:val="00ED557E"/>
    <w:rsid w:val="00ED6C85"/>
    <w:rsid w:val="00EE0C5F"/>
    <w:rsid w:val="00EE1D6B"/>
    <w:rsid w:val="00EE270F"/>
    <w:rsid w:val="00EE2719"/>
    <w:rsid w:val="00EE3019"/>
    <w:rsid w:val="00EE39E9"/>
    <w:rsid w:val="00EE6939"/>
    <w:rsid w:val="00EE69D9"/>
    <w:rsid w:val="00EE69E3"/>
    <w:rsid w:val="00EE767A"/>
    <w:rsid w:val="00EE77C3"/>
    <w:rsid w:val="00EF0D85"/>
    <w:rsid w:val="00EF0F76"/>
    <w:rsid w:val="00EF311C"/>
    <w:rsid w:val="00EF459F"/>
    <w:rsid w:val="00EF5860"/>
    <w:rsid w:val="00EF6302"/>
    <w:rsid w:val="00EF6364"/>
    <w:rsid w:val="00EF6D31"/>
    <w:rsid w:val="00EF6EEC"/>
    <w:rsid w:val="00EF7082"/>
    <w:rsid w:val="00EF7691"/>
    <w:rsid w:val="00F01029"/>
    <w:rsid w:val="00F01ABB"/>
    <w:rsid w:val="00F02CEB"/>
    <w:rsid w:val="00F0516F"/>
    <w:rsid w:val="00F05778"/>
    <w:rsid w:val="00F05927"/>
    <w:rsid w:val="00F06139"/>
    <w:rsid w:val="00F06AA0"/>
    <w:rsid w:val="00F06BB3"/>
    <w:rsid w:val="00F07006"/>
    <w:rsid w:val="00F07627"/>
    <w:rsid w:val="00F07C58"/>
    <w:rsid w:val="00F07C76"/>
    <w:rsid w:val="00F10045"/>
    <w:rsid w:val="00F10620"/>
    <w:rsid w:val="00F11857"/>
    <w:rsid w:val="00F12463"/>
    <w:rsid w:val="00F144ED"/>
    <w:rsid w:val="00F160A9"/>
    <w:rsid w:val="00F16373"/>
    <w:rsid w:val="00F16388"/>
    <w:rsid w:val="00F1798E"/>
    <w:rsid w:val="00F20BCC"/>
    <w:rsid w:val="00F21F9E"/>
    <w:rsid w:val="00F223F4"/>
    <w:rsid w:val="00F233CC"/>
    <w:rsid w:val="00F23DEE"/>
    <w:rsid w:val="00F2440E"/>
    <w:rsid w:val="00F244F3"/>
    <w:rsid w:val="00F24678"/>
    <w:rsid w:val="00F24C8A"/>
    <w:rsid w:val="00F24F1E"/>
    <w:rsid w:val="00F263BD"/>
    <w:rsid w:val="00F26950"/>
    <w:rsid w:val="00F26BBA"/>
    <w:rsid w:val="00F27373"/>
    <w:rsid w:val="00F27D10"/>
    <w:rsid w:val="00F304D6"/>
    <w:rsid w:val="00F30DEE"/>
    <w:rsid w:val="00F32430"/>
    <w:rsid w:val="00F333F0"/>
    <w:rsid w:val="00F335B5"/>
    <w:rsid w:val="00F337BE"/>
    <w:rsid w:val="00F33AF4"/>
    <w:rsid w:val="00F34999"/>
    <w:rsid w:val="00F34BF0"/>
    <w:rsid w:val="00F354F6"/>
    <w:rsid w:val="00F3556E"/>
    <w:rsid w:val="00F371B4"/>
    <w:rsid w:val="00F40F06"/>
    <w:rsid w:val="00F4350D"/>
    <w:rsid w:val="00F44359"/>
    <w:rsid w:val="00F4529B"/>
    <w:rsid w:val="00F453F5"/>
    <w:rsid w:val="00F46270"/>
    <w:rsid w:val="00F4691B"/>
    <w:rsid w:val="00F47D3F"/>
    <w:rsid w:val="00F47FE5"/>
    <w:rsid w:val="00F509B1"/>
    <w:rsid w:val="00F522EA"/>
    <w:rsid w:val="00F526FE"/>
    <w:rsid w:val="00F52C32"/>
    <w:rsid w:val="00F52EB2"/>
    <w:rsid w:val="00F549F7"/>
    <w:rsid w:val="00F54B73"/>
    <w:rsid w:val="00F563EC"/>
    <w:rsid w:val="00F57777"/>
    <w:rsid w:val="00F60A4F"/>
    <w:rsid w:val="00F60AB8"/>
    <w:rsid w:val="00F61F4E"/>
    <w:rsid w:val="00F62AB9"/>
    <w:rsid w:val="00F62CFC"/>
    <w:rsid w:val="00F633ED"/>
    <w:rsid w:val="00F639DE"/>
    <w:rsid w:val="00F643BA"/>
    <w:rsid w:val="00F646A3"/>
    <w:rsid w:val="00F6520F"/>
    <w:rsid w:val="00F65E0F"/>
    <w:rsid w:val="00F67F3C"/>
    <w:rsid w:val="00F70935"/>
    <w:rsid w:val="00F712F2"/>
    <w:rsid w:val="00F71D0F"/>
    <w:rsid w:val="00F71D46"/>
    <w:rsid w:val="00F73825"/>
    <w:rsid w:val="00F739A6"/>
    <w:rsid w:val="00F74304"/>
    <w:rsid w:val="00F75941"/>
    <w:rsid w:val="00F8329B"/>
    <w:rsid w:val="00F83664"/>
    <w:rsid w:val="00F8396F"/>
    <w:rsid w:val="00F840B8"/>
    <w:rsid w:val="00F846C5"/>
    <w:rsid w:val="00F8496D"/>
    <w:rsid w:val="00F84BF3"/>
    <w:rsid w:val="00F852D1"/>
    <w:rsid w:val="00F873F9"/>
    <w:rsid w:val="00F90F9D"/>
    <w:rsid w:val="00F91E50"/>
    <w:rsid w:val="00F94F86"/>
    <w:rsid w:val="00F958F5"/>
    <w:rsid w:val="00F95B5A"/>
    <w:rsid w:val="00F96C88"/>
    <w:rsid w:val="00F97469"/>
    <w:rsid w:val="00F976C1"/>
    <w:rsid w:val="00F97B57"/>
    <w:rsid w:val="00F97F9B"/>
    <w:rsid w:val="00FA0D4B"/>
    <w:rsid w:val="00FA1F47"/>
    <w:rsid w:val="00FA2F41"/>
    <w:rsid w:val="00FA7FC8"/>
    <w:rsid w:val="00FB124D"/>
    <w:rsid w:val="00FB1F62"/>
    <w:rsid w:val="00FB25E8"/>
    <w:rsid w:val="00FB2719"/>
    <w:rsid w:val="00FB2978"/>
    <w:rsid w:val="00FB3C55"/>
    <w:rsid w:val="00FB53D5"/>
    <w:rsid w:val="00FB547F"/>
    <w:rsid w:val="00FB5D3A"/>
    <w:rsid w:val="00FB66A4"/>
    <w:rsid w:val="00FB71E7"/>
    <w:rsid w:val="00FB73F9"/>
    <w:rsid w:val="00FB7AAF"/>
    <w:rsid w:val="00FC236C"/>
    <w:rsid w:val="00FC252D"/>
    <w:rsid w:val="00FC2658"/>
    <w:rsid w:val="00FC292B"/>
    <w:rsid w:val="00FC2B17"/>
    <w:rsid w:val="00FC3663"/>
    <w:rsid w:val="00FC3F85"/>
    <w:rsid w:val="00FC68A9"/>
    <w:rsid w:val="00FC7BC6"/>
    <w:rsid w:val="00FD0329"/>
    <w:rsid w:val="00FD043F"/>
    <w:rsid w:val="00FD114C"/>
    <w:rsid w:val="00FD1367"/>
    <w:rsid w:val="00FD14CD"/>
    <w:rsid w:val="00FD1FB0"/>
    <w:rsid w:val="00FD31E4"/>
    <w:rsid w:val="00FD65AD"/>
    <w:rsid w:val="00FD6FB8"/>
    <w:rsid w:val="00FD775E"/>
    <w:rsid w:val="00FD78EA"/>
    <w:rsid w:val="00FE06D9"/>
    <w:rsid w:val="00FE0779"/>
    <w:rsid w:val="00FE173F"/>
    <w:rsid w:val="00FE1A14"/>
    <w:rsid w:val="00FE1F0C"/>
    <w:rsid w:val="00FE23BF"/>
    <w:rsid w:val="00FE5391"/>
    <w:rsid w:val="00FE7DB1"/>
    <w:rsid w:val="00FF12F5"/>
    <w:rsid w:val="00FF282B"/>
    <w:rsid w:val="00FF4991"/>
    <w:rsid w:val="00FF4BC5"/>
    <w:rsid w:val="00FF512C"/>
    <w:rsid w:val="00FF67BA"/>
    <w:rsid w:val="00FF69D0"/>
    <w:rsid w:val="00FF7252"/>
    <w:rsid w:val="00FF7325"/>
    <w:rsid w:val="00FF7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1DE1C"/>
  <w14:defaultImageDpi w14:val="0"/>
  <w15:docId w15:val="{A6D1B496-2A32-4D3C-AD30-997D0CCC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footnote text" w:semiHidden="1" w:uiPriority="99" w:unhideWhenUsed="1"/>
    <w:lsdException w:name="header" w:semiHidden="1" w:unhideWhenUsed="1"/>
    <w:lsdException w:name="footer" w:semiHidden="1" w:unhideWhenUsed="1"/>
    <w:lsdException w:name="caption" w:semiHidden="1" w:unhideWhenUsed="1" w:qFormat="1"/>
    <w:lsdException w:name="envelope address" w:semiHidden="1"/>
    <w:lsdException w:name="envelope return" w:semiHidden="1"/>
    <w:lsdException w:name="footnote reference" w:semiHidden="1" w:uiPriority="99" w:unhideWhenUsed="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Body Text 3"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902"/>
    <w:pPr>
      <w:spacing w:after="220"/>
    </w:pPr>
    <w:rPr>
      <w:rFonts w:ascii="Times New Roman" w:hAnsi="Times New Roman" w:cs="Times New Roman"/>
      <w:sz w:val="24"/>
    </w:rPr>
  </w:style>
  <w:style w:type="paragraph" w:styleId="Heading1">
    <w:name w:val="heading 1"/>
    <w:basedOn w:val="Normal"/>
    <w:next w:val="Normal"/>
    <w:link w:val="Heading1Char"/>
    <w:uiPriority w:val="9"/>
    <w:qFormat/>
    <w:rsid w:val="002B6587"/>
    <w:pPr>
      <w:keepNext/>
      <w:spacing w:before="240" w:after="60"/>
      <w:outlineLvl w:val="0"/>
    </w:pPr>
    <w:rPr>
      <w:rFonts w:cs="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6587"/>
    <w:rPr>
      <w:rFonts w:eastAsia="Times New Roman" w:cs="Calibri"/>
      <w:b/>
      <w:bCs/>
      <w:kern w:val="32"/>
      <w:sz w:val="32"/>
      <w:szCs w:val="32"/>
      <w:lang w:val="x-none" w:eastAsia="en-AU"/>
    </w:rPr>
  </w:style>
  <w:style w:type="paragraph" w:styleId="TOC1">
    <w:name w:val="toc 1"/>
    <w:basedOn w:val="Normal"/>
    <w:next w:val="Normal"/>
    <w:autoRedefine/>
    <w:uiPriority w:val="39"/>
    <w:rsid w:val="002B6587"/>
  </w:style>
  <w:style w:type="paragraph" w:styleId="FootnoteText">
    <w:name w:val="footnote text"/>
    <w:aliases w:val="Char"/>
    <w:basedOn w:val="Normal"/>
    <w:link w:val="FootnoteTextChar"/>
    <w:uiPriority w:val="99"/>
    <w:rsid w:val="002B6587"/>
    <w:pPr>
      <w:ind w:left="227" w:hanging="227"/>
    </w:pPr>
    <w:rPr>
      <w:lang w:val="en-US"/>
    </w:rPr>
  </w:style>
  <w:style w:type="character" w:customStyle="1" w:styleId="FootnoteTextChar">
    <w:name w:val="Footnote Text Char"/>
    <w:aliases w:val="Char Char"/>
    <w:basedOn w:val="DefaultParagraphFont"/>
    <w:link w:val="FootnoteText"/>
    <w:uiPriority w:val="99"/>
    <w:locked/>
    <w:rsid w:val="002B6587"/>
    <w:rPr>
      <w:rFonts w:eastAsia="Times New Roman" w:cs="Times New Roman"/>
      <w:sz w:val="20"/>
      <w:szCs w:val="20"/>
      <w:lang w:val="en-US" w:eastAsia="x-none"/>
    </w:rPr>
  </w:style>
  <w:style w:type="paragraph" w:styleId="Header">
    <w:name w:val="header"/>
    <w:basedOn w:val="Normal"/>
    <w:link w:val="HeaderChar"/>
    <w:uiPriority w:val="99"/>
    <w:rsid w:val="002B6587"/>
    <w:pPr>
      <w:tabs>
        <w:tab w:val="center" w:pos="4513"/>
        <w:tab w:val="right" w:pos="9026"/>
      </w:tabs>
    </w:pPr>
  </w:style>
  <w:style w:type="character" w:customStyle="1" w:styleId="HeaderChar">
    <w:name w:val="Header Char"/>
    <w:basedOn w:val="DefaultParagraphFont"/>
    <w:link w:val="Header"/>
    <w:uiPriority w:val="99"/>
    <w:locked/>
    <w:rsid w:val="002B6587"/>
    <w:rPr>
      <w:rFonts w:eastAsia="Times New Roman" w:cs="Times New Roman"/>
      <w:lang w:val="x-none" w:eastAsia="en-AU"/>
    </w:rPr>
  </w:style>
  <w:style w:type="paragraph" w:styleId="Footer">
    <w:name w:val="footer"/>
    <w:basedOn w:val="Normal"/>
    <w:link w:val="FooterChar"/>
    <w:uiPriority w:val="99"/>
    <w:rsid w:val="002B6587"/>
    <w:pPr>
      <w:tabs>
        <w:tab w:val="center" w:pos="4153"/>
        <w:tab w:val="right" w:pos="8306"/>
      </w:tabs>
    </w:pPr>
  </w:style>
  <w:style w:type="character" w:customStyle="1" w:styleId="FooterChar">
    <w:name w:val="Footer Char"/>
    <w:basedOn w:val="DefaultParagraphFont"/>
    <w:link w:val="Footer"/>
    <w:uiPriority w:val="99"/>
    <w:locked/>
    <w:rsid w:val="002B6587"/>
    <w:rPr>
      <w:rFonts w:eastAsia="Times New Roman" w:cs="Times New Roman"/>
      <w:lang w:val="x-none" w:eastAsia="en-AU"/>
    </w:rPr>
  </w:style>
  <w:style w:type="character" w:styleId="FootnoteReference">
    <w:name w:val="footnote reference"/>
    <w:aliases w:val="opcalrc"/>
    <w:basedOn w:val="DefaultParagraphFont"/>
    <w:uiPriority w:val="99"/>
    <w:rsid w:val="002B6587"/>
    <w:rPr>
      <w:rFonts w:cs="Times New Roman"/>
      <w:vertAlign w:val="superscript"/>
    </w:rPr>
  </w:style>
  <w:style w:type="paragraph" w:styleId="BodyText">
    <w:name w:val="Body Text"/>
    <w:basedOn w:val="Normal"/>
    <w:link w:val="BodyTextChar"/>
    <w:uiPriority w:val="99"/>
    <w:rsid w:val="002B6587"/>
    <w:pPr>
      <w:spacing w:after="120"/>
    </w:pPr>
  </w:style>
  <w:style w:type="character" w:customStyle="1" w:styleId="BodyTextChar">
    <w:name w:val="Body Text Char"/>
    <w:basedOn w:val="DefaultParagraphFont"/>
    <w:link w:val="BodyText"/>
    <w:uiPriority w:val="99"/>
    <w:locked/>
    <w:rsid w:val="002B6587"/>
    <w:rPr>
      <w:rFonts w:eastAsia="Times New Roman" w:cs="Times New Roman"/>
      <w:lang w:val="x-none" w:eastAsia="en-AU"/>
    </w:rPr>
  </w:style>
  <w:style w:type="paragraph" w:styleId="BodyText2">
    <w:name w:val="Body Text 2"/>
    <w:basedOn w:val="Normal"/>
    <w:link w:val="BodyText2Char"/>
    <w:uiPriority w:val="99"/>
    <w:rsid w:val="002B6587"/>
    <w:rPr>
      <w:rFonts w:ascii="Arial" w:hAnsi="Arial" w:cs="Arial"/>
    </w:rPr>
  </w:style>
  <w:style w:type="character" w:customStyle="1" w:styleId="BodyText2Char">
    <w:name w:val="Body Text 2 Char"/>
    <w:basedOn w:val="DefaultParagraphFont"/>
    <w:link w:val="BodyText2"/>
    <w:uiPriority w:val="99"/>
    <w:locked/>
    <w:rsid w:val="002B6587"/>
    <w:rPr>
      <w:rFonts w:ascii="Arial" w:hAnsi="Arial" w:cs="Arial"/>
      <w:sz w:val="20"/>
      <w:lang w:val="x-none" w:eastAsia="en-AU"/>
    </w:rPr>
  </w:style>
  <w:style w:type="paragraph" w:styleId="BodyText3">
    <w:name w:val="Body Text 3"/>
    <w:basedOn w:val="Normal"/>
    <w:link w:val="BodyText3Char"/>
    <w:uiPriority w:val="99"/>
    <w:rsid w:val="002B6587"/>
    <w:pPr>
      <w:spacing w:after="120"/>
    </w:pPr>
    <w:rPr>
      <w:sz w:val="16"/>
      <w:szCs w:val="16"/>
    </w:rPr>
  </w:style>
  <w:style w:type="character" w:customStyle="1" w:styleId="BodyText3Char">
    <w:name w:val="Body Text 3 Char"/>
    <w:basedOn w:val="DefaultParagraphFont"/>
    <w:link w:val="BodyText3"/>
    <w:uiPriority w:val="99"/>
    <w:locked/>
    <w:rsid w:val="002B6587"/>
    <w:rPr>
      <w:rFonts w:eastAsia="Times New Roman" w:cs="Times New Roman"/>
      <w:sz w:val="16"/>
      <w:szCs w:val="16"/>
      <w:lang w:val="x-none" w:eastAsia="en-AU"/>
    </w:rPr>
  </w:style>
  <w:style w:type="character" w:styleId="Hyperlink">
    <w:name w:val="Hyperlink"/>
    <w:basedOn w:val="DefaultParagraphFont"/>
    <w:uiPriority w:val="99"/>
    <w:rsid w:val="002B6587"/>
    <w:rPr>
      <w:rFonts w:cs="Times New Roman"/>
      <w:color w:val="0000FF"/>
      <w:u w:val="single"/>
    </w:rPr>
  </w:style>
  <w:style w:type="character" w:styleId="Strong">
    <w:name w:val="Strong"/>
    <w:basedOn w:val="DefaultParagraphFont"/>
    <w:uiPriority w:val="22"/>
    <w:qFormat/>
    <w:rsid w:val="002B6587"/>
    <w:rPr>
      <w:rFonts w:cs="Times New Roman"/>
      <w:b/>
      <w:bCs/>
    </w:rPr>
  </w:style>
  <w:style w:type="paragraph" w:styleId="NormalWeb">
    <w:name w:val="Normal (Web)"/>
    <w:basedOn w:val="Normal"/>
    <w:uiPriority w:val="99"/>
    <w:rsid w:val="002B6587"/>
    <w:pPr>
      <w:spacing w:before="100" w:beforeAutospacing="1" w:after="100" w:afterAutospacing="1"/>
    </w:pPr>
  </w:style>
  <w:style w:type="table" w:styleId="TableGrid">
    <w:name w:val="Table Grid"/>
    <w:basedOn w:val="TableNormal"/>
    <w:uiPriority w:val="39"/>
    <w:rsid w:val="002B6587"/>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587"/>
    <w:rPr>
      <w:rFonts w:cs="Times New Roman"/>
      <w:sz w:val="22"/>
      <w:szCs w:val="22"/>
      <w:lang w:val="en-US"/>
    </w:rPr>
  </w:style>
  <w:style w:type="paragraph" w:styleId="TOCHeading">
    <w:name w:val="TOC Heading"/>
    <w:basedOn w:val="Heading1"/>
    <w:next w:val="Normal"/>
    <w:uiPriority w:val="39"/>
    <w:unhideWhenUsed/>
    <w:qFormat/>
    <w:rsid w:val="002B6587"/>
    <w:pPr>
      <w:keepLines/>
      <w:spacing w:before="480" w:after="0" w:line="276" w:lineRule="auto"/>
      <w:outlineLvl w:val="9"/>
    </w:pPr>
    <w:rPr>
      <w:color w:val="365F91"/>
      <w:kern w:val="0"/>
      <w:sz w:val="28"/>
      <w:szCs w:val="28"/>
      <w:lang w:val="en-US"/>
    </w:rPr>
  </w:style>
  <w:style w:type="paragraph" w:customStyle="1" w:styleId="Heading1MM">
    <w:name w:val="Heading 1 MM"/>
    <w:basedOn w:val="Normal"/>
    <w:rsid w:val="002B6587"/>
    <w:rPr>
      <w:rFonts w:ascii="Arial" w:hAnsi="Arial" w:cs="Arial"/>
      <w:b/>
      <w:sz w:val="32"/>
      <w:szCs w:val="32"/>
    </w:rPr>
  </w:style>
  <w:style w:type="paragraph" w:customStyle="1" w:styleId="msolistparagraph0">
    <w:name w:val="msolistparagraph"/>
    <w:basedOn w:val="Normal"/>
    <w:rsid w:val="002B6587"/>
    <w:pPr>
      <w:ind w:left="720"/>
    </w:pPr>
    <w:rPr>
      <w:sz w:val="22"/>
      <w:szCs w:val="22"/>
    </w:rPr>
  </w:style>
  <w:style w:type="paragraph" w:customStyle="1" w:styleId="Default">
    <w:name w:val="Default"/>
    <w:rsid w:val="002B6587"/>
    <w:pPr>
      <w:autoSpaceDE w:val="0"/>
      <w:autoSpaceDN w:val="0"/>
      <w:adjustRightInd w:val="0"/>
    </w:pPr>
    <w:rPr>
      <w:rFonts w:ascii="Verdana" w:hAnsi="Verdana" w:cs="Verdana"/>
      <w:color w:val="000000"/>
      <w:lang w:eastAsia="en-AU"/>
    </w:rPr>
  </w:style>
  <w:style w:type="paragraph" w:customStyle="1" w:styleId="Billname">
    <w:name w:val="Billname"/>
    <w:basedOn w:val="Normal"/>
    <w:rsid w:val="00157490"/>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157490"/>
    <w:pPr>
      <w:pBdr>
        <w:bottom w:val="single" w:sz="12" w:space="1" w:color="auto"/>
      </w:pBdr>
      <w:jc w:val="both"/>
    </w:pPr>
  </w:style>
  <w:style w:type="paragraph" w:customStyle="1" w:styleId="madeunder">
    <w:name w:val="made under"/>
    <w:basedOn w:val="Normal"/>
    <w:rsid w:val="00157490"/>
    <w:pPr>
      <w:spacing w:before="180" w:after="60"/>
      <w:jc w:val="both"/>
    </w:pPr>
  </w:style>
  <w:style w:type="paragraph" w:customStyle="1" w:styleId="CoverActName">
    <w:name w:val="CoverActName"/>
    <w:basedOn w:val="Normal"/>
    <w:rsid w:val="00157490"/>
    <w:pPr>
      <w:tabs>
        <w:tab w:val="left" w:pos="2600"/>
      </w:tabs>
      <w:spacing w:before="200" w:after="60"/>
      <w:jc w:val="both"/>
    </w:pPr>
    <w:rPr>
      <w:rFonts w:ascii="Arial" w:hAnsi="Arial"/>
      <w:b/>
    </w:rPr>
  </w:style>
  <w:style w:type="paragraph" w:styleId="ListParagraph">
    <w:name w:val="List Paragraph"/>
    <w:basedOn w:val="Normal"/>
    <w:uiPriority w:val="99"/>
    <w:qFormat/>
    <w:rsid w:val="00C43D42"/>
    <w:pPr>
      <w:ind w:left="720"/>
      <w:contextualSpacing/>
    </w:pPr>
  </w:style>
  <w:style w:type="character" w:customStyle="1" w:styleId="CharChapNo">
    <w:name w:val="CharChapNo"/>
    <w:basedOn w:val="DefaultParagraphFont"/>
    <w:uiPriority w:val="99"/>
    <w:rsid w:val="00483C63"/>
    <w:rPr>
      <w:rFonts w:cs="Times New Roman"/>
    </w:rPr>
  </w:style>
  <w:style w:type="paragraph" w:styleId="BalloonText">
    <w:name w:val="Balloon Text"/>
    <w:basedOn w:val="Normal"/>
    <w:link w:val="BalloonTextChar"/>
    <w:uiPriority w:val="99"/>
    <w:rsid w:val="00626263"/>
    <w:rPr>
      <w:rFonts w:ascii="Segoe UI" w:hAnsi="Segoe UI" w:cs="Segoe UI"/>
      <w:sz w:val="18"/>
      <w:szCs w:val="18"/>
    </w:rPr>
  </w:style>
  <w:style w:type="character" w:customStyle="1" w:styleId="BalloonTextChar">
    <w:name w:val="Balloon Text Char"/>
    <w:basedOn w:val="DefaultParagraphFont"/>
    <w:link w:val="BalloonText"/>
    <w:uiPriority w:val="99"/>
    <w:locked/>
    <w:rsid w:val="00626263"/>
    <w:rPr>
      <w:rFonts w:ascii="Segoe UI" w:hAnsi="Segoe UI" w:cs="Segoe UI"/>
      <w:sz w:val="18"/>
      <w:szCs w:val="18"/>
    </w:rPr>
  </w:style>
  <w:style w:type="character" w:styleId="CommentReference">
    <w:name w:val="annotation reference"/>
    <w:basedOn w:val="DefaultParagraphFont"/>
    <w:rsid w:val="00CB3730"/>
    <w:rPr>
      <w:sz w:val="16"/>
      <w:szCs w:val="16"/>
    </w:rPr>
  </w:style>
  <w:style w:type="paragraph" w:styleId="CommentText">
    <w:name w:val="annotation text"/>
    <w:basedOn w:val="Normal"/>
    <w:link w:val="CommentTextChar"/>
    <w:rsid w:val="00CB3730"/>
    <w:rPr>
      <w:sz w:val="20"/>
    </w:rPr>
  </w:style>
  <w:style w:type="character" w:customStyle="1" w:styleId="CommentTextChar">
    <w:name w:val="Comment Text Char"/>
    <w:basedOn w:val="DefaultParagraphFont"/>
    <w:link w:val="CommentText"/>
    <w:rsid w:val="00CB3730"/>
    <w:rPr>
      <w:rFonts w:ascii="Times New Roman" w:hAnsi="Times New Roman" w:cs="Times New Roman"/>
    </w:rPr>
  </w:style>
  <w:style w:type="paragraph" w:styleId="CommentSubject">
    <w:name w:val="annotation subject"/>
    <w:basedOn w:val="CommentText"/>
    <w:next w:val="CommentText"/>
    <w:link w:val="CommentSubjectChar"/>
    <w:rsid w:val="00CB3730"/>
    <w:rPr>
      <w:b/>
      <w:bCs/>
    </w:rPr>
  </w:style>
  <w:style w:type="character" w:customStyle="1" w:styleId="CommentSubjectChar">
    <w:name w:val="Comment Subject Char"/>
    <w:basedOn w:val="CommentTextChar"/>
    <w:link w:val="CommentSubject"/>
    <w:rsid w:val="00CB373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9838</Characters>
  <Application>Microsoft Office Word</Application>
  <DocSecurity>0</DocSecurity>
  <Lines>160</Lines>
  <Paragraphs>32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2012-07-10T23:24:00Z</cp:lastPrinted>
  <dcterms:created xsi:type="dcterms:W3CDTF">2021-01-12T05:11:00Z</dcterms:created>
  <dcterms:modified xsi:type="dcterms:W3CDTF">2021-01-12T05:11:00Z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A27862579</vt:lpwstr>
  </property>
  <property fmtid="{D5CDD505-2E9C-101B-9397-08002B2CF9AE}" pid="4" name="Objective-Title">
    <vt:lpwstr>Working with Vulnerable People (Background Checking) Risk Assessment Guidelines 2021 (No 1) - Explanatory Statement</vt:lpwstr>
  </property>
  <property fmtid="{D5CDD505-2E9C-101B-9397-08002B2CF9AE}" pid="5" name="Objective-Comment">
    <vt:lpwstr/>
  </property>
  <property fmtid="{D5CDD505-2E9C-101B-9397-08002B2CF9AE}" pid="6" name="Objective-CreationStamp">
    <vt:filetime>2021-01-05T03:26:01Z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2021-01-11T22:18:19Z</vt:filetime>
  </property>
  <property fmtid="{D5CDD505-2E9C-101B-9397-08002B2CF9AE}" pid="10" name="Objective-ModificationStamp">
    <vt:filetime>2021-01-11T22:18:19Z</vt:filetime>
  </property>
  <property fmtid="{D5CDD505-2E9C-101B-9397-08002B2CF9AE}" pid="11" name="Objective-Owner">
    <vt:lpwstr>Samuel Thompson</vt:lpwstr>
  </property>
  <property fmtid="{D5CDD505-2E9C-101B-9397-08002B2CF9AE}" pid="12" name="Objective-Path">
    <vt:lpwstr>Whole of ACT Government:AC - Access Canberra:16. BRANCH - Projects, Governance &amp; Support:SECTION - Policy &amp; Coordination:UNIT - Government Business &amp; Coordination:06. Delegations, Appointments and other Instruments:03. Other Instruments:Working with Vulne</vt:lpwstr>
  </property>
  <property fmtid="{D5CDD505-2E9C-101B-9397-08002B2CF9AE}" pid="13" name="Objective-Parent">
    <vt:lpwstr>Working with Vulnerable People (Background Checking) Risk Assessment Guidelines 2021 (No 1)</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1-2021/00612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Add Place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ies>
</file>