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56E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CD3C257" w14:textId="4C05A895" w:rsidR="00C17FAB" w:rsidRDefault="004C5E00">
      <w:pPr>
        <w:pStyle w:val="Billname"/>
        <w:spacing w:before="700"/>
      </w:pPr>
      <w:r>
        <w:t xml:space="preserve">Public Health </w:t>
      </w:r>
      <w:r w:rsidR="00FD75CE">
        <w:t>(</w:t>
      </w:r>
      <w:r w:rsidR="00AA4F5E">
        <w:t xml:space="preserve">Public </w:t>
      </w:r>
      <w:r w:rsidR="00C901D6">
        <w:t>H</w:t>
      </w:r>
      <w:r w:rsidR="00AA4F5E">
        <w:t xml:space="preserve">ealth </w:t>
      </w:r>
      <w:r w:rsidR="00C901D6">
        <w:t>R</w:t>
      </w:r>
      <w:r w:rsidR="00AA4F5E">
        <w:t xml:space="preserve">isk </w:t>
      </w:r>
      <w:r w:rsidR="00C901D6">
        <w:t>A</w:t>
      </w:r>
      <w:r w:rsidR="00AA4F5E">
        <w:t xml:space="preserve">ctivity </w:t>
      </w:r>
      <w:r w:rsidR="00C901D6">
        <w:t>L</w:t>
      </w:r>
      <w:r w:rsidR="00AA4F5E">
        <w:t xml:space="preserve">icensing </w:t>
      </w:r>
      <w:r w:rsidR="00C901D6">
        <w:t>E</w:t>
      </w:r>
      <w:r w:rsidR="00AA4F5E">
        <w:t>xemption</w:t>
      </w:r>
      <w:r w:rsidR="00FD75CE">
        <w:t xml:space="preserve">) Determination </w:t>
      </w:r>
      <w:r>
        <w:t>202</w:t>
      </w:r>
      <w:r w:rsidR="00370A23">
        <w:t>1</w:t>
      </w:r>
      <w:r w:rsidR="00FD75CE">
        <w:t xml:space="preserve"> (No </w:t>
      </w:r>
      <w:r w:rsidR="00E52381">
        <w:t>1</w:t>
      </w:r>
      <w:r w:rsidR="00FD75CE">
        <w:t>)</w:t>
      </w:r>
    </w:p>
    <w:p w14:paraId="62D38F6B" w14:textId="0E7036F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C5E00">
        <w:rPr>
          <w:rFonts w:ascii="Arial" w:hAnsi="Arial" w:cs="Arial"/>
          <w:b/>
          <w:bCs/>
        </w:rPr>
        <w:t>202</w:t>
      </w:r>
      <w:r w:rsidR="00370A23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BA2260">
        <w:rPr>
          <w:rFonts w:ascii="Arial" w:hAnsi="Arial" w:cs="Arial"/>
          <w:b/>
          <w:bCs/>
        </w:rPr>
        <w:t>38</w:t>
      </w:r>
    </w:p>
    <w:p w14:paraId="6931F9F9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D4FBA32" w14:textId="4137E899" w:rsidR="00C17FAB" w:rsidRDefault="00AA4F5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 (</w:t>
      </w:r>
      <w:r w:rsidRPr="00AA4F5E">
        <w:rPr>
          <w:rFonts w:cs="Arial"/>
          <w:sz w:val="20"/>
        </w:rPr>
        <w:t>Exemption from licensing requirement—activity accreditation schemes</w:t>
      </w:r>
      <w:r>
        <w:rPr>
          <w:rFonts w:cs="Arial"/>
          <w:sz w:val="20"/>
        </w:rPr>
        <w:t>)</w:t>
      </w:r>
    </w:p>
    <w:p w14:paraId="36A6E9DB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C663A4B" w14:textId="77777777" w:rsidR="00C17FAB" w:rsidRDefault="00C17FAB">
      <w:pPr>
        <w:pStyle w:val="N-line3"/>
        <w:pBdr>
          <w:bottom w:val="none" w:sz="0" w:space="0" w:color="auto"/>
        </w:pBdr>
      </w:pPr>
    </w:p>
    <w:p w14:paraId="38D730E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3307FD0" w14:textId="236E98F5" w:rsidR="00200989" w:rsidRDefault="00200989">
      <w:pPr>
        <w:rPr>
          <w:b/>
          <w:bCs/>
          <w:u w:val="single"/>
        </w:rPr>
      </w:pPr>
      <w:r w:rsidRPr="00200989">
        <w:rPr>
          <w:b/>
          <w:bCs/>
          <w:u w:val="single"/>
        </w:rPr>
        <w:t>Background</w:t>
      </w:r>
    </w:p>
    <w:p w14:paraId="64EEA94C" w14:textId="7A9300B1" w:rsidR="00200989" w:rsidRDefault="00200989"/>
    <w:p w14:paraId="63851D9A" w14:textId="14F26D79" w:rsidR="006925C6" w:rsidRDefault="006925C6" w:rsidP="006925C6">
      <w:r>
        <w:t xml:space="preserve">Section 21 (1) of the </w:t>
      </w:r>
      <w:r w:rsidRPr="0084419C">
        <w:rPr>
          <w:i/>
          <w:iCs/>
        </w:rPr>
        <w:t>Public Health Act 1997</w:t>
      </w:r>
      <w:r>
        <w:t xml:space="preserve"> (PHA) provides that a person must not carry on a licensable public health risk activity unless the person holds an activity licence for the activity. This does not apply to a person </w:t>
      </w:r>
      <w:r w:rsidRPr="002C47A4">
        <w:t>who is exempt under section</w:t>
      </w:r>
      <w:r>
        <w:t> </w:t>
      </w:r>
      <w:r w:rsidRPr="002C47A4">
        <w:t>22.</w:t>
      </w:r>
    </w:p>
    <w:p w14:paraId="552CA7D2" w14:textId="77777777" w:rsidR="006925C6" w:rsidRDefault="006925C6" w:rsidP="00200989"/>
    <w:p w14:paraId="196C2464" w14:textId="0305C0FC" w:rsidR="00200989" w:rsidRDefault="00200989" w:rsidP="00200989">
      <w:r>
        <w:t>DI2005-302 declares that it is a licensable public health risk activity to</w:t>
      </w:r>
      <w:r w:rsidRPr="0092761E">
        <w:t xml:space="preserve"> </w:t>
      </w:r>
      <w:r w:rsidR="003357A7">
        <w:t xml:space="preserve">carry out </w:t>
      </w:r>
      <w:r w:rsidR="00C3612F">
        <w:t xml:space="preserve">a </w:t>
      </w:r>
      <w:r w:rsidRPr="00081CFA">
        <w:rPr>
          <w:i/>
          <w:iCs/>
        </w:rPr>
        <w:t>skin penetration procedure</w:t>
      </w:r>
      <w:r>
        <w:t xml:space="preserve">. A </w:t>
      </w:r>
      <w:r w:rsidRPr="0092761E">
        <w:rPr>
          <w:i/>
          <w:iCs/>
        </w:rPr>
        <w:t>skin penetration procedure</w:t>
      </w:r>
      <w:r w:rsidRPr="0092761E">
        <w:t xml:space="preserve"> </w:t>
      </w:r>
      <w:r w:rsidR="002A5267">
        <w:t>includes</w:t>
      </w:r>
      <w:r w:rsidRPr="00322751">
        <w:t xml:space="preserve"> any process that involves the piercing, cutting, puncturing or tearing of a living human body. </w:t>
      </w:r>
    </w:p>
    <w:p w14:paraId="64BCCE71" w14:textId="77777777" w:rsidR="00200989" w:rsidRDefault="00200989" w:rsidP="00200989"/>
    <w:p w14:paraId="3A48B525" w14:textId="5487A2D9" w:rsidR="00200989" w:rsidRDefault="00200989" w:rsidP="00200989">
      <w:r>
        <w:t xml:space="preserve">As such, DI2005-302 requires pathology collection centres (also known as specimen collection centres) to have a public health risk activity licence because they carry out </w:t>
      </w:r>
      <w:r w:rsidRPr="00200989">
        <w:rPr>
          <w:i/>
          <w:iCs/>
        </w:rPr>
        <w:t>skin penetration procedures</w:t>
      </w:r>
      <w:r>
        <w:t xml:space="preserve"> (e.g. collecting of blood samples).</w:t>
      </w:r>
    </w:p>
    <w:p w14:paraId="727F30F3" w14:textId="77777777" w:rsidR="006925C6" w:rsidRDefault="006925C6" w:rsidP="00200989"/>
    <w:p w14:paraId="01EBB550" w14:textId="33897DE5" w:rsidR="008754A4" w:rsidRDefault="008754A4" w:rsidP="008754A4">
      <w:pPr>
        <w:rPr>
          <w:b/>
          <w:bCs/>
          <w:u w:val="single"/>
        </w:rPr>
      </w:pPr>
      <w:r w:rsidRPr="008754A4">
        <w:rPr>
          <w:b/>
          <w:bCs/>
          <w:u w:val="single"/>
        </w:rPr>
        <w:t xml:space="preserve">Exemption from licensing requirement </w:t>
      </w:r>
    </w:p>
    <w:p w14:paraId="3CAF8545" w14:textId="77777777" w:rsidR="008754A4" w:rsidRPr="008754A4" w:rsidRDefault="008754A4" w:rsidP="008754A4">
      <w:pPr>
        <w:rPr>
          <w:b/>
          <w:bCs/>
          <w:u w:val="single"/>
        </w:rPr>
      </w:pPr>
    </w:p>
    <w:p w14:paraId="680A4543" w14:textId="07253C13" w:rsidR="008754A4" w:rsidRDefault="008754A4" w:rsidP="008754A4">
      <w:r>
        <w:t>Section 22 of the PHA provides that</w:t>
      </w:r>
      <w:r w:rsidRPr="00F612AA">
        <w:t xml:space="preserve"> a person who carries on a licensable public health risk activity is exempt from the requirement to be licensed if</w:t>
      </w:r>
      <w:r>
        <w:t xml:space="preserve"> they are </w:t>
      </w:r>
      <w:r w:rsidRPr="00F612AA">
        <w:t>accredited under an activity accreditation scheme for the activity</w:t>
      </w:r>
      <w:r>
        <w:t xml:space="preserve">. </w:t>
      </w:r>
      <w:r w:rsidR="003357A7">
        <w:t>T</w:t>
      </w:r>
      <w:r>
        <w:t xml:space="preserve">he </w:t>
      </w:r>
      <w:r w:rsidRPr="00F612AA">
        <w:t>Minister may determine</w:t>
      </w:r>
      <w:r>
        <w:t xml:space="preserve"> via disallowable instrument what constitutes an </w:t>
      </w:r>
      <w:r w:rsidRPr="00F612AA">
        <w:t>activity accreditation scheme for licensable public health risk activities</w:t>
      </w:r>
      <w:r>
        <w:t xml:space="preserve">. </w:t>
      </w:r>
    </w:p>
    <w:p w14:paraId="748E7D5C" w14:textId="5982D762" w:rsidR="00200989" w:rsidRDefault="00200989"/>
    <w:p w14:paraId="0B8DA891" w14:textId="15825FF1" w:rsidR="00EF11D5" w:rsidRPr="00200989" w:rsidRDefault="00A03889">
      <w:r>
        <w:t xml:space="preserve">This instrument exempts pathology collection centres from requiring a public health risk activity licence under DI2005-302 because they are already adequately regulated by the Commonwealth Government. </w:t>
      </w:r>
      <w:r w:rsidR="004D4866">
        <w:t>Pathology collection centres are highly regulated under Commonwealth legislation</w:t>
      </w:r>
      <w:r w:rsidR="00210A79">
        <w:t xml:space="preserve"> to ensure </w:t>
      </w:r>
      <w:r w:rsidR="00F93A9B">
        <w:t>that</w:t>
      </w:r>
      <w:r w:rsidR="002F693C">
        <w:t xml:space="preserve"> collection centres</w:t>
      </w:r>
      <w:r w:rsidR="00F93A9B">
        <w:t xml:space="preserve"> accessing Medicare benefits are</w:t>
      </w:r>
      <w:r w:rsidR="00126AA0">
        <w:t xml:space="preserve"> </w:t>
      </w:r>
      <w:r w:rsidR="00B47C65">
        <w:t>of</w:t>
      </w:r>
      <w:r w:rsidR="00F93A9B">
        <w:t xml:space="preserve"> high quality and clinically relevant. </w:t>
      </w:r>
      <w:r w:rsidR="00AE7337">
        <w:t>This exemption is consistent with the objectives of the PHA</w:t>
      </w:r>
      <w:r w:rsidR="00606CB9">
        <w:t xml:space="preserve">, which </w:t>
      </w:r>
      <w:r w:rsidR="00AB645A">
        <w:t xml:space="preserve">include </w:t>
      </w:r>
      <w:r w:rsidR="00927683">
        <w:t>the protection of</w:t>
      </w:r>
      <w:r w:rsidR="009F2116" w:rsidRPr="009F2116">
        <w:t xml:space="preserve"> the public from public </w:t>
      </w:r>
      <w:r w:rsidR="009F2116" w:rsidRPr="009F2116">
        <w:lastRenderedPageBreak/>
        <w:t xml:space="preserve">health risks </w:t>
      </w:r>
      <w:r w:rsidR="009F2116" w:rsidRPr="002F693C">
        <w:rPr>
          <w:i/>
          <w:iCs/>
        </w:rPr>
        <w:t>not</w:t>
      </w:r>
      <w:r w:rsidR="009F2116" w:rsidRPr="009F2116">
        <w:t xml:space="preserve"> adequately controlled by another law </w:t>
      </w:r>
      <w:r w:rsidR="00AB645A">
        <w:t>o</w:t>
      </w:r>
      <w:r w:rsidR="009F2116" w:rsidRPr="009F2116">
        <w:t>f the</w:t>
      </w:r>
      <w:r w:rsidR="00AB645A">
        <w:t xml:space="preserve"> </w:t>
      </w:r>
      <w:r w:rsidR="009F2116" w:rsidRPr="009F2116">
        <w:t>Territory or a law of the Commonwealth</w:t>
      </w:r>
      <w:r w:rsidR="00AB645A">
        <w:t>.</w:t>
      </w:r>
    </w:p>
    <w:p w14:paraId="55F2A87E" w14:textId="5936DEA9" w:rsidR="00071865" w:rsidRDefault="00071865" w:rsidP="001F3357"/>
    <w:p w14:paraId="7EC6CB2E" w14:textId="43B00E57" w:rsidR="003125D0" w:rsidRDefault="003C049B" w:rsidP="001F3357">
      <w:r>
        <w:t>Part 3 of this instrument</w:t>
      </w:r>
      <w:r w:rsidR="002239E8">
        <w:t xml:space="preserve"> </w:t>
      </w:r>
      <w:r w:rsidR="008967D5">
        <w:t xml:space="preserve">determines </w:t>
      </w:r>
      <w:r w:rsidR="005F61D3">
        <w:t>the</w:t>
      </w:r>
      <w:r w:rsidR="009E7C7F">
        <w:t xml:space="preserve"> following to </w:t>
      </w:r>
      <w:r w:rsidR="003125D0">
        <w:t>be an activity accreditation scheme in relation to</w:t>
      </w:r>
      <w:r w:rsidR="00000A71">
        <w:t xml:space="preserve"> the</w:t>
      </w:r>
      <w:r w:rsidR="00000A71" w:rsidRPr="00811588">
        <w:t xml:space="preserve"> licensable public health risk activit</w:t>
      </w:r>
      <w:r w:rsidR="00000A71">
        <w:t xml:space="preserve">y of </w:t>
      </w:r>
      <w:r w:rsidR="004A712E">
        <w:t xml:space="preserve">carrying out </w:t>
      </w:r>
      <w:r w:rsidR="00000A71">
        <w:t xml:space="preserve">a </w:t>
      </w:r>
      <w:r w:rsidR="00000A71" w:rsidRPr="007C3D41">
        <w:t>skin penetration</w:t>
      </w:r>
      <w:r w:rsidR="00000A71" w:rsidRPr="00047655">
        <w:t xml:space="preserve"> procedure</w:t>
      </w:r>
      <w:r w:rsidR="00000A71">
        <w:t>:</w:t>
      </w:r>
    </w:p>
    <w:p w14:paraId="2908E106" w14:textId="636E7388" w:rsidR="00071865" w:rsidRDefault="005F61D3" w:rsidP="003125D0">
      <w:pPr>
        <w:pStyle w:val="ListParagraph"/>
        <w:numPr>
          <w:ilvl w:val="0"/>
          <w:numId w:val="16"/>
        </w:numPr>
      </w:pPr>
      <w:r>
        <w:t xml:space="preserve">being approved as an </w:t>
      </w:r>
      <w:r w:rsidRPr="003125D0">
        <w:rPr>
          <w:b/>
          <w:bCs/>
          <w:i/>
          <w:iCs/>
        </w:rPr>
        <w:t>Approved Collection Centre</w:t>
      </w:r>
      <w:r>
        <w:t xml:space="preserve"> </w:t>
      </w:r>
      <w:r w:rsidR="001E6882">
        <w:t xml:space="preserve">as defined under the </w:t>
      </w:r>
      <w:r w:rsidR="001E6882" w:rsidRPr="003125D0">
        <w:rPr>
          <w:i/>
          <w:iCs/>
        </w:rPr>
        <w:t>Health Insurance Act 1973</w:t>
      </w:r>
      <w:r w:rsidR="001E6882">
        <w:t xml:space="preserve"> (Cwth)</w:t>
      </w:r>
      <w:r>
        <w:t>.</w:t>
      </w:r>
    </w:p>
    <w:p w14:paraId="45291D48" w14:textId="77777777" w:rsidR="00C71044" w:rsidRDefault="00C71044"/>
    <w:p w14:paraId="2F50DFBF" w14:textId="6B7EF438" w:rsidR="003C12C0" w:rsidRDefault="00F10598" w:rsidP="00DA1DFB">
      <w:pPr>
        <w:spacing w:after="120"/>
      </w:pPr>
      <w:r w:rsidRPr="00F10598">
        <w:t xml:space="preserve">The regulatory controls applied by the Commonwealth Government under the </w:t>
      </w:r>
      <w:r w:rsidRPr="00F10598">
        <w:rPr>
          <w:i/>
          <w:iCs/>
        </w:rPr>
        <w:t>Health Insurance Act 197</w:t>
      </w:r>
      <w:r>
        <w:rPr>
          <w:i/>
          <w:iCs/>
        </w:rPr>
        <w:t>3</w:t>
      </w:r>
      <w:r w:rsidRPr="00F10598">
        <w:rPr>
          <w:i/>
          <w:iCs/>
        </w:rPr>
        <w:t xml:space="preserve"> </w:t>
      </w:r>
      <w:r w:rsidRPr="00F10598">
        <w:t xml:space="preserve">(Cwth) regarding the approval of </w:t>
      </w:r>
      <w:r w:rsidRPr="00F10598">
        <w:rPr>
          <w:i/>
          <w:iCs/>
        </w:rPr>
        <w:t>Approved Collection Centres</w:t>
      </w:r>
      <w:r w:rsidRPr="00F10598">
        <w:t xml:space="preserve"> adequately address the public health risks posed by pathology collection centres</w:t>
      </w:r>
      <w:r>
        <w:t xml:space="preserve"> in the ACT</w:t>
      </w:r>
      <w:r w:rsidRPr="00F10598">
        <w:t>. These controls include:</w:t>
      </w:r>
    </w:p>
    <w:p w14:paraId="798BBB97" w14:textId="00A733D1" w:rsidR="00130394" w:rsidRDefault="003C12C0" w:rsidP="00DA1DFB">
      <w:pPr>
        <w:pStyle w:val="ListParagraph"/>
        <w:numPr>
          <w:ilvl w:val="0"/>
          <w:numId w:val="18"/>
        </w:numPr>
        <w:spacing w:after="120"/>
        <w:ind w:left="709"/>
        <w:contextualSpacing w:val="0"/>
      </w:pPr>
      <w:r>
        <w:t xml:space="preserve">To be an </w:t>
      </w:r>
      <w:r w:rsidRPr="00BC29F5">
        <w:rPr>
          <w:i/>
          <w:iCs/>
        </w:rPr>
        <w:t>Approved Collection Centre</w:t>
      </w:r>
      <w:r>
        <w:t>, a person must b</w:t>
      </w:r>
      <w:r w:rsidR="00390221" w:rsidRPr="00390221">
        <w:t>e a current Approved Pathology Authority</w:t>
      </w:r>
      <w:r w:rsidR="00C47DB8">
        <w:t xml:space="preserve"> (APA)</w:t>
      </w:r>
      <w:r w:rsidR="00611033">
        <w:t xml:space="preserve">. To be an </w:t>
      </w:r>
      <w:r w:rsidR="00C47DB8">
        <w:t>APA</w:t>
      </w:r>
      <w:r w:rsidR="00611033">
        <w:t xml:space="preserve">, </w:t>
      </w:r>
      <w:r w:rsidR="00C47DB8">
        <w:t>a person</w:t>
      </w:r>
      <w:r w:rsidR="00611033">
        <w:t xml:space="preserve"> must own an Accredited Pathology Laboratory (APL). The only recognised accreditor for APLs is the N</w:t>
      </w:r>
      <w:r w:rsidR="008D327D">
        <w:t xml:space="preserve">ational </w:t>
      </w:r>
      <w:r w:rsidR="00611033">
        <w:t>A</w:t>
      </w:r>
      <w:r w:rsidR="008D327D">
        <w:t>ssociation of Testing Auth</w:t>
      </w:r>
      <w:r w:rsidR="009A697A">
        <w:t>orities, Australia (NA</w:t>
      </w:r>
      <w:r w:rsidR="00611033">
        <w:t>TA</w:t>
      </w:r>
      <w:r w:rsidR="009A697A">
        <w:t>)</w:t>
      </w:r>
      <w:r w:rsidR="00611033">
        <w:t>.</w:t>
      </w:r>
      <w:r w:rsidR="00947EA5">
        <w:t xml:space="preserve"> </w:t>
      </w:r>
      <w:r w:rsidR="003D62C2">
        <w:t xml:space="preserve">If an </w:t>
      </w:r>
      <w:r w:rsidR="00E616C8">
        <w:t xml:space="preserve">Approved Collection Centre is associated with an APL, </w:t>
      </w:r>
      <w:r w:rsidR="00042212">
        <w:t xml:space="preserve">in granting accreditation, NATA </w:t>
      </w:r>
      <w:r w:rsidR="008B00BD">
        <w:t xml:space="preserve">must </w:t>
      </w:r>
      <w:r w:rsidR="00E616C8">
        <w:t>also</w:t>
      </w:r>
      <w:r w:rsidR="007519C2">
        <w:t xml:space="preserve"> consider</w:t>
      </w:r>
      <w:r w:rsidR="008B00BD">
        <w:t xml:space="preserve"> </w:t>
      </w:r>
      <w:r w:rsidR="007519C2">
        <w:t>the standards</w:t>
      </w:r>
      <w:r w:rsidR="00042212">
        <w:t xml:space="preserve"> and procedures</w:t>
      </w:r>
      <w:r w:rsidR="007519C2">
        <w:t xml:space="preserve"> in place at the Approved Collection Centre. </w:t>
      </w:r>
    </w:p>
    <w:p w14:paraId="10138122" w14:textId="137FD707" w:rsidR="00DA1DFB" w:rsidRDefault="00DA3D43" w:rsidP="00DA1DFB">
      <w:pPr>
        <w:pStyle w:val="ListParagraph"/>
        <w:numPr>
          <w:ilvl w:val="0"/>
          <w:numId w:val="18"/>
        </w:numPr>
        <w:spacing w:after="120"/>
        <w:ind w:left="709"/>
        <w:contextualSpacing w:val="0"/>
      </w:pPr>
      <w:r w:rsidRPr="00BC29F5">
        <w:rPr>
          <w:i/>
          <w:iCs/>
        </w:rPr>
        <w:t>Approved Collection Centre</w:t>
      </w:r>
      <w:r>
        <w:t xml:space="preserve"> s</w:t>
      </w:r>
      <w:r w:rsidR="00130394">
        <w:t xml:space="preserve">taff </w:t>
      </w:r>
      <w:r>
        <w:t>must be s</w:t>
      </w:r>
      <w:r w:rsidR="00130394">
        <w:t xml:space="preserve">uitably qualified </w:t>
      </w:r>
      <w:r w:rsidR="00B94EF9" w:rsidRPr="00390221">
        <w:t xml:space="preserve">people </w:t>
      </w:r>
      <w:r>
        <w:t xml:space="preserve">and </w:t>
      </w:r>
      <w:r w:rsidR="00B94EF9" w:rsidRPr="00390221">
        <w:t>employed or engaged by an A</w:t>
      </w:r>
      <w:r w:rsidR="00B94EF9">
        <w:t xml:space="preserve">PA. </w:t>
      </w:r>
    </w:p>
    <w:p w14:paraId="2DD16752" w14:textId="01171E05" w:rsidR="00390221" w:rsidRDefault="00FF3B3F" w:rsidP="0009643B">
      <w:pPr>
        <w:pStyle w:val="ListParagraph"/>
        <w:numPr>
          <w:ilvl w:val="0"/>
          <w:numId w:val="18"/>
        </w:numPr>
        <w:spacing w:after="120"/>
        <w:ind w:left="709" w:hanging="357"/>
        <w:contextualSpacing w:val="0"/>
      </w:pPr>
      <w:r>
        <w:t xml:space="preserve">An </w:t>
      </w:r>
      <w:r w:rsidRPr="00BC29F5">
        <w:rPr>
          <w:i/>
          <w:iCs/>
        </w:rPr>
        <w:t>Approved Collection Centre</w:t>
      </w:r>
      <w:r>
        <w:t xml:space="preserve"> must m</w:t>
      </w:r>
      <w:r w:rsidR="00390221" w:rsidRPr="00390221">
        <w:t xml:space="preserve">eet the </w:t>
      </w:r>
      <w:r w:rsidR="00E726CD" w:rsidRPr="00E726CD">
        <w:t>National Pathology Accreditation Advisory Council</w:t>
      </w:r>
      <w:r w:rsidR="00E726CD">
        <w:t xml:space="preserve"> (</w:t>
      </w:r>
      <w:r w:rsidR="00D14AB7">
        <w:t>NPACC</w:t>
      </w:r>
      <w:r w:rsidR="00E726CD">
        <w:t>)</w:t>
      </w:r>
      <w:r w:rsidR="00D14AB7">
        <w:t xml:space="preserve"> </w:t>
      </w:r>
      <w:r w:rsidR="00390221" w:rsidRPr="00390221">
        <w:t>Guidelines for Approved Pathology Collection Centres.</w:t>
      </w:r>
      <w:r w:rsidR="0088643B" w:rsidRPr="0088643B">
        <w:t xml:space="preserve"> </w:t>
      </w:r>
      <w:r w:rsidR="0088643B">
        <w:t xml:space="preserve">The </w:t>
      </w:r>
      <w:r w:rsidR="0088643B" w:rsidRPr="0088643B">
        <w:t xml:space="preserve">NPAAC is a ministerially-appointed Council </w:t>
      </w:r>
      <w:r w:rsidR="0088643B">
        <w:t xml:space="preserve">established </w:t>
      </w:r>
      <w:r w:rsidR="00EC44E5">
        <w:t xml:space="preserve">by an Order under the </w:t>
      </w:r>
      <w:r w:rsidR="0088643B" w:rsidRPr="00EC44E5">
        <w:rPr>
          <w:i/>
          <w:iCs/>
        </w:rPr>
        <w:t>National Health Act 1953</w:t>
      </w:r>
      <w:r w:rsidR="00EC44E5">
        <w:t xml:space="preserve"> (Cwth)</w:t>
      </w:r>
      <w:r w:rsidR="0012357F">
        <w:t xml:space="preserve">. It </w:t>
      </w:r>
      <w:r w:rsidR="00D54769" w:rsidRPr="00D54769">
        <w:t>is comprised of representatives from all states and territories, nominees from peak professional bodies and the</w:t>
      </w:r>
      <w:r w:rsidR="0012357F">
        <w:t xml:space="preserve"> Australian Government</w:t>
      </w:r>
      <w:r w:rsidR="00D54769" w:rsidRPr="00D54769">
        <w:t xml:space="preserve"> Department of Health</w:t>
      </w:r>
    </w:p>
    <w:p w14:paraId="33CC7E7A" w14:textId="0ECAAFDC" w:rsidR="00FF3B3F" w:rsidRPr="00390221" w:rsidRDefault="00FF3B3F" w:rsidP="00DA1DFB">
      <w:pPr>
        <w:pStyle w:val="ListParagraph"/>
        <w:numPr>
          <w:ilvl w:val="0"/>
          <w:numId w:val="18"/>
        </w:numPr>
        <w:ind w:left="709"/>
      </w:pPr>
      <w:r>
        <w:t xml:space="preserve">A person authorised by the Commonwealth Minister </w:t>
      </w:r>
      <w:r w:rsidR="003249B3">
        <w:t xml:space="preserve">for </w:t>
      </w:r>
      <w:r>
        <w:t xml:space="preserve">Health may at any reasonable time enter and inspect an </w:t>
      </w:r>
      <w:r w:rsidRPr="00FD796C">
        <w:rPr>
          <w:i/>
          <w:iCs/>
        </w:rPr>
        <w:t>Approved Collection Centre</w:t>
      </w:r>
      <w:r>
        <w:t>.</w:t>
      </w:r>
    </w:p>
    <w:p w14:paraId="3D9C36FD" w14:textId="77777777" w:rsidR="00390221" w:rsidRDefault="00390221"/>
    <w:p w14:paraId="6E3C76ED" w14:textId="749B716A" w:rsidR="004167AC" w:rsidRPr="004167AC" w:rsidRDefault="004167AC" w:rsidP="004167AC">
      <w:r w:rsidRPr="004167AC">
        <w:t xml:space="preserve">Consistent with the </w:t>
      </w:r>
      <w:r w:rsidR="00820256">
        <w:t xml:space="preserve">PHA </w:t>
      </w:r>
      <w:r w:rsidRPr="004167AC">
        <w:t>objective</w:t>
      </w:r>
      <w:r w:rsidR="00820256">
        <w:t xml:space="preserve"> of avoiding dual regulation of public health risks</w:t>
      </w:r>
      <w:r w:rsidR="00923E4A">
        <w:t xml:space="preserve">, </w:t>
      </w:r>
      <w:r w:rsidRPr="004167AC">
        <w:t xml:space="preserve">Part 3 of this instrument </w:t>
      </w:r>
      <w:r w:rsidR="00923E4A">
        <w:t xml:space="preserve">exempts an </w:t>
      </w:r>
      <w:r w:rsidR="004477CA" w:rsidRPr="001725F7">
        <w:rPr>
          <w:i/>
          <w:iCs/>
        </w:rPr>
        <w:t>A</w:t>
      </w:r>
      <w:r w:rsidRPr="001725F7">
        <w:rPr>
          <w:i/>
          <w:iCs/>
        </w:rPr>
        <w:t xml:space="preserve">pproved </w:t>
      </w:r>
      <w:r w:rsidR="004477CA" w:rsidRPr="001725F7">
        <w:rPr>
          <w:i/>
          <w:iCs/>
        </w:rPr>
        <w:t>C</w:t>
      </w:r>
      <w:r w:rsidRPr="001725F7">
        <w:rPr>
          <w:i/>
          <w:iCs/>
        </w:rPr>
        <w:t xml:space="preserve">ollection </w:t>
      </w:r>
      <w:r w:rsidR="004477CA" w:rsidRPr="001725F7">
        <w:rPr>
          <w:i/>
          <w:iCs/>
        </w:rPr>
        <w:t>C</w:t>
      </w:r>
      <w:r w:rsidRPr="001725F7">
        <w:rPr>
          <w:i/>
          <w:iCs/>
        </w:rPr>
        <w:t>entre</w:t>
      </w:r>
      <w:r w:rsidRPr="004167AC">
        <w:t xml:space="preserve"> </w:t>
      </w:r>
      <w:r w:rsidR="00923E4A">
        <w:t xml:space="preserve">from the requirement to hold a public health risk activity licence </w:t>
      </w:r>
      <w:r w:rsidR="00542F36">
        <w:t>to carry out a skin penetration procedure</w:t>
      </w:r>
      <w:r w:rsidR="002A322D">
        <w:t xml:space="preserve">. </w:t>
      </w:r>
      <w:r w:rsidR="00F74FD3">
        <w:t>These facilities are still required to comply with other PHA requirements</w:t>
      </w:r>
      <w:r w:rsidR="00573B12">
        <w:t xml:space="preserve"> (e.g. </w:t>
      </w:r>
      <w:r w:rsidR="009356CA">
        <w:t xml:space="preserve">they must </w:t>
      </w:r>
      <w:r w:rsidR="00573B12">
        <w:t xml:space="preserve">comply with any relevant Code of Practice, </w:t>
      </w:r>
      <w:r w:rsidR="008C1B57">
        <w:t xml:space="preserve">be subject to inspection by authorised </w:t>
      </w:r>
      <w:r w:rsidR="009356CA">
        <w:t xml:space="preserve">public health officers, etc). </w:t>
      </w:r>
      <w:r w:rsidR="00F670AE">
        <w:t xml:space="preserve">As per section 22, this exemption is conditional on an </w:t>
      </w:r>
      <w:r w:rsidR="00F670AE" w:rsidRPr="00F670AE">
        <w:rPr>
          <w:i/>
          <w:iCs/>
        </w:rPr>
        <w:t>Approved Collection Centre</w:t>
      </w:r>
      <w:r w:rsidR="00F670AE">
        <w:t xml:space="preserve"> </w:t>
      </w:r>
      <w:r w:rsidR="00273B00">
        <w:t xml:space="preserve">complying with the </w:t>
      </w:r>
      <w:r w:rsidR="00186878">
        <w:t xml:space="preserve">Health Insurance Act, </w:t>
      </w:r>
      <w:r w:rsidRPr="004167AC">
        <w:t>the P</w:t>
      </w:r>
      <w:r>
        <w:t>HA</w:t>
      </w:r>
      <w:r w:rsidRPr="004167AC">
        <w:t xml:space="preserve">, </w:t>
      </w:r>
      <w:r w:rsidR="004D051F">
        <w:t>and any</w:t>
      </w:r>
      <w:r w:rsidRPr="004167AC">
        <w:t xml:space="preserve"> corresponding public health risk law.</w:t>
      </w:r>
    </w:p>
    <w:p w14:paraId="3D324486" w14:textId="77777777" w:rsidR="004167AC" w:rsidRDefault="004167AC"/>
    <w:p w14:paraId="64769304" w14:textId="4C7BADC2" w:rsidR="00390221" w:rsidRDefault="00DB44A9">
      <w:r>
        <w:t>This instrument is not associated with an increased regulatory impact</w:t>
      </w:r>
      <w:r w:rsidR="00E86141">
        <w:t xml:space="preserve"> as it decreases</w:t>
      </w:r>
      <w:r w:rsidR="00687672">
        <w:t xml:space="preserve"> regulatory burden</w:t>
      </w:r>
      <w:r w:rsidR="00E86141">
        <w:t xml:space="preserve">. As such, a regulatory impact statement </w:t>
      </w:r>
      <w:r w:rsidR="006D0DAB">
        <w:t>is</w:t>
      </w:r>
      <w:r w:rsidR="00687672">
        <w:t xml:space="preserve"> not required. </w:t>
      </w:r>
    </w:p>
    <w:p w14:paraId="2D2A35F0" w14:textId="47640DAE" w:rsidR="000018B0" w:rsidRDefault="000018B0"/>
    <w:p w14:paraId="25BB20F5" w14:textId="0AA18275" w:rsidR="00C73566" w:rsidRPr="00C73566" w:rsidRDefault="00C73566" w:rsidP="00C73566">
      <w:pPr>
        <w:rPr>
          <w:szCs w:val="24"/>
          <w:lang w:eastAsia="en-AU"/>
        </w:rPr>
      </w:pPr>
      <w:r w:rsidRPr="00C73566">
        <w:rPr>
          <w:szCs w:val="24"/>
          <w:lang w:eastAsia="en-AU"/>
        </w:rPr>
        <w:t>This de</w:t>
      </w:r>
      <w:r>
        <w:rPr>
          <w:szCs w:val="24"/>
          <w:lang w:eastAsia="en-AU"/>
        </w:rPr>
        <w:t xml:space="preserve">termination does not engage </w:t>
      </w:r>
      <w:r w:rsidR="00AE44F3">
        <w:rPr>
          <w:szCs w:val="24"/>
          <w:lang w:eastAsia="en-AU"/>
        </w:rPr>
        <w:t xml:space="preserve">with </w:t>
      </w:r>
      <w:r w:rsidRPr="00C73566">
        <w:rPr>
          <w:szCs w:val="24"/>
          <w:lang w:eastAsia="en-AU"/>
        </w:rPr>
        <w:t>an individual</w:t>
      </w:r>
      <w:r w:rsidR="006174FF">
        <w:rPr>
          <w:szCs w:val="24"/>
          <w:lang w:eastAsia="en-AU"/>
        </w:rPr>
        <w:t>’</w:t>
      </w:r>
      <w:r w:rsidRPr="00C73566">
        <w:rPr>
          <w:szCs w:val="24"/>
          <w:lang w:eastAsia="en-AU"/>
        </w:rPr>
        <w:t xml:space="preserve">s human rights within the </w:t>
      </w:r>
      <w:r w:rsidRPr="00C73566">
        <w:rPr>
          <w:i/>
          <w:iCs/>
          <w:szCs w:val="24"/>
          <w:lang w:eastAsia="en-AU"/>
        </w:rPr>
        <w:t>Human Rights Act 2004.</w:t>
      </w:r>
    </w:p>
    <w:sectPr w:rsidR="00C73566" w:rsidRPr="00C73566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F293F" w14:textId="77777777" w:rsidR="00F66849" w:rsidRDefault="00F66849" w:rsidP="00C17FAB">
      <w:r>
        <w:separator/>
      </w:r>
    </w:p>
  </w:endnote>
  <w:endnote w:type="continuationSeparator" w:id="0">
    <w:p w14:paraId="2BC27A90" w14:textId="77777777" w:rsidR="00F66849" w:rsidRDefault="00F6684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D99C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D6BF" w14:textId="683B7BA0" w:rsidR="00DA3B00" w:rsidRPr="00BE201B" w:rsidRDefault="00BE201B" w:rsidP="00BE201B">
    <w:pPr>
      <w:pStyle w:val="Footer"/>
      <w:jc w:val="center"/>
      <w:rPr>
        <w:rFonts w:cs="Arial"/>
        <w:sz w:val="14"/>
      </w:rPr>
    </w:pPr>
    <w:r w:rsidRPr="00BE201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E20D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1B09" w14:textId="77777777" w:rsidR="00F66849" w:rsidRDefault="00F66849" w:rsidP="00C17FAB">
      <w:r>
        <w:separator/>
      </w:r>
    </w:p>
  </w:footnote>
  <w:footnote w:type="continuationSeparator" w:id="0">
    <w:p w14:paraId="37840D82" w14:textId="77777777" w:rsidR="00F66849" w:rsidRDefault="00F66849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976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8ADF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797E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C0595"/>
    <w:multiLevelType w:val="hybridMultilevel"/>
    <w:tmpl w:val="AA843A92"/>
    <w:lvl w:ilvl="0" w:tplc="7A72D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D35619B"/>
    <w:multiLevelType w:val="hybridMultilevel"/>
    <w:tmpl w:val="9C863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4667"/>
    <w:multiLevelType w:val="multilevel"/>
    <w:tmpl w:val="45A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C63DD6"/>
    <w:multiLevelType w:val="hybridMultilevel"/>
    <w:tmpl w:val="9926B312"/>
    <w:lvl w:ilvl="0" w:tplc="B7363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2BC9"/>
    <w:multiLevelType w:val="multilevel"/>
    <w:tmpl w:val="013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190654"/>
    <w:multiLevelType w:val="hybridMultilevel"/>
    <w:tmpl w:val="EF1CCF46"/>
    <w:lvl w:ilvl="0" w:tplc="DEB45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EA7426"/>
    <w:multiLevelType w:val="hybridMultilevel"/>
    <w:tmpl w:val="EC7A9546"/>
    <w:lvl w:ilvl="0" w:tplc="A9826772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26F5E24"/>
    <w:multiLevelType w:val="hybridMultilevel"/>
    <w:tmpl w:val="ADAAD314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6097A81"/>
    <w:multiLevelType w:val="multilevel"/>
    <w:tmpl w:val="DE6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0A71"/>
    <w:rsid w:val="000018B0"/>
    <w:rsid w:val="00007BA1"/>
    <w:rsid w:val="0002620A"/>
    <w:rsid w:val="000262A8"/>
    <w:rsid w:val="00041DB0"/>
    <w:rsid w:val="00041FBD"/>
    <w:rsid w:val="00042212"/>
    <w:rsid w:val="00052CD8"/>
    <w:rsid w:val="00071865"/>
    <w:rsid w:val="00080E1D"/>
    <w:rsid w:val="00081CFA"/>
    <w:rsid w:val="00083A41"/>
    <w:rsid w:val="0009643B"/>
    <w:rsid w:val="000D5F69"/>
    <w:rsid w:val="000E4362"/>
    <w:rsid w:val="0012357F"/>
    <w:rsid w:val="00126AA0"/>
    <w:rsid w:val="00130394"/>
    <w:rsid w:val="00146ED3"/>
    <w:rsid w:val="0016542C"/>
    <w:rsid w:val="0017134A"/>
    <w:rsid w:val="001725F7"/>
    <w:rsid w:val="00186878"/>
    <w:rsid w:val="001A5732"/>
    <w:rsid w:val="001C089B"/>
    <w:rsid w:val="001D15CE"/>
    <w:rsid w:val="001E6882"/>
    <w:rsid w:val="001F3357"/>
    <w:rsid w:val="00200989"/>
    <w:rsid w:val="00210A79"/>
    <w:rsid w:val="002231FE"/>
    <w:rsid w:val="002239E8"/>
    <w:rsid w:val="002259B4"/>
    <w:rsid w:val="00273B00"/>
    <w:rsid w:val="002A322D"/>
    <w:rsid w:val="002A5267"/>
    <w:rsid w:val="002C47A4"/>
    <w:rsid w:val="002D7C60"/>
    <w:rsid w:val="002F693C"/>
    <w:rsid w:val="003028C6"/>
    <w:rsid w:val="003125D0"/>
    <w:rsid w:val="00322751"/>
    <w:rsid w:val="003249B3"/>
    <w:rsid w:val="003319AA"/>
    <w:rsid w:val="003357A7"/>
    <w:rsid w:val="00361B6F"/>
    <w:rsid w:val="003646E8"/>
    <w:rsid w:val="00370A23"/>
    <w:rsid w:val="00390221"/>
    <w:rsid w:val="003B0152"/>
    <w:rsid w:val="003B195A"/>
    <w:rsid w:val="003C049B"/>
    <w:rsid w:val="003C12C0"/>
    <w:rsid w:val="003D62C2"/>
    <w:rsid w:val="003E086D"/>
    <w:rsid w:val="003F504C"/>
    <w:rsid w:val="00414E49"/>
    <w:rsid w:val="004167AC"/>
    <w:rsid w:val="004169DC"/>
    <w:rsid w:val="004477CA"/>
    <w:rsid w:val="004A0A2C"/>
    <w:rsid w:val="004A712E"/>
    <w:rsid w:val="004C5E00"/>
    <w:rsid w:val="004D051F"/>
    <w:rsid w:val="004D4866"/>
    <w:rsid w:val="004D5059"/>
    <w:rsid w:val="00503E22"/>
    <w:rsid w:val="00542F36"/>
    <w:rsid w:val="00552418"/>
    <w:rsid w:val="005628EE"/>
    <w:rsid w:val="00573B12"/>
    <w:rsid w:val="00591921"/>
    <w:rsid w:val="005D6F32"/>
    <w:rsid w:val="005E36FA"/>
    <w:rsid w:val="005F61D3"/>
    <w:rsid w:val="005F63F4"/>
    <w:rsid w:val="00606CB9"/>
    <w:rsid w:val="00611033"/>
    <w:rsid w:val="006174FF"/>
    <w:rsid w:val="00651E6A"/>
    <w:rsid w:val="00687672"/>
    <w:rsid w:val="006925C6"/>
    <w:rsid w:val="0069508D"/>
    <w:rsid w:val="00695932"/>
    <w:rsid w:val="006D0DAB"/>
    <w:rsid w:val="006E5B9A"/>
    <w:rsid w:val="00712936"/>
    <w:rsid w:val="00727EB9"/>
    <w:rsid w:val="007346AC"/>
    <w:rsid w:val="00742CE5"/>
    <w:rsid w:val="007519C2"/>
    <w:rsid w:val="00755521"/>
    <w:rsid w:val="0077263C"/>
    <w:rsid w:val="007A71E5"/>
    <w:rsid w:val="007B75B5"/>
    <w:rsid w:val="007F1299"/>
    <w:rsid w:val="00820256"/>
    <w:rsid w:val="00841A9D"/>
    <w:rsid w:val="0084419C"/>
    <w:rsid w:val="008754A4"/>
    <w:rsid w:val="00883E61"/>
    <w:rsid w:val="0088643B"/>
    <w:rsid w:val="008967D5"/>
    <w:rsid w:val="008A4F74"/>
    <w:rsid w:val="008B00BD"/>
    <w:rsid w:val="008C1946"/>
    <w:rsid w:val="008C1B57"/>
    <w:rsid w:val="008C7B61"/>
    <w:rsid w:val="008D327D"/>
    <w:rsid w:val="008D537D"/>
    <w:rsid w:val="008E0CD0"/>
    <w:rsid w:val="008E3C7A"/>
    <w:rsid w:val="008E6545"/>
    <w:rsid w:val="00903E42"/>
    <w:rsid w:val="00923E4A"/>
    <w:rsid w:val="0092761E"/>
    <w:rsid w:val="00927683"/>
    <w:rsid w:val="00932F6C"/>
    <w:rsid w:val="009354D2"/>
    <w:rsid w:val="009356CA"/>
    <w:rsid w:val="00947EA5"/>
    <w:rsid w:val="009508A5"/>
    <w:rsid w:val="00963A90"/>
    <w:rsid w:val="009A4B90"/>
    <w:rsid w:val="009A697A"/>
    <w:rsid w:val="009C1A19"/>
    <w:rsid w:val="009D3D87"/>
    <w:rsid w:val="009E7C7F"/>
    <w:rsid w:val="009F2116"/>
    <w:rsid w:val="00A0369F"/>
    <w:rsid w:val="00A03889"/>
    <w:rsid w:val="00A25E1F"/>
    <w:rsid w:val="00A42714"/>
    <w:rsid w:val="00A5199F"/>
    <w:rsid w:val="00A6103E"/>
    <w:rsid w:val="00A67551"/>
    <w:rsid w:val="00A71A91"/>
    <w:rsid w:val="00AA4F5E"/>
    <w:rsid w:val="00AB645A"/>
    <w:rsid w:val="00AD334E"/>
    <w:rsid w:val="00AE16DB"/>
    <w:rsid w:val="00AE44F3"/>
    <w:rsid w:val="00AE7337"/>
    <w:rsid w:val="00B03EA6"/>
    <w:rsid w:val="00B23FFF"/>
    <w:rsid w:val="00B40AEF"/>
    <w:rsid w:val="00B46BC4"/>
    <w:rsid w:val="00B47C65"/>
    <w:rsid w:val="00B5686E"/>
    <w:rsid w:val="00B76630"/>
    <w:rsid w:val="00B9075B"/>
    <w:rsid w:val="00B94EF9"/>
    <w:rsid w:val="00BA2260"/>
    <w:rsid w:val="00BC29F5"/>
    <w:rsid w:val="00BE201B"/>
    <w:rsid w:val="00C17FAB"/>
    <w:rsid w:val="00C3612F"/>
    <w:rsid w:val="00C41EA4"/>
    <w:rsid w:val="00C47DB8"/>
    <w:rsid w:val="00C6201C"/>
    <w:rsid w:val="00C64978"/>
    <w:rsid w:val="00C71002"/>
    <w:rsid w:val="00C71044"/>
    <w:rsid w:val="00C73566"/>
    <w:rsid w:val="00C86298"/>
    <w:rsid w:val="00C901D6"/>
    <w:rsid w:val="00C96E41"/>
    <w:rsid w:val="00CD53D9"/>
    <w:rsid w:val="00CE599C"/>
    <w:rsid w:val="00CF2990"/>
    <w:rsid w:val="00D14AB7"/>
    <w:rsid w:val="00D54769"/>
    <w:rsid w:val="00DA1DFB"/>
    <w:rsid w:val="00DA2F57"/>
    <w:rsid w:val="00DA3B00"/>
    <w:rsid w:val="00DA3D43"/>
    <w:rsid w:val="00DB44A9"/>
    <w:rsid w:val="00DB79D5"/>
    <w:rsid w:val="00DD573E"/>
    <w:rsid w:val="00E0737C"/>
    <w:rsid w:val="00E179F1"/>
    <w:rsid w:val="00E27861"/>
    <w:rsid w:val="00E52381"/>
    <w:rsid w:val="00E53870"/>
    <w:rsid w:val="00E60E5E"/>
    <w:rsid w:val="00E616C8"/>
    <w:rsid w:val="00E726CD"/>
    <w:rsid w:val="00E86141"/>
    <w:rsid w:val="00E8782B"/>
    <w:rsid w:val="00EA0A48"/>
    <w:rsid w:val="00EC05F7"/>
    <w:rsid w:val="00EC44E5"/>
    <w:rsid w:val="00EE52F9"/>
    <w:rsid w:val="00EF11D5"/>
    <w:rsid w:val="00F00744"/>
    <w:rsid w:val="00F10598"/>
    <w:rsid w:val="00F447AF"/>
    <w:rsid w:val="00F4492B"/>
    <w:rsid w:val="00F612AA"/>
    <w:rsid w:val="00F62980"/>
    <w:rsid w:val="00F66849"/>
    <w:rsid w:val="00F670AE"/>
    <w:rsid w:val="00F74FD3"/>
    <w:rsid w:val="00F83D91"/>
    <w:rsid w:val="00F86A85"/>
    <w:rsid w:val="00F93A9B"/>
    <w:rsid w:val="00FB6EBC"/>
    <w:rsid w:val="00FD75CE"/>
    <w:rsid w:val="00FD796C"/>
    <w:rsid w:val="00FE68F3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F296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B03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A6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199F"/>
    <w:pPr>
      <w:spacing w:before="100" w:beforeAutospacing="1" w:after="100" w:afterAutospacing="1"/>
    </w:pPr>
    <w:rPr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77263C"/>
    <w:rPr>
      <w:i/>
      <w:iCs/>
    </w:rPr>
  </w:style>
  <w:style w:type="paragraph" w:styleId="ListParagraph">
    <w:name w:val="List Paragraph"/>
    <w:basedOn w:val="Normal"/>
    <w:uiPriority w:val="34"/>
    <w:qFormat/>
    <w:rsid w:val="0004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3987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2021-02-24T01:43:00Z</dcterms:created>
  <dcterms:modified xsi:type="dcterms:W3CDTF">2021-02-24T01:43:00Z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1300606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