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8D2ED" w14:textId="77777777" w:rsidR="000F1449" w:rsidRDefault="000F1449" w:rsidP="000F1449">
      <w:pPr>
        <w:spacing w:before="120"/>
        <w:rPr>
          <w:rFonts w:ascii="Arial" w:hAnsi="Arial" w:cs="Arial"/>
        </w:rPr>
      </w:pPr>
      <w:bookmarkStart w:id="0" w:name="_Toc44738651"/>
      <w:r>
        <w:rPr>
          <w:rFonts w:ascii="Arial" w:hAnsi="Arial" w:cs="Arial"/>
        </w:rPr>
        <w:t>Australian Capital Territory</w:t>
      </w:r>
    </w:p>
    <w:p w14:paraId="2D30937C" w14:textId="3ABA8453" w:rsidR="000F1449" w:rsidRDefault="008F1147" w:rsidP="000F1449">
      <w:pPr>
        <w:pStyle w:val="Billname"/>
        <w:spacing w:before="700"/>
      </w:pPr>
      <w:r>
        <w:t>Liquor Amendment</w:t>
      </w:r>
      <w:r w:rsidR="000F1449">
        <w:t xml:space="preserve"> Regulation </w:t>
      </w:r>
      <w:r w:rsidR="000F1449" w:rsidRPr="00733FC1">
        <w:t>2021</w:t>
      </w:r>
      <w:r w:rsidR="00ED0ACF">
        <w:t xml:space="preserve"> (No 1)</w:t>
      </w:r>
    </w:p>
    <w:p w14:paraId="3B96B72A" w14:textId="3E66FEEB" w:rsidR="000F1449" w:rsidRDefault="000F1449" w:rsidP="000F1449">
      <w:pPr>
        <w:spacing w:before="340"/>
        <w:rPr>
          <w:rFonts w:ascii="Arial" w:hAnsi="Arial" w:cs="Arial"/>
          <w:b/>
          <w:bCs/>
        </w:rPr>
      </w:pPr>
      <w:r>
        <w:rPr>
          <w:rFonts w:ascii="Arial" w:hAnsi="Arial" w:cs="Arial"/>
          <w:b/>
          <w:bCs/>
        </w:rPr>
        <w:t xml:space="preserve">Subordinate law </w:t>
      </w:r>
      <w:r w:rsidRPr="00733FC1">
        <w:rPr>
          <w:rFonts w:ascii="Arial" w:hAnsi="Arial" w:cs="Arial"/>
          <w:b/>
          <w:bCs/>
        </w:rPr>
        <w:t>SL2021-</w:t>
      </w:r>
      <w:r w:rsidR="00AE08B7">
        <w:rPr>
          <w:rFonts w:ascii="Arial" w:hAnsi="Arial" w:cs="Arial"/>
          <w:b/>
          <w:bCs/>
        </w:rPr>
        <w:t>7</w:t>
      </w:r>
    </w:p>
    <w:p w14:paraId="1FFDAC2A" w14:textId="77777777" w:rsidR="000F1449" w:rsidRDefault="000F1449" w:rsidP="000F1449">
      <w:pPr>
        <w:pStyle w:val="madeunder"/>
        <w:spacing w:before="300" w:after="0"/>
      </w:pPr>
      <w:r>
        <w:t xml:space="preserve">made under the  </w:t>
      </w:r>
    </w:p>
    <w:p w14:paraId="61C27BEE" w14:textId="1B911EB5" w:rsidR="000F1449" w:rsidRDefault="008F1147" w:rsidP="000F1449">
      <w:pPr>
        <w:pStyle w:val="CoverActName"/>
        <w:spacing w:before="320" w:after="0"/>
        <w:rPr>
          <w:rFonts w:cs="Arial"/>
          <w:sz w:val="20"/>
        </w:rPr>
      </w:pPr>
      <w:r>
        <w:rPr>
          <w:rFonts w:cs="Arial"/>
          <w:i/>
          <w:iCs/>
          <w:sz w:val="20"/>
        </w:rPr>
        <w:t>Liquor</w:t>
      </w:r>
      <w:r w:rsidR="000F1449">
        <w:rPr>
          <w:rFonts w:cs="Arial"/>
          <w:i/>
          <w:iCs/>
          <w:sz w:val="20"/>
        </w:rPr>
        <w:t xml:space="preserve"> Act 20</w:t>
      </w:r>
      <w:r>
        <w:rPr>
          <w:rFonts w:cs="Arial"/>
          <w:i/>
          <w:iCs/>
          <w:sz w:val="20"/>
        </w:rPr>
        <w:t>10</w:t>
      </w:r>
      <w:r w:rsidR="000F1449">
        <w:rPr>
          <w:rFonts w:cs="Arial"/>
          <w:sz w:val="20"/>
        </w:rPr>
        <w:t xml:space="preserve"> </w:t>
      </w:r>
    </w:p>
    <w:p w14:paraId="7D194DE5" w14:textId="77777777" w:rsidR="000F1449" w:rsidRDefault="000F1449" w:rsidP="000F1449">
      <w:pPr>
        <w:spacing w:before="360"/>
        <w:ind w:right="565"/>
        <w:rPr>
          <w:rFonts w:ascii="Arial" w:hAnsi="Arial" w:cs="Arial"/>
          <w:b/>
          <w:bCs/>
          <w:sz w:val="28"/>
          <w:szCs w:val="28"/>
        </w:rPr>
      </w:pPr>
      <w:r>
        <w:rPr>
          <w:rFonts w:ascii="Arial" w:hAnsi="Arial" w:cs="Arial"/>
          <w:b/>
          <w:bCs/>
          <w:sz w:val="28"/>
          <w:szCs w:val="28"/>
        </w:rPr>
        <w:t>EXPLANATORY STATEMENT</w:t>
      </w:r>
    </w:p>
    <w:p w14:paraId="4ECE54BC" w14:textId="77777777" w:rsidR="000F1449" w:rsidRDefault="000F1449" w:rsidP="000F1449">
      <w:pPr>
        <w:pStyle w:val="N-line3"/>
        <w:pBdr>
          <w:bottom w:val="none" w:sz="0" w:space="0" w:color="auto"/>
        </w:pBdr>
      </w:pPr>
    </w:p>
    <w:p w14:paraId="5C958497" w14:textId="77777777" w:rsidR="000F1449" w:rsidRDefault="000F1449" w:rsidP="000F1449">
      <w:pPr>
        <w:pStyle w:val="N-line3"/>
        <w:pBdr>
          <w:top w:val="single" w:sz="12" w:space="1" w:color="auto"/>
          <w:bottom w:val="none" w:sz="0" w:space="0" w:color="auto"/>
        </w:pBdr>
      </w:pPr>
    </w:p>
    <w:p w14:paraId="37CA4EF6" w14:textId="1EBF143E" w:rsidR="000657FA" w:rsidRDefault="000657FA" w:rsidP="000F1449">
      <w:pPr>
        <w:rPr>
          <w:rFonts w:ascii="Arial" w:hAnsi="Arial" w:cs="Arial"/>
        </w:rPr>
      </w:pPr>
      <w:r w:rsidRPr="000657FA">
        <w:rPr>
          <w:rFonts w:ascii="Arial" w:hAnsi="Arial" w:cs="Arial"/>
        </w:rPr>
        <w:t xml:space="preserve">The </w:t>
      </w:r>
      <w:r w:rsidRPr="000657FA">
        <w:rPr>
          <w:rFonts w:ascii="Arial" w:hAnsi="Arial" w:cs="Arial"/>
          <w:i/>
          <w:iCs/>
        </w:rPr>
        <w:t>Liquor Act 2010</w:t>
      </w:r>
      <w:r>
        <w:rPr>
          <w:rFonts w:ascii="Arial" w:hAnsi="Arial" w:cs="Arial"/>
        </w:rPr>
        <w:t xml:space="preserve"> </w:t>
      </w:r>
      <w:r w:rsidRPr="000657FA">
        <w:rPr>
          <w:rFonts w:ascii="Arial" w:hAnsi="Arial" w:cs="Arial"/>
        </w:rPr>
        <w:t>(the Act) regulates the supply of liquor in the ACT.</w:t>
      </w:r>
      <w:r w:rsidR="00F974E3">
        <w:rPr>
          <w:rFonts w:ascii="Arial" w:hAnsi="Arial" w:cs="Arial"/>
        </w:rPr>
        <w:t xml:space="preserve"> </w:t>
      </w:r>
    </w:p>
    <w:p w14:paraId="650F7227" w14:textId="1C9B26F3" w:rsidR="003322BC" w:rsidRDefault="003322BC" w:rsidP="000F1449">
      <w:pPr>
        <w:rPr>
          <w:rFonts w:ascii="Arial" w:hAnsi="Arial" w:cs="Arial"/>
        </w:rPr>
      </w:pPr>
    </w:p>
    <w:p w14:paraId="0731F785" w14:textId="251073E4" w:rsidR="003322BC" w:rsidRDefault="003322BC" w:rsidP="000F1449">
      <w:pPr>
        <w:rPr>
          <w:rFonts w:ascii="Arial" w:hAnsi="Arial" w:cs="Arial"/>
        </w:rPr>
      </w:pPr>
      <w:r w:rsidRPr="003322BC">
        <w:rPr>
          <w:rFonts w:ascii="Arial" w:hAnsi="Arial" w:cs="Arial"/>
        </w:rPr>
        <w:t>Fees for liquor licences and permits are determined by the Minister under section 227 of the Act.  Fees determined by the Minister for each licence or permit category are listed in the Liquor (Fees) Determination 20</w:t>
      </w:r>
      <w:r>
        <w:rPr>
          <w:rFonts w:ascii="Arial" w:hAnsi="Arial" w:cs="Arial"/>
        </w:rPr>
        <w:t xml:space="preserve">20 (No 2) </w:t>
      </w:r>
      <w:r w:rsidRPr="003322BC">
        <w:rPr>
          <w:rFonts w:ascii="Arial" w:hAnsi="Arial" w:cs="Arial"/>
        </w:rPr>
        <w:t>[DI20</w:t>
      </w:r>
      <w:r>
        <w:rPr>
          <w:rFonts w:ascii="Arial" w:hAnsi="Arial" w:cs="Arial"/>
        </w:rPr>
        <w:t>20</w:t>
      </w:r>
      <w:r w:rsidRPr="003322BC">
        <w:rPr>
          <w:rFonts w:ascii="Arial" w:hAnsi="Arial" w:cs="Arial"/>
        </w:rPr>
        <w:t>-</w:t>
      </w:r>
      <w:r>
        <w:rPr>
          <w:rFonts w:ascii="Arial" w:hAnsi="Arial" w:cs="Arial"/>
        </w:rPr>
        <w:t>236</w:t>
      </w:r>
      <w:r w:rsidRPr="003322BC">
        <w:rPr>
          <w:rFonts w:ascii="Arial" w:hAnsi="Arial" w:cs="Arial"/>
        </w:rPr>
        <w:t>] (the Fees Determination).</w:t>
      </w:r>
    </w:p>
    <w:p w14:paraId="366E3670" w14:textId="77777777" w:rsidR="000657FA" w:rsidRDefault="000657FA" w:rsidP="000F1449">
      <w:pPr>
        <w:rPr>
          <w:rFonts w:ascii="Arial" w:hAnsi="Arial" w:cs="Arial"/>
        </w:rPr>
      </w:pPr>
    </w:p>
    <w:p w14:paraId="3A86F353" w14:textId="19135F9A" w:rsidR="000657FA" w:rsidRDefault="000657FA" w:rsidP="000F1449">
      <w:pPr>
        <w:rPr>
          <w:rFonts w:ascii="Arial" w:hAnsi="Arial" w:cs="Arial"/>
        </w:rPr>
      </w:pPr>
      <w:r w:rsidRPr="000657FA">
        <w:rPr>
          <w:rFonts w:ascii="Arial" w:hAnsi="Arial" w:cs="Arial"/>
        </w:rPr>
        <w:t xml:space="preserve">Section 229 of the Act provides that the Executive may make regulations for the Act. Section 229 (2) (d) of the Act provides that a regulation may make provision in relation to the circumstances in which the Commissioner for Fair Trading (the </w:t>
      </w:r>
      <w:r w:rsidR="00F650D9">
        <w:rPr>
          <w:rFonts w:ascii="Arial" w:hAnsi="Arial" w:cs="Arial"/>
        </w:rPr>
        <w:t>C</w:t>
      </w:r>
      <w:r w:rsidRPr="000657FA">
        <w:rPr>
          <w:rFonts w:ascii="Arial" w:hAnsi="Arial" w:cs="Arial"/>
        </w:rPr>
        <w:t>ommissioner) may waive or reduce fees.</w:t>
      </w:r>
      <w:r>
        <w:rPr>
          <w:rFonts w:ascii="Arial" w:hAnsi="Arial" w:cs="Arial"/>
        </w:rPr>
        <w:t xml:space="preserve"> </w:t>
      </w:r>
    </w:p>
    <w:p w14:paraId="151E82C3" w14:textId="77777777" w:rsidR="000657FA" w:rsidRDefault="000657FA" w:rsidP="000F1449">
      <w:pPr>
        <w:rPr>
          <w:rFonts w:ascii="Arial" w:hAnsi="Arial" w:cs="Arial"/>
        </w:rPr>
      </w:pPr>
    </w:p>
    <w:p w14:paraId="1455AA39" w14:textId="03F829D6" w:rsidR="000657FA" w:rsidRDefault="000657FA" w:rsidP="000F1449">
      <w:pPr>
        <w:rPr>
          <w:rFonts w:ascii="Arial" w:hAnsi="Arial" w:cs="Arial"/>
        </w:rPr>
      </w:pPr>
      <w:r w:rsidRPr="000657FA">
        <w:rPr>
          <w:rFonts w:ascii="Arial" w:hAnsi="Arial" w:cs="Arial"/>
        </w:rPr>
        <w:t xml:space="preserve">This explanatory statement relates to the </w:t>
      </w:r>
      <w:r>
        <w:rPr>
          <w:rFonts w:ascii="Arial" w:hAnsi="Arial" w:cs="Arial"/>
        </w:rPr>
        <w:t>Liquor</w:t>
      </w:r>
      <w:r w:rsidRPr="00F30D66">
        <w:rPr>
          <w:rFonts w:ascii="Arial" w:hAnsi="Arial" w:cs="Arial"/>
        </w:rPr>
        <w:t xml:space="preserve"> Amendment </w:t>
      </w:r>
      <w:r w:rsidRPr="00733FC1">
        <w:rPr>
          <w:rFonts w:ascii="Arial" w:hAnsi="Arial" w:cs="Arial"/>
        </w:rPr>
        <w:t>Regulation 2021</w:t>
      </w:r>
      <w:r>
        <w:rPr>
          <w:rFonts w:ascii="Arial" w:hAnsi="Arial" w:cs="Arial"/>
        </w:rPr>
        <w:t xml:space="preserve"> </w:t>
      </w:r>
      <w:r w:rsidR="00ED0ACF">
        <w:rPr>
          <w:rFonts w:ascii="Arial" w:hAnsi="Arial" w:cs="Arial"/>
        </w:rPr>
        <w:t xml:space="preserve">(No 1) </w:t>
      </w:r>
      <w:r w:rsidRPr="00733FC1">
        <w:rPr>
          <w:rFonts w:ascii="Arial" w:hAnsi="Arial" w:cs="Arial"/>
        </w:rPr>
        <w:t>(the Amendment Regulation)</w:t>
      </w:r>
      <w:r w:rsidRPr="000657FA">
        <w:rPr>
          <w:rFonts w:ascii="Arial" w:hAnsi="Arial" w:cs="Arial"/>
        </w:rPr>
        <w:t xml:space="preserve">. </w:t>
      </w:r>
      <w:r w:rsidRPr="008F1147">
        <w:rPr>
          <w:rFonts w:ascii="Arial" w:hAnsi="Arial" w:cs="Arial"/>
        </w:rPr>
        <w:t>It has been prepared to assis</w:t>
      </w:r>
      <w:r>
        <w:rPr>
          <w:rFonts w:ascii="Arial" w:hAnsi="Arial" w:cs="Arial"/>
        </w:rPr>
        <w:t>t</w:t>
      </w:r>
      <w:r w:rsidRPr="008F1147">
        <w:rPr>
          <w:rFonts w:ascii="Arial" w:hAnsi="Arial" w:cs="Arial"/>
        </w:rPr>
        <w:t xml:space="preserve"> the reader of the </w:t>
      </w:r>
      <w:r w:rsidR="003322BC">
        <w:rPr>
          <w:rFonts w:ascii="Arial" w:hAnsi="Arial" w:cs="Arial"/>
        </w:rPr>
        <w:t>Amendment R</w:t>
      </w:r>
      <w:r w:rsidRPr="008F1147">
        <w:rPr>
          <w:rFonts w:ascii="Arial" w:hAnsi="Arial" w:cs="Arial"/>
        </w:rPr>
        <w:t>egulation</w:t>
      </w:r>
      <w:r w:rsidR="003322BC">
        <w:rPr>
          <w:rFonts w:ascii="Arial" w:hAnsi="Arial" w:cs="Arial"/>
        </w:rPr>
        <w:t xml:space="preserve"> and does </w:t>
      </w:r>
      <w:r w:rsidRPr="008F1147">
        <w:rPr>
          <w:rFonts w:ascii="Arial" w:hAnsi="Arial" w:cs="Arial"/>
        </w:rPr>
        <w:t xml:space="preserve">not form part of the </w:t>
      </w:r>
      <w:r w:rsidR="003322BC">
        <w:rPr>
          <w:rFonts w:ascii="Arial" w:hAnsi="Arial" w:cs="Arial"/>
        </w:rPr>
        <w:t>Amendment R</w:t>
      </w:r>
      <w:r w:rsidRPr="008F1147">
        <w:rPr>
          <w:rFonts w:ascii="Arial" w:hAnsi="Arial" w:cs="Arial"/>
        </w:rPr>
        <w:t>egulation.</w:t>
      </w:r>
      <w:r>
        <w:rPr>
          <w:rFonts w:ascii="Arial" w:hAnsi="Arial" w:cs="Arial"/>
        </w:rPr>
        <w:t xml:space="preserve"> </w:t>
      </w:r>
      <w:r w:rsidRPr="008F1147">
        <w:rPr>
          <w:rFonts w:ascii="Arial" w:hAnsi="Arial" w:cs="Arial"/>
        </w:rPr>
        <w:t xml:space="preserve">This explanatory statement must be read in conjunction with the </w:t>
      </w:r>
      <w:r w:rsidR="003322BC">
        <w:rPr>
          <w:rFonts w:ascii="Arial" w:hAnsi="Arial" w:cs="Arial"/>
        </w:rPr>
        <w:t>Amendment R</w:t>
      </w:r>
      <w:r w:rsidRPr="008F1147">
        <w:rPr>
          <w:rFonts w:ascii="Arial" w:hAnsi="Arial" w:cs="Arial"/>
        </w:rPr>
        <w:t xml:space="preserve">egulation. It is not, and not intended to be, a comprehensive description of the </w:t>
      </w:r>
      <w:r w:rsidR="003322BC">
        <w:rPr>
          <w:rFonts w:ascii="Arial" w:hAnsi="Arial" w:cs="Arial"/>
        </w:rPr>
        <w:t>Amendment R</w:t>
      </w:r>
      <w:r w:rsidRPr="008F1147">
        <w:rPr>
          <w:rFonts w:ascii="Arial" w:hAnsi="Arial" w:cs="Arial"/>
        </w:rPr>
        <w:t xml:space="preserve">egulation. </w:t>
      </w:r>
    </w:p>
    <w:p w14:paraId="6269A379" w14:textId="1BB9A0E6" w:rsidR="00F75F34" w:rsidRDefault="00F75F34" w:rsidP="000F1449">
      <w:pPr>
        <w:rPr>
          <w:rFonts w:ascii="Arial" w:hAnsi="Arial" w:cs="Arial"/>
        </w:rPr>
      </w:pPr>
    </w:p>
    <w:p w14:paraId="3B5E47A9" w14:textId="397E3513" w:rsidR="00FA167C" w:rsidRPr="00FA167C" w:rsidRDefault="00FA167C" w:rsidP="000F1449">
      <w:pPr>
        <w:rPr>
          <w:rFonts w:ascii="Arial" w:hAnsi="Arial" w:cs="Arial"/>
          <w:b/>
          <w:bCs/>
        </w:rPr>
      </w:pPr>
      <w:r>
        <w:rPr>
          <w:rFonts w:ascii="Arial" w:hAnsi="Arial" w:cs="Arial"/>
          <w:b/>
          <w:bCs/>
        </w:rPr>
        <w:t>RETROSPECTIVE COMMENCEMENT</w:t>
      </w:r>
    </w:p>
    <w:p w14:paraId="289AB8F6" w14:textId="77777777" w:rsidR="00FA167C" w:rsidRDefault="00FA167C" w:rsidP="00F75F34">
      <w:pPr>
        <w:rPr>
          <w:rFonts w:ascii="Arial" w:hAnsi="Arial" w:cs="Arial"/>
        </w:rPr>
      </w:pPr>
    </w:p>
    <w:p w14:paraId="2C4375C6" w14:textId="5E73C24E" w:rsidR="00FA167C" w:rsidRDefault="00FA167C" w:rsidP="00F75F34">
      <w:pPr>
        <w:rPr>
          <w:rFonts w:ascii="Arial" w:hAnsi="Arial" w:cs="Arial"/>
        </w:rPr>
      </w:pPr>
      <w:r w:rsidRPr="00FA167C">
        <w:rPr>
          <w:rFonts w:ascii="Arial" w:hAnsi="Arial" w:cs="Arial"/>
        </w:rPr>
        <w:t xml:space="preserve">Section 76 of the </w:t>
      </w:r>
      <w:r w:rsidRPr="00105ECE">
        <w:rPr>
          <w:rFonts w:ascii="Arial" w:hAnsi="Arial" w:cs="Arial"/>
          <w:i/>
          <w:iCs/>
        </w:rPr>
        <w:t>Legislation Act 2001</w:t>
      </w:r>
      <w:r w:rsidRPr="00FA167C">
        <w:rPr>
          <w:rFonts w:ascii="Arial" w:hAnsi="Arial" w:cs="Arial"/>
        </w:rPr>
        <w:t xml:space="preserve"> </w:t>
      </w:r>
      <w:r w:rsidR="00105ECE">
        <w:rPr>
          <w:rFonts w:ascii="Arial" w:hAnsi="Arial" w:cs="Arial"/>
        </w:rPr>
        <w:t xml:space="preserve">(the Legislation Act) </w:t>
      </w:r>
      <w:r w:rsidRPr="00FA167C">
        <w:rPr>
          <w:rFonts w:ascii="Arial" w:hAnsi="Arial" w:cs="Arial"/>
        </w:rPr>
        <w:t xml:space="preserve">provides that non-prejudicial provisions may commence retrospectively. Section 76 (4) of the Legislation Act notes that a provision is “prejudicial” if it operates adverse to the rights of individuals or if it imposes liabilities on individuals. Section 76 (4) further provides that retrospectivity that is prejudicial to the Territory or to a territory authority or instrumentality is permitted. </w:t>
      </w:r>
    </w:p>
    <w:p w14:paraId="1E03DB2B" w14:textId="77777777" w:rsidR="00FA167C" w:rsidRDefault="00FA167C" w:rsidP="00F75F34">
      <w:pPr>
        <w:rPr>
          <w:rFonts w:ascii="Arial" w:hAnsi="Arial" w:cs="Arial"/>
        </w:rPr>
      </w:pPr>
    </w:p>
    <w:p w14:paraId="128D1C73" w14:textId="234D6F53" w:rsidR="00F75F34" w:rsidRDefault="00F75F34" w:rsidP="00F75F34">
      <w:pPr>
        <w:rPr>
          <w:szCs w:val="24"/>
        </w:rPr>
      </w:pPr>
      <w:r w:rsidRPr="00F30D66">
        <w:rPr>
          <w:rFonts w:ascii="Arial" w:hAnsi="Arial" w:cs="Arial"/>
        </w:rPr>
        <w:t xml:space="preserve">The </w:t>
      </w:r>
      <w:r w:rsidRPr="00733FC1">
        <w:rPr>
          <w:rFonts w:ascii="Arial" w:hAnsi="Arial" w:cs="Arial"/>
        </w:rPr>
        <w:t xml:space="preserve">Amendment Regulation </w:t>
      </w:r>
      <w:r>
        <w:rPr>
          <w:rFonts w:ascii="Arial" w:hAnsi="Arial" w:cs="Arial"/>
        </w:rPr>
        <w:t xml:space="preserve">is taken to have commenced on 1 April 2021 notwithstanding its notification date. This legislative instrument commences retrospectively on 1 April 2021 pursuant to section </w:t>
      </w:r>
      <w:r w:rsidRPr="00F75F34">
        <w:rPr>
          <w:rFonts w:ascii="Arial" w:hAnsi="Arial" w:cs="Arial"/>
        </w:rPr>
        <w:t xml:space="preserve">76 </w:t>
      </w:r>
      <w:r w:rsidRPr="00B503EF">
        <w:rPr>
          <w:rFonts w:ascii="Arial" w:hAnsi="Arial" w:cs="Arial"/>
          <w:szCs w:val="24"/>
        </w:rPr>
        <w:t xml:space="preserve">of the </w:t>
      </w:r>
      <w:r w:rsidRPr="00A00A8A">
        <w:rPr>
          <w:rFonts w:ascii="Arial" w:hAnsi="Arial" w:cs="Arial"/>
          <w:szCs w:val="24"/>
        </w:rPr>
        <w:t>Legislation Act</w:t>
      </w:r>
      <w:r w:rsidR="00105ECE">
        <w:rPr>
          <w:rFonts w:ascii="Arial" w:hAnsi="Arial" w:cs="Arial"/>
          <w:i/>
          <w:iCs/>
          <w:szCs w:val="24"/>
        </w:rPr>
        <w:t xml:space="preserve"> </w:t>
      </w:r>
      <w:r w:rsidR="00105ECE">
        <w:rPr>
          <w:rFonts w:ascii="Arial" w:hAnsi="Arial" w:cs="Arial"/>
          <w:szCs w:val="24"/>
        </w:rPr>
        <w:t>to give effect to</w:t>
      </w:r>
      <w:r>
        <w:rPr>
          <w:szCs w:val="24"/>
        </w:rPr>
        <w:t xml:space="preserve"> </w:t>
      </w:r>
      <w:r w:rsidRPr="00B503EF">
        <w:rPr>
          <w:rFonts w:ascii="Arial" w:hAnsi="Arial" w:cs="Arial"/>
        </w:rPr>
        <w:t>the Commissioner for Fair Trading</w:t>
      </w:r>
      <w:r>
        <w:rPr>
          <w:rFonts w:ascii="Arial" w:hAnsi="Arial" w:cs="Arial"/>
        </w:rPr>
        <w:t xml:space="preserve">’s declaration </w:t>
      </w:r>
      <w:r w:rsidR="00105ECE">
        <w:rPr>
          <w:rFonts w:ascii="Arial" w:hAnsi="Arial" w:cs="Arial"/>
        </w:rPr>
        <w:t xml:space="preserve">(also due to </w:t>
      </w:r>
      <w:r w:rsidR="00105ECE">
        <w:rPr>
          <w:rFonts w:ascii="Arial" w:hAnsi="Arial" w:cs="Arial"/>
        </w:rPr>
        <w:lastRenderedPageBreak/>
        <w:t xml:space="preserve">commence retrospectively from 1 April 2021) </w:t>
      </w:r>
      <w:r>
        <w:rPr>
          <w:rFonts w:ascii="Arial" w:hAnsi="Arial" w:cs="Arial"/>
        </w:rPr>
        <w:t xml:space="preserve">in relation to a </w:t>
      </w:r>
      <w:r w:rsidR="00BC35D1">
        <w:rPr>
          <w:rFonts w:ascii="Arial" w:hAnsi="Arial" w:cs="Arial"/>
        </w:rPr>
        <w:t xml:space="preserve">50% </w:t>
      </w:r>
      <w:r>
        <w:rPr>
          <w:rFonts w:ascii="Arial" w:hAnsi="Arial" w:cs="Arial"/>
        </w:rPr>
        <w:t xml:space="preserve">fee reduction of annual licence fees for certain liquor licence holders. </w:t>
      </w:r>
      <w:r>
        <w:rPr>
          <w:szCs w:val="24"/>
        </w:rPr>
        <w:t xml:space="preserve"> </w:t>
      </w:r>
    </w:p>
    <w:p w14:paraId="6CB48BFB" w14:textId="656B0B4D" w:rsidR="00930781" w:rsidRDefault="00930781" w:rsidP="00F75F34">
      <w:pPr>
        <w:rPr>
          <w:szCs w:val="24"/>
        </w:rPr>
      </w:pPr>
    </w:p>
    <w:p w14:paraId="569D7132" w14:textId="0BA68D32" w:rsidR="00930781" w:rsidRPr="00F75F34" w:rsidRDefault="00930781" w:rsidP="00F75F34">
      <w:pPr>
        <w:rPr>
          <w:rFonts w:ascii="Arial" w:hAnsi="Arial" w:cs="Arial"/>
        </w:rPr>
      </w:pPr>
      <w:r w:rsidRPr="00930781">
        <w:rPr>
          <w:rFonts w:ascii="Arial" w:hAnsi="Arial" w:cs="Arial"/>
        </w:rPr>
        <w:t>Th</w:t>
      </w:r>
      <w:r>
        <w:rPr>
          <w:rFonts w:ascii="Arial" w:hAnsi="Arial" w:cs="Arial"/>
        </w:rPr>
        <w:t>e</w:t>
      </w:r>
      <w:r w:rsidRPr="00930781">
        <w:rPr>
          <w:rFonts w:ascii="Arial" w:hAnsi="Arial" w:cs="Arial"/>
        </w:rPr>
        <w:t xml:space="preserve"> declaration </w:t>
      </w:r>
      <w:r>
        <w:rPr>
          <w:rFonts w:ascii="Arial" w:hAnsi="Arial" w:cs="Arial"/>
        </w:rPr>
        <w:t xml:space="preserve">by the Commissioner of Fair Trading will </w:t>
      </w:r>
      <w:r w:rsidR="006E3641">
        <w:rPr>
          <w:rFonts w:ascii="Arial" w:hAnsi="Arial" w:cs="Arial"/>
        </w:rPr>
        <w:t>provide fee waivers and fee reductions for eligible liquor</w:t>
      </w:r>
      <w:r>
        <w:rPr>
          <w:rFonts w:ascii="Arial" w:hAnsi="Arial" w:cs="Arial"/>
        </w:rPr>
        <w:t xml:space="preserve"> licensees in</w:t>
      </w:r>
      <w:r w:rsidR="006E3641">
        <w:rPr>
          <w:rFonts w:ascii="Arial" w:hAnsi="Arial" w:cs="Arial"/>
        </w:rPr>
        <w:t xml:space="preserve"> aid of</w:t>
      </w:r>
      <w:r w:rsidRPr="00930781">
        <w:rPr>
          <w:rFonts w:ascii="Arial" w:hAnsi="Arial" w:cs="Arial"/>
        </w:rPr>
        <w:t xml:space="preserve"> their business recovery and is justifiably non-prejudicial in accordance with section 76 of the Legislation Act.</w:t>
      </w:r>
      <w:r w:rsidR="00EE2CE9">
        <w:rPr>
          <w:rFonts w:ascii="Arial" w:hAnsi="Arial" w:cs="Arial"/>
        </w:rPr>
        <w:t xml:space="preserve"> It is a measure that is beneficial in nature to licensees. </w:t>
      </w:r>
    </w:p>
    <w:p w14:paraId="707D50AE" w14:textId="77777777" w:rsidR="00F75F34" w:rsidRDefault="00F75F34" w:rsidP="000F1449">
      <w:pPr>
        <w:rPr>
          <w:rFonts w:ascii="Arial" w:hAnsi="Arial" w:cs="Arial"/>
        </w:rPr>
      </w:pPr>
    </w:p>
    <w:p w14:paraId="68CB696D" w14:textId="77777777" w:rsidR="000657FA" w:rsidRDefault="000657FA" w:rsidP="000F1449">
      <w:pPr>
        <w:rPr>
          <w:rFonts w:ascii="Arial" w:hAnsi="Arial" w:cs="Arial"/>
        </w:rPr>
      </w:pPr>
    </w:p>
    <w:p w14:paraId="182AD8FD" w14:textId="62D76E18" w:rsidR="000657FA" w:rsidRPr="000657FA" w:rsidRDefault="000657FA" w:rsidP="000F1449">
      <w:pPr>
        <w:rPr>
          <w:rFonts w:ascii="Arial" w:hAnsi="Arial" w:cs="Arial"/>
          <w:b/>
          <w:bCs/>
        </w:rPr>
      </w:pPr>
      <w:r w:rsidRPr="000657FA">
        <w:rPr>
          <w:rFonts w:ascii="Arial" w:hAnsi="Arial" w:cs="Arial"/>
          <w:b/>
          <w:bCs/>
        </w:rPr>
        <w:t>PURPOSE OF THE REGULATION</w:t>
      </w:r>
    </w:p>
    <w:p w14:paraId="77BAA6D6" w14:textId="77777777" w:rsidR="000657FA" w:rsidRDefault="000657FA" w:rsidP="000F1449">
      <w:pPr>
        <w:rPr>
          <w:rFonts w:ascii="Arial" w:hAnsi="Arial" w:cs="Arial"/>
        </w:rPr>
      </w:pPr>
    </w:p>
    <w:p w14:paraId="2CBF9E39" w14:textId="4A89175B" w:rsidR="000F1449" w:rsidRDefault="000F1449" w:rsidP="000F1449">
      <w:pPr>
        <w:rPr>
          <w:rFonts w:ascii="Arial" w:hAnsi="Arial" w:cs="Arial"/>
        </w:rPr>
      </w:pPr>
      <w:r w:rsidRPr="00F30D66">
        <w:rPr>
          <w:rFonts w:ascii="Arial" w:hAnsi="Arial" w:cs="Arial"/>
        </w:rPr>
        <w:t xml:space="preserve">The </w:t>
      </w:r>
      <w:r w:rsidRPr="00733FC1">
        <w:rPr>
          <w:rFonts w:ascii="Arial" w:hAnsi="Arial" w:cs="Arial"/>
        </w:rPr>
        <w:t xml:space="preserve">Amendment Regulation </w:t>
      </w:r>
      <w:r w:rsidR="00520CDF">
        <w:rPr>
          <w:rFonts w:ascii="Arial" w:hAnsi="Arial" w:cs="Arial"/>
        </w:rPr>
        <w:t>makes</w:t>
      </w:r>
      <w:r w:rsidR="003322BC">
        <w:rPr>
          <w:rFonts w:ascii="Arial" w:hAnsi="Arial" w:cs="Arial"/>
        </w:rPr>
        <w:t xml:space="preserve"> a minor amendment to section 35 of the Liquor </w:t>
      </w:r>
      <w:r w:rsidRPr="00733FC1">
        <w:rPr>
          <w:rFonts w:ascii="Arial" w:hAnsi="Arial" w:cs="Arial"/>
        </w:rPr>
        <w:t>Regulation</w:t>
      </w:r>
      <w:r w:rsidR="003322BC">
        <w:rPr>
          <w:rFonts w:ascii="Arial" w:hAnsi="Arial" w:cs="Arial"/>
        </w:rPr>
        <w:t xml:space="preserve"> 2010 (the Regulation)</w:t>
      </w:r>
      <w:r w:rsidR="000657FA">
        <w:rPr>
          <w:rFonts w:ascii="Arial" w:hAnsi="Arial" w:cs="Arial"/>
        </w:rPr>
        <w:t xml:space="preserve">. The </w:t>
      </w:r>
      <w:r w:rsidR="00520CDF">
        <w:rPr>
          <w:rFonts w:ascii="Arial" w:hAnsi="Arial" w:cs="Arial"/>
        </w:rPr>
        <w:t>amendment</w:t>
      </w:r>
      <w:r w:rsidR="000657FA">
        <w:rPr>
          <w:rFonts w:ascii="Arial" w:hAnsi="Arial" w:cs="Arial"/>
        </w:rPr>
        <w:t xml:space="preserve"> allow</w:t>
      </w:r>
      <w:r w:rsidR="00520CDF">
        <w:rPr>
          <w:rFonts w:ascii="Arial" w:hAnsi="Arial" w:cs="Arial"/>
        </w:rPr>
        <w:t>s</w:t>
      </w:r>
      <w:r w:rsidR="000657FA">
        <w:rPr>
          <w:rFonts w:ascii="Arial" w:hAnsi="Arial" w:cs="Arial"/>
        </w:rPr>
        <w:t xml:space="preserve"> the Commissioner for Fair Trading to make declarations to reduce a fee payable in relation to a licence or permit, in addition to a complete fee waiver. Section 35 of the Regulation confers this ability to the Commissioner for Fair Trading under the circumstances prescribed. </w:t>
      </w:r>
    </w:p>
    <w:p w14:paraId="679CCD66" w14:textId="0580B526" w:rsidR="000657FA" w:rsidRDefault="000657FA" w:rsidP="000F1449">
      <w:pPr>
        <w:rPr>
          <w:rFonts w:ascii="Arial" w:hAnsi="Arial" w:cs="Arial"/>
        </w:rPr>
      </w:pPr>
    </w:p>
    <w:p w14:paraId="35B22648" w14:textId="271EDE3A" w:rsidR="000657FA" w:rsidRDefault="003322BC" w:rsidP="000F1449">
      <w:pPr>
        <w:rPr>
          <w:rFonts w:ascii="Arial" w:hAnsi="Arial" w:cs="Arial"/>
        </w:rPr>
      </w:pPr>
      <w:r>
        <w:rPr>
          <w:rFonts w:ascii="Arial" w:hAnsi="Arial" w:cs="Arial"/>
        </w:rPr>
        <w:t xml:space="preserve">Section 35 of the Regulation was first inserted by the </w:t>
      </w:r>
      <w:r w:rsidRPr="003322BC">
        <w:rPr>
          <w:rFonts w:ascii="Arial" w:hAnsi="Arial" w:cs="Arial"/>
        </w:rPr>
        <w:t>Liquor Amendment Regulation 2020 (No 1)</w:t>
      </w:r>
      <w:r w:rsidR="00F650D9">
        <w:rPr>
          <w:rFonts w:ascii="Arial" w:hAnsi="Arial" w:cs="Arial"/>
        </w:rPr>
        <w:t xml:space="preserve"> </w:t>
      </w:r>
      <w:r w:rsidR="003C34B8">
        <w:rPr>
          <w:rFonts w:ascii="Arial" w:hAnsi="Arial" w:cs="Arial"/>
        </w:rPr>
        <w:t xml:space="preserve">in April 2020 </w:t>
      </w:r>
      <w:r w:rsidR="00F650D9">
        <w:rPr>
          <w:rFonts w:ascii="Arial" w:hAnsi="Arial" w:cs="Arial"/>
        </w:rPr>
        <w:t xml:space="preserve">to mitigate the impacts of </w:t>
      </w:r>
      <w:r w:rsidR="00F650D9" w:rsidRPr="00F650D9">
        <w:rPr>
          <w:rFonts w:ascii="Arial" w:hAnsi="Arial" w:cs="Arial"/>
        </w:rPr>
        <w:t>the Novel Coronavirus 2019 (C</w:t>
      </w:r>
      <w:r w:rsidR="00F650D9">
        <w:rPr>
          <w:rFonts w:ascii="Arial" w:hAnsi="Arial" w:cs="Arial"/>
        </w:rPr>
        <w:t>OVID-19</w:t>
      </w:r>
      <w:r w:rsidR="00F650D9" w:rsidRPr="00F650D9">
        <w:rPr>
          <w:rFonts w:ascii="Arial" w:hAnsi="Arial" w:cs="Arial"/>
        </w:rPr>
        <w:t>)</w:t>
      </w:r>
      <w:r w:rsidR="00F650D9">
        <w:rPr>
          <w:rFonts w:ascii="Arial" w:hAnsi="Arial" w:cs="Arial"/>
        </w:rPr>
        <w:t xml:space="preserve"> on businesses in the Australian Capital Territory</w:t>
      </w:r>
      <w:r w:rsidR="00A971B2">
        <w:rPr>
          <w:rFonts w:ascii="Arial" w:hAnsi="Arial" w:cs="Arial"/>
        </w:rPr>
        <w:t xml:space="preserve"> (ACT)</w:t>
      </w:r>
      <w:r w:rsidR="00F650D9">
        <w:rPr>
          <w:rFonts w:ascii="Arial" w:hAnsi="Arial" w:cs="Arial"/>
        </w:rPr>
        <w:t>. The insertion of section 35 of the Regulation as a COVID-19 response measure enabled the Commissioner to make declarations to waive liquor licensing fees otherwise payable</w:t>
      </w:r>
      <w:r w:rsidR="000730E2">
        <w:rPr>
          <w:rFonts w:ascii="Arial" w:hAnsi="Arial" w:cs="Arial"/>
        </w:rPr>
        <w:t xml:space="preserve">, for example, the Liquor (COVID-19 Emergency Response – Licence Fee Waiver) Declaration 2021 (No 1) [DI2021-23]. </w:t>
      </w:r>
      <w:r w:rsidR="00F650D9">
        <w:rPr>
          <w:rFonts w:ascii="Arial" w:hAnsi="Arial" w:cs="Arial"/>
        </w:rPr>
        <w:t xml:space="preserve"> </w:t>
      </w:r>
    </w:p>
    <w:p w14:paraId="64B83CC3" w14:textId="77777777" w:rsidR="003322BC" w:rsidRDefault="003322BC" w:rsidP="000F1449">
      <w:pPr>
        <w:rPr>
          <w:rFonts w:ascii="Arial" w:hAnsi="Arial" w:cs="Arial"/>
        </w:rPr>
      </w:pPr>
    </w:p>
    <w:p w14:paraId="4744E83C" w14:textId="77777777" w:rsidR="003C34B8" w:rsidRDefault="00A971B2" w:rsidP="000F1449">
      <w:pPr>
        <w:rPr>
          <w:rFonts w:ascii="Arial" w:hAnsi="Arial" w:cs="Arial"/>
        </w:rPr>
      </w:pPr>
      <w:r>
        <w:rPr>
          <w:rFonts w:ascii="Arial" w:hAnsi="Arial" w:cs="Arial"/>
        </w:rPr>
        <w:t>To support the ACT’s economic recovery as COVID-19 public health restrictions start to ease, the Amendment Regulation will now also provide the Commissioner the ability to reduce fees</w:t>
      </w:r>
      <w:r w:rsidR="003C34B8">
        <w:rPr>
          <w:rFonts w:ascii="Arial" w:hAnsi="Arial" w:cs="Arial"/>
        </w:rPr>
        <w:t xml:space="preserve"> if:</w:t>
      </w:r>
    </w:p>
    <w:p w14:paraId="0FC6096C" w14:textId="77777777" w:rsidR="003C34B8" w:rsidRDefault="003C34B8" w:rsidP="003C34B8">
      <w:pPr>
        <w:pStyle w:val="ListParagraph"/>
        <w:numPr>
          <w:ilvl w:val="0"/>
          <w:numId w:val="1"/>
        </w:numPr>
        <w:rPr>
          <w:rFonts w:ascii="Arial" w:hAnsi="Arial" w:cs="Arial"/>
        </w:rPr>
      </w:pPr>
      <w:r>
        <w:rPr>
          <w:rFonts w:ascii="Arial" w:hAnsi="Arial" w:cs="Arial"/>
        </w:rPr>
        <w:t xml:space="preserve">The fee is payable during a COVID-19 emergency; or </w:t>
      </w:r>
    </w:p>
    <w:p w14:paraId="71DFFD9A" w14:textId="77777777" w:rsidR="003C34B8" w:rsidRDefault="003C34B8" w:rsidP="003C34B8">
      <w:pPr>
        <w:pStyle w:val="ListParagraph"/>
        <w:numPr>
          <w:ilvl w:val="0"/>
          <w:numId w:val="1"/>
        </w:numPr>
        <w:rPr>
          <w:rFonts w:ascii="Arial" w:hAnsi="Arial" w:cs="Arial"/>
        </w:rPr>
      </w:pPr>
      <w:r>
        <w:rPr>
          <w:rFonts w:ascii="Arial" w:hAnsi="Arial" w:cs="Arial"/>
        </w:rPr>
        <w:t xml:space="preserve">The 12 months following a COVID-19 emergency; and </w:t>
      </w:r>
    </w:p>
    <w:p w14:paraId="4E25BA70" w14:textId="674F8D96" w:rsidR="000F1449" w:rsidRPr="003C34B8" w:rsidRDefault="003C34B8" w:rsidP="003C34B8">
      <w:pPr>
        <w:pStyle w:val="ListParagraph"/>
        <w:numPr>
          <w:ilvl w:val="0"/>
          <w:numId w:val="1"/>
        </w:numPr>
        <w:rPr>
          <w:rFonts w:ascii="Arial" w:hAnsi="Arial" w:cs="Arial"/>
        </w:rPr>
      </w:pPr>
      <w:r>
        <w:rPr>
          <w:rFonts w:ascii="Arial" w:hAnsi="Arial" w:cs="Arial"/>
        </w:rPr>
        <w:t xml:space="preserve">The Commissioner considers the fee reduction is appropriate </w:t>
      </w:r>
      <w:r w:rsidRPr="003C34B8">
        <w:rPr>
          <w:rFonts w:ascii="Arial" w:hAnsi="Arial" w:cs="Arial"/>
        </w:rPr>
        <w:t xml:space="preserve">because of the financial impact of </w:t>
      </w:r>
      <w:r>
        <w:rPr>
          <w:rFonts w:ascii="Arial" w:hAnsi="Arial" w:cs="Arial"/>
        </w:rPr>
        <w:t>t</w:t>
      </w:r>
      <w:r w:rsidRPr="003C34B8">
        <w:rPr>
          <w:rFonts w:ascii="Arial" w:hAnsi="Arial" w:cs="Arial"/>
        </w:rPr>
        <w:t>he COVID-19 emergency</w:t>
      </w:r>
      <w:r>
        <w:rPr>
          <w:rFonts w:ascii="Arial" w:hAnsi="Arial" w:cs="Arial"/>
        </w:rPr>
        <w:t xml:space="preserve"> </w:t>
      </w:r>
      <w:r w:rsidRPr="003C34B8">
        <w:rPr>
          <w:rFonts w:ascii="Arial" w:hAnsi="Arial" w:cs="Arial"/>
        </w:rPr>
        <w:t>on the business carried on under the licence or permit</w:t>
      </w:r>
      <w:r>
        <w:rPr>
          <w:rFonts w:ascii="Arial" w:hAnsi="Arial" w:cs="Arial"/>
        </w:rPr>
        <w:t xml:space="preserve">. </w:t>
      </w:r>
    </w:p>
    <w:p w14:paraId="6E642EB5" w14:textId="77777777" w:rsidR="000F1449" w:rsidRDefault="000F1449" w:rsidP="000F1449">
      <w:pPr>
        <w:rPr>
          <w:rFonts w:ascii="Arial" w:hAnsi="Arial" w:cs="Arial"/>
        </w:rPr>
      </w:pPr>
    </w:p>
    <w:p w14:paraId="1460C46D" w14:textId="77777777" w:rsidR="000F1449" w:rsidRPr="00F30D66" w:rsidRDefault="000F1449" w:rsidP="000F1449">
      <w:pPr>
        <w:rPr>
          <w:rFonts w:ascii="Arial" w:hAnsi="Arial" w:cs="Arial"/>
        </w:rPr>
      </w:pPr>
      <w:r>
        <w:rPr>
          <w:rFonts w:ascii="Arial" w:hAnsi="Arial" w:cs="Arial"/>
        </w:rPr>
        <w:t xml:space="preserve">The Amendment Regulation will commence on the day after its notification on the Legislation Register. </w:t>
      </w:r>
      <w:bookmarkEnd w:id="0"/>
    </w:p>
    <w:p w14:paraId="5F5C4803" w14:textId="77777777" w:rsidR="000F1449" w:rsidRPr="00F30D66" w:rsidRDefault="000F1449" w:rsidP="000F1449">
      <w:pPr>
        <w:rPr>
          <w:rFonts w:ascii="Arial" w:hAnsi="Arial" w:cs="Arial"/>
          <w:szCs w:val="24"/>
        </w:rPr>
      </w:pPr>
    </w:p>
    <w:p w14:paraId="724380B1" w14:textId="73DFF59F" w:rsidR="000F1449" w:rsidRPr="00F30D66" w:rsidRDefault="00AE1A96" w:rsidP="00AE1A96">
      <w:pPr>
        <w:rPr>
          <w:rFonts w:ascii="Arial" w:hAnsi="Arial" w:cs="Arial"/>
          <w:b/>
          <w:bCs/>
          <w:sz w:val="28"/>
          <w:szCs w:val="28"/>
        </w:rPr>
      </w:pPr>
      <w:r w:rsidRPr="00AE1A96">
        <w:rPr>
          <w:rFonts w:ascii="Arial" w:hAnsi="Arial" w:cs="Arial"/>
          <w:b/>
          <w:bCs/>
        </w:rPr>
        <w:t xml:space="preserve">HUMAN RIGHTS COMPATIBILITY </w:t>
      </w:r>
    </w:p>
    <w:p w14:paraId="52D283F4" w14:textId="77777777" w:rsidR="000F1449" w:rsidRDefault="000F1449" w:rsidP="000F1449">
      <w:pPr>
        <w:rPr>
          <w:rFonts w:ascii="Arial" w:hAnsi="Arial" w:cs="Arial"/>
        </w:rPr>
      </w:pPr>
    </w:p>
    <w:p w14:paraId="0D6B831C" w14:textId="5F52E616" w:rsidR="000F1449" w:rsidRDefault="000F1449" w:rsidP="00740A71">
      <w:pPr>
        <w:rPr>
          <w:rFonts w:ascii="Arial" w:hAnsi="Arial" w:cs="Arial"/>
        </w:rPr>
      </w:pPr>
      <w:r>
        <w:rPr>
          <w:rFonts w:ascii="Arial" w:hAnsi="Arial" w:cs="Arial"/>
        </w:rPr>
        <w:t>This Amendment Regulation</w:t>
      </w:r>
      <w:r w:rsidR="00740A71">
        <w:rPr>
          <w:rFonts w:ascii="Arial" w:hAnsi="Arial" w:cs="Arial"/>
        </w:rPr>
        <w:t xml:space="preserve"> does not engage human rights </w:t>
      </w:r>
      <w:r w:rsidR="00740A71" w:rsidRPr="00F60AAF">
        <w:rPr>
          <w:rFonts w:ascii="Arial" w:hAnsi="Arial" w:cs="Arial"/>
        </w:rPr>
        <w:t xml:space="preserve">set out in the </w:t>
      </w:r>
      <w:r w:rsidR="00740A71" w:rsidRPr="00F60AAF">
        <w:rPr>
          <w:rFonts w:ascii="Arial" w:hAnsi="Arial" w:cs="Arial"/>
          <w:i/>
          <w:iCs/>
        </w:rPr>
        <w:t>Human Rights Act 2004</w:t>
      </w:r>
      <w:r w:rsidR="00740A71" w:rsidRPr="00F60AAF">
        <w:rPr>
          <w:rFonts w:ascii="Arial" w:hAnsi="Arial" w:cs="Arial"/>
        </w:rPr>
        <w:t>.</w:t>
      </w:r>
    </w:p>
    <w:p w14:paraId="709186C3" w14:textId="77777777" w:rsidR="000F1449" w:rsidRPr="00F30D66" w:rsidRDefault="000F1449" w:rsidP="000F1449">
      <w:pPr>
        <w:rPr>
          <w:rFonts w:ascii="Arial" w:hAnsi="Arial" w:cs="Arial"/>
        </w:rPr>
      </w:pPr>
    </w:p>
    <w:p w14:paraId="19EBD806" w14:textId="0BA2C4A8" w:rsidR="000F1449" w:rsidRPr="00AE1A96" w:rsidRDefault="00AE1A96" w:rsidP="00AE1A96">
      <w:pPr>
        <w:rPr>
          <w:rFonts w:ascii="Arial" w:hAnsi="Arial" w:cs="Arial"/>
          <w:b/>
          <w:bCs/>
        </w:rPr>
      </w:pPr>
      <w:r w:rsidRPr="00AE1A96">
        <w:rPr>
          <w:rFonts w:ascii="Arial" w:hAnsi="Arial" w:cs="Arial"/>
          <w:b/>
          <w:bCs/>
        </w:rPr>
        <w:t>CLAUSE NOTES</w:t>
      </w:r>
    </w:p>
    <w:p w14:paraId="07CB0CB7" w14:textId="77777777" w:rsidR="000F1449" w:rsidRPr="00F30D66" w:rsidRDefault="000F1449" w:rsidP="000F1449">
      <w:pPr>
        <w:spacing w:after="120"/>
        <w:rPr>
          <w:rFonts w:ascii="Arial" w:hAnsi="Arial" w:cs="Arial"/>
          <w:b/>
          <w:bCs/>
          <w:sz w:val="28"/>
          <w:szCs w:val="28"/>
        </w:rPr>
      </w:pPr>
    </w:p>
    <w:p w14:paraId="13B3743E" w14:textId="77777777" w:rsidR="000F1449" w:rsidRPr="00C27577" w:rsidRDefault="000F1449" w:rsidP="000F1449">
      <w:pPr>
        <w:spacing w:after="120"/>
        <w:rPr>
          <w:rFonts w:ascii="Arial" w:hAnsi="Arial" w:cs="Arial"/>
          <w:b/>
          <w:bCs/>
        </w:rPr>
      </w:pPr>
      <w:r w:rsidRPr="00C27577">
        <w:rPr>
          <w:rFonts w:ascii="Arial" w:hAnsi="Arial" w:cs="Arial"/>
          <w:b/>
          <w:bCs/>
        </w:rPr>
        <w:t>Clause 1</w:t>
      </w:r>
      <w:r w:rsidRPr="00C27577">
        <w:rPr>
          <w:rFonts w:ascii="Arial" w:hAnsi="Arial" w:cs="Arial"/>
          <w:b/>
          <w:bCs/>
        </w:rPr>
        <w:tab/>
      </w:r>
      <w:r w:rsidRPr="00C27577">
        <w:rPr>
          <w:rFonts w:ascii="Arial" w:hAnsi="Arial" w:cs="Arial"/>
          <w:b/>
          <w:bCs/>
        </w:rPr>
        <w:tab/>
        <w:t>Name of regulation</w:t>
      </w:r>
    </w:p>
    <w:p w14:paraId="667F24FF" w14:textId="279F974D" w:rsidR="000F1449" w:rsidRPr="00C27577" w:rsidRDefault="000F1449" w:rsidP="000F1449">
      <w:pPr>
        <w:rPr>
          <w:rFonts w:ascii="Arial" w:hAnsi="Arial" w:cs="Arial"/>
          <w:i/>
          <w:iCs/>
        </w:rPr>
      </w:pPr>
      <w:r w:rsidRPr="00C27577">
        <w:rPr>
          <w:rFonts w:ascii="Arial" w:hAnsi="Arial" w:cs="Arial"/>
        </w:rPr>
        <w:t xml:space="preserve">This clause provides that the Amendment Regulation may be cited as the </w:t>
      </w:r>
      <w:r w:rsidR="000D68CB">
        <w:rPr>
          <w:rFonts w:ascii="Arial" w:hAnsi="Arial" w:cs="Arial"/>
        </w:rPr>
        <w:t>Liquor</w:t>
      </w:r>
      <w:r w:rsidRPr="00D368CE">
        <w:rPr>
          <w:rFonts w:ascii="Arial" w:hAnsi="Arial" w:cs="Arial"/>
        </w:rPr>
        <w:t xml:space="preserve"> Amendment Regulation 2021</w:t>
      </w:r>
      <w:r w:rsidR="00F72EB5">
        <w:rPr>
          <w:rFonts w:ascii="Arial" w:hAnsi="Arial" w:cs="Arial"/>
        </w:rPr>
        <w:t xml:space="preserve"> </w:t>
      </w:r>
      <w:r w:rsidR="00F72EB5" w:rsidRPr="00ED0ACF">
        <w:rPr>
          <w:rFonts w:ascii="Arial" w:hAnsi="Arial" w:cs="Arial"/>
        </w:rPr>
        <w:t>(No 1)</w:t>
      </w:r>
      <w:r w:rsidRPr="00ED0ACF">
        <w:rPr>
          <w:rFonts w:ascii="Arial" w:hAnsi="Arial" w:cs="Arial"/>
          <w:i/>
          <w:iCs/>
        </w:rPr>
        <w:t>.</w:t>
      </w:r>
    </w:p>
    <w:p w14:paraId="36BB2680" w14:textId="77777777" w:rsidR="000F1449" w:rsidRPr="00C27577" w:rsidRDefault="000F1449" w:rsidP="000F1449">
      <w:pPr>
        <w:rPr>
          <w:rFonts w:ascii="Arial" w:hAnsi="Arial" w:cs="Arial"/>
        </w:rPr>
      </w:pPr>
    </w:p>
    <w:p w14:paraId="44C0CA80" w14:textId="77777777" w:rsidR="000F1449" w:rsidRPr="00C27577" w:rsidRDefault="000F1449" w:rsidP="000F1449">
      <w:pPr>
        <w:spacing w:after="120"/>
        <w:rPr>
          <w:rFonts w:ascii="Arial" w:hAnsi="Arial" w:cs="Arial"/>
          <w:b/>
          <w:bCs/>
        </w:rPr>
      </w:pPr>
      <w:r w:rsidRPr="00C27577">
        <w:rPr>
          <w:rFonts w:ascii="Arial" w:hAnsi="Arial" w:cs="Arial"/>
          <w:b/>
          <w:bCs/>
        </w:rPr>
        <w:t>Clause 2</w:t>
      </w:r>
      <w:r w:rsidRPr="00C27577">
        <w:rPr>
          <w:rFonts w:ascii="Arial" w:hAnsi="Arial" w:cs="Arial"/>
          <w:b/>
          <w:bCs/>
        </w:rPr>
        <w:tab/>
      </w:r>
      <w:r w:rsidRPr="00C27577">
        <w:rPr>
          <w:rFonts w:ascii="Arial" w:hAnsi="Arial" w:cs="Arial"/>
          <w:b/>
          <w:bCs/>
        </w:rPr>
        <w:tab/>
        <w:t>Commencement</w:t>
      </w:r>
    </w:p>
    <w:p w14:paraId="33256DB6" w14:textId="2137F3F4" w:rsidR="000F1449" w:rsidRPr="00C27577" w:rsidRDefault="000F1449" w:rsidP="000F1449">
      <w:pPr>
        <w:rPr>
          <w:rFonts w:ascii="Arial" w:hAnsi="Arial" w:cs="Arial"/>
        </w:rPr>
      </w:pPr>
      <w:r w:rsidRPr="00C27577">
        <w:rPr>
          <w:rFonts w:ascii="Arial" w:hAnsi="Arial" w:cs="Arial"/>
        </w:rPr>
        <w:t xml:space="preserve">This clause provides </w:t>
      </w:r>
      <w:r>
        <w:rPr>
          <w:rFonts w:ascii="Arial" w:hAnsi="Arial" w:cs="Arial"/>
        </w:rPr>
        <w:t>that t</w:t>
      </w:r>
      <w:r w:rsidRPr="00C27577">
        <w:rPr>
          <w:rFonts w:ascii="Arial" w:hAnsi="Arial" w:cs="Arial"/>
        </w:rPr>
        <w:t xml:space="preserve">he Amendment Regulation </w:t>
      </w:r>
      <w:r w:rsidR="001B04DD">
        <w:rPr>
          <w:rFonts w:ascii="Arial" w:hAnsi="Arial" w:cs="Arial"/>
        </w:rPr>
        <w:t xml:space="preserve">is taken to have commenced </w:t>
      </w:r>
      <w:r>
        <w:rPr>
          <w:rFonts w:ascii="Arial" w:hAnsi="Arial" w:cs="Arial"/>
        </w:rPr>
        <w:t xml:space="preserve">on </w:t>
      </w:r>
      <w:r w:rsidR="001B04DD">
        <w:rPr>
          <w:rFonts w:ascii="Arial" w:hAnsi="Arial" w:cs="Arial"/>
        </w:rPr>
        <w:t>1 April 2021. Th</w:t>
      </w:r>
      <w:r w:rsidR="00EF7530">
        <w:rPr>
          <w:rFonts w:ascii="Arial" w:hAnsi="Arial" w:cs="Arial"/>
        </w:rPr>
        <w:t>is provision is non-prejudicial, and the Amendment Regulation commences retrospectively pursuant to</w:t>
      </w:r>
      <w:r w:rsidR="001B04DD">
        <w:rPr>
          <w:rFonts w:ascii="Arial" w:hAnsi="Arial" w:cs="Arial"/>
        </w:rPr>
        <w:t xml:space="preserve"> section 76 of the Legislation Act.</w:t>
      </w:r>
      <w:r w:rsidR="00EF7530">
        <w:rPr>
          <w:rFonts w:ascii="Arial" w:hAnsi="Arial" w:cs="Arial"/>
        </w:rPr>
        <w:t xml:space="preserve">  </w:t>
      </w:r>
    </w:p>
    <w:p w14:paraId="3DEEB775" w14:textId="77777777" w:rsidR="000F1449" w:rsidRPr="00C27577" w:rsidRDefault="000F1449" w:rsidP="000F1449">
      <w:pPr>
        <w:rPr>
          <w:rFonts w:ascii="Arial" w:hAnsi="Arial" w:cs="Arial"/>
        </w:rPr>
      </w:pPr>
    </w:p>
    <w:p w14:paraId="0A00E344" w14:textId="77777777" w:rsidR="000F1449" w:rsidRPr="00C27577" w:rsidRDefault="000F1449" w:rsidP="000F1449">
      <w:pPr>
        <w:spacing w:after="120"/>
        <w:rPr>
          <w:rFonts w:ascii="Arial" w:hAnsi="Arial" w:cs="Arial"/>
          <w:b/>
          <w:bCs/>
        </w:rPr>
      </w:pPr>
      <w:r w:rsidRPr="00C27577">
        <w:rPr>
          <w:rFonts w:ascii="Arial" w:hAnsi="Arial" w:cs="Arial"/>
          <w:b/>
          <w:bCs/>
        </w:rPr>
        <w:t>Clause 3</w:t>
      </w:r>
      <w:r w:rsidRPr="00C27577">
        <w:rPr>
          <w:rFonts w:ascii="Arial" w:hAnsi="Arial" w:cs="Arial"/>
          <w:b/>
          <w:bCs/>
        </w:rPr>
        <w:tab/>
      </w:r>
      <w:r w:rsidRPr="00C27577">
        <w:rPr>
          <w:rFonts w:ascii="Arial" w:hAnsi="Arial" w:cs="Arial"/>
          <w:b/>
          <w:bCs/>
        </w:rPr>
        <w:tab/>
        <w:t>Legislation amended</w:t>
      </w:r>
    </w:p>
    <w:p w14:paraId="5F1B606C" w14:textId="67CF0958" w:rsidR="000F1449" w:rsidRPr="00F30D66" w:rsidRDefault="000F1449" w:rsidP="000F1449">
      <w:pPr>
        <w:rPr>
          <w:rFonts w:ascii="Arial" w:hAnsi="Arial" w:cs="Arial"/>
        </w:rPr>
      </w:pPr>
      <w:r w:rsidRPr="00C27577">
        <w:rPr>
          <w:rFonts w:ascii="Arial" w:hAnsi="Arial" w:cs="Arial"/>
        </w:rPr>
        <w:t xml:space="preserve">This clause </w:t>
      </w:r>
      <w:r>
        <w:rPr>
          <w:rFonts w:ascii="Arial" w:hAnsi="Arial" w:cs="Arial"/>
        </w:rPr>
        <w:t xml:space="preserve">provides that the Amendment </w:t>
      </w:r>
      <w:r w:rsidRPr="00C27577">
        <w:rPr>
          <w:rFonts w:ascii="Arial" w:hAnsi="Arial" w:cs="Arial"/>
        </w:rPr>
        <w:t xml:space="preserve">Regulation amends the </w:t>
      </w:r>
      <w:r w:rsidR="000D68CB">
        <w:rPr>
          <w:rFonts w:ascii="Arial" w:hAnsi="Arial" w:cs="Arial"/>
        </w:rPr>
        <w:t>Liquor</w:t>
      </w:r>
      <w:r w:rsidRPr="00D368CE">
        <w:rPr>
          <w:rFonts w:ascii="Arial" w:hAnsi="Arial" w:cs="Arial"/>
        </w:rPr>
        <w:t xml:space="preserve"> Regulation 20</w:t>
      </w:r>
      <w:r w:rsidR="000D68CB">
        <w:rPr>
          <w:rFonts w:ascii="Arial" w:hAnsi="Arial" w:cs="Arial"/>
        </w:rPr>
        <w:t>10</w:t>
      </w:r>
      <w:r w:rsidRPr="00D368CE">
        <w:rPr>
          <w:rFonts w:ascii="Arial" w:hAnsi="Arial" w:cs="Arial"/>
        </w:rPr>
        <w:t>.</w:t>
      </w:r>
      <w:r w:rsidRPr="00C27577">
        <w:rPr>
          <w:rFonts w:ascii="Arial" w:hAnsi="Arial" w:cs="Arial"/>
        </w:rPr>
        <w:t xml:space="preserve"> </w:t>
      </w:r>
    </w:p>
    <w:p w14:paraId="384EFC55" w14:textId="77777777" w:rsidR="000F1449" w:rsidRPr="00F30D66" w:rsidRDefault="000F1449" w:rsidP="000F1449">
      <w:pPr>
        <w:rPr>
          <w:rFonts w:ascii="Arial" w:hAnsi="Arial" w:cs="Arial"/>
        </w:rPr>
      </w:pPr>
    </w:p>
    <w:p w14:paraId="49330E56" w14:textId="36692BE6" w:rsidR="000F1449" w:rsidRDefault="000F1449" w:rsidP="000F1449">
      <w:pPr>
        <w:spacing w:after="120"/>
        <w:rPr>
          <w:rFonts w:ascii="Arial" w:hAnsi="Arial" w:cs="Arial"/>
          <w:b/>
          <w:bCs/>
        </w:rPr>
      </w:pPr>
      <w:r w:rsidRPr="00C27577">
        <w:rPr>
          <w:rFonts w:ascii="Arial" w:hAnsi="Arial" w:cs="Arial"/>
          <w:b/>
          <w:bCs/>
        </w:rPr>
        <w:t xml:space="preserve">Clause </w:t>
      </w:r>
      <w:r>
        <w:rPr>
          <w:rFonts w:ascii="Arial" w:hAnsi="Arial" w:cs="Arial"/>
          <w:b/>
          <w:bCs/>
        </w:rPr>
        <w:t>4</w:t>
      </w:r>
      <w:r w:rsidRPr="00C27577">
        <w:rPr>
          <w:rFonts w:ascii="Arial" w:hAnsi="Arial" w:cs="Arial"/>
          <w:b/>
          <w:bCs/>
        </w:rPr>
        <w:tab/>
      </w:r>
      <w:r w:rsidRPr="00C27577">
        <w:rPr>
          <w:rFonts w:ascii="Arial" w:hAnsi="Arial" w:cs="Arial"/>
          <w:b/>
          <w:bCs/>
        </w:rPr>
        <w:tab/>
      </w:r>
      <w:r>
        <w:rPr>
          <w:rFonts w:ascii="Arial" w:hAnsi="Arial" w:cs="Arial"/>
          <w:b/>
          <w:bCs/>
        </w:rPr>
        <w:t xml:space="preserve">Section </w:t>
      </w:r>
      <w:r w:rsidR="002E3618">
        <w:rPr>
          <w:rFonts w:ascii="Arial" w:hAnsi="Arial" w:cs="Arial"/>
          <w:b/>
          <w:bCs/>
        </w:rPr>
        <w:t>35 heading</w:t>
      </w:r>
    </w:p>
    <w:p w14:paraId="46B9E1B1" w14:textId="620CE38D" w:rsidR="000F1449" w:rsidRPr="00D47CB8" w:rsidRDefault="000F1449" w:rsidP="000F1449">
      <w:pPr>
        <w:spacing w:after="120"/>
        <w:rPr>
          <w:rFonts w:ascii="Arial" w:hAnsi="Arial" w:cs="Arial"/>
          <w:szCs w:val="24"/>
        </w:rPr>
      </w:pPr>
      <w:r>
        <w:rPr>
          <w:rFonts w:ascii="Arial" w:hAnsi="Arial" w:cs="Arial"/>
        </w:rPr>
        <w:t xml:space="preserve">This clause </w:t>
      </w:r>
      <w:r w:rsidR="000D68CB">
        <w:rPr>
          <w:rFonts w:ascii="Arial" w:hAnsi="Arial" w:cs="Arial"/>
        </w:rPr>
        <w:t>substitutes</w:t>
      </w:r>
      <w:r>
        <w:rPr>
          <w:rFonts w:ascii="Arial" w:hAnsi="Arial" w:cs="Arial"/>
        </w:rPr>
        <w:t xml:space="preserve"> the </w:t>
      </w:r>
      <w:r w:rsidR="000D68CB">
        <w:rPr>
          <w:rFonts w:ascii="Arial" w:hAnsi="Arial" w:cs="Arial"/>
        </w:rPr>
        <w:t xml:space="preserve">heading to clarify that section 35 </w:t>
      </w:r>
      <w:r w:rsidR="00275F8C">
        <w:rPr>
          <w:rFonts w:ascii="Arial" w:hAnsi="Arial" w:cs="Arial"/>
        </w:rPr>
        <w:t xml:space="preserve">now </w:t>
      </w:r>
      <w:r w:rsidR="000D68CB">
        <w:rPr>
          <w:rFonts w:ascii="Arial" w:hAnsi="Arial" w:cs="Arial"/>
        </w:rPr>
        <w:t>provides the Commissioner the ability to waive and reduce licence and permit fees</w:t>
      </w:r>
      <w:r w:rsidRPr="00D368CE">
        <w:rPr>
          <w:rFonts w:ascii="Arial" w:hAnsi="Arial" w:cs="Arial"/>
        </w:rPr>
        <w:t>.</w:t>
      </w:r>
    </w:p>
    <w:p w14:paraId="73DF720A" w14:textId="77777777" w:rsidR="000F1449" w:rsidRPr="00F30D66" w:rsidRDefault="000F1449" w:rsidP="000F1449">
      <w:pPr>
        <w:rPr>
          <w:rFonts w:ascii="Arial" w:hAnsi="Arial" w:cs="Arial"/>
        </w:rPr>
      </w:pPr>
    </w:p>
    <w:p w14:paraId="7498795E" w14:textId="70CC7BD1" w:rsidR="002E3618" w:rsidRPr="004953B8" w:rsidRDefault="002E3618" w:rsidP="002E3618">
      <w:pPr>
        <w:spacing w:after="120"/>
        <w:rPr>
          <w:rFonts w:ascii="Arial" w:hAnsi="Arial" w:cs="Arial"/>
          <w:b/>
          <w:bCs/>
        </w:rPr>
      </w:pPr>
      <w:r w:rsidRPr="004953B8">
        <w:rPr>
          <w:rFonts w:ascii="Arial" w:hAnsi="Arial" w:cs="Arial"/>
          <w:b/>
          <w:bCs/>
        </w:rPr>
        <w:t>Clause 5</w:t>
      </w:r>
      <w:r w:rsidRPr="004953B8">
        <w:rPr>
          <w:rFonts w:ascii="Arial" w:hAnsi="Arial" w:cs="Arial"/>
          <w:b/>
          <w:bCs/>
        </w:rPr>
        <w:tab/>
      </w:r>
      <w:r w:rsidRPr="004953B8">
        <w:rPr>
          <w:rFonts w:ascii="Arial" w:hAnsi="Arial" w:cs="Arial"/>
          <w:b/>
          <w:bCs/>
        </w:rPr>
        <w:tab/>
        <w:t>Section 35 (1)</w:t>
      </w:r>
    </w:p>
    <w:p w14:paraId="151645F2" w14:textId="3F6FCE71" w:rsidR="00275F8C" w:rsidRPr="004953B8" w:rsidRDefault="00F72EB5" w:rsidP="00275F8C">
      <w:pPr>
        <w:spacing w:after="120"/>
        <w:rPr>
          <w:rFonts w:ascii="Arial" w:hAnsi="Arial" w:cs="Arial"/>
        </w:rPr>
      </w:pPr>
      <w:r w:rsidRPr="004953B8">
        <w:rPr>
          <w:rFonts w:ascii="Arial" w:hAnsi="Arial" w:cs="Arial"/>
        </w:rPr>
        <w:t xml:space="preserve">This clause inserts the words “or reducing” and </w:t>
      </w:r>
      <w:r w:rsidR="00275F8C" w:rsidRPr="004953B8">
        <w:rPr>
          <w:rFonts w:ascii="Arial" w:hAnsi="Arial" w:cs="Arial"/>
        </w:rPr>
        <w:t xml:space="preserve">has the effect of allowing </w:t>
      </w:r>
      <w:r w:rsidRPr="004953B8">
        <w:rPr>
          <w:rFonts w:ascii="Arial" w:hAnsi="Arial" w:cs="Arial"/>
        </w:rPr>
        <w:t xml:space="preserve">the Commissioner to make declarations to reduce liquor licensing or permit fees otherwise payable during a COVID-19 emergency or the 12 months following a COVID-19 emergency. </w:t>
      </w:r>
    </w:p>
    <w:p w14:paraId="6FB6FF7A" w14:textId="77777777" w:rsidR="002E3618" w:rsidRPr="004953B8" w:rsidRDefault="002E3618" w:rsidP="002E3618">
      <w:pPr>
        <w:spacing w:after="120"/>
        <w:rPr>
          <w:rFonts w:ascii="Arial" w:hAnsi="Arial" w:cs="Arial"/>
          <w:b/>
          <w:bCs/>
        </w:rPr>
      </w:pPr>
    </w:p>
    <w:p w14:paraId="2AEE9323" w14:textId="6FB14B04" w:rsidR="002E3618" w:rsidRPr="004953B8" w:rsidRDefault="002E3618" w:rsidP="002E3618">
      <w:pPr>
        <w:spacing w:after="120"/>
        <w:rPr>
          <w:rFonts w:ascii="Arial" w:hAnsi="Arial" w:cs="Arial"/>
          <w:b/>
          <w:bCs/>
        </w:rPr>
      </w:pPr>
      <w:r w:rsidRPr="004953B8">
        <w:rPr>
          <w:rFonts w:ascii="Arial" w:hAnsi="Arial" w:cs="Arial"/>
          <w:b/>
          <w:bCs/>
        </w:rPr>
        <w:t>Clause 6</w:t>
      </w:r>
      <w:r w:rsidRPr="004953B8">
        <w:rPr>
          <w:rFonts w:ascii="Arial" w:hAnsi="Arial" w:cs="Arial"/>
          <w:b/>
          <w:bCs/>
        </w:rPr>
        <w:tab/>
      </w:r>
      <w:r w:rsidRPr="004953B8">
        <w:rPr>
          <w:rFonts w:ascii="Arial" w:hAnsi="Arial" w:cs="Arial"/>
          <w:b/>
          <w:bCs/>
        </w:rPr>
        <w:tab/>
        <w:t>Section 35 (1) (b)</w:t>
      </w:r>
    </w:p>
    <w:p w14:paraId="18F06131" w14:textId="3CE338DC" w:rsidR="00F72EB5" w:rsidRPr="004953B8" w:rsidRDefault="00F72EB5" w:rsidP="002E3618">
      <w:pPr>
        <w:spacing w:after="120"/>
        <w:rPr>
          <w:rFonts w:ascii="Arial" w:hAnsi="Arial" w:cs="Arial"/>
        </w:rPr>
      </w:pPr>
      <w:r w:rsidRPr="004953B8">
        <w:rPr>
          <w:rFonts w:ascii="Arial" w:hAnsi="Arial" w:cs="Arial"/>
        </w:rPr>
        <w:t xml:space="preserve">This clause inserts the words “or reduction”. It has the effect of ensuring that a declaration in relation to the reduction of liquor licensing or permit fees is only permissible during the relevant time period if the Commissioner considers that the reduction is appropriate on the basis of the financial impact of the COVID-19 emergency on businesses carried on under the affected licence or permit. </w:t>
      </w:r>
    </w:p>
    <w:p w14:paraId="1BB3B85B" w14:textId="77777777" w:rsidR="00F72EB5" w:rsidRPr="00275F8C" w:rsidRDefault="00F72EB5" w:rsidP="002E3618">
      <w:pPr>
        <w:spacing w:after="120"/>
        <w:rPr>
          <w:rFonts w:ascii="Arial" w:hAnsi="Arial" w:cs="Arial"/>
          <w:b/>
          <w:bCs/>
          <w:highlight w:val="yellow"/>
        </w:rPr>
      </w:pPr>
    </w:p>
    <w:p w14:paraId="052C2084" w14:textId="1319750B" w:rsidR="002E3618" w:rsidRDefault="002E3618" w:rsidP="002E3618">
      <w:pPr>
        <w:spacing w:after="120"/>
        <w:rPr>
          <w:rFonts w:ascii="Arial" w:hAnsi="Arial" w:cs="Arial"/>
          <w:b/>
          <w:bCs/>
        </w:rPr>
      </w:pPr>
      <w:r w:rsidRPr="001F7C4F">
        <w:rPr>
          <w:rFonts w:ascii="Arial" w:hAnsi="Arial" w:cs="Arial"/>
          <w:b/>
          <w:bCs/>
        </w:rPr>
        <w:t xml:space="preserve">Clause 7 </w:t>
      </w:r>
      <w:r w:rsidRPr="001F7C4F">
        <w:rPr>
          <w:rFonts w:ascii="Arial" w:hAnsi="Arial" w:cs="Arial"/>
          <w:b/>
          <w:bCs/>
        </w:rPr>
        <w:tab/>
      </w:r>
      <w:r w:rsidRPr="001F7C4F">
        <w:rPr>
          <w:rFonts w:ascii="Arial" w:hAnsi="Arial" w:cs="Arial"/>
          <w:b/>
          <w:bCs/>
        </w:rPr>
        <w:tab/>
        <w:t>Section 35 (2)</w:t>
      </w:r>
    </w:p>
    <w:p w14:paraId="3645BA08" w14:textId="77777777" w:rsidR="00FE3E5F" w:rsidRDefault="00FE3E5F" w:rsidP="00FE3E5F">
      <w:pPr>
        <w:spacing w:after="120"/>
        <w:rPr>
          <w:rFonts w:ascii="Arial" w:hAnsi="Arial" w:cs="Arial"/>
        </w:rPr>
      </w:pPr>
      <w:r w:rsidRPr="00FE3E5F">
        <w:rPr>
          <w:rFonts w:ascii="Arial" w:hAnsi="Arial" w:cs="Arial"/>
        </w:rPr>
        <w:t xml:space="preserve">This clause substitutes </w:t>
      </w:r>
      <w:r>
        <w:rPr>
          <w:rFonts w:ascii="Arial" w:hAnsi="Arial" w:cs="Arial"/>
        </w:rPr>
        <w:t>section 35 (2) to prescribe new declaration conditions made by the Commissioner in relation to any fee reduction.</w:t>
      </w:r>
    </w:p>
    <w:p w14:paraId="65806AA2" w14:textId="05CAF446" w:rsidR="00FE3E5F" w:rsidRDefault="00FE3E5F" w:rsidP="00FE3E5F">
      <w:pPr>
        <w:spacing w:after="120"/>
        <w:rPr>
          <w:rFonts w:ascii="Arial" w:hAnsi="Arial" w:cs="Arial"/>
        </w:rPr>
      </w:pPr>
      <w:r>
        <w:rPr>
          <w:rFonts w:ascii="Arial" w:hAnsi="Arial" w:cs="Arial"/>
        </w:rPr>
        <w:t xml:space="preserve">In relation to a fee reduction, the declaration must state the fee that is reduced, the reduced fee payable (or how the reduced fee is to be worked out), the period during which the reduction operates and any condition on the reduction. </w:t>
      </w:r>
    </w:p>
    <w:p w14:paraId="1192E54D" w14:textId="24F0A9A7" w:rsidR="00FE3E5F" w:rsidRDefault="00FE3E5F" w:rsidP="00FE3E5F">
      <w:pPr>
        <w:spacing w:after="120"/>
        <w:rPr>
          <w:rFonts w:ascii="Arial" w:hAnsi="Arial" w:cs="Arial"/>
        </w:rPr>
      </w:pPr>
      <w:r>
        <w:rPr>
          <w:rFonts w:ascii="Arial" w:hAnsi="Arial" w:cs="Arial"/>
        </w:rPr>
        <w:t>The conditions in relation to fee waivers are unchanged</w:t>
      </w:r>
      <w:r w:rsidR="002469B6">
        <w:rPr>
          <w:rFonts w:ascii="Arial" w:hAnsi="Arial" w:cs="Arial"/>
        </w:rPr>
        <w:t xml:space="preserve"> from the </w:t>
      </w:r>
      <w:r w:rsidR="002469B6" w:rsidRPr="003322BC">
        <w:rPr>
          <w:rFonts w:ascii="Arial" w:hAnsi="Arial" w:cs="Arial"/>
        </w:rPr>
        <w:t>Liquor Amendment Regulation 2020 (No 1)</w:t>
      </w:r>
      <w:r w:rsidR="002469B6">
        <w:rPr>
          <w:rFonts w:ascii="Arial" w:hAnsi="Arial" w:cs="Arial"/>
        </w:rPr>
        <w:t>.</w:t>
      </w:r>
      <w:r>
        <w:rPr>
          <w:rFonts w:ascii="Arial" w:hAnsi="Arial" w:cs="Arial"/>
        </w:rPr>
        <w:t xml:space="preserve"> </w:t>
      </w:r>
      <w:r w:rsidR="002469B6">
        <w:rPr>
          <w:rFonts w:ascii="Arial" w:hAnsi="Arial" w:cs="Arial"/>
        </w:rPr>
        <w:t>T</w:t>
      </w:r>
      <w:r>
        <w:rPr>
          <w:rFonts w:ascii="Arial" w:hAnsi="Arial" w:cs="Arial"/>
        </w:rPr>
        <w:t xml:space="preserve">he declaration must state the fee that is waived, the period during which the waiver operates, and any condition on the waiver. </w:t>
      </w:r>
    </w:p>
    <w:p w14:paraId="4134865C" w14:textId="77777777" w:rsidR="00FE3E5F" w:rsidRPr="00FE3E5F" w:rsidRDefault="00FE3E5F" w:rsidP="00FE3E5F">
      <w:pPr>
        <w:spacing w:after="120"/>
        <w:rPr>
          <w:rFonts w:ascii="Arial" w:hAnsi="Arial" w:cs="Arial"/>
        </w:rPr>
      </w:pPr>
    </w:p>
    <w:sectPr w:rsidR="00FE3E5F" w:rsidRPr="00FE3E5F"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1807" w14:textId="77777777" w:rsidR="00E067B2" w:rsidRDefault="00E067B2">
      <w:r>
        <w:separator/>
      </w:r>
    </w:p>
  </w:endnote>
  <w:endnote w:type="continuationSeparator" w:id="0">
    <w:p w14:paraId="7DC569EA" w14:textId="77777777" w:rsidR="00E067B2" w:rsidRDefault="00E0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9909" w14:textId="77777777" w:rsidR="00541E3F" w:rsidRDefault="00541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DA8C" w14:textId="5E345B4C" w:rsidR="007831FD" w:rsidRPr="00430253" w:rsidRDefault="00430253" w:rsidP="00430253">
    <w:pPr>
      <w:pStyle w:val="Footer"/>
      <w:jc w:val="center"/>
      <w:rPr>
        <w:rFonts w:cs="Arial"/>
        <w:sz w:val="14"/>
      </w:rPr>
    </w:pPr>
    <w:r w:rsidRPr="0043025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D6CE" w14:textId="77777777" w:rsidR="00541E3F" w:rsidRDefault="00541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3C869" w14:textId="77777777" w:rsidR="00E067B2" w:rsidRDefault="00E067B2">
      <w:r>
        <w:separator/>
      </w:r>
    </w:p>
  </w:footnote>
  <w:footnote w:type="continuationSeparator" w:id="0">
    <w:p w14:paraId="14E1CFDE" w14:textId="77777777" w:rsidR="00E067B2" w:rsidRDefault="00E06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ABBE2" w14:textId="77777777" w:rsidR="00541E3F" w:rsidRDefault="00541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40875" w14:textId="77777777" w:rsidR="00541E3F" w:rsidRDefault="00541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61FF2" w14:textId="77777777" w:rsidR="00541E3F" w:rsidRDefault="00541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66D40"/>
    <w:multiLevelType w:val="hybridMultilevel"/>
    <w:tmpl w:val="EA2E9B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49"/>
    <w:rsid w:val="0000063F"/>
    <w:rsid w:val="00031DB1"/>
    <w:rsid w:val="00035EA7"/>
    <w:rsid w:val="000602F9"/>
    <w:rsid w:val="0006296B"/>
    <w:rsid w:val="00062C3A"/>
    <w:rsid w:val="000657FA"/>
    <w:rsid w:val="000702AF"/>
    <w:rsid w:val="000730E2"/>
    <w:rsid w:val="00084EA6"/>
    <w:rsid w:val="000A0891"/>
    <w:rsid w:val="000A0C32"/>
    <w:rsid w:val="000A6BC7"/>
    <w:rsid w:val="000B5A63"/>
    <w:rsid w:val="000B6145"/>
    <w:rsid w:val="000B6DA7"/>
    <w:rsid w:val="000C012A"/>
    <w:rsid w:val="000D06A9"/>
    <w:rsid w:val="000D35C4"/>
    <w:rsid w:val="000D68CB"/>
    <w:rsid w:val="000D74FF"/>
    <w:rsid w:val="000E099C"/>
    <w:rsid w:val="000F1449"/>
    <w:rsid w:val="000F3867"/>
    <w:rsid w:val="000F6775"/>
    <w:rsid w:val="00100DF9"/>
    <w:rsid w:val="00105ECE"/>
    <w:rsid w:val="001115F0"/>
    <w:rsid w:val="001253D0"/>
    <w:rsid w:val="001344F9"/>
    <w:rsid w:val="001422CE"/>
    <w:rsid w:val="0015029F"/>
    <w:rsid w:val="00152FDB"/>
    <w:rsid w:val="001562A3"/>
    <w:rsid w:val="0015723A"/>
    <w:rsid w:val="00164E0E"/>
    <w:rsid w:val="00182DFE"/>
    <w:rsid w:val="0018705F"/>
    <w:rsid w:val="00195108"/>
    <w:rsid w:val="001A1C19"/>
    <w:rsid w:val="001B04DD"/>
    <w:rsid w:val="001B5BC3"/>
    <w:rsid w:val="001C2DA1"/>
    <w:rsid w:val="001C4417"/>
    <w:rsid w:val="001F0171"/>
    <w:rsid w:val="001F7C4F"/>
    <w:rsid w:val="002037FE"/>
    <w:rsid w:val="00205CDA"/>
    <w:rsid w:val="00206C87"/>
    <w:rsid w:val="002118EB"/>
    <w:rsid w:val="0021482A"/>
    <w:rsid w:val="00220D83"/>
    <w:rsid w:val="002469B6"/>
    <w:rsid w:val="00251FB5"/>
    <w:rsid w:val="00260AA2"/>
    <w:rsid w:val="002639D0"/>
    <w:rsid w:val="00263E2D"/>
    <w:rsid w:val="002679F5"/>
    <w:rsid w:val="00275F8C"/>
    <w:rsid w:val="00283BF5"/>
    <w:rsid w:val="00293D70"/>
    <w:rsid w:val="00295D48"/>
    <w:rsid w:val="002B2F5F"/>
    <w:rsid w:val="002B793A"/>
    <w:rsid w:val="002C0E96"/>
    <w:rsid w:val="002C4758"/>
    <w:rsid w:val="002E0E54"/>
    <w:rsid w:val="002E3618"/>
    <w:rsid w:val="002F7DD4"/>
    <w:rsid w:val="0030342B"/>
    <w:rsid w:val="00306DB7"/>
    <w:rsid w:val="003322BC"/>
    <w:rsid w:val="00334E88"/>
    <w:rsid w:val="003365BE"/>
    <w:rsid w:val="00353F26"/>
    <w:rsid w:val="0035406C"/>
    <w:rsid w:val="00373529"/>
    <w:rsid w:val="00375690"/>
    <w:rsid w:val="00384CC7"/>
    <w:rsid w:val="0039407E"/>
    <w:rsid w:val="003A1267"/>
    <w:rsid w:val="003C34B8"/>
    <w:rsid w:val="003C535E"/>
    <w:rsid w:val="00410C8C"/>
    <w:rsid w:val="00427ECC"/>
    <w:rsid w:val="00430253"/>
    <w:rsid w:val="00441FDA"/>
    <w:rsid w:val="0044373A"/>
    <w:rsid w:val="00446F91"/>
    <w:rsid w:val="00455B19"/>
    <w:rsid w:val="00456B1D"/>
    <w:rsid w:val="00477B6D"/>
    <w:rsid w:val="00485A13"/>
    <w:rsid w:val="004953B8"/>
    <w:rsid w:val="0049625B"/>
    <w:rsid w:val="004D11F8"/>
    <w:rsid w:val="004D3520"/>
    <w:rsid w:val="004D59A6"/>
    <w:rsid w:val="004E270C"/>
    <w:rsid w:val="004E5C74"/>
    <w:rsid w:val="004E606C"/>
    <w:rsid w:val="004E777C"/>
    <w:rsid w:val="00501A4C"/>
    <w:rsid w:val="00507877"/>
    <w:rsid w:val="00510B78"/>
    <w:rsid w:val="00520CDF"/>
    <w:rsid w:val="00534A31"/>
    <w:rsid w:val="005371B0"/>
    <w:rsid w:val="00541E3F"/>
    <w:rsid w:val="00541F73"/>
    <w:rsid w:val="00545A21"/>
    <w:rsid w:val="00566CA1"/>
    <w:rsid w:val="00570E35"/>
    <w:rsid w:val="00577929"/>
    <w:rsid w:val="00581474"/>
    <w:rsid w:val="005942EC"/>
    <w:rsid w:val="005A121E"/>
    <w:rsid w:val="005A267D"/>
    <w:rsid w:val="005A639F"/>
    <w:rsid w:val="005B4159"/>
    <w:rsid w:val="005E24E3"/>
    <w:rsid w:val="005E781F"/>
    <w:rsid w:val="005F13AB"/>
    <w:rsid w:val="005F3D40"/>
    <w:rsid w:val="00627EAE"/>
    <w:rsid w:val="00644FAB"/>
    <w:rsid w:val="0064583D"/>
    <w:rsid w:val="00650F8D"/>
    <w:rsid w:val="006520B5"/>
    <w:rsid w:val="00673016"/>
    <w:rsid w:val="006744A5"/>
    <w:rsid w:val="006A1D26"/>
    <w:rsid w:val="006B4F08"/>
    <w:rsid w:val="006B6D7A"/>
    <w:rsid w:val="006C6D82"/>
    <w:rsid w:val="006D1015"/>
    <w:rsid w:val="006D40D8"/>
    <w:rsid w:val="006D7E1C"/>
    <w:rsid w:val="006E3641"/>
    <w:rsid w:val="006E7689"/>
    <w:rsid w:val="006F11EE"/>
    <w:rsid w:val="006F126C"/>
    <w:rsid w:val="006F7D88"/>
    <w:rsid w:val="007046AA"/>
    <w:rsid w:val="00724B2B"/>
    <w:rsid w:val="00734969"/>
    <w:rsid w:val="0073552E"/>
    <w:rsid w:val="00740A71"/>
    <w:rsid w:val="00752DDE"/>
    <w:rsid w:val="007532DA"/>
    <w:rsid w:val="00761D56"/>
    <w:rsid w:val="00776CAA"/>
    <w:rsid w:val="00791353"/>
    <w:rsid w:val="00796906"/>
    <w:rsid w:val="007A0A6B"/>
    <w:rsid w:val="007A25FF"/>
    <w:rsid w:val="007A71D4"/>
    <w:rsid w:val="007B31FE"/>
    <w:rsid w:val="007C098B"/>
    <w:rsid w:val="007C6CDC"/>
    <w:rsid w:val="007D00AF"/>
    <w:rsid w:val="007E4CCA"/>
    <w:rsid w:val="007E730F"/>
    <w:rsid w:val="008039F5"/>
    <w:rsid w:val="0080429F"/>
    <w:rsid w:val="00805CCE"/>
    <w:rsid w:val="0081543E"/>
    <w:rsid w:val="0082002B"/>
    <w:rsid w:val="008227A8"/>
    <w:rsid w:val="008263EC"/>
    <w:rsid w:val="0083554A"/>
    <w:rsid w:val="0083698E"/>
    <w:rsid w:val="008369E1"/>
    <w:rsid w:val="00875650"/>
    <w:rsid w:val="00877C7F"/>
    <w:rsid w:val="0088041C"/>
    <w:rsid w:val="008870ED"/>
    <w:rsid w:val="00896DF8"/>
    <w:rsid w:val="008B3595"/>
    <w:rsid w:val="008B48D9"/>
    <w:rsid w:val="008B4C72"/>
    <w:rsid w:val="008C1C21"/>
    <w:rsid w:val="008D4E7A"/>
    <w:rsid w:val="008D718D"/>
    <w:rsid w:val="008E0781"/>
    <w:rsid w:val="008E6A03"/>
    <w:rsid w:val="008F1147"/>
    <w:rsid w:val="00900AA7"/>
    <w:rsid w:val="0090167F"/>
    <w:rsid w:val="00920EAA"/>
    <w:rsid w:val="00923FD1"/>
    <w:rsid w:val="00930781"/>
    <w:rsid w:val="00930E4A"/>
    <w:rsid w:val="00952CB7"/>
    <w:rsid w:val="00957A37"/>
    <w:rsid w:val="00974862"/>
    <w:rsid w:val="00976CDB"/>
    <w:rsid w:val="009775EA"/>
    <w:rsid w:val="00981E47"/>
    <w:rsid w:val="00982369"/>
    <w:rsid w:val="00996920"/>
    <w:rsid w:val="009A64F3"/>
    <w:rsid w:val="009A7D18"/>
    <w:rsid w:val="009B561B"/>
    <w:rsid w:val="00A00A8A"/>
    <w:rsid w:val="00A025E4"/>
    <w:rsid w:val="00A44C34"/>
    <w:rsid w:val="00A52EA9"/>
    <w:rsid w:val="00A61006"/>
    <w:rsid w:val="00A700F7"/>
    <w:rsid w:val="00A77474"/>
    <w:rsid w:val="00A877E6"/>
    <w:rsid w:val="00A971B2"/>
    <w:rsid w:val="00AB1EDD"/>
    <w:rsid w:val="00AB712D"/>
    <w:rsid w:val="00AC543B"/>
    <w:rsid w:val="00AD45C1"/>
    <w:rsid w:val="00AD6BAA"/>
    <w:rsid w:val="00AE08B7"/>
    <w:rsid w:val="00AE1A96"/>
    <w:rsid w:val="00AE1F82"/>
    <w:rsid w:val="00AE2031"/>
    <w:rsid w:val="00B13747"/>
    <w:rsid w:val="00B4438F"/>
    <w:rsid w:val="00B503EF"/>
    <w:rsid w:val="00B52E30"/>
    <w:rsid w:val="00B700CA"/>
    <w:rsid w:val="00B71185"/>
    <w:rsid w:val="00B924F3"/>
    <w:rsid w:val="00BA2F35"/>
    <w:rsid w:val="00BB2A1E"/>
    <w:rsid w:val="00BC12FF"/>
    <w:rsid w:val="00BC35D1"/>
    <w:rsid w:val="00BC6F9C"/>
    <w:rsid w:val="00BD25A4"/>
    <w:rsid w:val="00BD7207"/>
    <w:rsid w:val="00C0095D"/>
    <w:rsid w:val="00C10692"/>
    <w:rsid w:val="00C17FCB"/>
    <w:rsid w:val="00C24AA9"/>
    <w:rsid w:val="00C25EF1"/>
    <w:rsid w:val="00C356C8"/>
    <w:rsid w:val="00C43F5E"/>
    <w:rsid w:val="00C6317C"/>
    <w:rsid w:val="00C70894"/>
    <w:rsid w:val="00C72029"/>
    <w:rsid w:val="00C80E78"/>
    <w:rsid w:val="00C815C4"/>
    <w:rsid w:val="00CA3B1A"/>
    <w:rsid w:val="00CB2753"/>
    <w:rsid w:val="00CB7849"/>
    <w:rsid w:val="00CC1A62"/>
    <w:rsid w:val="00CD77AB"/>
    <w:rsid w:val="00CF3934"/>
    <w:rsid w:val="00CF4959"/>
    <w:rsid w:val="00D00955"/>
    <w:rsid w:val="00D01C56"/>
    <w:rsid w:val="00D01CA2"/>
    <w:rsid w:val="00D06F90"/>
    <w:rsid w:val="00D132E9"/>
    <w:rsid w:val="00D15054"/>
    <w:rsid w:val="00D20A54"/>
    <w:rsid w:val="00D23E03"/>
    <w:rsid w:val="00D26A37"/>
    <w:rsid w:val="00D3437A"/>
    <w:rsid w:val="00D3578E"/>
    <w:rsid w:val="00D40F36"/>
    <w:rsid w:val="00D5069D"/>
    <w:rsid w:val="00D61A0C"/>
    <w:rsid w:val="00D777A7"/>
    <w:rsid w:val="00D800E4"/>
    <w:rsid w:val="00D96AE6"/>
    <w:rsid w:val="00DA5203"/>
    <w:rsid w:val="00DA550E"/>
    <w:rsid w:val="00DA5F03"/>
    <w:rsid w:val="00DB37C2"/>
    <w:rsid w:val="00DC3D80"/>
    <w:rsid w:val="00DC4AE3"/>
    <w:rsid w:val="00DE09B1"/>
    <w:rsid w:val="00DE763D"/>
    <w:rsid w:val="00DF5D00"/>
    <w:rsid w:val="00E0412E"/>
    <w:rsid w:val="00E067B2"/>
    <w:rsid w:val="00E125BC"/>
    <w:rsid w:val="00E16995"/>
    <w:rsid w:val="00E352CC"/>
    <w:rsid w:val="00E369AB"/>
    <w:rsid w:val="00E36CDE"/>
    <w:rsid w:val="00E36E6C"/>
    <w:rsid w:val="00E41CED"/>
    <w:rsid w:val="00E45712"/>
    <w:rsid w:val="00E539B1"/>
    <w:rsid w:val="00E60CC3"/>
    <w:rsid w:val="00E7668E"/>
    <w:rsid w:val="00E82337"/>
    <w:rsid w:val="00E91B7F"/>
    <w:rsid w:val="00E96050"/>
    <w:rsid w:val="00EA4596"/>
    <w:rsid w:val="00EC5975"/>
    <w:rsid w:val="00ED0ACF"/>
    <w:rsid w:val="00EE2CE9"/>
    <w:rsid w:val="00EE4A51"/>
    <w:rsid w:val="00EF1379"/>
    <w:rsid w:val="00EF7530"/>
    <w:rsid w:val="00EF7DEB"/>
    <w:rsid w:val="00F07DF1"/>
    <w:rsid w:val="00F17CE4"/>
    <w:rsid w:val="00F2539C"/>
    <w:rsid w:val="00F27DA4"/>
    <w:rsid w:val="00F35CE7"/>
    <w:rsid w:val="00F37F82"/>
    <w:rsid w:val="00F421DD"/>
    <w:rsid w:val="00F442AE"/>
    <w:rsid w:val="00F447A7"/>
    <w:rsid w:val="00F472C7"/>
    <w:rsid w:val="00F55C97"/>
    <w:rsid w:val="00F627C5"/>
    <w:rsid w:val="00F64639"/>
    <w:rsid w:val="00F650D9"/>
    <w:rsid w:val="00F654BC"/>
    <w:rsid w:val="00F72EB5"/>
    <w:rsid w:val="00F75F34"/>
    <w:rsid w:val="00F974E3"/>
    <w:rsid w:val="00FA167C"/>
    <w:rsid w:val="00FA1771"/>
    <w:rsid w:val="00FA7939"/>
    <w:rsid w:val="00FB4022"/>
    <w:rsid w:val="00FC3D07"/>
    <w:rsid w:val="00FE3E5F"/>
    <w:rsid w:val="00FF6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6F643"/>
  <w15:chartTrackingRefBased/>
  <w15:docId w15:val="{D7AEFB5B-B775-4232-8460-9F28E91F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F144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0F1449"/>
    <w:rPr>
      <w:rFonts w:ascii="Arial" w:eastAsia="Times New Roman" w:hAnsi="Arial" w:cs="Times New Roman"/>
      <w:sz w:val="18"/>
      <w:szCs w:val="20"/>
    </w:rPr>
  </w:style>
  <w:style w:type="paragraph" w:customStyle="1" w:styleId="Billname">
    <w:name w:val="Billname"/>
    <w:basedOn w:val="Normal"/>
    <w:rsid w:val="000F1449"/>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0F1449"/>
    <w:pPr>
      <w:pBdr>
        <w:bottom w:val="single" w:sz="12" w:space="1" w:color="auto"/>
      </w:pBdr>
      <w:jc w:val="both"/>
    </w:pPr>
  </w:style>
  <w:style w:type="paragraph" w:customStyle="1" w:styleId="madeunder">
    <w:name w:val="made under"/>
    <w:basedOn w:val="Normal"/>
    <w:rsid w:val="000F1449"/>
    <w:pPr>
      <w:spacing w:before="180" w:after="60"/>
      <w:jc w:val="both"/>
    </w:pPr>
  </w:style>
  <w:style w:type="paragraph" w:customStyle="1" w:styleId="CoverActName">
    <w:name w:val="CoverActName"/>
    <w:basedOn w:val="Normal"/>
    <w:rsid w:val="000F1449"/>
    <w:pPr>
      <w:tabs>
        <w:tab w:val="left" w:pos="2600"/>
      </w:tabs>
      <w:spacing w:before="200" w:after="60"/>
      <w:jc w:val="both"/>
    </w:pPr>
    <w:rPr>
      <w:rFonts w:ascii="Arial" w:hAnsi="Arial"/>
      <w:b/>
    </w:rPr>
  </w:style>
  <w:style w:type="paragraph" w:styleId="ListParagraph">
    <w:name w:val="List Paragraph"/>
    <w:basedOn w:val="Normal"/>
    <w:uiPriority w:val="34"/>
    <w:qFormat/>
    <w:rsid w:val="003C34B8"/>
    <w:pPr>
      <w:ind w:left="720"/>
      <w:contextualSpacing/>
    </w:pPr>
  </w:style>
  <w:style w:type="paragraph" w:styleId="Header">
    <w:name w:val="header"/>
    <w:basedOn w:val="Normal"/>
    <w:link w:val="HeaderChar"/>
    <w:uiPriority w:val="99"/>
    <w:unhideWhenUsed/>
    <w:rsid w:val="00541E3F"/>
    <w:pPr>
      <w:tabs>
        <w:tab w:val="center" w:pos="4513"/>
        <w:tab w:val="right" w:pos="9026"/>
      </w:tabs>
    </w:pPr>
  </w:style>
  <w:style w:type="character" w:customStyle="1" w:styleId="HeaderChar">
    <w:name w:val="Header Char"/>
    <w:basedOn w:val="DefaultParagraphFont"/>
    <w:link w:val="Header"/>
    <w:uiPriority w:val="99"/>
    <w:rsid w:val="00541E3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834">
      <w:bodyDiv w:val="1"/>
      <w:marLeft w:val="0"/>
      <w:marRight w:val="0"/>
      <w:marTop w:val="0"/>
      <w:marBottom w:val="0"/>
      <w:divBdr>
        <w:top w:val="none" w:sz="0" w:space="0" w:color="auto"/>
        <w:left w:val="none" w:sz="0" w:space="0" w:color="auto"/>
        <w:bottom w:val="none" w:sz="0" w:space="0" w:color="auto"/>
        <w:right w:val="none" w:sz="0" w:space="0" w:color="auto"/>
      </w:divBdr>
      <w:divsChild>
        <w:div w:id="1546983221">
          <w:marLeft w:val="0"/>
          <w:marRight w:val="0"/>
          <w:marTop w:val="0"/>
          <w:marBottom w:val="0"/>
          <w:divBdr>
            <w:top w:val="none" w:sz="0" w:space="0" w:color="auto"/>
            <w:left w:val="none" w:sz="0" w:space="0" w:color="auto"/>
            <w:bottom w:val="none" w:sz="0" w:space="0" w:color="auto"/>
            <w:right w:val="none" w:sz="0" w:space="0" w:color="auto"/>
          </w:divBdr>
        </w:div>
        <w:div w:id="1419326015">
          <w:marLeft w:val="0"/>
          <w:marRight w:val="0"/>
          <w:marTop w:val="0"/>
          <w:marBottom w:val="0"/>
          <w:divBdr>
            <w:top w:val="none" w:sz="0" w:space="0" w:color="auto"/>
            <w:left w:val="none" w:sz="0" w:space="0" w:color="auto"/>
            <w:bottom w:val="none" w:sz="0" w:space="0" w:color="auto"/>
            <w:right w:val="none" w:sz="0" w:space="0" w:color="auto"/>
          </w:divBdr>
        </w:div>
        <w:div w:id="719673709">
          <w:marLeft w:val="0"/>
          <w:marRight w:val="0"/>
          <w:marTop w:val="0"/>
          <w:marBottom w:val="0"/>
          <w:divBdr>
            <w:top w:val="none" w:sz="0" w:space="0" w:color="auto"/>
            <w:left w:val="none" w:sz="0" w:space="0" w:color="auto"/>
            <w:bottom w:val="none" w:sz="0" w:space="0" w:color="auto"/>
            <w:right w:val="none" w:sz="0" w:space="0" w:color="auto"/>
          </w:divBdr>
        </w:div>
        <w:div w:id="1045376763">
          <w:marLeft w:val="0"/>
          <w:marRight w:val="0"/>
          <w:marTop w:val="0"/>
          <w:marBottom w:val="0"/>
          <w:divBdr>
            <w:top w:val="none" w:sz="0" w:space="0" w:color="auto"/>
            <w:left w:val="none" w:sz="0" w:space="0" w:color="auto"/>
            <w:bottom w:val="none" w:sz="0" w:space="0" w:color="auto"/>
            <w:right w:val="none" w:sz="0" w:space="0" w:color="auto"/>
          </w:divBdr>
        </w:div>
        <w:div w:id="1703435934">
          <w:marLeft w:val="0"/>
          <w:marRight w:val="0"/>
          <w:marTop w:val="0"/>
          <w:marBottom w:val="0"/>
          <w:divBdr>
            <w:top w:val="none" w:sz="0" w:space="0" w:color="auto"/>
            <w:left w:val="none" w:sz="0" w:space="0" w:color="auto"/>
            <w:bottom w:val="none" w:sz="0" w:space="0" w:color="auto"/>
            <w:right w:val="none" w:sz="0" w:space="0" w:color="auto"/>
          </w:divBdr>
        </w:div>
        <w:div w:id="1961495388">
          <w:marLeft w:val="0"/>
          <w:marRight w:val="0"/>
          <w:marTop w:val="0"/>
          <w:marBottom w:val="0"/>
          <w:divBdr>
            <w:top w:val="none" w:sz="0" w:space="0" w:color="auto"/>
            <w:left w:val="none" w:sz="0" w:space="0" w:color="auto"/>
            <w:bottom w:val="none" w:sz="0" w:space="0" w:color="auto"/>
            <w:right w:val="none" w:sz="0" w:space="0" w:color="auto"/>
          </w:divBdr>
        </w:div>
        <w:div w:id="1297295034">
          <w:marLeft w:val="0"/>
          <w:marRight w:val="0"/>
          <w:marTop w:val="0"/>
          <w:marBottom w:val="0"/>
          <w:divBdr>
            <w:top w:val="none" w:sz="0" w:space="0" w:color="auto"/>
            <w:left w:val="none" w:sz="0" w:space="0" w:color="auto"/>
            <w:bottom w:val="none" w:sz="0" w:space="0" w:color="auto"/>
            <w:right w:val="none" w:sz="0" w:space="0" w:color="auto"/>
          </w:divBdr>
        </w:div>
        <w:div w:id="1188107125">
          <w:marLeft w:val="0"/>
          <w:marRight w:val="0"/>
          <w:marTop w:val="0"/>
          <w:marBottom w:val="0"/>
          <w:divBdr>
            <w:top w:val="none" w:sz="0" w:space="0" w:color="auto"/>
            <w:left w:val="none" w:sz="0" w:space="0" w:color="auto"/>
            <w:bottom w:val="none" w:sz="0" w:space="0" w:color="auto"/>
            <w:right w:val="none" w:sz="0" w:space="0" w:color="auto"/>
          </w:divBdr>
        </w:div>
      </w:divsChild>
    </w:div>
    <w:div w:id="84306340">
      <w:bodyDiv w:val="1"/>
      <w:marLeft w:val="0"/>
      <w:marRight w:val="0"/>
      <w:marTop w:val="0"/>
      <w:marBottom w:val="0"/>
      <w:divBdr>
        <w:top w:val="none" w:sz="0" w:space="0" w:color="auto"/>
        <w:left w:val="none" w:sz="0" w:space="0" w:color="auto"/>
        <w:bottom w:val="none" w:sz="0" w:space="0" w:color="auto"/>
        <w:right w:val="none" w:sz="0" w:space="0" w:color="auto"/>
      </w:divBdr>
      <w:divsChild>
        <w:div w:id="199174728">
          <w:marLeft w:val="0"/>
          <w:marRight w:val="0"/>
          <w:marTop w:val="0"/>
          <w:marBottom w:val="0"/>
          <w:divBdr>
            <w:top w:val="none" w:sz="0" w:space="0" w:color="auto"/>
            <w:left w:val="none" w:sz="0" w:space="0" w:color="auto"/>
            <w:bottom w:val="none" w:sz="0" w:space="0" w:color="auto"/>
            <w:right w:val="none" w:sz="0" w:space="0" w:color="auto"/>
          </w:divBdr>
        </w:div>
        <w:div w:id="235867078">
          <w:marLeft w:val="0"/>
          <w:marRight w:val="0"/>
          <w:marTop w:val="0"/>
          <w:marBottom w:val="0"/>
          <w:divBdr>
            <w:top w:val="none" w:sz="0" w:space="0" w:color="auto"/>
            <w:left w:val="none" w:sz="0" w:space="0" w:color="auto"/>
            <w:bottom w:val="none" w:sz="0" w:space="0" w:color="auto"/>
            <w:right w:val="none" w:sz="0" w:space="0" w:color="auto"/>
          </w:divBdr>
        </w:div>
        <w:div w:id="671225988">
          <w:marLeft w:val="0"/>
          <w:marRight w:val="0"/>
          <w:marTop w:val="0"/>
          <w:marBottom w:val="0"/>
          <w:divBdr>
            <w:top w:val="none" w:sz="0" w:space="0" w:color="auto"/>
            <w:left w:val="none" w:sz="0" w:space="0" w:color="auto"/>
            <w:bottom w:val="none" w:sz="0" w:space="0" w:color="auto"/>
            <w:right w:val="none" w:sz="0" w:space="0" w:color="auto"/>
          </w:divBdr>
        </w:div>
        <w:div w:id="431827362">
          <w:marLeft w:val="0"/>
          <w:marRight w:val="0"/>
          <w:marTop w:val="0"/>
          <w:marBottom w:val="0"/>
          <w:divBdr>
            <w:top w:val="none" w:sz="0" w:space="0" w:color="auto"/>
            <w:left w:val="none" w:sz="0" w:space="0" w:color="auto"/>
            <w:bottom w:val="none" w:sz="0" w:space="0" w:color="auto"/>
            <w:right w:val="none" w:sz="0" w:space="0" w:color="auto"/>
          </w:divBdr>
        </w:div>
        <w:div w:id="841511608">
          <w:marLeft w:val="0"/>
          <w:marRight w:val="0"/>
          <w:marTop w:val="0"/>
          <w:marBottom w:val="0"/>
          <w:divBdr>
            <w:top w:val="none" w:sz="0" w:space="0" w:color="auto"/>
            <w:left w:val="none" w:sz="0" w:space="0" w:color="auto"/>
            <w:bottom w:val="none" w:sz="0" w:space="0" w:color="auto"/>
            <w:right w:val="none" w:sz="0" w:space="0" w:color="auto"/>
          </w:divBdr>
        </w:div>
        <w:div w:id="644313198">
          <w:marLeft w:val="0"/>
          <w:marRight w:val="0"/>
          <w:marTop w:val="0"/>
          <w:marBottom w:val="0"/>
          <w:divBdr>
            <w:top w:val="none" w:sz="0" w:space="0" w:color="auto"/>
            <w:left w:val="none" w:sz="0" w:space="0" w:color="auto"/>
            <w:bottom w:val="none" w:sz="0" w:space="0" w:color="auto"/>
            <w:right w:val="none" w:sz="0" w:space="0" w:color="auto"/>
          </w:divBdr>
        </w:div>
        <w:div w:id="1232040517">
          <w:marLeft w:val="0"/>
          <w:marRight w:val="0"/>
          <w:marTop w:val="0"/>
          <w:marBottom w:val="0"/>
          <w:divBdr>
            <w:top w:val="none" w:sz="0" w:space="0" w:color="auto"/>
            <w:left w:val="none" w:sz="0" w:space="0" w:color="auto"/>
            <w:bottom w:val="none" w:sz="0" w:space="0" w:color="auto"/>
            <w:right w:val="none" w:sz="0" w:space="0" w:color="auto"/>
          </w:divBdr>
        </w:div>
        <w:div w:id="1523930341">
          <w:marLeft w:val="0"/>
          <w:marRight w:val="0"/>
          <w:marTop w:val="0"/>
          <w:marBottom w:val="0"/>
          <w:divBdr>
            <w:top w:val="none" w:sz="0" w:space="0" w:color="auto"/>
            <w:left w:val="none" w:sz="0" w:space="0" w:color="auto"/>
            <w:bottom w:val="none" w:sz="0" w:space="0" w:color="auto"/>
            <w:right w:val="none" w:sz="0" w:space="0" w:color="auto"/>
          </w:divBdr>
        </w:div>
        <w:div w:id="2082679011">
          <w:marLeft w:val="0"/>
          <w:marRight w:val="0"/>
          <w:marTop w:val="0"/>
          <w:marBottom w:val="0"/>
          <w:divBdr>
            <w:top w:val="none" w:sz="0" w:space="0" w:color="auto"/>
            <w:left w:val="none" w:sz="0" w:space="0" w:color="auto"/>
            <w:bottom w:val="none" w:sz="0" w:space="0" w:color="auto"/>
            <w:right w:val="none" w:sz="0" w:space="0" w:color="auto"/>
          </w:divBdr>
        </w:div>
        <w:div w:id="381289908">
          <w:marLeft w:val="0"/>
          <w:marRight w:val="0"/>
          <w:marTop w:val="0"/>
          <w:marBottom w:val="0"/>
          <w:divBdr>
            <w:top w:val="none" w:sz="0" w:space="0" w:color="auto"/>
            <w:left w:val="none" w:sz="0" w:space="0" w:color="auto"/>
            <w:bottom w:val="none" w:sz="0" w:space="0" w:color="auto"/>
            <w:right w:val="none" w:sz="0" w:space="0" w:color="auto"/>
          </w:divBdr>
        </w:div>
        <w:div w:id="1445879057">
          <w:marLeft w:val="0"/>
          <w:marRight w:val="0"/>
          <w:marTop w:val="0"/>
          <w:marBottom w:val="0"/>
          <w:divBdr>
            <w:top w:val="none" w:sz="0" w:space="0" w:color="auto"/>
            <w:left w:val="none" w:sz="0" w:space="0" w:color="auto"/>
            <w:bottom w:val="none" w:sz="0" w:space="0" w:color="auto"/>
            <w:right w:val="none" w:sz="0" w:space="0" w:color="auto"/>
          </w:divBdr>
        </w:div>
        <w:div w:id="165294083">
          <w:marLeft w:val="0"/>
          <w:marRight w:val="0"/>
          <w:marTop w:val="0"/>
          <w:marBottom w:val="0"/>
          <w:divBdr>
            <w:top w:val="none" w:sz="0" w:space="0" w:color="auto"/>
            <w:left w:val="none" w:sz="0" w:space="0" w:color="auto"/>
            <w:bottom w:val="none" w:sz="0" w:space="0" w:color="auto"/>
            <w:right w:val="none" w:sz="0" w:space="0" w:color="auto"/>
          </w:divBdr>
        </w:div>
      </w:divsChild>
    </w:div>
    <w:div w:id="392317445">
      <w:bodyDiv w:val="1"/>
      <w:marLeft w:val="0"/>
      <w:marRight w:val="0"/>
      <w:marTop w:val="0"/>
      <w:marBottom w:val="0"/>
      <w:divBdr>
        <w:top w:val="none" w:sz="0" w:space="0" w:color="auto"/>
        <w:left w:val="none" w:sz="0" w:space="0" w:color="auto"/>
        <w:bottom w:val="none" w:sz="0" w:space="0" w:color="auto"/>
        <w:right w:val="none" w:sz="0" w:space="0" w:color="auto"/>
      </w:divBdr>
      <w:divsChild>
        <w:div w:id="388305236">
          <w:marLeft w:val="0"/>
          <w:marRight w:val="0"/>
          <w:marTop w:val="0"/>
          <w:marBottom w:val="0"/>
          <w:divBdr>
            <w:top w:val="none" w:sz="0" w:space="0" w:color="auto"/>
            <w:left w:val="none" w:sz="0" w:space="0" w:color="auto"/>
            <w:bottom w:val="none" w:sz="0" w:space="0" w:color="auto"/>
            <w:right w:val="none" w:sz="0" w:space="0" w:color="auto"/>
          </w:divBdr>
        </w:div>
        <w:div w:id="1667826023">
          <w:marLeft w:val="0"/>
          <w:marRight w:val="0"/>
          <w:marTop w:val="0"/>
          <w:marBottom w:val="0"/>
          <w:divBdr>
            <w:top w:val="none" w:sz="0" w:space="0" w:color="auto"/>
            <w:left w:val="none" w:sz="0" w:space="0" w:color="auto"/>
            <w:bottom w:val="none" w:sz="0" w:space="0" w:color="auto"/>
            <w:right w:val="none" w:sz="0" w:space="0" w:color="auto"/>
          </w:divBdr>
        </w:div>
        <w:div w:id="1301351259">
          <w:marLeft w:val="0"/>
          <w:marRight w:val="0"/>
          <w:marTop w:val="0"/>
          <w:marBottom w:val="0"/>
          <w:divBdr>
            <w:top w:val="none" w:sz="0" w:space="0" w:color="auto"/>
            <w:left w:val="none" w:sz="0" w:space="0" w:color="auto"/>
            <w:bottom w:val="none" w:sz="0" w:space="0" w:color="auto"/>
            <w:right w:val="none" w:sz="0" w:space="0" w:color="auto"/>
          </w:divBdr>
        </w:div>
        <w:div w:id="999505576">
          <w:marLeft w:val="0"/>
          <w:marRight w:val="0"/>
          <w:marTop w:val="0"/>
          <w:marBottom w:val="0"/>
          <w:divBdr>
            <w:top w:val="none" w:sz="0" w:space="0" w:color="auto"/>
            <w:left w:val="none" w:sz="0" w:space="0" w:color="auto"/>
            <w:bottom w:val="none" w:sz="0" w:space="0" w:color="auto"/>
            <w:right w:val="none" w:sz="0" w:space="0" w:color="auto"/>
          </w:divBdr>
        </w:div>
        <w:div w:id="1001276053">
          <w:marLeft w:val="0"/>
          <w:marRight w:val="0"/>
          <w:marTop w:val="0"/>
          <w:marBottom w:val="0"/>
          <w:divBdr>
            <w:top w:val="none" w:sz="0" w:space="0" w:color="auto"/>
            <w:left w:val="none" w:sz="0" w:space="0" w:color="auto"/>
            <w:bottom w:val="none" w:sz="0" w:space="0" w:color="auto"/>
            <w:right w:val="none" w:sz="0" w:space="0" w:color="auto"/>
          </w:divBdr>
        </w:div>
        <w:div w:id="2068794470">
          <w:marLeft w:val="0"/>
          <w:marRight w:val="0"/>
          <w:marTop w:val="0"/>
          <w:marBottom w:val="0"/>
          <w:divBdr>
            <w:top w:val="none" w:sz="0" w:space="0" w:color="auto"/>
            <w:left w:val="none" w:sz="0" w:space="0" w:color="auto"/>
            <w:bottom w:val="none" w:sz="0" w:space="0" w:color="auto"/>
            <w:right w:val="none" w:sz="0" w:space="0" w:color="auto"/>
          </w:divBdr>
        </w:div>
        <w:div w:id="278342785">
          <w:marLeft w:val="0"/>
          <w:marRight w:val="0"/>
          <w:marTop w:val="0"/>
          <w:marBottom w:val="0"/>
          <w:divBdr>
            <w:top w:val="none" w:sz="0" w:space="0" w:color="auto"/>
            <w:left w:val="none" w:sz="0" w:space="0" w:color="auto"/>
            <w:bottom w:val="none" w:sz="0" w:space="0" w:color="auto"/>
            <w:right w:val="none" w:sz="0" w:space="0" w:color="auto"/>
          </w:divBdr>
        </w:div>
        <w:div w:id="1936592068">
          <w:marLeft w:val="0"/>
          <w:marRight w:val="0"/>
          <w:marTop w:val="0"/>
          <w:marBottom w:val="0"/>
          <w:divBdr>
            <w:top w:val="none" w:sz="0" w:space="0" w:color="auto"/>
            <w:left w:val="none" w:sz="0" w:space="0" w:color="auto"/>
            <w:bottom w:val="none" w:sz="0" w:space="0" w:color="auto"/>
            <w:right w:val="none" w:sz="0" w:space="0" w:color="auto"/>
          </w:divBdr>
        </w:div>
        <w:div w:id="928656703">
          <w:marLeft w:val="0"/>
          <w:marRight w:val="0"/>
          <w:marTop w:val="0"/>
          <w:marBottom w:val="0"/>
          <w:divBdr>
            <w:top w:val="none" w:sz="0" w:space="0" w:color="auto"/>
            <w:left w:val="none" w:sz="0" w:space="0" w:color="auto"/>
            <w:bottom w:val="none" w:sz="0" w:space="0" w:color="auto"/>
            <w:right w:val="none" w:sz="0" w:space="0" w:color="auto"/>
          </w:divBdr>
        </w:div>
        <w:div w:id="1545099436">
          <w:marLeft w:val="0"/>
          <w:marRight w:val="0"/>
          <w:marTop w:val="0"/>
          <w:marBottom w:val="0"/>
          <w:divBdr>
            <w:top w:val="none" w:sz="0" w:space="0" w:color="auto"/>
            <w:left w:val="none" w:sz="0" w:space="0" w:color="auto"/>
            <w:bottom w:val="none" w:sz="0" w:space="0" w:color="auto"/>
            <w:right w:val="none" w:sz="0" w:space="0" w:color="auto"/>
          </w:divBdr>
        </w:div>
        <w:div w:id="1795638529">
          <w:marLeft w:val="0"/>
          <w:marRight w:val="0"/>
          <w:marTop w:val="0"/>
          <w:marBottom w:val="0"/>
          <w:divBdr>
            <w:top w:val="none" w:sz="0" w:space="0" w:color="auto"/>
            <w:left w:val="none" w:sz="0" w:space="0" w:color="auto"/>
            <w:bottom w:val="none" w:sz="0" w:space="0" w:color="auto"/>
            <w:right w:val="none" w:sz="0" w:space="0" w:color="auto"/>
          </w:divBdr>
        </w:div>
        <w:div w:id="1574388328">
          <w:marLeft w:val="0"/>
          <w:marRight w:val="0"/>
          <w:marTop w:val="0"/>
          <w:marBottom w:val="0"/>
          <w:divBdr>
            <w:top w:val="none" w:sz="0" w:space="0" w:color="auto"/>
            <w:left w:val="none" w:sz="0" w:space="0" w:color="auto"/>
            <w:bottom w:val="none" w:sz="0" w:space="0" w:color="auto"/>
            <w:right w:val="none" w:sz="0" w:space="0" w:color="auto"/>
          </w:divBdr>
        </w:div>
        <w:div w:id="947465988">
          <w:marLeft w:val="0"/>
          <w:marRight w:val="0"/>
          <w:marTop w:val="0"/>
          <w:marBottom w:val="0"/>
          <w:divBdr>
            <w:top w:val="none" w:sz="0" w:space="0" w:color="auto"/>
            <w:left w:val="none" w:sz="0" w:space="0" w:color="auto"/>
            <w:bottom w:val="none" w:sz="0" w:space="0" w:color="auto"/>
            <w:right w:val="none" w:sz="0" w:space="0" w:color="auto"/>
          </w:divBdr>
        </w:div>
        <w:div w:id="1210610366">
          <w:marLeft w:val="0"/>
          <w:marRight w:val="0"/>
          <w:marTop w:val="0"/>
          <w:marBottom w:val="0"/>
          <w:divBdr>
            <w:top w:val="none" w:sz="0" w:space="0" w:color="auto"/>
            <w:left w:val="none" w:sz="0" w:space="0" w:color="auto"/>
            <w:bottom w:val="none" w:sz="0" w:space="0" w:color="auto"/>
            <w:right w:val="none" w:sz="0" w:space="0" w:color="auto"/>
          </w:divBdr>
        </w:div>
      </w:divsChild>
    </w:div>
    <w:div w:id="656303160">
      <w:bodyDiv w:val="1"/>
      <w:marLeft w:val="0"/>
      <w:marRight w:val="0"/>
      <w:marTop w:val="0"/>
      <w:marBottom w:val="0"/>
      <w:divBdr>
        <w:top w:val="none" w:sz="0" w:space="0" w:color="auto"/>
        <w:left w:val="none" w:sz="0" w:space="0" w:color="auto"/>
        <w:bottom w:val="none" w:sz="0" w:space="0" w:color="auto"/>
        <w:right w:val="none" w:sz="0" w:space="0" w:color="auto"/>
      </w:divBdr>
    </w:div>
    <w:div w:id="1476677278">
      <w:bodyDiv w:val="1"/>
      <w:marLeft w:val="0"/>
      <w:marRight w:val="0"/>
      <w:marTop w:val="0"/>
      <w:marBottom w:val="0"/>
      <w:divBdr>
        <w:top w:val="none" w:sz="0" w:space="0" w:color="auto"/>
        <w:left w:val="none" w:sz="0" w:space="0" w:color="auto"/>
        <w:bottom w:val="none" w:sz="0" w:space="0" w:color="auto"/>
        <w:right w:val="none" w:sz="0" w:space="0" w:color="auto"/>
      </w:divBdr>
      <w:divsChild>
        <w:div w:id="1570651470">
          <w:marLeft w:val="0"/>
          <w:marRight w:val="0"/>
          <w:marTop w:val="0"/>
          <w:marBottom w:val="0"/>
          <w:divBdr>
            <w:top w:val="none" w:sz="0" w:space="0" w:color="auto"/>
            <w:left w:val="none" w:sz="0" w:space="0" w:color="auto"/>
            <w:bottom w:val="none" w:sz="0" w:space="0" w:color="auto"/>
            <w:right w:val="none" w:sz="0" w:space="0" w:color="auto"/>
          </w:divBdr>
        </w:div>
        <w:div w:id="2053073793">
          <w:marLeft w:val="0"/>
          <w:marRight w:val="0"/>
          <w:marTop w:val="0"/>
          <w:marBottom w:val="0"/>
          <w:divBdr>
            <w:top w:val="none" w:sz="0" w:space="0" w:color="auto"/>
            <w:left w:val="none" w:sz="0" w:space="0" w:color="auto"/>
            <w:bottom w:val="none" w:sz="0" w:space="0" w:color="auto"/>
            <w:right w:val="none" w:sz="0" w:space="0" w:color="auto"/>
          </w:divBdr>
        </w:div>
        <w:div w:id="1755862331">
          <w:marLeft w:val="0"/>
          <w:marRight w:val="0"/>
          <w:marTop w:val="0"/>
          <w:marBottom w:val="0"/>
          <w:divBdr>
            <w:top w:val="none" w:sz="0" w:space="0" w:color="auto"/>
            <w:left w:val="none" w:sz="0" w:space="0" w:color="auto"/>
            <w:bottom w:val="none" w:sz="0" w:space="0" w:color="auto"/>
            <w:right w:val="none" w:sz="0" w:space="0" w:color="auto"/>
          </w:divBdr>
        </w:div>
        <w:div w:id="1524783513">
          <w:marLeft w:val="0"/>
          <w:marRight w:val="0"/>
          <w:marTop w:val="0"/>
          <w:marBottom w:val="0"/>
          <w:divBdr>
            <w:top w:val="none" w:sz="0" w:space="0" w:color="auto"/>
            <w:left w:val="none" w:sz="0" w:space="0" w:color="auto"/>
            <w:bottom w:val="none" w:sz="0" w:space="0" w:color="auto"/>
            <w:right w:val="none" w:sz="0" w:space="0" w:color="auto"/>
          </w:divBdr>
        </w:div>
        <w:div w:id="1965386110">
          <w:marLeft w:val="0"/>
          <w:marRight w:val="0"/>
          <w:marTop w:val="0"/>
          <w:marBottom w:val="0"/>
          <w:divBdr>
            <w:top w:val="none" w:sz="0" w:space="0" w:color="auto"/>
            <w:left w:val="none" w:sz="0" w:space="0" w:color="auto"/>
            <w:bottom w:val="none" w:sz="0" w:space="0" w:color="auto"/>
            <w:right w:val="none" w:sz="0" w:space="0" w:color="auto"/>
          </w:divBdr>
        </w:div>
        <w:div w:id="1051806151">
          <w:marLeft w:val="0"/>
          <w:marRight w:val="0"/>
          <w:marTop w:val="0"/>
          <w:marBottom w:val="0"/>
          <w:divBdr>
            <w:top w:val="none" w:sz="0" w:space="0" w:color="auto"/>
            <w:left w:val="none" w:sz="0" w:space="0" w:color="auto"/>
            <w:bottom w:val="none" w:sz="0" w:space="0" w:color="auto"/>
            <w:right w:val="none" w:sz="0" w:space="0" w:color="auto"/>
          </w:divBdr>
        </w:div>
        <w:div w:id="66002851">
          <w:marLeft w:val="0"/>
          <w:marRight w:val="0"/>
          <w:marTop w:val="0"/>
          <w:marBottom w:val="0"/>
          <w:divBdr>
            <w:top w:val="none" w:sz="0" w:space="0" w:color="auto"/>
            <w:left w:val="none" w:sz="0" w:space="0" w:color="auto"/>
            <w:bottom w:val="none" w:sz="0" w:space="0" w:color="auto"/>
            <w:right w:val="none" w:sz="0" w:space="0" w:color="auto"/>
          </w:divBdr>
        </w:div>
        <w:div w:id="884294946">
          <w:marLeft w:val="0"/>
          <w:marRight w:val="0"/>
          <w:marTop w:val="0"/>
          <w:marBottom w:val="0"/>
          <w:divBdr>
            <w:top w:val="none" w:sz="0" w:space="0" w:color="auto"/>
            <w:left w:val="none" w:sz="0" w:space="0" w:color="auto"/>
            <w:bottom w:val="none" w:sz="0" w:space="0" w:color="auto"/>
            <w:right w:val="none" w:sz="0" w:space="0" w:color="auto"/>
          </w:divBdr>
        </w:div>
      </w:divsChild>
    </w:div>
    <w:div w:id="1523057797">
      <w:bodyDiv w:val="1"/>
      <w:marLeft w:val="0"/>
      <w:marRight w:val="0"/>
      <w:marTop w:val="0"/>
      <w:marBottom w:val="0"/>
      <w:divBdr>
        <w:top w:val="none" w:sz="0" w:space="0" w:color="auto"/>
        <w:left w:val="none" w:sz="0" w:space="0" w:color="auto"/>
        <w:bottom w:val="none" w:sz="0" w:space="0" w:color="auto"/>
        <w:right w:val="none" w:sz="0" w:space="0" w:color="auto"/>
      </w:divBdr>
    </w:div>
    <w:div w:id="1713267273">
      <w:bodyDiv w:val="1"/>
      <w:marLeft w:val="0"/>
      <w:marRight w:val="0"/>
      <w:marTop w:val="0"/>
      <w:marBottom w:val="0"/>
      <w:divBdr>
        <w:top w:val="none" w:sz="0" w:space="0" w:color="auto"/>
        <w:left w:val="none" w:sz="0" w:space="0" w:color="auto"/>
        <w:bottom w:val="none" w:sz="0" w:space="0" w:color="auto"/>
        <w:right w:val="none" w:sz="0" w:space="0" w:color="auto"/>
      </w:divBdr>
      <w:divsChild>
        <w:div w:id="881672197">
          <w:marLeft w:val="0"/>
          <w:marRight w:val="0"/>
          <w:marTop w:val="0"/>
          <w:marBottom w:val="0"/>
          <w:divBdr>
            <w:top w:val="none" w:sz="0" w:space="0" w:color="auto"/>
            <w:left w:val="none" w:sz="0" w:space="0" w:color="auto"/>
            <w:bottom w:val="none" w:sz="0" w:space="0" w:color="auto"/>
            <w:right w:val="none" w:sz="0" w:space="0" w:color="auto"/>
          </w:divBdr>
        </w:div>
        <w:div w:id="249629160">
          <w:marLeft w:val="0"/>
          <w:marRight w:val="0"/>
          <w:marTop w:val="0"/>
          <w:marBottom w:val="0"/>
          <w:divBdr>
            <w:top w:val="none" w:sz="0" w:space="0" w:color="auto"/>
            <w:left w:val="none" w:sz="0" w:space="0" w:color="auto"/>
            <w:bottom w:val="none" w:sz="0" w:space="0" w:color="auto"/>
            <w:right w:val="none" w:sz="0" w:space="0" w:color="auto"/>
          </w:divBdr>
        </w:div>
        <w:div w:id="96369940">
          <w:marLeft w:val="0"/>
          <w:marRight w:val="0"/>
          <w:marTop w:val="0"/>
          <w:marBottom w:val="0"/>
          <w:divBdr>
            <w:top w:val="none" w:sz="0" w:space="0" w:color="auto"/>
            <w:left w:val="none" w:sz="0" w:space="0" w:color="auto"/>
            <w:bottom w:val="none" w:sz="0" w:space="0" w:color="auto"/>
            <w:right w:val="none" w:sz="0" w:space="0" w:color="auto"/>
          </w:divBdr>
        </w:div>
        <w:div w:id="411007394">
          <w:marLeft w:val="0"/>
          <w:marRight w:val="0"/>
          <w:marTop w:val="0"/>
          <w:marBottom w:val="0"/>
          <w:divBdr>
            <w:top w:val="none" w:sz="0" w:space="0" w:color="auto"/>
            <w:left w:val="none" w:sz="0" w:space="0" w:color="auto"/>
            <w:bottom w:val="none" w:sz="0" w:space="0" w:color="auto"/>
            <w:right w:val="none" w:sz="0" w:space="0" w:color="auto"/>
          </w:divBdr>
        </w:div>
      </w:divsChild>
    </w:div>
    <w:div w:id="1796169398">
      <w:bodyDiv w:val="1"/>
      <w:marLeft w:val="0"/>
      <w:marRight w:val="0"/>
      <w:marTop w:val="0"/>
      <w:marBottom w:val="0"/>
      <w:divBdr>
        <w:top w:val="none" w:sz="0" w:space="0" w:color="auto"/>
        <w:left w:val="none" w:sz="0" w:space="0" w:color="auto"/>
        <w:bottom w:val="none" w:sz="0" w:space="0" w:color="auto"/>
        <w:right w:val="none" w:sz="0" w:space="0" w:color="auto"/>
      </w:divBdr>
    </w:div>
    <w:div w:id="2051876044">
      <w:bodyDiv w:val="1"/>
      <w:marLeft w:val="0"/>
      <w:marRight w:val="0"/>
      <w:marTop w:val="0"/>
      <w:marBottom w:val="0"/>
      <w:divBdr>
        <w:top w:val="none" w:sz="0" w:space="0" w:color="auto"/>
        <w:left w:val="none" w:sz="0" w:space="0" w:color="auto"/>
        <w:bottom w:val="none" w:sz="0" w:space="0" w:color="auto"/>
        <w:right w:val="none" w:sz="0" w:space="0" w:color="auto"/>
      </w:divBdr>
      <w:divsChild>
        <w:div w:id="632488761">
          <w:marLeft w:val="0"/>
          <w:marRight w:val="0"/>
          <w:marTop w:val="0"/>
          <w:marBottom w:val="0"/>
          <w:divBdr>
            <w:top w:val="none" w:sz="0" w:space="0" w:color="auto"/>
            <w:left w:val="none" w:sz="0" w:space="0" w:color="auto"/>
            <w:bottom w:val="none" w:sz="0" w:space="0" w:color="auto"/>
            <w:right w:val="none" w:sz="0" w:space="0" w:color="auto"/>
          </w:divBdr>
        </w:div>
        <w:div w:id="814613409">
          <w:marLeft w:val="0"/>
          <w:marRight w:val="0"/>
          <w:marTop w:val="0"/>
          <w:marBottom w:val="0"/>
          <w:divBdr>
            <w:top w:val="none" w:sz="0" w:space="0" w:color="auto"/>
            <w:left w:val="none" w:sz="0" w:space="0" w:color="auto"/>
            <w:bottom w:val="none" w:sz="0" w:space="0" w:color="auto"/>
            <w:right w:val="none" w:sz="0" w:space="0" w:color="auto"/>
          </w:divBdr>
        </w:div>
        <w:div w:id="1251546587">
          <w:marLeft w:val="0"/>
          <w:marRight w:val="0"/>
          <w:marTop w:val="0"/>
          <w:marBottom w:val="0"/>
          <w:divBdr>
            <w:top w:val="none" w:sz="0" w:space="0" w:color="auto"/>
            <w:left w:val="none" w:sz="0" w:space="0" w:color="auto"/>
            <w:bottom w:val="none" w:sz="0" w:space="0" w:color="auto"/>
            <w:right w:val="none" w:sz="0" w:space="0" w:color="auto"/>
          </w:divBdr>
        </w:div>
        <w:div w:id="1968268194">
          <w:marLeft w:val="0"/>
          <w:marRight w:val="0"/>
          <w:marTop w:val="0"/>
          <w:marBottom w:val="0"/>
          <w:divBdr>
            <w:top w:val="none" w:sz="0" w:space="0" w:color="auto"/>
            <w:left w:val="none" w:sz="0" w:space="0" w:color="auto"/>
            <w:bottom w:val="none" w:sz="0" w:space="0" w:color="auto"/>
            <w:right w:val="none" w:sz="0" w:space="0" w:color="auto"/>
          </w:divBdr>
        </w:div>
        <w:div w:id="1781755289">
          <w:marLeft w:val="0"/>
          <w:marRight w:val="0"/>
          <w:marTop w:val="0"/>
          <w:marBottom w:val="0"/>
          <w:divBdr>
            <w:top w:val="none" w:sz="0" w:space="0" w:color="auto"/>
            <w:left w:val="none" w:sz="0" w:space="0" w:color="auto"/>
            <w:bottom w:val="none" w:sz="0" w:space="0" w:color="auto"/>
            <w:right w:val="none" w:sz="0" w:space="0" w:color="auto"/>
          </w:divBdr>
        </w:div>
        <w:div w:id="516046520">
          <w:marLeft w:val="0"/>
          <w:marRight w:val="0"/>
          <w:marTop w:val="0"/>
          <w:marBottom w:val="0"/>
          <w:divBdr>
            <w:top w:val="none" w:sz="0" w:space="0" w:color="auto"/>
            <w:left w:val="none" w:sz="0" w:space="0" w:color="auto"/>
            <w:bottom w:val="none" w:sz="0" w:space="0" w:color="auto"/>
            <w:right w:val="none" w:sz="0" w:space="0" w:color="auto"/>
          </w:divBdr>
        </w:div>
        <w:div w:id="711346925">
          <w:marLeft w:val="0"/>
          <w:marRight w:val="0"/>
          <w:marTop w:val="0"/>
          <w:marBottom w:val="0"/>
          <w:divBdr>
            <w:top w:val="none" w:sz="0" w:space="0" w:color="auto"/>
            <w:left w:val="none" w:sz="0" w:space="0" w:color="auto"/>
            <w:bottom w:val="none" w:sz="0" w:space="0" w:color="auto"/>
            <w:right w:val="none" w:sz="0" w:space="0" w:color="auto"/>
          </w:divBdr>
        </w:div>
        <w:div w:id="199028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5129</Characters>
  <Application>Microsoft Office Word</Application>
  <DocSecurity>0</DocSecurity>
  <Lines>128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Jessica</dc:creator>
  <cp:keywords>2</cp:keywords>
  <dc:description/>
  <cp:lastModifiedBy>Moxon, KarenL</cp:lastModifiedBy>
  <cp:revision>4</cp:revision>
  <dcterms:created xsi:type="dcterms:W3CDTF">2021-04-12T23:51:00Z</dcterms:created>
  <dcterms:modified xsi:type="dcterms:W3CDTF">2021-04-12T23:51:00Z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1319624</vt:lpwstr>
  </property>
  <property fmtid="{D5CDD505-2E9C-101B-9397-08002B2CF9AE}" pid="4" name="JMSREQUIREDCHECKIN">
    <vt:lpwstr/>
  </property>
</Properties>
</file>