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08E8B73F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D051F3">
        <w:rPr>
          <w:rFonts w:ascii="Arial" w:hAnsi="Arial" w:cs="Arial"/>
          <w:b/>
          <w:bCs/>
          <w:sz w:val="24"/>
          <w:szCs w:val="24"/>
        </w:rPr>
        <w:t>1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32549087" w:rsidR="00741C4A" w:rsidRPr="00741C4A" w:rsidRDefault="00AA3032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UTILITIES AMENDMENT BILL</w:t>
      </w:r>
      <w:r w:rsidRPr="00741C4A">
        <w:rPr>
          <w:rFonts w:ascii="Arial" w:hAnsi="Arial" w:cs="Arial"/>
          <w:b/>
          <w:bCs/>
          <w:sz w:val="24"/>
          <w:szCs w:val="24"/>
        </w:rPr>
        <w:t xml:space="preserve"> 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>20</w:t>
      </w:r>
      <w:r w:rsidR="00130A37">
        <w:rPr>
          <w:rFonts w:ascii="Arial" w:hAnsi="Arial" w:cs="Arial"/>
          <w:b/>
          <w:bCs/>
          <w:sz w:val="24"/>
          <w:szCs w:val="24"/>
        </w:rPr>
        <w:t>2</w:t>
      </w:r>
      <w:r w:rsidR="00D051F3">
        <w:rPr>
          <w:rFonts w:ascii="Arial" w:hAnsi="Arial" w:cs="Arial"/>
          <w:b/>
          <w:bCs/>
          <w:sz w:val="24"/>
          <w:szCs w:val="24"/>
        </w:rPr>
        <w:t>1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5077609A" w:rsid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C1C818" w14:textId="77777777" w:rsidR="00E4177D" w:rsidRPr="00BB387E" w:rsidRDefault="00E4177D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77777777" w:rsidR="00BB387E" w:rsidRP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038A94D7" w14:textId="77777777" w:rsidR="00BC1B91" w:rsidRDefault="00BC1B91" w:rsidP="00BC1B91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</w:p>
    <w:p w14:paraId="49A34D3C" w14:textId="18D6CD31" w:rsidR="00BC1B91" w:rsidRPr="00BB387E" w:rsidRDefault="00BC1B91" w:rsidP="00BC1B91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Andrew Barr MLA</w:t>
      </w:r>
    </w:p>
    <w:p w14:paraId="5BBE2D1D" w14:textId="4ACEB04A" w:rsidR="00BB387E" w:rsidRDefault="00AA3032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Shane Rattenbu</w:t>
      </w:r>
      <w:r w:rsidR="006C541C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0ACAF6A" w14:textId="4C9112D3" w:rsidR="00ED3B77" w:rsidRPr="00BB387E" w:rsidRDefault="00AA3032" w:rsidP="008C225D">
      <w:pPr>
        <w:pStyle w:val="Heading1"/>
        <w:jc w:val="center"/>
      </w:pPr>
      <w:r>
        <w:lastRenderedPageBreak/>
        <w:t>UTILITIES AMENDMENT</w:t>
      </w:r>
      <w:r w:rsidR="00ED3B77" w:rsidRPr="00BB387E">
        <w:t xml:space="preserve"> BILL </w:t>
      </w:r>
      <w:r w:rsidR="00130A37" w:rsidRPr="00BB387E">
        <w:t>20</w:t>
      </w:r>
      <w:r w:rsidR="00130A37">
        <w:t>2</w:t>
      </w:r>
      <w:r w:rsidR="00D051F3">
        <w:t>1</w:t>
      </w:r>
    </w:p>
    <w:p w14:paraId="2612AE1F" w14:textId="77777777" w:rsid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7CB286A5" w:rsidR="00790FE4" w:rsidRPr="00230626" w:rsidRDefault="00834FC9" w:rsidP="00230626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230626">
        <w:rPr>
          <w:rFonts w:ascii="Arial" w:hAnsi="Arial" w:cs="Arial"/>
          <w:iCs/>
          <w:sz w:val="24"/>
          <w:szCs w:val="24"/>
        </w:rPr>
        <w:t xml:space="preserve">The Bill is not a Significant Bill. Significant Bills are bills that have been assessed as likely to have significant engagement of human rights and require more detailed reasoning in relation to compatibility with the </w:t>
      </w:r>
      <w:r w:rsidRPr="00572EDB">
        <w:rPr>
          <w:rFonts w:ascii="Arial" w:hAnsi="Arial" w:cs="Arial"/>
          <w:i/>
          <w:sz w:val="24"/>
          <w:szCs w:val="24"/>
        </w:rPr>
        <w:t>Human Rights Act 2004</w:t>
      </w:r>
      <w:r w:rsidRPr="00230626">
        <w:rPr>
          <w:rFonts w:ascii="Arial" w:hAnsi="Arial" w:cs="Arial"/>
          <w:iCs/>
          <w:sz w:val="24"/>
          <w:szCs w:val="24"/>
        </w:rPr>
        <w:t>.</w:t>
      </w:r>
    </w:p>
    <w:p w14:paraId="4016AE76" w14:textId="3CF6457D" w:rsidR="00230626" w:rsidRDefault="00230626" w:rsidP="00230626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This explanatory statement relates to the </w:t>
      </w:r>
      <w:r w:rsidRPr="00572EDB">
        <w:rPr>
          <w:rFonts w:ascii="Arial" w:hAnsi="Arial" w:cs="Arial"/>
          <w:i/>
          <w:sz w:val="24"/>
          <w:szCs w:val="24"/>
        </w:rPr>
        <w:t>Utilities Amendment Bill 2021</w:t>
      </w:r>
      <w:r>
        <w:rPr>
          <w:rFonts w:ascii="Arial" w:hAnsi="Arial" w:cs="Arial"/>
          <w:iCs/>
          <w:sz w:val="24"/>
          <w:szCs w:val="24"/>
        </w:rPr>
        <w:t xml:space="preserve"> (the Bill) as presented to the ACT Legislative Assembly. </w:t>
      </w:r>
    </w:p>
    <w:p w14:paraId="1B059315" w14:textId="34F8F282" w:rsidR="00230626" w:rsidRDefault="00230626" w:rsidP="00230626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statement is to be read in conjunction with the Bill. </w:t>
      </w:r>
      <w:r w:rsidR="00684F1B">
        <w:rPr>
          <w:rFonts w:ascii="Arial" w:hAnsi="Arial" w:cs="Arial"/>
          <w:iCs/>
          <w:sz w:val="24"/>
          <w:szCs w:val="24"/>
        </w:rPr>
        <w:t>I</w:t>
      </w:r>
      <w:r>
        <w:rPr>
          <w:rFonts w:ascii="Arial" w:hAnsi="Arial" w:cs="Arial"/>
          <w:iCs/>
          <w:sz w:val="24"/>
          <w:szCs w:val="24"/>
        </w:rPr>
        <w:t>t is not a complete description</w:t>
      </w:r>
      <w:r w:rsidR="00684F1B">
        <w:rPr>
          <w:rFonts w:ascii="Arial" w:hAnsi="Arial" w:cs="Arial"/>
          <w:iCs/>
          <w:sz w:val="24"/>
          <w:szCs w:val="24"/>
        </w:rPr>
        <w:t xml:space="preserve"> but </w:t>
      </w:r>
      <w:r>
        <w:rPr>
          <w:rFonts w:ascii="Arial" w:hAnsi="Arial" w:cs="Arial"/>
          <w:iCs/>
          <w:sz w:val="24"/>
          <w:szCs w:val="24"/>
        </w:rPr>
        <w:t xml:space="preserve">provides information about </w:t>
      </w:r>
      <w:r w:rsidR="00684F1B">
        <w:rPr>
          <w:rFonts w:ascii="Arial" w:hAnsi="Arial" w:cs="Arial"/>
          <w:iCs/>
          <w:sz w:val="24"/>
          <w:szCs w:val="24"/>
        </w:rPr>
        <w:t>the</w:t>
      </w:r>
      <w:r>
        <w:rPr>
          <w:rFonts w:ascii="Arial" w:hAnsi="Arial" w:cs="Arial"/>
          <w:iCs/>
          <w:sz w:val="24"/>
          <w:szCs w:val="24"/>
        </w:rPr>
        <w:t xml:space="preserve"> intent of the provisions in the Bill</w:t>
      </w:r>
      <w:r w:rsidR="00684F1B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4D7C249E" w14:textId="25A8275C" w:rsidR="00684F1B" w:rsidRPr="00230626" w:rsidRDefault="00684F1B" w:rsidP="00230626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It has been prepared to assist the reader. It does not form part of the Bill, has not been endorsed by the Assembly and is not to be taken as providing a definitive interpretation of the meaning of a provision.</w:t>
      </w:r>
    </w:p>
    <w:p w14:paraId="53027DD0" w14:textId="77777777" w:rsidR="00FF4855" w:rsidRDefault="00FF4855" w:rsidP="008C225D">
      <w:pPr>
        <w:pStyle w:val="Heading2"/>
      </w:pPr>
    </w:p>
    <w:p w14:paraId="29C29316" w14:textId="5367DFD3" w:rsidR="007B6A78" w:rsidRDefault="003323FA" w:rsidP="008C225D">
      <w:pPr>
        <w:pStyle w:val="Heading2"/>
      </w:pPr>
      <w:r>
        <w:t>OVERVIEW OF THE BILL</w:t>
      </w:r>
    </w:p>
    <w:p w14:paraId="229CC682" w14:textId="0F0DD495" w:rsidR="001F6F38" w:rsidRDefault="001F6F38" w:rsidP="004D0E75">
      <w:pPr>
        <w:spacing w:after="120"/>
        <w:ind w:right="-45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86141">
        <w:rPr>
          <w:rFonts w:ascii="Arial" w:hAnsi="Arial" w:cs="Arial"/>
          <w:b/>
          <w:bCs/>
          <w:iCs/>
          <w:sz w:val="24"/>
          <w:szCs w:val="24"/>
          <w:u w:val="single"/>
        </w:rPr>
        <w:t>B</w:t>
      </w:r>
      <w:r w:rsidR="00A86141" w:rsidRPr="00A86141">
        <w:rPr>
          <w:rFonts w:ascii="Arial" w:hAnsi="Arial" w:cs="Arial"/>
          <w:b/>
          <w:bCs/>
          <w:iCs/>
          <w:sz w:val="24"/>
          <w:szCs w:val="24"/>
          <w:u w:val="single"/>
        </w:rPr>
        <w:t>ackground</w:t>
      </w:r>
    </w:p>
    <w:p w14:paraId="20A1034A" w14:textId="4C0426C3" w:rsidR="00A86141" w:rsidRDefault="00C004B5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Regulating the price of </w:t>
      </w:r>
      <w:r w:rsidR="00E16DDF">
        <w:rPr>
          <w:rFonts w:ascii="Arial" w:hAnsi="Arial" w:cs="Arial"/>
          <w:iCs/>
          <w:sz w:val="24"/>
          <w:szCs w:val="24"/>
        </w:rPr>
        <w:t>electricity has contributed to the ACT having relatively lower prices than other capital cities</w:t>
      </w:r>
      <w:r w:rsidR="00684F1B">
        <w:rPr>
          <w:rFonts w:ascii="Arial" w:hAnsi="Arial" w:cs="Arial"/>
          <w:iCs/>
          <w:sz w:val="24"/>
          <w:szCs w:val="24"/>
        </w:rPr>
        <w:t>. However</w:t>
      </w:r>
      <w:r w:rsidR="00E16DDF">
        <w:rPr>
          <w:rFonts w:ascii="Arial" w:hAnsi="Arial" w:cs="Arial"/>
          <w:iCs/>
          <w:sz w:val="24"/>
          <w:szCs w:val="24"/>
        </w:rPr>
        <w:t xml:space="preserve">, comparing offers and discounts is still difficult for consumers because of how </w:t>
      </w:r>
      <w:r>
        <w:rPr>
          <w:rFonts w:ascii="Arial" w:hAnsi="Arial" w:cs="Arial"/>
          <w:iCs/>
          <w:sz w:val="24"/>
          <w:szCs w:val="24"/>
        </w:rPr>
        <w:t>deals</w:t>
      </w:r>
      <w:r w:rsidR="00684F1B">
        <w:rPr>
          <w:rFonts w:ascii="Arial" w:hAnsi="Arial" w:cs="Arial"/>
          <w:iCs/>
          <w:sz w:val="24"/>
          <w:szCs w:val="24"/>
        </w:rPr>
        <w:t xml:space="preserve"> </w:t>
      </w:r>
      <w:r w:rsidR="00E16DDF">
        <w:rPr>
          <w:rFonts w:ascii="Arial" w:hAnsi="Arial" w:cs="Arial"/>
          <w:iCs/>
          <w:sz w:val="24"/>
          <w:szCs w:val="24"/>
        </w:rPr>
        <w:t>are marketed and the</w:t>
      </w:r>
      <w:r w:rsidR="00684F1B">
        <w:rPr>
          <w:rFonts w:ascii="Arial" w:hAnsi="Arial" w:cs="Arial"/>
          <w:iCs/>
          <w:sz w:val="24"/>
          <w:szCs w:val="24"/>
        </w:rPr>
        <w:t xml:space="preserve"> different</w:t>
      </w:r>
      <w:r w:rsidR="00E16DDF">
        <w:rPr>
          <w:rFonts w:ascii="Arial" w:hAnsi="Arial" w:cs="Arial"/>
          <w:iCs/>
          <w:sz w:val="24"/>
          <w:szCs w:val="24"/>
        </w:rPr>
        <w:t xml:space="preserve"> types of information that is provided.</w:t>
      </w:r>
    </w:p>
    <w:p w14:paraId="58A9B469" w14:textId="0309BA32" w:rsidR="00E16DDF" w:rsidRDefault="00684F1B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 its </w:t>
      </w:r>
      <w:r w:rsidRPr="00572EDB">
        <w:rPr>
          <w:rFonts w:ascii="Arial" w:hAnsi="Arial" w:cs="Arial"/>
          <w:i/>
          <w:sz w:val="24"/>
          <w:szCs w:val="24"/>
        </w:rPr>
        <w:t xml:space="preserve">2020-24 Electricity Price Investigation </w:t>
      </w:r>
      <w:r>
        <w:rPr>
          <w:rFonts w:ascii="Arial" w:hAnsi="Arial" w:cs="Arial"/>
          <w:i/>
          <w:sz w:val="24"/>
          <w:szCs w:val="24"/>
        </w:rPr>
        <w:t>R</w:t>
      </w:r>
      <w:r w:rsidRPr="00572EDB">
        <w:rPr>
          <w:rFonts w:ascii="Arial" w:hAnsi="Arial" w:cs="Arial"/>
          <w:i/>
          <w:sz w:val="24"/>
          <w:szCs w:val="24"/>
        </w:rPr>
        <w:t>epor</w:t>
      </w:r>
      <w:r>
        <w:rPr>
          <w:rFonts w:ascii="Arial" w:hAnsi="Arial" w:cs="Arial"/>
          <w:i/>
          <w:sz w:val="24"/>
          <w:szCs w:val="24"/>
        </w:rPr>
        <w:t xml:space="preserve">t </w:t>
      </w:r>
      <w:r w:rsidR="006967AA">
        <w:rPr>
          <w:rFonts w:ascii="Arial" w:hAnsi="Arial" w:cs="Arial"/>
          <w:iCs/>
          <w:sz w:val="24"/>
          <w:szCs w:val="24"/>
        </w:rPr>
        <w:t xml:space="preserve">the Independent </w:t>
      </w:r>
      <w:r w:rsidR="00BC2FF8">
        <w:rPr>
          <w:rFonts w:ascii="Arial" w:hAnsi="Arial" w:cs="Arial"/>
          <w:iCs/>
          <w:sz w:val="24"/>
          <w:szCs w:val="24"/>
        </w:rPr>
        <w:t>Competition and Regulatory Commission (ICRC)</w:t>
      </w:r>
      <w:r w:rsidR="00CD4E0C">
        <w:rPr>
          <w:rFonts w:ascii="Arial" w:hAnsi="Arial" w:cs="Arial"/>
          <w:iCs/>
          <w:sz w:val="24"/>
          <w:szCs w:val="24"/>
        </w:rPr>
        <w:t xml:space="preserve"> recommended </w:t>
      </w:r>
      <w:r>
        <w:rPr>
          <w:rFonts w:ascii="Arial" w:hAnsi="Arial" w:cs="Arial"/>
          <w:iCs/>
          <w:sz w:val="24"/>
          <w:szCs w:val="24"/>
        </w:rPr>
        <w:t>that</w:t>
      </w:r>
      <w:r w:rsidR="00E154B4">
        <w:rPr>
          <w:rFonts w:ascii="Arial" w:hAnsi="Arial" w:cs="Arial"/>
          <w:iCs/>
          <w:sz w:val="24"/>
          <w:szCs w:val="24"/>
        </w:rPr>
        <w:t xml:space="preserve"> a reference price framework</w:t>
      </w:r>
      <w:r>
        <w:rPr>
          <w:rFonts w:ascii="Arial" w:hAnsi="Arial" w:cs="Arial"/>
          <w:iCs/>
          <w:sz w:val="24"/>
          <w:szCs w:val="24"/>
        </w:rPr>
        <w:t xml:space="preserve"> be introduced to improve the comparability and transparency of electricity offers</w:t>
      </w:r>
      <w:r w:rsidR="00E154B4">
        <w:rPr>
          <w:rFonts w:ascii="Arial" w:hAnsi="Arial" w:cs="Arial"/>
          <w:iCs/>
          <w:sz w:val="24"/>
          <w:szCs w:val="24"/>
        </w:rPr>
        <w:t xml:space="preserve"> in the ACT</w:t>
      </w:r>
      <w:r>
        <w:rPr>
          <w:rFonts w:ascii="Arial" w:hAnsi="Arial" w:cs="Arial"/>
          <w:iCs/>
          <w:sz w:val="24"/>
          <w:szCs w:val="24"/>
        </w:rPr>
        <w:t>. This recommendation</w:t>
      </w:r>
      <w:r w:rsidR="00E154B4">
        <w:rPr>
          <w:rFonts w:ascii="Arial" w:hAnsi="Arial" w:cs="Arial"/>
          <w:iCs/>
          <w:sz w:val="24"/>
          <w:szCs w:val="24"/>
        </w:rPr>
        <w:t xml:space="preserve"> is similar to the national Default Market Offer (DMO) scheme </w:t>
      </w:r>
      <w:r>
        <w:rPr>
          <w:rFonts w:ascii="Arial" w:hAnsi="Arial" w:cs="Arial"/>
          <w:iCs/>
          <w:sz w:val="24"/>
          <w:szCs w:val="24"/>
        </w:rPr>
        <w:t xml:space="preserve">which applies in NSW, </w:t>
      </w:r>
      <w:r w:rsidR="00D77E45">
        <w:rPr>
          <w:rFonts w:ascii="Arial" w:hAnsi="Arial" w:cs="Arial"/>
          <w:iCs/>
          <w:sz w:val="24"/>
          <w:szCs w:val="24"/>
        </w:rPr>
        <w:t xml:space="preserve">South East </w:t>
      </w:r>
      <w:r>
        <w:rPr>
          <w:rFonts w:ascii="Arial" w:hAnsi="Arial" w:cs="Arial"/>
          <w:iCs/>
          <w:sz w:val="24"/>
          <w:szCs w:val="24"/>
        </w:rPr>
        <w:t xml:space="preserve">QLD and </w:t>
      </w:r>
      <w:r w:rsidR="00D77E45">
        <w:rPr>
          <w:rFonts w:ascii="Arial" w:hAnsi="Arial" w:cs="Arial"/>
          <w:iCs/>
          <w:sz w:val="24"/>
          <w:szCs w:val="24"/>
        </w:rPr>
        <w:t>SA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E154B4">
        <w:rPr>
          <w:rFonts w:ascii="Arial" w:hAnsi="Arial" w:cs="Arial"/>
          <w:iCs/>
          <w:sz w:val="24"/>
          <w:szCs w:val="24"/>
        </w:rPr>
        <w:t xml:space="preserve">and Victorian Default Offer (VDO) scheme. </w:t>
      </w:r>
    </w:p>
    <w:p w14:paraId="3E8ADEB6" w14:textId="6B8020C8" w:rsidR="00E154B4" w:rsidRDefault="00CE0E91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Government committed to implement the ICRC’s recommendation</w:t>
      </w:r>
      <w:r w:rsidR="00572EDB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004B5">
        <w:rPr>
          <w:rFonts w:ascii="Arial" w:hAnsi="Arial" w:cs="Arial"/>
          <w:iCs/>
          <w:sz w:val="24"/>
          <w:szCs w:val="24"/>
        </w:rPr>
        <w:t xml:space="preserve">in 2021 </w:t>
      </w:r>
      <w:r>
        <w:rPr>
          <w:rFonts w:ascii="Arial" w:hAnsi="Arial" w:cs="Arial"/>
          <w:iCs/>
          <w:sz w:val="24"/>
          <w:szCs w:val="24"/>
        </w:rPr>
        <w:t xml:space="preserve">under the Parliamentary and Governing Agreement </w:t>
      </w:r>
      <w:r w:rsidR="00684F1B">
        <w:rPr>
          <w:rFonts w:ascii="Arial" w:hAnsi="Arial" w:cs="Arial"/>
          <w:iCs/>
          <w:sz w:val="24"/>
          <w:szCs w:val="24"/>
        </w:rPr>
        <w:t>(</w:t>
      </w:r>
      <w:r w:rsidR="00561C18">
        <w:rPr>
          <w:rFonts w:ascii="Arial" w:hAnsi="Arial" w:cs="Arial"/>
          <w:iCs/>
          <w:sz w:val="24"/>
          <w:szCs w:val="24"/>
        </w:rPr>
        <w:t>Action A.</w:t>
      </w:r>
      <w:r w:rsidR="00684F1B">
        <w:rPr>
          <w:rFonts w:ascii="Arial" w:hAnsi="Arial" w:cs="Arial"/>
          <w:iCs/>
          <w:sz w:val="24"/>
          <w:szCs w:val="24"/>
        </w:rPr>
        <w:t>1(x)</w:t>
      </w:r>
      <w:r w:rsidR="005E28E9">
        <w:rPr>
          <w:rFonts w:ascii="Arial" w:hAnsi="Arial" w:cs="Arial"/>
          <w:iCs/>
          <w:sz w:val="24"/>
          <w:szCs w:val="24"/>
        </w:rPr>
        <w:t>)</w:t>
      </w:r>
      <w:r w:rsidR="00684F1B">
        <w:rPr>
          <w:rFonts w:ascii="Arial" w:hAnsi="Arial" w:cs="Arial"/>
          <w:iCs/>
          <w:sz w:val="24"/>
          <w:szCs w:val="24"/>
        </w:rPr>
        <w:t xml:space="preserve"> </w:t>
      </w:r>
      <w:r w:rsidR="00C004B5">
        <w:rPr>
          <w:rFonts w:ascii="Arial" w:hAnsi="Arial" w:cs="Arial"/>
          <w:iCs/>
          <w:sz w:val="24"/>
          <w:szCs w:val="24"/>
        </w:rPr>
        <w:t xml:space="preserve">in order </w:t>
      </w:r>
      <w:r>
        <w:rPr>
          <w:rFonts w:ascii="Arial" w:hAnsi="Arial" w:cs="Arial"/>
          <w:iCs/>
          <w:sz w:val="24"/>
          <w:szCs w:val="24"/>
        </w:rPr>
        <w:t xml:space="preserve">to make it simpler for ACT customers to get better energy deals. </w:t>
      </w:r>
    </w:p>
    <w:p w14:paraId="2A031148" w14:textId="36F6C5BD" w:rsidR="009622C4" w:rsidRPr="009622C4" w:rsidRDefault="009010E3" w:rsidP="004D0E75">
      <w:pPr>
        <w:spacing w:after="120"/>
        <w:ind w:right="-45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010E3">
        <w:rPr>
          <w:rFonts w:ascii="Arial" w:hAnsi="Arial" w:cs="Arial"/>
          <w:b/>
          <w:bCs/>
          <w:iCs/>
          <w:sz w:val="24"/>
          <w:szCs w:val="24"/>
          <w:u w:val="single"/>
        </w:rPr>
        <w:t>Purpose of the Bill</w:t>
      </w:r>
    </w:p>
    <w:p w14:paraId="240E2E34" w14:textId="0A047A11" w:rsidR="009010E3" w:rsidRDefault="009622C4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9010E3">
        <w:rPr>
          <w:rFonts w:ascii="Arial" w:hAnsi="Arial" w:cs="Arial"/>
          <w:iCs/>
          <w:sz w:val="24"/>
          <w:szCs w:val="24"/>
        </w:rPr>
        <w:t xml:space="preserve">he objective of the Bill is </w:t>
      </w:r>
      <w:r>
        <w:rPr>
          <w:rFonts w:ascii="Arial" w:hAnsi="Arial" w:cs="Arial"/>
          <w:iCs/>
          <w:sz w:val="24"/>
          <w:szCs w:val="24"/>
        </w:rPr>
        <w:t>to give effect of the Government’s commitment by</w:t>
      </w:r>
      <w:r w:rsidR="009010E3">
        <w:rPr>
          <w:rFonts w:ascii="Arial" w:hAnsi="Arial" w:cs="Arial"/>
          <w:iCs/>
          <w:sz w:val="24"/>
          <w:szCs w:val="24"/>
        </w:rPr>
        <w:t xml:space="preserve"> introducing the required reference price framework</w:t>
      </w:r>
      <w:r w:rsidR="00170FA5">
        <w:rPr>
          <w:rFonts w:ascii="Arial" w:hAnsi="Arial" w:cs="Arial"/>
          <w:iCs/>
          <w:sz w:val="24"/>
          <w:szCs w:val="24"/>
        </w:rPr>
        <w:t xml:space="preserve">, which </w:t>
      </w:r>
      <w:r w:rsidR="00640683">
        <w:rPr>
          <w:rFonts w:ascii="Arial" w:hAnsi="Arial" w:cs="Arial"/>
          <w:iCs/>
          <w:sz w:val="24"/>
          <w:szCs w:val="24"/>
        </w:rPr>
        <w:t>will</w:t>
      </w:r>
      <w:r w:rsidR="00170FA5">
        <w:rPr>
          <w:rFonts w:ascii="Arial" w:hAnsi="Arial" w:cs="Arial"/>
          <w:iCs/>
          <w:sz w:val="24"/>
          <w:szCs w:val="24"/>
        </w:rPr>
        <w:t xml:space="preserve"> provide ACT consumers with a consistent benchmark to compare alternative offers and make informed choices regarding </w:t>
      </w:r>
      <w:r w:rsidR="00C004B5">
        <w:rPr>
          <w:rFonts w:ascii="Arial" w:hAnsi="Arial" w:cs="Arial"/>
          <w:iCs/>
          <w:sz w:val="24"/>
          <w:szCs w:val="24"/>
        </w:rPr>
        <w:t xml:space="preserve">their </w:t>
      </w:r>
      <w:r w:rsidR="00170FA5">
        <w:rPr>
          <w:rFonts w:ascii="Arial" w:hAnsi="Arial" w:cs="Arial"/>
          <w:iCs/>
          <w:sz w:val="24"/>
          <w:szCs w:val="24"/>
        </w:rPr>
        <w:t xml:space="preserve">electricity contract. </w:t>
      </w:r>
    </w:p>
    <w:p w14:paraId="0DC94893" w14:textId="2BDFB134" w:rsidR="00170FA5" w:rsidRDefault="00170FA5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Bill inserts new provisions into the Utilities Act that</w:t>
      </w:r>
      <w:r w:rsidR="004E1885">
        <w:rPr>
          <w:rFonts w:ascii="Arial" w:hAnsi="Arial" w:cs="Arial"/>
          <w:iCs/>
          <w:sz w:val="24"/>
          <w:szCs w:val="24"/>
        </w:rPr>
        <w:t xml:space="preserve"> would</w:t>
      </w:r>
      <w:r>
        <w:rPr>
          <w:rFonts w:ascii="Arial" w:hAnsi="Arial" w:cs="Arial"/>
          <w:iCs/>
          <w:sz w:val="24"/>
          <w:szCs w:val="24"/>
        </w:rPr>
        <w:t>:</w:t>
      </w:r>
    </w:p>
    <w:p w14:paraId="5412E764" w14:textId="5FAC56D6" w:rsidR="00170FA5" w:rsidRDefault="00572EDB" w:rsidP="00170FA5">
      <w:pPr>
        <w:pStyle w:val="ListParagraph"/>
        <w:numPr>
          <w:ilvl w:val="0"/>
          <w:numId w:val="50"/>
        </w:num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grant</w:t>
      </w:r>
      <w:r w:rsidR="009A355D">
        <w:rPr>
          <w:rFonts w:ascii="Arial" w:hAnsi="Arial" w:cs="Arial"/>
          <w:iCs/>
          <w:sz w:val="24"/>
          <w:szCs w:val="24"/>
        </w:rPr>
        <w:t xml:space="preserve"> power to the </w:t>
      </w:r>
      <w:r w:rsidR="006E24D9">
        <w:rPr>
          <w:rFonts w:ascii="Arial" w:hAnsi="Arial" w:cs="Arial"/>
          <w:iCs/>
          <w:sz w:val="24"/>
          <w:szCs w:val="24"/>
        </w:rPr>
        <w:t xml:space="preserve">Treasurer and the </w:t>
      </w:r>
      <w:r w:rsidR="009A355D">
        <w:rPr>
          <w:rFonts w:ascii="Arial" w:hAnsi="Arial" w:cs="Arial"/>
          <w:iCs/>
          <w:sz w:val="24"/>
          <w:szCs w:val="24"/>
        </w:rPr>
        <w:t xml:space="preserve">Minister </w:t>
      </w:r>
      <w:r w:rsidR="006E24D9">
        <w:rPr>
          <w:rFonts w:ascii="Arial" w:hAnsi="Arial" w:cs="Arial"/>
          <w:iCs/>
          <w:sz w:val="24"/>
          <w:szCs w:val="24"/>
        </w:rPr>
        <w:t xml:space="preserve">for Water, Energy and Emissions Reduction </w:t>
      </w:r>
      <w:r w:rsidR="009A355D">
        <w:rPr>
          <w:rFonts w:ascii="Arial" w:hAnsi="Arial" w:cs="Arial"/>
          <w:iCs/>
          <w:sz w:val="24"/>
          <w:szCs w:val="24"/>
        </w:rPr>
        <w:t>to determine the reference price</w:t>
      </w:r>
      <w:r w:rsidR="00491D0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through a notifiable instrument</w:t>
      </w:r>
      <w:r w:rsidR="00491D02">
        <w:rPr>
          <w:rFonts w:ascii="Arial" w:hAnsi="Arial" w:cs="Arial"/>
          <w:iCs/>
          <w:sz w:val="24"/>
          <w:szCs w:val="24"/>
        </w:rPr>
        <w:t xml:space="preserve">; </w:t>
      </w:r>
    </w:p>
    <w:p w14:paraId="39A4D8A7" w14:textId="3E38AC09" w:rsidR="00491D02" w:rsidRDefault="004E1885" w:rsidP="00170FA5">
      <w:pPr>
        <w:pStyle w:val="ListParagraph"/>
        <w:numPr>
          <w:ilvl w:val="0"/>
          <w:numId w:val="50"/>
        </w:num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require </w:t>
      </w:r>
      <w:r w:rsidR="004B0777">
        <w:rPr>
          <w:rFonts w:ascii="Arial" w:hAnsi="Arial" w:cs="Arial"/>
          <w:iCs/>
          <w:sz w:val="24"/>
          <w:szCs w:val="24"/>
        </w:rPr>
        <w:t xml:space="preserve">energy </w:t>
      </w:r>
      <w:r w:rsidR="0050596F">
        <w:rPr>
          <w:rFonts w:ascii="Arial" w:hAnsi="Arial" w:cs="Arial"/>
          <w:iCs/>
          <w:sz w:val="24"/>
          <w:szCs w:val="24"/>
        </w:rPr>
        <w:t xml:space="preserve">retailers to </w:t>
      </w:r>
      <w:r w:rsidR="004B0777">
        <w:rPr>
          <w:rFonts w:ascii="Arial" w:hAnsi="Arial" w:cs="Arial"/>
          <w:iCs/>
          <w:sz w:val="24"/>
          <w:szCs w:val="24"/>
        </w:rPr>
        <w:t xml:space="preserve">provide information that allows </w:t>
      </w:r>
      <w:r w:rsidR="005E28E9">
        <w:rPr>
          <w:rFonts w:ascii="Arial" w:hAnsi="Arial" w:cs="Arial"/>
          <w:iCs/>
          <w:sz w:val="24"/>
          <w:szCs w:val="24"/>
        </w:rPr>
        <w:t xml:space="preserve">customers </w:t>
      </w:r>
      <w:r w:rsidR="004B0777">
        <w:rPr>
          <w:rFonts w:ascii="Arial" w:hAnsi="Arial" w:cs="Arial"/>
          <w:iCs/>
          <w:sz w:val="24"/>
          <w:szCs w:val="24"/>
        </w:rPr>
        <w:t xml:space="preserve">to compare different offers, via a reference mechanism; </w:t>
      </w:r>
      <w:r w:rsidR="003F4F01">
        <w:rPr>
          <w:rFonts w:ascii="Arial" w:hAnsi="Arial" w:cs="Arial"/>
          <w:iCs/>
          <w:sz w:val="24"/>
          <w:szCs w:val="24"/>
        </w:rPr>
        <w:t xml:space="preserve">and </w:t>
      </w:r>
    </w:p>
    <w:p w14:paraId="05D7A88E" w14:textId="70777922" w:rsidR="004E1885" w:rsidRPr="004B0777" w:rsidRDefault="004B0777" w:rsidP="004B0777">
      <w:pPr>
        <w:pStyle w:val="ListParagraph"/>
        <w:numPr>
          <w:ilvl w:val="0"/>
          <w:numId w:val="50"/>
        </w:num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introduce a ‘Clear Advice Entitlement’ to </w:t>
      </w:r>
      <w:r w:rsidR="003F4F01">
        <w:rPr>
          <w:rFonts w:ascii="Arial" w:hAnsi="Arial" w:cs="Arial"/>
          <w:iCs/>
          <w:sz w:val="24"/>
          <w:szCs w:val="24"/>
        </w:rPr>
        <w:t xml:space="preserve">require retailers to notify </w:t>
      </w:r>
      <w:r>
        <w:rPr>
          <w:rFonts w:ascii="Arial" w:hAnsi="Arial" w:cs="Arial"/>
          <w:iCs/>
          <w:sz w:val="24"/>
          <w:szCs w:val="24"/>
        </w:rPr>
        <w:t xml:space="preserve">existing </w:t>
      </w:r>
      <w:r w:rsidR="003F4F01">
        <w:rPr>
          <w:rFonts w:ascii="Arial" w:hAnsi="Arial" w:cs="Arial"/>
          <w:iCs/>
          <w:sz w:val="24"/>
          <w:szCs w:val="24"/>
        </w:rPr>
        <w:t xml:space="preserve">customers if </w:t>
      </w:r>
      <w:r>
        <w:rPr>
          <w:rFonts w:ascii="Arial" w:hAnsi="Arial" w:cs="Arial"/>
          <w:iCs/>
          <w:sz w:val="24"/>
          <w:szCs w:val="24"/>
        </w:rPr>
        <w:t xml:space="preserve">they have </w:t>
      </w:r>
      <w:r w:rsidR="003F4F01">
        <w:rPr>
          <w:rFonts w:ascii="Arial" w:hAnsi="Arial" w:cs="Arial"/>
          <w:iCs/>
          <w:sz w:val="24"/>
          <w:szCs w:val="24"/>
        </w:rPr>
        <w:t>a better offer</w:t>
      </w:r>
      <w:r>
        <w:rPr>
          <w:rFonts w:ascii="Arial" w:hAnsi="Arial" w:cs="Arial"/>
          <w:iCs/>
          <w:sz w:val="24"/>
          <w:szCs w:val="24"/>
        </w:rPr>
        <w:t>.</w:t>
      </w:r>
      <w:r w:rsidR="003F4F01" w:rsidRPr="004B0777">
        <w:rPr>
          <w:rFonts w:ascii="Arial" w:hAnsi="Arial" w:cs="Arial"/>
          <w:iCs/>
          <w:sz w:val="24"/>
          <w:szCs w:val="24"/>
        </w:rPr>
        <w:t xml:space="preserve"> </w:t>
      </w:r>
    </w:p>
    <w:p w14:paraId="18978673" w14:textId="16E07886" w:rsidR="009010E3" w:rsidRDefault="00D06F53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An industry code is </w:t>
      </w:r>
      <w:r w:rsidR="00D03F67">
        <w:rPr>
          <w:rFonts w:ascii="Arial" w:hAnsi="Arial" w:cs="Arial"/>
          <w:iCs/>
          <w:sz w:val="24"/>
          <w:szCs w:val="24"/>
        </w:rPr>
        <w:t xml:space="preserve">being developed by the ICRC, which will </w:t>
      </w:r>
      <w:r>
        <w:rPr>
          <w:rFonts w:ascii="Arial" w:hAnsi="Arial" w:cs="Arial"/>
          <w:iCs/>
          <w:sz w:val="24"/>
          <w:szCs w:val="24"/>
        </w:rPr>
        <w:t xml:space="preserve">set out how and when retailers must provide the information to customers. The ICRC will monitor compliance with the code. A maximum of 3000 penalty units applies for each occurrence of non-compliance with an </w:t>
      </w:r>
      <w:r w:rsidR="00D03F67">
        <w:rPr>
          <w:rFonts w:ascii="Arial" w:hAnsi="Arial" w:cs="Arial"/>
          <w:iCs/>
          <w:sz w:val="24"/>
          <w:szCs w:val="24"/>
        </w:rPr>
        <w:t xml:space="preserve">industry code. The value of a penalty unit is currently $810 for a corporation, equating to a maximum of $2,430,000. </w:t>
      </w:r>
    </w:p>
    <w:p w14:paraId="45E8E940" w14:textId="77777777" w:rsidR="00E5466B" w:rsidRDefault="00E5466B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</w:p>
    <w:p w14:paraId="5D5C6C0D" w14:textId="6D5714C2" w:rsidR="00E65AA5" w:rsidRDefault="00AC59DF" w:rsidP="00414921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42981FF6" w14:textId="17DB2627" w:rsidR="008C60FF" w:rsidRDefault="008C60FF" w:rsidP="0041492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concept of </w:t>
      </w:r>
      <w:r w:rsidR="005E28E9">
        <w:rPr>
          <w:rFonts w:ascii="Arial" w:hAnsi="Arial" w:cs="Arial"/>
          <w:iCs/>
          <w:sz w:val="24"/>
          <w:szCs w:val="24"/>
        </w:rPr>
        <w:t xml:space="preserve">a </w:t>
      </w:r>
      <w:r>
        <w:rPr>
          <w:rFonts w:ascii="Arial" w:hAnsi="Arial" w:cs="Arial"/>
          <w:iCs/>
          <w:sz w:val="24"/>
          <w:szCs w:val="24"/>
        </w:rPr>
        <w:t xml:space="preserve">reference price framework and </w:t>
      </w:r>
      <w:r w:rsidR="00AA6E7A">
        <w:rPr>
          <w:rFonts w:ascii="Arial" w:hAnsi="Arial" w:cs="Arial"/>
          <w:iCs/>
          <w:sz w:val="24"/>
          <w:szCs w:val="24"/>
        </w:rPr>
        <w:t>main components/parameters</w:t>
      </w:r>
      <w:r>
        <w:rPr>
          <w:rFonts w:ascii="Arial" w:hAnsi="Arial" w:cs="Arial"/>
          <w:iCs/>
          <w:sz w:val="24"/>
          <w:szCs w:val="24"/>
        </w:rPr>
        <w:t xml:space="preserve"> for the framework </w:t>
      </w:r>
      <w:r w:rsidR="005E28E9">
        <w:rPr>
          <w:rFonts w:ascii="Arial" w:hAnsi="Arial" w:cs="Arial"/>
          <w:iCs/>
          <w:sz w:val="24"/>
          <w:szCs w:val="24"/>
        </w:rPr>
        <w:t xml:space="preserve">were </w:t>
      </w:r>
      <w:r w:rsidR="00AA6E7A">
        <w:rPr>
          <w:rFonts w:ascii="Arial" w:hAnsi="Arial" w:cs="Arial"/>
          <w:iCs/>
          <w:sz w:val="24"/>
          <w:szCs w:val="24"/>
        </w:rPr>
        <w:t>consulted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E28E9">
        <w:rPr>
          <w:rFonts w:ascii="Arial" w:hAnsi="Arial" w:cs="Arial"/>
          <w:iCs/>
          <w:sz w:val="24"/>
          <w:szCs w:val="24"/>
        </w:rPr>
        <w:t xml:space="preserve">on </w:t>
      </w:r>
      <w:r>
        <w:rPr>
          <w:rFonts w:ascii="Arial" w:hAnsi="Arial" w:cs="Arial"/>
          <w:iCs/>
          <w:sz w:val="24"/>
          <w:szCs w:val="24"/>
        </w:rPr>
        <w:t xml:space="preserve">as part of the ICRC’s </w:t>
      </w:r>
      <w:r w:rsidR="00034EDA">
        <w:rPr>
          <w:rFonts w:ascii="Arial" w:hAnsi="Arial" w:cs="Arial"/>
          <w:iCs/>
          <w:sz w:val="24"/>
          <w:szCs w:val="24"/>
        </w:rPr>
        <w:t>20</w:t>
      </w:r>
      <w:r w:rsidR="001F0578">
        <w:rPr>
          <w:rFonts w:ascii="Arial" w:hAnsi="Arial" w:cs="Arial"/>
          <w:iCs/>
          <w:sz w:val="24"/>
          <w:szCs w:val="24"/>
        </w:rPr>
        <w:t>20</w:t>
      </w:r>
      <w:r w:rsidR="00034EDA">
        <w:rPr>
          <w:rFonts w:ascii="Arial" w:hAnsi="Arial" w:cs="Arial"/>
          <w:iCs/>
          <w:sz w:val="24"/>
          <w:szCs w:val="24"/>
        </w:rPr>
        <w:t>-24 electricity price investigation project in 201</w:t>
      </w:r>
      <w:r w:rsidR="001F0578">
        <w:rPr>
          <w:rFonts w:ascii="Arial" w:hAnsi="Arial" w:cs="Arial"/>
          <w:iCs/>
          <w:sz w:val="24"/>
          <w:szCs w:val="24"/>
        </w:rPr>
        <w:t>9</w:t>
      </w:r>
      <w:r w:rsidR="00034EDA">
        <w:rPr>
          <w:rFonts w:ascii="Arial" w:hAnsi="Arial" w:cs="Arial"/>
          <w:iCs/>
          <w:sz w:val="24"/>
          <w:szCs w:val="24"/>
        </w:rPr>
        <w:t>-</w:t>
      </w:r>
      <w:r w:rsidR="001F0578">
        <w:rPr>
          <w:rFonts w:ascii="Arial" w:hAnsi="Arial" w:cs="Arial"/>
          <w:iCs/>
          <w:sz w:val="24"/>
          <w:szCs w:val="24"/>
        </w:rPr>
        <w:t>20</w:t>
      </w:r>
      <w:r w:rsidR="00AA6E7A">
        <w:rPr>
          <w:rFonts w:ascii="Arial" w:hAnsi="Arial" w:cs="Arial"/>
          <w:iCs/>
          <w:sz w:val="24"/>
          <w:szCs w:val="24"/>
        </w:rPr>
        <w:t>.</w:t>
      </w:r>
    </w:p>
    <w:p w14:paraId="498BF3D1" w14:textId="561E5601" w:rsidR="00006333" w:rsidRDefault="00FA22F5" w:rsidP="0041492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ICRC is currently undertaking further consultation on the draft industry code which covers the detailed requirements for retailers to implement the </w:t>
      </w:r>
      <w:r w:rsidR="00006333">
        <w:rPr>
          <w:rFonts w:ascii="Arial" w:hAnsi="Arial" w:cs="Arial"/>
          <w:iCs/>
          <w:sz w:val="24"/>
          <w:szCs w:val="24"/>
        </w:rPr>
        <w:t>new obligations created under the provisions of the Bill.</w:t>
      </w:r>
    </w:p>
    <w:p w14:paraId="6FBFF38A" w14:textId="77777777" w:rsidR="00E4177D" w:rsidRDefault="00E4177D" w:rsidP="008C225D">
      <w:pPr>
        <w:pStyle w:val="Heading2"/>
      </w:pPr>
    </w:p>
    <w:p w14:paraId="1A2BA5E1" w14:textId="2DB7658F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2B4477B9" w14:textId="70918E74" w:rsidR="00023B23" w:rsidRPr="00E4177D" w:rsidRDefault="00DA5B49" w:rsidP="007A33E6">
      <w:pPr>
        <w:shd w:val="clear" w:color="auto" w:fill="FFFFFF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</w:t>
      </w:r>
      <w:r w:rsidR="00E4177D" w:rsidRPr="00E4177D">
        <w:rPr>
          <w:rFonts w:ascii="Arial" w:hAnsi="Arial" w:cs="Arial"/>
          <w:iCs/>
          <w:sz w:val="24"/>
          <w:szCs w:val="24"/>
        </w:rPr>
        <w:t xml:space="preserve"> Bill does not engage, promote or limit human rights under the </w:t>
      </w:r>
      <w:r w:rsidR="00E4177D" w:rsidRPr="00E4177D">
        <w:rPr>
          <w:rFonts w:ascii="Arial" w:hAnsi="Arial" w:cs="Arial"/>
          <w:i/>
          <w:sz w:val="24"/>
          <w:szCs w:val="24"/>
        </w:rPr>
        <w:t>Human Rights Act 2004</w:t>
      </w:r>
      <w:r w:rsidR="00E4177D" w:rsidRPr="00E4177D">
        <w:rPr>
          <w:rFonts w:ascii="Arial" w:hAnsi="Arial" w:cs="Arial"/>
          <w:iCs/>
          <w:sz w:val="24"/>
          <w:szCs w:val="24"/>
        </w:rPr>
        <w:t xml:space="preserve">. </w:t>
      </w:r>
    </w:p>
    <w:p w14:paraId="08425904" w14:textId="745D93FD" w:rsidR="00BC3EF0" w:rsidRDefault="00BC3EF0" w:rsidP="00414921">
      <w:pPr>
        <w:rPr>
          <w:rFonts w:ascii="Arial" w:hAnsi="Arial" w:cs="Arial"/>
          <w:i/>
          <w:color w:val="FF0000"/>
          <w:sz w:val="24"/>
          <w:szCs w:val="24"/>
        </w:rPr>
      </w:pPr>
    </w:p>
    <w:p w14:paraId="04F50CE4" w14:textId="57ABFD10" w:rsidR="00774277" w:rsidRDefault="00774277">
      <w:pPr>
        <w:spacing w:after="0" w:line="240" w:lineRule="auto"/>
        <w:rPr>
          <w:rFonts w:asciiTheme="minorHAnsi" w:eastAsiaTheme="majorEastAsia" w:hAnsiTheme="minorHAnsi" w:cs="Arial"/>
          <w:sz w:val="28"/>
          <w:szCs w:val="28"/>
          <w:lang w:eastAsia="en-AU"/>
        </w:rPr>
      </w:pPr>
      <w:bookmarkStart w:id="0" w:name="OLE_LINK1"/>
      <w:r>
        <w:rPr>
          <w:rFonts w:asciiTheme="minorHAnsi" w:hAnsiTheme="minorHAnsi" w:cs="Arial"/>
          <w:b/>
          <w:sz w:val="28"/>
          <w:szCs w:val="28"/>
          <w:lang w:eastAsia="en-AU"/>
        </w:rPr>
        <w:br w:type="page"/>
      </w:r>
    </w:p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</w:p>
    <w:p w14:paraId="79AD90A2" w14:textId="688C7F4B" w:rsidR="00E574DD" w:rsidRPr="00943C7F" w:rsidRDefault="006F194C" w:rsidP="00E574DD">
      <w:pPr>
        <w:pStyle w:val="Heading2"/>
        <w:ind w:left="-108"/>
        <w:jc w:val="center"/>
        <w:rPr>
          <w:rFonts w:asciiTheme="minorHAnsi" w:hAnsiTheme="minorHAnsi" w:cs="Arial"/>
          <w:b w:val="0"/>
          <w:bCs/>
          <w:i/>
          <w:iCs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  <w:lang w:eastAsia="en-AU"/>
        </w:rPr>
        <w:t>Utilities</w:t>
      </w:r>
      <w:r w:rsidR="00CC1A4A"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 </w:t>
      </w:r>
      <w:r w:rsidR="00E574DD" w:rsidRPr="00943C7F">
        <w:rPr>
          <w:rFonts w:asciiTheme="minorHAnsi" w:hAnsiTheme="minorHAnsi" w:cs="Arial"/>
          <w:b w:val="0"/>
          <w:sz w:val="28"/>
          <w:szCs w:val="28"/>
          <w:lang w:eastAsia="en-AU"/>
        </w:rPr>
        <w:t>Amendment Bill 20</w:t>
      </w:r>
      <w:r w:rsidR="00774277">
        <w:rPr>
          <w:rFonts w:asciiTheme="minorHAnsi" w:hAnsiTheme="minorHAnsi" w:cs="Arial"/>
          <w:b w:val="0"/>
          <w:sz w:val="28"/>
          <w:szCs w:val="28"/>
          <w:lang w:eastAsia="en-AU"/>
        </w:rPr>
        <w:t>2</w:t>
      </w:r>
      <w:r w:rsidR="00D051F3">
        <w:rPr>
          <w:rFonts w:asciiTheme="minorHAnsi" w:hAnsiTheme="minorHAnsi" w:cs="Arial"/>
          <w:b w:val="0"/>
          <w:sz w:val="28"/>
          <w:szCs w:val="28"/>
          <w:lang w:eastAsia="en-AU"/>
        </w:rPr>
        <w:t>1</w:t>
      </w:r>
    </w:p>
    <w:bookmarkEnd w:id="0"/>
    <w:p w14:paraId="12928F7D" w14:textId="77777777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2004 -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10524BB7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the</w:t>
      </w:r>
      <w:r>
        <w:rPr>
          <w:rFonts w:asciiTheme="minorHAnsi" w:hAnsiTheme="minorHAnsi"/>
          <w:b/>
        </w:rPr>
        <w:t xml:space="preserve"> </w:t>
      </w:r>
      <w:r w:rsidR="00C5336E">
        <w:rPr>
          <w:rFonts w:asciiTheme="minorHAnsi" w:hAnsiTheme="minorHAnsi"/>
          <w:b/>
        </w:rPr>
        <w:t>Utilities</w:t>
      </w:r>
      <w:r>
        <w:rPr>
          <w:rFonts w:asciiTheme="minorHAnsi" w:hAnsiTheme="minorHAnsi"/>
          <w:b/>
        </w:rPr>
        <w:t> Amendment Bill</w:t>
      </w:r>
      <w:r w:rsidR="00A5201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20</w:t>
      </w:r>
      <w:r w:rsidR="00774277">
        <w:rPr>
          <w:rFonts w:asciiTheme="minorHAnsi" w:hAnsiTheme="minorHAnsi"/>
          <w:b/>
        </w:rPr>
        <w:t>2</w:t>
      </w:r>
      <w:r w:rsidR="00D051F3">
        <w:rPr>
          <w:rFonts w:asciiTheme="minorHAnsi" w:hAnsiTheme="minorHAnsi"/>
          <w:b/>
        </w:rPr>
        <w:t>1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0279E6">
        <w:rPr>
          <w:rFonts w:asciiTheme="minorHAnsi" w:hAnsiTheme="minorHAnsi"/>
        </w:rPr>
        <w:t>Assembly</w:t>
      </w:r>
      <w:r w:rsidR="00424FBB" w:rsidRPr="000279E6">
        <w:rPr>
          <w:rFonts w:asciiTheme="minorHAnsi" w:hAnsiTheme="minorHAnsi"/>
          <w:b/>
        </w:rPr>
        <w:t xml:space="preserve"> </w:t>
      </w:r>
      <w:r w:rsidRPr="000279E6">
        <w:rPr>
          <w:rFonts w:asciiTheme="minorHAnsi" w:hAnsiTheme="minorHAnsi"/>
          <w:b/>
        </w:rPr>
        <w:t>is</w:t>
      </w:r>
      <w:r>
        <w:rPr>
          <w:rFonts w:asciiTheme="minorHAnsi" w:hAnsiTheme="minorHAnsi"/>
        </w:rPr>
        <w:t xml:space="preserve"> </w:t>
      </w:r>
      <w:r w:rsidRPr="00521950">
        <w:rPr>
          <w:rFonts w:asciiTheme="minorHAnsi" w:hAnsiTheme="minorHAnsi"/>
        </w:rPr>
        <w:t xml:space="preserve">consistent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0E2E8CBE" w14:textId="77777777" w:rsidR="00E76504" w:rsidRPr="00E76504" w:rsidRDefault="00E76504" w:rsidP="00E76504"/>
    <w:p w14:paraId="27FB735B" w14:textId="54ECE077" w:rsidR="00C61B07" w:rsidRDefault="00C61B07" w:rsidP="00C65E0C">
      <w:pPr>
        <w:pStyle w:val="Heading3"/>
      </w:pPr>
      <w:r w:rsidRPr="00ED3B77">
        <w:t>Clause 1</w:t>
      </w:r>
      <w:r w:rsidRPr="00ED3B77">
        <w:tab/>
        <w:t>Name of Act</w:t>
      </w:r>
    </w:p>
    <w:p w14:paraId="1E6C239A" w14:textId="296ED4A9" w:rsidR="003506D8" w:rsidRPr="003506D8" w:rsidRDefault="003506D8" w:rsidP="003506D8">
      <w:r>
        <w:t xml:space="preserve">This clause provides that the name of the Act is the </w:t>
      </w:r>
      <w:r w:rsidRPr="003506D8">
        <w:rPr>
          <w:i/>
          <w:iCs/>
        </w:rPr>
        <w:t>Utilities Amendment Act 2021</w:t>
      </w:r>
      <w:r>
        <w:t xml:space="preserve">. </w:t>
      </w:r>
    </w:p>
    <w:p w14:paraId="341827EE" w14:textId="1BE11955" w:rsidR="00C61B07" w:rsidRDefault="00C61B07" w:rsidP="008C225D">
      <w:pPr>
        <w:pStyle w:val="Heading3"/>
      </w:pPr>
      <w:r w:rsidRPr="00ED3B77">
        <w:t>Clause 2</w:t>
      </w:r>
      <w:r w:rsidRPr="00ED3B77">
        <w:tab/>
        <w:t>Commencement</w:t>
      </w:r>
    </w:p>
    <w:p w14:paraId="2595A5BA" w14:textId="2A25E9F9" w:rsidR="003506D8" w:rsidRPr="003506D8" w:rsidRDefault="003506D8" w:rsidP="003506D8">
      <w:r>
        <w:t>This clause provides for the commencement of the Act on the day after the Act’s notification day.</w:t>
      </w:r>
    </w:p>
    <w:p w14:paraId="03E3F0B8" w14:textId="488FCD0D" w:rsidR="00C61B07" w:rsidRDefault="00C61B07" w:rsidP="008C225D">
      <w:pPr>
        <w:pStyle w:val="Heading3"/>
      </w:pPr>
      <w:r w:rsidRPr="00ED3B77">
        <w:t>Clause 3</w:t>
      </w:r>
      <w:r w:rsidRPr="00ED3B77">
        <w:tab/>
        <w:t>Legislation amended</w:t>
      </w:r>
    </w:p>
    <w:p w14:paraId="4FBA55D2" w14:textId="4CB0822D" w:rsidR="00E52626" w:rsidRPr="00E52626" w:rsidRDefault="00E52626" w:rsidP="00E52626">
      <w:r>
        <w:t xml:space="preserve">This clause provides that the Act amends the </w:t>
      </w:r>
      <w:r w:rsidRPr="00E52626">
        <w:rPr>
          <w:i/>
          <w:iCs/>
        </w:rPr>
        <w:t>Utilities Act 2000</w:t>
      </w:r>
      <w:r>
        <w:t xml:space="preserve">. </w:t>
      </w:r>
    </w:p>
    <w:p w14:paraId="6C3CA2DF" w14:textId="04565B77" w:rsidR="00D3034B" w:rsidRDefault="00E52626" w:rsidP="00E52626">
      <w:pPr>
        <w:pStyle w:val="Heading3"/>
      </w:pPr>
      <w:r w:rsidRPr="00E52626">
        <w:t>Clause 4       Section 55 (2), note</w:t>
      </w:r>
    </w:p>
    <w:p w14:paraId="7FFF91A2" w14:textId="08F81AE7" w:rsidR="00D75471" w:rsidRPr="00D75471" w:rsidRDefault="00D75471" w:rsidP="00D75471">
      <w:r>
        <w:t xml:space="preserve">This clause </w:t>
      </w:r>
      <w:r w:rsidR="00D503C3">
        <w:t xml:space="preserve">substitutes a note in relation to section 55(2) to allow the industry code to deal with electricity pricing information </w:t>
      </w:r>
      <w:r w:rsidR="00F62E45">
        <w:t>for certain customers.</w:t>
      </w:r>
    </w:p>
    <w:p w14:paraId="774E1847" w14:textId="3E17D296" w:rsidR="00E52626" w:rsidRDefault="00E52626" w:rsidP="00342F39">
      <w:pPr>
        <w:pStyle w:val="Heading3"/>
      </w:pPr>
      <w:r w:rsidRPr="00342F39">
        <w:t xml:space="preserve">Clause 5       New </w:t>
      </w:r>
      <w:r w:rsidR="00342F39" w:rsidRPr="00342F39">
        <w:t>subdivision 5A.2.1A</w:t>
      </w:r>
    </w:p>
    <w:p w14:paraId="32F6A886" w14:textId="299ECBD4" w:rsidR="00342F39" w:rsidRDefault="00342F39" w:rsidP="00342F39">
      <w:r>
        <w:t>This clause inserts new subdivision 5A.2.1A that introduces the reference price framework in the ACT.</w:t>
      </w:r>
    </w:p>
    <w:p w14:paraId="4BFE4F2B" w14:textId="710A1468" w:rsidR="00342F39" w:rsidRDefault="00153CF9" w:rsidP="00342F39">
      <w:r>
        <w:t xml:space="preserve">Section 75GA of this new subdivision 5A.2.1A sets out the obligations on retailers to </w:t>
      </w:r>
      <w:r w:rsidR="00CF5B05">
        <w:t>compare the annual price of their offers with reference price</w:t>
      </w:r>
      <w:r w:rsidR="000279E6">
        <w:t>, and to notify their customers if there is a better offer is available.</w:t>
      </w:r>
      <w:r w:rsidR="00F62E45">
        <w:t xml:space="preserve"> </w:t>
      </w:r>
      <w:r w:rsidR="00135AC2">
        <w:t xml:space="preserve">It also supports the making of an industry code that set out the details about how and when retailers are required to give the information to customers.  </w:t>
      </w:r>
    </w:p>
    <w:p w14:paraId="237CC55A" w14:textId="3BD67402" w:rsidR="000279E6" w:rsidRDefault="000279E6" w:rsidP="00342F39">
      <w:r>
        <w:t>Section 75B of this</w:t>
      </w:r>
      <w:r w:rsidRPr="000279E6">
        <w:t xml:space="preserve"> </w:t>
      </w:r>
      <w:r>
        <w:t xml:space="preserve">new subdivision 5A.2.1A create the power </w:t>
      </w:r>
      <w:r w:rsidR="00DA5B49">
        <w:t>for</w:t>
      </w:r>
      <w:r>
        <w:t xml:space="preserve"> the </w:t>
      </w:r>
      <w:r w:rsidR="006E24D9">
        <w:t xml:space="preserve">Treasurer and the </w:t>
      </w:r>
      <w:r>
        <w:t>Minister to determine a reference price</w:t>
      </w:r>
      <w:r w:rsidR="00135AC2">
        <w:t xml:space="preserve"> and annual </w:t>
      </w:r>
      <w:r w:rsidR="00004809">
        <w:t xml:space="preserve">representation electricity consumption through a notifiable instrument. </w:t>
      </w:r>
    </w:p>
    <w:p w14:paraId="483751FC" w14:textId="04E136CB" w:rsidR="00004809" w:rsidRDefault="00004809" w:rsidP="00004809">
      <w:pPr>
        <w:pStyle w:val="Heading3"/>
      </w:pPr>
      <w:r>
        <w:t>Clause 6      Section 75H, heading</w:t>
      </w:r>
    </w:p>
    <w:p w14:paraId="77DD50FA" w14:textId="450C5553" w:rsidR="00004809" w:rsidRDefault="00004809" w:rsidP="00004809">
      <w:bookmarkStart w:id="1" w:name="_Hlk66441549"/>
      <w:r>
        <w:t xml:space="preserve">This </w:t>
      </w:r>
      <w:r w:rsidR="00B6518B">
        <w:t xml:space="preserve">is a consequential amendment </w:t>
      </w:r>
      <w:r w:rsidR="00DA5B49">
        <w:t>to</w:t>
      </w:r>
      <w:r w:rsidR="00B6518B">
        <w:t xml:space="preserve"> ensure </w:t>
      </w:r>
      <w:r>
        <w:t xml:space="preserve">the heading of section 75H </w:t>
      </w:r>
      <w:r w:rsidR="00B6518B">
        <w:t>more accurately reflect</w:t>
      </w:r>
      <w:r w:rsidR="00DA5B49">
        <w:t>s</w:t>
      </w:r>
      <w:r w:rsidR="00B6518B">
        <w:t xml:space="preserve"> the contents of the section.</w:t>
      </w:r>
    </w:p>
    <w:bookmarkEnd w:id="1"/>
    <w:p w14:paraId="00591076" w14:textId="28D993EE" w:rsidR="00B6518B" w:rsidRDefault="009A2C8D" w:rsidP="009A2C8D">
      <w:pPr>
        <w:pStyle w:val="Heading3"/>
      </w:pPr>
      <w:r>
        <w:t>Clause 7      New section 75H (1) (c)</w:t>
      </w:r>
    </w:p>
    <w:p w14:paraId="3E0CD3EC" w14:textId="640390D4" w:rsidR="009A2C8D" w:rsidRDefault="0042236B" w:rsidP="009A2C8D">
      <w:bookmarkStart w:id="2" w:name="_Hlk66441777"/>
      <w:r>
        <w:t>This is a consequential</w:t>
      </w:r>
      <w:r w:rsidR="00ED3EC8">
        <w:t xml:space="preserve"> amendment </w:t>
      </w:r>
      <w:r w:rsidR="00DA5B49">
        <w:t>to</w:t>
      </w:r>
      <w:r w:rsidR="00ED3EC8">
        <w:t xml:space="preserve"> ensure the same offence</w:t>
      </w:r>
      <w:r w:rsidR="00114C4C">
        <w:t>/enforcement</w:t>
      </w:r>
      <w:r w:rsidR="00ED3EC8">
        <w:t xml:space="preserve"> </w:t>
      </w:r>
      <w:r w:rsidR="003436A4">
        <w:t xml:space="preserve">provisions </w:t>
      </w:r>
      <w:r w:rsidR="00ED3EC8">
        <w:t xml:space="preserve">apply if </w:t>
      </w:r>
      <w:r w:rsidR="00302E6A">
        <w:t xml:space="preserve">retailers contravene </w:t>
      </w:r>
      <w:r w:rsidR="009F4D72">
        <w:t xml:space="preserve">obligations </w:t>
      </w:r>
      <w:r w:rsidR="00114C4C">
        <w:t>set in new section 75GA.</w:t>
      </w:r>
    </w:p>
    <w:bookmarkEnd w:id="2"/>
    <w:p w14:paraId="511E6ED6" w14:textId="295FD195" w:rsidR="009F4D72" w:rsidRDefault="009F4D72" w:rsidP="009F4D72">
      <w:pPr>
        <w:pStyle w:val="Heading3"/>
      </w:pPr>
      <w:r>
        <w:t>Clause 8      Section 75I, heading</w:t>
      </w:r>
    </w:p>
    <w:p w14:paraId="3FAFEF49" w14:textId="4090FCC6" w:rsidR="00697DEB" w:rsidRDefault="00697DEB" w:rsidP="00697DEB">
      <w:r>
        <w:t xml:space="preserve">This is a consequential amendment </w:t>
      </w:r>
      <w:r w:rsidR="00DA5B49">
        <w:t>to</w:t>
      </w:r>
      <w:r>
        <w:t xml:space="preserve"> ensure the heading of section 75I </w:t>
      </w:r>
      <w:r w:rsidR="00DA5B49">
        <w:t xml:space="preserve">more accurately </w:t>
      </w:r>
      <w:r>
        <w:t>reflect</w:t>
      </w:r>
      <w:r w:rsidR="00DA5B49">
        <w:t>s</w:t>
      </w:r>
      <w:r>
        <w:t xml:space="preserve"> the contents of the section.</w:t>
      </w:r>
    </w:p>
    <w:p w14:paraId="5BF7FA86" w14:textId="648A12A4" w:rsidR="009F4D72" w:rsidRPr="009A2C8D" w:rsidRDefault="00697DEB" w:rsidP="00697DEB">
      <w:pPr>
        <w:pStyle w:val="Heading3"/>
      </w:pPr>
      <w:r>
        <w:lastRenderedPageBreak/>
        <w:t>Clause 9      New section 75I (1) (c)</w:t>
      </w:r>
    </w:p>
    <w:p w14:paraId="69EBEBFC" w14:textId="34C281DC" w:rsidR="00114C4C" w:rsidRDefault="00114C4C" w:rsidP="00114C4C">
      <w:r>
        <w:t xml:space="preserve">This is a consequential amendment </w:t>
      </w:r>
      <w:r w:rsidR="00DA5B49">
        <w:t>to</w:t>
      </w:r>
      <w:r>
        <w:t xml:space="preserve"> ensure the same offence/enforcement provisions apply if retailers contravene obligations set in new section 75GA.</w:t>
      </w:r>
    </w:p>
    <w:p w14:paraId="3230E25F" w14:textId="56EE5B28" w:rsidR="00B6518B" w:rsidRPr="00004809" w:rsidRDefault="00114C4C" w:rsidP="00114C4C">
      <w:pPr>
        <w:pStyle w:val="Heading3"/>
      </w:pPr>
      <w:r>
        <w:t>Clause 10      Section 75I (2)</w:t>
      </w:r>
    </w:p>
    <w:p w14:paraId="6E5B86D4" w14:textId="77777777" w:rsidR="00114C4C" w:rsidRDefault="00114C4C" w:rsidP="00114C4C">
      <w:r>
        <w:t>This is a consequential amendment that ensure the same offence/enforcement provisions apply if retailers contravene obligations set in new section 75GA.</w:t>
      </w:r>
    </w:p>
    <w:p w14:paraId="7E20FA38" w14:textId="1EA8F344" w:rsidR="00D7062D" w:rsidRDefault="00114C4C" w:rsidP="00F358C7">
      <w:pPr>
        <w:pStyle w:val="Heading3"/>
      </w:pPr>
      <w:r w:rsidRPr="00F358C7">
        <w:t>Clause</w:t>
      </w:r>
      <w:r w:rsidR="00F358C7" w:rsidRPr="00F358C7">
        <w:t xml:space="preserve"> 11      Dictionary, note 2</w:t>
      </w:r>
    </w:p>
    <w:p w14:paraId="5F6DAEF5" w14:textId="24FCAD0A" w:rsidR="00D032AA" w:rsidRDefault="00F358C7" w:rsidP="00F358C7">
      <w:r>
        <w:t xml:space="preserve">This </w:t>
      </w:r>
      <w:r w:rsidR="00800AA9">
        <w:t xml:space="preserve">clause </w:t>
      </w:r>
      <w:r w:rsidR="00964BBF">
        <w:t>removes four items from note 2 of the Dictionary, as another amendment to the</w:t>
      </w:r>
      <w:r w:rsidR="00D032AA">
        <w:t xml:space="preserve"> Utilities Act insert</w:t>
      </w:r>
      <w:r w:rsidR="00DA5B49">
        <w:t>s</w:t>
      </w:r>
      <w:r w:rsidR="00D032AA">
        <w:t xml:space="preserve"> the definition for these items.</w:t>
      </w:r>
    </w:p>
    <w:p w14:paraId="52894D45" w14:textId="1EFFF61D" w:rsidR="00F358C7" w:rsidRDefault="00D032AA" w:rsidP="00D032AA">
      <w:pPr>
        <w:pStyle w:val="Heading3"/>
      </w:pPr>
      <w:r>
        <w:t xml:space="preserve">Clause 12      Dictionary, new definitions </w:t>
      </w:r>
      <w:r w:rsidR="00F358C7">
        <w:t xml:space="preserve"> </w:t>
      </w:r>
    </w:p>
    <w:p w14:paraId="5C917F24" w14:textId="308B7F2B" w:rsidR="00D032AA" w:rsidRPr="00D032AA" w:rsidRDefault="00D032AA" w:rsidP="00D032AA">
      <w:r>
        <w:t>This clause inserts new definition</w:t>
      </w:r>
      <w:r w:rsidR="006634A5">
        <w:t>s for items that removed from note 2.</w:t>
      </w:r>
      <w:r>
        <w:t xml:space="preserve"> </w:t>
      </w:r>
    </w:p>
    <w:sectPr w:rsidR="00D032AA" w:rsidRPr="00D032AA" w:rsidSect="00F41A2F">
      <w:footerReference w:type="default" r:id="rId18"/>
      <w:footerReference w:type="first" r:id="rId19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D8A78" w14:textId="77777777" w:rsidR="00033ABA" w:rsidRDefault="00033ABA">
      <w:pPr>
        <w:spacing w:after="0" w:line="240" w:lineRule="auto"/>
      </w:pPr>
      <w:r>
        <w:separator/>
      </w:r>
    </w:p>
  </w:endnote>
  <w:endnote w:type="continuationSeparator" w:id="0">
    <w:p w14:paraId="2CA15B99" w14:textId="77777777" w:rsidR="00033ABA" w:rsidRDefault="00033ABA">
      <w:pPr>
        <w:spacing w:after="0" w:line="240" w:lineRule="auto"/>
      </w:pPr>
      <w:r>
        <w:continuationSeparator/>
      </w:r>
    </w:p>
  </w:endnote>
  <w:endnote w:type="continuationNotice" w:id="1">
    <w:p w14:paraId="55CDC72F" w14:textId="77777777" w:rsidR="00033ABA" w:rsidRDefault="00033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CF81" w14:textId="77777777" w:rsidR="00BB7232" w:rsidRDefault="00BB7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9702" w14:textId="01031BB6" w:rsidR="00BB7232" w:rsidRPr="00BB7232" w:rsidRDefault="00BB7232" w:rsidP="00BB7232">
    <w:pPr>
      <w:pStyle w:val="Footer"/>
      <w:jc w:val="center"/>
      <w:rPr>
        <w:rFonts w:cs="Arial"/>
        <w:sz w:val="14"/>
      </w:rPr>
    </w:pPr>
    <w:r w:rsidRPr="00BB72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7F91" w14:textId="52BDEA19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5ACAAC27" w14:textId="2C3B43AA" w:rsidR="00BB7232" w:rsidRPr="00BB7232" w:rsidRDefault="00BB7232" w:rsidP="00BB7232">
    <w:pPr>
      <w:pStyle w:val="Footer"/>
      <w:spacing w:before="60" w:line="240" w:lineRule="auto"/>
      <w:jc w:val="center"/>
      <w:rPr>
        <w:rFonts w:cs="Arial"/>
        <w:sz w:val="14"/>
      </w:rPr>
    </w:pPr>
    <w:r w:rsidRPr="00BB7232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75DD" w14:textId="6F4AB99B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20BF5AC2" w14:textId="6809959F" w:rsidR="00BB7232" w:rsidRPr="00BB7232" w:rsidRDefault="00BB7232" w:rsidP="00BB7232">
    <w:pPr>
      <w:pStyle w:val="Footer"/>
      <w:jc w:val="center"/>
      <w:rPr>
        <w:rFonts w:cs="Arial"/>
        <w:sz w:val="14"/>
      </w:rPr>
    </w:pPr>
    <w:r w:rsidRPr="00BB723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EA50" w14:textId="77777777" w:rsidR="00033ABA" w:rsidRDefault="00033ABA">
      <w:pPr>
        <w:spacing w:after="0" w:line="240" w:lineRule="auto"/>
      </w:pPr>
      <w:r>
        <w:separator/>
      </w:r>
    </w:p>
  </w:footnote>
  <w:footnote w:type="continuationSeparator" w:id="0">
    <w:p w14:paraId="388F5668" w14:textId="77777777" w:rsidR="00033ABA" w:rsidRDefault="00033ABA">
      <w:pPr>
        <w:spacing w:after="0" w:line="240" w:lineRule="auto"/>
      </w:pPr>
      <w:r>
        <w:continuationSeparator/>
      </w:r>
    </w:p>
  </w:footnote>
  <w:footnote w:type="continuationNotice" w:id="1">
    <w:p w14:paraId="114386B7" w14:textId="77777777" w:rsidR="00033ABA" w:rsidRDefault="00033A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8D52" w14:textId="77777777" w:rsidR="00BB7232" w:rsidRDefault="00BB7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0918" w14:textId="77777777" w:rsidR="00BB7232" w:rsidRDefault="00BB7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0A84" w14:textId="77777777" w:rsidR="00BB7232" w:rsidRDefault="00BB7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E4F62"/>
    <w:multiLevelType w:val="hybridMultilevel"/>
    <w:tmpl w:val="368034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7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4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4"/>
  </w:num>
  <w:num w:numId="3">
    <w:abstractNumId w:val="18"/>
  </w:num>
  <w:num w:numId="4">
    <w:abstractNumId w:val="0"/>
  </w:num>
  <w:num w:numId="5">
    <w:abstractNumId w:val="6"/>
  </w:num>
  <w:num w:numId="6">
    <w:abstractNumId w:val="9"/>
  </w:num>
  <w:num w:numId="7">
    <w:abstractNumId w:val="38"/>
  </w:num>
  <w:num w:numId="8">
    <w:abstractNumId w:val="4"/>
  </w:num>
  <w:num w:numId="9">
    <w:abstractNumId w:val="21"/>
  </w:num>
  <w:num w:numId="10">
    <w:abstractNumId w:val="37"/>
  </w:num>
  <w:num w:numId="11">
    <w:abstractNumId w:val="17"/>
  </w:num>
  <w:num w:numId="12">
    <w:abstractNumId w:val="13"/>
  </w:num>
  <w:num w:numId="13">
    <w:abstractNumId w:val="12"/>
  </w:num>
  <w:num w:numId="14">
    <w:abstractNumId w:val="27"/>
  </w:num>
  <w:num w:numId="15">
    <w:abstractNumId w:val="26"/>
  </w:num>
  <w:num w:numId="16">
    <w:abstractNumId w:val="39"/>
  </w:num>
  <w:num w:numId="17">
    <w:abstractNumId w:val="33"/>
  </w:num>
  <w:num w:numId="18">
    <w:abstractNumId w:val="45"/>
  </w:num>
  <w:num w:numId="19">
    <w:abstractNumId w:val="2"/>
  </w:num>
  <w:num w:numId="20">
    <w:abstractNumId w:val="14"/>
  </w:num>
  <w:num w:numId="21">
    <w:abstractNumId w:val="22"/>
  </w:num>
  <w:num w:numId="22">
    <w:abstractNumId w:val="23"/>
  </w:num>
  <w:num w:numId="23">
    <w:abstractNumId w:val="40"/>
  </w:num>
  <w:num w:numId="24">
    <w:abstractNumId w:val="46"/>
  </w:num>
  <w:num w:numId="25">
    <w:abstractNumId w:val="32"/>
  </w:num>
  <w:num w:numId="26">
    <w:abstractNumId w:val="19"/>
  </w:num>
  <w:num w:numId="27">
    <w:abstractNumId w:val="43"/>
  </w:num>
  <w:num w:numId="28">
    <w:abstractNumId w:val="34"/>
  </w:num>
  <w:num w:numId="29">
    <w:abstractNumId w:val="35"/>
  </w:num>
  <w:num w:numId="30">
    <w:abstractNumId w:val="41"/>
  </w:num>
  <w:num w:numId="31">
    <w:abstractNumId w:val="48"/>
  </w:num>
  <w:num w:numId="32">
    <w:abstractNumId w:val="30"/>
  </w:num>
  <w:num w:numId="33">
    <w:abstractNumId w:val="11"/>
  </w:num>
  <w:num w:numId="34">
    <w:abstractNumId w:val="16"/>
  </w:num>
  <w:num w:numId="35">
    <w:abstractNumId w:val="15"/>
  </w:num>
  <w:num w:numId="36">
    <w:abstractNumId w:val="15"/>
  </w:num>
  <w:num w:numId="37">
    <w:abstractNumId w:val="36"/>
  </w:num>
  <w:num w:numId="38">
    <w:abstractNumId w:val="2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8"/>
  </w:num>
  <w:num w:numId="42">
    <w:abstractNumId w:val="5"/>
  </w:num>
  <w:num w:numId="43">
    <w:abstractNumId w:val="3"/>
  </w:num>
  <w:num w:numId="44">
    <w:abstractNumId w:val="20"/>
  </w:num>
  <w:num w:numId="45">
    <w:abstractNumId w:val="7"/>
  </w:num>
  <w:num w:numId="46">
    <w:abstractNumId w:val="42"/>
  </w:num>
  <w:num w:numId="47">
    <w:abstractNumId w:val="1"/>
  </w:num>
  <w:num w:numId="48">
    <w:abstractNumId w:val="28"/>
  </w:num>
  <w:num w:numId="49">
    <w:abstractNumId w:val="25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4809"/>
    <w:rsid w:val="00005792"/>
    <w:rsid w:val="00006333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279E6"/>
    <w:rsid w:val="00030373"/>
    <w:rsid w:val="00030D9D"/>
    <w:rsid w:val="00032126"/>
    <w:rsid w:val="0003311C"/>
    <w:rsid w:val="00033631"/>
    <w:rsid w:val="00033ABA"/>
    <w:rsid w:val="0003416C"/>
    <w:rsid w:val="00034929"/>
    <w:rsid w:val="00034EDA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973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4C4C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AC2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3CF9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0FA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C73F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578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6F38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626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68D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2E7E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2E6A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2F39"/>
    <w:rsid w:val="003430AD"/>
    <w:rsid w:val="003436A4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6D8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4F0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36B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1D0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777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3AF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1885"/>
    <w:rsid w:val="004E2DBF"/>
    <w:rsid w:val="004E3A64"/>
    <w:rsid w:val="004E4475"/>
    <w:rsid w:val="004E4673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1B3C"/>
    <w:rsid w:val="00502582"/>
    <w:rsid w:val="00503607"/>
    <w:rsid w:val="00503AAB"/>
    <w:rsid w:val="00503EE9"/>
    <w:rsid w:val="00503F2D"/>
    <w:rsid w:val="00504BA3"/>
    <w:rsid w:val="00505363"/>
    <w:rsid w:val="0050596F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1C18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EDB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28E9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62CD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683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34A5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4F1B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7AA"/>
    <w:rsid w:val="0069696D"/>
    <w:rsid w:val="00696A9C"/>
    <w:rsid w:val="006974E5"/>
    <w:rsid w:val="00697825"/>
    <w:rsid w:val="006979ED"/>
    <w:rsid w:val="00697AE0"/>
    <w:rsid w:val="00697DEB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41C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4D9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03FD"/>
    <w:rsid w:val="006F1312"/>
    <w:rsid w:val="006F1776"/>
    <w:rsid w:val="006F194C"/>
    <w:rsid w:val="006F1ACE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5DC3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0AA9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AC5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0FF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2C2"/>
    <w:rsid w:val="008F7F74"/>
    <w:rsid w:val="009008B1"/>
    <w:rsid w:val="00900EA4"/>
    <w:rsid w:val="009010E3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2C4"/>
    <w:rsid w:val="00962361"/>
    <w:rsid w:val="009624C0"/>
    <w:rsid w:val="00962E07"/>
    <w:rsid w:val="009633E8"/>
    <w:rsid w:val="00963FAF"/>
    <w:rsid w:val="0096463A"/>
    <w:rsid w:val="0096471F"/>
    <w:rsid w:val="009647FF"/>
    <w:rsid w:val="00964BBF"/>
    <w:rsid w:val="009650F2"/>
    <w:rsid w:val="00965440"/>
    <w:rsid w:val="00965653"/>
    <w:rsid w:val="00965CED"/>
    <w:rsid w:val="00966F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8D"/>
    <w:rsid w:val="009A2CE2"/>
    <w:rsid w:val="009A31AA"/>
    <w:rsid w:val="009A355D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72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41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032"/>
    <w:rsid w:val="00AA3F39"/>
    <w:rsid w:val="00AA4233"/>
    <w:rsid w:val="00AA5067"/>
    <w:rsid w:val="00AA511F"/>
    <w:rsid w:val="00AA6E7A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6518B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2E66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232"/>
    <w:rsid w:val="00BB79B5"/>
    <w:rsid w:val="00BB7B42"/>
    <w:rsid w:val="00BC069F"/>
    <w:rsid w:val="00BC0A98"/>
    <w:rsid w:val="00BC0FB8"/>
    <w:rsid w:val="00BC14F6"/>
    <w:rsid w:val="00BC1B91"/>
    <w:rsid w:val="00BC217E"/>
    <w:rsid w:val="00BC22D0"/>
    <w:rsid w:val="00BC28C4"/>
    <w:rsid w:val="00BC2FF8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4B5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8AD"/>
    <w:rsid w:val="00C36F46"/>
    <w:rsid w:val="00C37635"/>
    <w:rsid w:val="00C40771"/>
    <w:rsid w:val="00C40C45"/>
    <w:rsid w:val="00C40F4A"/>
    <w:rsid w:val="00C41682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36E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4E0C"/>
    <w:rsid w:val="00CD6177"/>
    <w:rsid w:val="00CD6540"/>
    <w:rsid w:val="00CD72B6"/>
    <w:rsid w:val="00CD77B8"/>
    <w:rsid w:val="00CE0BD4"/>
    <w:rsid w:val="00CE0CCB"/>
    <w:rsid w:val="00CE0E91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BC6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5B05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2AA"/>
    <w:rsid w:val="00D03DC1"/>
    <w:rsid w:val="00D03F67"/>
    <w:rsid w:val="00D04119"/>
    <w:rsid w:val="00D043E5"/>
    <w:rsid w:val="00D0459D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06F53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03C3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471"/>
    <w:rsid w:val="00D756B1"/>
    <w:rsid w:val="00D757E8"/>
    <w:rsid w:val="00D758CE"/>
    <w:rsid w:val="00D75B38"/>
    <w:rsid w:val="00D764A5"/>
    <w:rsid w:val="00D76BA1"/>
    <w:rsid w:val="00D77E45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B49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4B4"/>
    <w:rsid w:val="00E155CC"/>
    <w:rsid w:val="00E15B7C"/>
    <w:rsid w:val="00E15C98"/>
    <w:rsid w:val="00E161CE"/>
    <w:rsid w:val="00E16AC1"/>
    <w:rsid w:val="00E16DDF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177D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2626"/>
    <w:rsid w:val="00E5466B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3EC8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8C7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2E45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2F5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4855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  <ds:schemaRef ds:uri="06296216-7410-451c-a1d1-78ce4675fba5"/>
  </ds:schemaRefs>
</ds:datastoreItem>
</file>

<file path=customXml/itemProps3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5552</Characters>
  <Application>Microsoft Office Word</Application>
  <DocSecurity>0</DocSecurity>
  <Lines>157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Moxon, KarenL</cp:lastModifiedBy>
  <cp:revision>4</cp:revision>
  <cp:lastPrinted>2019-05-13T07:51:00Z</cp:lastPrinted>
  <dcterms:created xsi:type="dcterms:W3CDTF">2021-04-19T23:39:00Z</dcterms:created>
  <dcterms:modified xsi:type="dcterms:W3CDTF">2021-04-19T23:39:00Z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</Properties>
</file>