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03C29" w14:textId="77777777" w:rsidR="005D70F1" w:rsidRPr="0036542F" w:rsidRDefault="005D70F1">
      <w:pPr>
        <w:spacing w:before="120"/>
        <w:rPr>
          <w:rFonts w:ascii="Arial" w:hAnsi="Arial" w:cs="Arial"/>
        </w:rPr>
      </w:pPr>
      <w:bookmarkStart w:id="0" w:name="_Toc44738651"/>
      <w:r w:rsidRPr="0036542F">
        <w:rPr>
          <w:rFonts w:ascii="Arial" w:hAnsi="Arial" w:cs="Arial"/>
        </w:rPr>
        <w:t>Australian Capital Territory</w:t>
      </w:r>
    </w:p>
    <w:p w14:paraId="7580C2CA" w14:textId="2216C63B" w:rsidR="007C1959" w:rsidRPr="0036542F" w:rsidRDefault="007C1959" w:rsidP="007C1959">
      <w:pPr>
        <w:pStyle w:val="Billname"/>
        <w:spacing w:before="700"/>
        <w:rPr>
          <w:rFonts w:cs="Arial"/>
        </w:rPr>
      </w:pPr>
      <w:r w:rsidRPr="0036542F">
        <w:rPr>
          <w:rFonts w:cs="Arial"/>
        </w:rPr>
        <w:t>Unit Titles (Manag</w:t>
      </w:r>
      <w:r w:rsidR="00845FBE" w:rsidRPr="0036542F">
        <w:rPr>
          <w:rFonts w:cs="Arial"/>
        </w:rPr>
        <w:t xml:space="preserve">ement) (Fees) Determination </w:t>
      </w:r>
      <w:r w:rsidR="007D7C3E" w:rsidRPr="0036542F">
        <w:rPr>
          <w:rFonts w:cs="Arial"/>
        </w:rPr>
        <w:t>202</w:t>
      </w:r>
      <w:r w:rsidR="007E59B6" w:rsidRPr="0036542F">
        <w:rPr>
          <w:rFonts w:cs="Arial"/>
        </w:rPr>
        <w:t>1</w:t>
      </w:r>
    </w:p>
    <w:p w14:paraId="67BDADAD" w14:textId="5EFF6C20" w:rsidR="007C1959" w:rsidRPr="0036542F" w:rsidRDefault="007C1959" w:rsidP="0036542F">
      <w:pPr>
        <w:spacing w:before="340" w:after="60"/>
        <w:rPr>
          <w:rFonts w:ascii="Arial" w:hAnsi="Arial" w:cs="Arial"/>
          <w:b/>
          <w:bCs/>
          <w:vertAlign w:val="superscript"/>
        </w:rPr>
      </w:pPr>
      <w:r w:rsidRPr="0036542F">
        <w:rPr>
          <w:rFonts w:ascii="Arial" w:hAnsi="Arial" w:cs="Arial"/>
          <w:b/>
          <w:bCs/>
        </w:rPr>
        <w:t xml:space="preserve">Disallowable instrument </w:t>
      </w:r>
      <w:r w:rsidR="007D7C3E" w:rsidRPr="0036542F">
        <w:rPr>
          <w:rFonts w:ascii="Arial" w:hAnsi="Arial" w:cs="Arial"/>
          <w:b/>
          <w:bCs/>
        </w:rPr>
        <w:t>DI</w:t>
      </w:r>
      <w:r w:rsidR="00300C16" w:rsidRPr="0036542F">
        <w:rPr>
          <w:rFonts w:ascii="Arial" w:hAnsi="Arial" w:cs="Arial"/>
          <w:b/>
          <w:bCs/>
        </w:rPr>
        <w:t>202</w:t>
      </w:r>
      <w:r w:rsidR="007E59B6" w:rsidRPr="0036542F">
        <w:rPr>
          <w:rFonts w:ascii="Arial" w:hAnsi="Arial" w:cs="Arial"/>
          <w:b/>
          <w:bCs/>
        </w:rPr>
        <w:t>1</w:t>
      </w:r>
      <w:r w:rsidR="00300C16" w:rsidRPr="0036542F">
        <w:rPr>
          <w:rFonts w:ascii="Arial" w:hAnsi="Arial" w:cs="Arial"/>
          <w:b/>
          <w:bCs/>
        </w:rPr>
        <w:t>-</w:t>
      </w:r>
      <w:r w:rsidR="0078280C">
        <w:rPr>
          <w:rFonts w:ascii="Arial" w:hAnsi="Arial" w:cs="Arial"/>
          <w:b/>
          <w:bCs/>
        </w:rPr>
        <w:t>84</w:t>
      </w:r>
    </w:p>
    <w:p w14:paraId="72BCAE12" w14:textId="149F2D3A" w:rsidR="007C1959" w:rsidRPr="00AA61DF" w:rsidRDefault="007C1959" w:rsidP="0036542F">
      <w:pPr>
        <w:pStyle w:val="madeunder"/>
        <w:spacing w:before="300" w:after="120"/>
        <w:jc w:val="left"/>
      </w:pPr>
      <w:r w:rsidRPr="00AA61DF">
        <w:t>made under the</w:t>
      </w:r>
    </w:p>
    <w:p w14:paraId="4B6EDBC7" w14:textId="77777777" w:rsidR="007C1959" w:rsidRPr="0036542F" w:rsidRDefault="007C1959" w:rsidP="0036542F">
      <w:pPr>
        <w:pStyle w:val="CoverActName"/>
        <w:spacing w:before="320"/>
        <w:jc w:val="left"/>
        <w:rPr>
          <w:rFonts w:cs="Arial"/>
          <w:sz w:val="20"/>
        </w:rPr>
      </w:pPr>
      <w:r w:rsidRPr="0036542F">
        <w:rPr>
          <w:rFonts w:cs="Arial"/>
          <w:sz w:val="20"/>
        </w:rPr>
        <w:t>Unit Titles (Management) Act 2011, s119 (Unit title certificate and access to owners corporation records)</w:t>
      </w:r>
    </w:p>
    <w:p w14:paraId="76F24937" w14:textId="77777777" w:rsidR="002657B4" w:rsidRPr="0036542F" w:rsidRDefault="002657B4" w:rsidP="002657B4">
      <w:pPr>
        <w:pStyle w:val="CoverActName"/>
        <w:spacing w:before="360" w:after="0"/>
        <w:rPr>
          <w:rFonts w:cs="Arial"/>
          <w:sz w:val="28"/>
          <w:szCs w:val="28"/>
        </w:rPr>
      </w:pPr>
      <w:r w:rsidRPr="0036542F">
        <w:rPr>
          <w:rFonts w:cs="Arial"/>
          <w:sz w:val="28"/>
          <w:szCs w:val="28"/>
        </w:rPr>
        <w:t>EXPLANATORY STATEMENT</w:t>
      </w:r>
    </w:p>
    <w:p w14:paraId="47EFC0B6" w14:textId="77777777" w:rsidR="005D70F1" w:rsidRPr="00AA61DF" w:rsidRDefault="005D70F1">
      <w:pPr>
        <w:pStyle w:val="N-line3"/>
        <w:pBdr>
          <w:bottom w:val="none" w:sz="0" w:space="0" w:color="auto"/>
        </w:pBdr>
      </w:pPr>
    </w:p>
    <w:p w14:paraId="53C0D82A" w14:textId="77777777" w:rsidR="005D70F1" w:rsidRPr="00AA61DF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11CC409C" w14:textId="2E0D8A04" w:rsidR="00EA7C14" w:rsidRPr="00AA61DF" w:rsidRDefault="007C1959">
      <w:r w:rsidRPr="00AA61DF">
        <w:t>Section 119</w:t>
      </w:r>
      <w:r w:rsidR="003F350B" w:rsidRPr="00AA61DF">
        <w:t xml:space="preserve"> </w:t>
      </w:r>
      <w:r w:rsidRPr="00AA61DF">
        <w:t>(</w:t>
      </w:r>
      <w:r w:rsidR="00300C16">
        <w:t>6</w:t>
      </w:r>
      <w:r w:rsidRPr="00AA61DF">
        <w:t xml:space="preserve">) of the </w:t>
      </w:r>
      <w:r w:rsidRPr="00AA61DF">
        <w:rPr>
          <w:i/>
        </w:rPr>
        <w:t>Unit Titles (Management) Act 2011</w:t>
      </w:r>
      <w:r w:rsidR="00EA7C14" w:rsidRPr="00AA61DF">
        <w:t xml:space="preserve"> </w:t>
      </w:r>
      <w:r w:rsidR="000D5975">
        <w:t>(</w:t>
      </w:r>
      <w:r w:rsidR="0036542F">
        <w:t xml:space="preserve">the </w:t>
      </w:r>
      <w:r w:rsidR="0036542F" w:rsidRPr="0036542F">
        <w:rPr>
          <w:b/>
          <w:bCs/>
          <w:i/>
          <w:iCs/>
        </w:rPr>
        <w:t>Act</w:t>
      </w:r>
      <w:r w:rsidR="000D5975">
        <w:t xml:space="preserve">) </w:t>
      </w:r>
      <w:r w:rsidR="00EA7C14" w:rsidRPr="00AA61DF">
        <w:t>provides that a request by an eligible person for a unit or common property</w:t>
      </w:r>
      <w:r w:rsidR="007A5CEB">
        <w:t>,</w:t>
      </w:r>
      <w:r w:rsidR="00EA7C14" w:rsidRPr="00AA61DF">
        <w:t xml:space="preserve"> for a unit title certificate </w:t>
      </w:r>
      <w:r w:rsidR="008C310B">
        <w:t xml:space="preserve">or a unit title update certificate </w:t>
      </w:r>
      <w:r w:rsidR="00EA7C14" w:rsidRPr="00AA61DF">
        <w:t>under section 119</w:t>
      </w:r>
      <w:r w:rsidR="007A5CEB">
        <w:t>,</w:t>
      </w:r>
      <w:r w:rsidR="00EA7C14" w:rsidRPr="00AA61DF">
        <w:t xml:space="preserve"> must be in writing and accompanied by a fee determined by the owners</w:t>
      </w:r>
      <w:r w:rsidR="00E52BF5">
        <w:t xml:space="preserve"> </w:t>
      </w:r>
      <w:r w:rsidR="00EA7C14" w:rsidRPr="00AA61DF">
        <w:t>corporation of not more than an amount determined by the Minister.</w:t>
      </w:r>
    </w:p>
    <w:p w14:paraId="63D76E4C" w14:textId="77777777" w:rsidR="00EA7C14" w:rsidRPr="00AA61DF" w:rsidRDefault="00EA7C14">
      <w:pPr>
        <w:rPr>
          <w:highlight w:val="yellow"/>
        </w:rPr>
      </w:pPr>
    </w:p>
    <w:p w14:paraId="7AE290C0" w14:textId="48CC45CD" w:rsidR="00AA61DF" w:rsidRDefault="00317EB5" w:rsidP="00AA61DF">
      <w:pPr>
        <w:pStyle w:val="PlainText"/>
        <w:rPr>
          <w:rFonts w:ascii="Times New Roman" w:hAnsi="Times New Roman"/>
          <w:sz w:val="24"/>
          <w:szCs w:val="24"/>
          <w:lang w:eastAsia="en-AU"/>
        </w:rPr>
      </w:pPr>
      <w:r w:rsidRPr="00A5329D">
        <w:rPr>
          <w:rFonts w:ascii="Times New Roman" w:hAnsi="Times New Roman"/>
          <w:sz w:val="24"/>
          <w:szCs w:val="24"/>
          <w:lang w:eastAsia="en-AU"/>
        </w:rPr>
        <w:t>Th</w:t>
      </w:r>
      <w:r w:rsidR="007E59B6">
        <w:rPr>
          <w:rFonts w:ascii="Times New Roman" w:hAnsi="Times New Roman"/>
          <w:sz w:val="24"/>
          <w:szCs w:val="24"/>
          <w:lang w:eastAsia="en-AU"/>
        </w:rPr>
        <w:t xml:space="preserve">e purpose of this instrument is to </w:t>
      </w:r>
      <w:r w:rsidR="000D5975" w:rsidRPr="00A5329D">
        <w:rPr>
          <w:rFonts w:ascii="Times New Roman" w:hAnsi="Times New Roman"/>
          <w:sz w:val="24"/>
          <w:szCs w:val="24"/>
          <w:lang w:eastAsia="en-AU"/>
        </w:rPr>
        <w:t>deter</w:t>
      </w:r>
      <w:r w:rsidR="007E59B6">
        <w:rPr>
          <w:rFonts w:ascii="Times New Roman" w:hAnsi="Times New Roman"/>
          <w:sz w:val="24"/>
          <w:szCs w:val="24"/>
          <w:lang w:eastAsia="en-AU"/>
        </w:rPr>
        <w:t>mine</w:t>
      </w:r>
      <w:r w:rsidRPr="00A5329D">
        <w:rPr>
          <w:rFonts w:ascii="Times New Roman" w:hAnsi="Times New Roman"/>
          <w:sz w:val="24"/>
          <w:szCs w:val="24"/>
          <w:lang w:eastAsia="en-AU"/>
        </w:rPr>
        <w:t xml:space="preserve"> the fees that will apply from </w:t>
      </w:r>
      <w:r w:rsidR="00A5329D">
        <w:rPr>
          <w:rFonts w:ascii="Times New Roman" w:hAnsi="Times New Roman"/>
          <w:sz w:val="24"/>
          <w:szCs w:val="24"/>
          <w:lang w:eastAsia="en-AU"/>
        </w:rPr>
        <w:t xml:space="preserve">the day after notification of the instrument, </w:t>
      </w:r>
      <w:r w:rsidRPr="00A5329D">
        <w:rPr>
          <w:rFonts w:ascii="Times New Roman" w:hAnsi="Times New Roman"/>
          <w:sz w:val="24"/>
          <w:szCs w:val="24"/>
          <w:lang w:eastAsia="en-AU"/>
        </w:rPr>
        <w:t xml:space="preserve">and repeals the </w:t>
      </w:r>
      <w:r w:rsidRPr="00A5329D">
        <w:rPr>
          <w:rFonts w:ascii="Times New Roman" w:hAnsi="Times New Roman"/>
          <w:i/>
          <w:sz w:val="24"/>
          <w:szCs w:val="24"/>
          <w:lang w:eastAsia="en-AU"/>
        </w:rPr>
        <w:t xml:space="preserve">Unit Titles (Management) (Fees) Determination </w:t>
      </w:r>
      <w:r w:rsidR="00EB2C41" w:rsidRPr="00A5329D">
        <w:rPr>
          <w:rFonts w:ascii="Times New Roman" w:hAnsi="Times New Roman"/>
          <w:i/>
          <w:sz w:val="24"/>
          <w:szCs w:val="24"/>
          <w:lang w:eastAsia="en-AU"/>
        </w:rPr>
        <w:t xml:space="preserve">2020 </w:t>
      </w:r>
      <w:r w:rsidR="00A5329D">
        <w:rPr>
          <w:rFonts w:ascii="Times New Roman" w:hAnsi="Times New Roman"/>
          <w:iCs/>
          <w:sz w:val="24"/>
          <w:szCs w:val="24"/>
          <w:lang w:eastAsia="en-AU"/>
        </w:rPr>
        <w:t>(DI2020-155)</w:t>
      </w:r>
      <w:r w:rsidRPr="00A5329D">
        <w:rPr>
          <w:rFonts w:ascii="Times New Roman" w:hAnsi="Times New Roman"/>
          <w:sz w:val="24"/>
          <w:szCs w:val="24"/>
          <w:lang w:eastAsia="en-AU"/>
        </w:rPr>
        <w:t xml:space="preserve">. </w:t>
      </w:r>
    </w:p>
    <w:p w14:paraId="7D692668" w14:textId="45F36914" w:rsidR="00700869" w:rsidRDefault="00700869" w:rsidP="00AA61DF">
      <w:pPr>
        <w:pStyle w:val="PlainText"/>
        <w:rPr>
          <w:rFonts w:ascii="Times New Roman" w:hAnsi="Times New Roman"/>
          <w:sz w:val="24"/>
          <w:szCs w:val="24"/>
          <w:lang w:eastAsia="en-AU"/>
        </w:rPr>
      </w:pPr>
    </w:p>
    <w:p w14:paraId="739A2B75" w14:textId="47BE7D12" w:rsidR="00700869" w:rsidRDefault="00177CD6" w:rsidP="00177CD6">
      <w:pPr>
        <w:pStyle w:val="PlainText"/>
        <w:rPr>
          <w:rFonts w:ascii="Times New Roman" w:hAnsi="Times New Roman"/>
          <w:sz w:val="24"/>
          <w:szCs w:val="22"/>
        </w:rPr>
      </w:pPr>
      <w:r w:rsidRPr="00A5329D">
        <w:rPr>
          <w:rFonts w:ascii="Times New Roman" w:hAnsi="Times New Roman"/>
          <w:sz w:val="24"/>
          <w:szCs w:val="22"/>
        </w:rPr>
        <w:t xml:space="preserve">This determination increases the fee in item 422 </w:t>
      </w:r>
      <w:r w:rsidR="00700869">
        <w:rPr>
          <w:rFonts w:ascii="Times New Roman" w:hAnsi="Times New Roman"/>
          <w:sz w:val="24"/>
          <w:szCs w:val="22"/>
        </w:rPr>
        <w:t xml:space="preserve">of the schedule </w:t>
      </w:r>
      <w:r w:rsidRPr="00A5329D">
        <w:rPr>
          <w:rFonts w:ascii="Times New Roman" w:hAnsi="Times New Roman"/>
          <w:sz w:val="24"/>
          <w:szCs w:val="22"/>
        </w:rPr>
        <w:t xml:space="preserve">in recognition of the commencement of the </w:t>
      </w:r>
      <w:r w:rsidRPr="00A5329D">
        <w:rPr>
          <w:rFonts w:ascii="Times New Roman" w:hAnsi="Times New Roman"/>
          <w:i/>
          <w:iCs/>
          <w:sz w:val="24"/>
          <w:szCs w:val="22"/>
        </w:rPr>
        <w:t>Unit Titles</w:t>
      </w:r>
      <w:r w:rsidRPr="000D5975">
        <w:rPr>
          <w:rFonts w:ascii="Times New Roman" w:hAnsi="Times New Roman"/>
          <w:i/>
          <w:iCs/>
          <w:sz w:val="24"/>
          <w:szCs w:val="22"/>
        </w:rPr>
        <w:t xml:space="preserve"> (Management) Certificate Determination 2020 </w:t>
      </w:r>
      <w:r w:rsidR="00700869">
        <w:rPr>
          <w:rFonts w:ascii="Times New Roman" w:hAnsi="Times New Roman"/>
          <w:sz w:val="24"/>
          <w:szCs w:val="22"/>
        </w:rPr>
        <w:t xml:space="preserve">(DI2020-285) </w:t>
      </w:r>
      <w:r w:rsidRPr="000D5975">
        <w:rPr>
          <w:rFonts w:ascii="Times New Roman" w:hAnsi="Times New Roman"/>
          <w:sz w:val="24"/>
          <w:szCs w:val="22"/>
        </w:rPr>
        <w:t>on 1</w:t>
      </w:r>
      <w:r w:rsidR="00700869">
        <w:rPr>
          <w:rFonts w:ascii="Times New Roman" w:hAnsi="Times New Roman"/>
          <w:sz w:val="24"/>
          <w:szCs w:val="22"/>
        </w:rPr>
        <w:t> </w:t>
      </w:r>
      <w:r w:rsidRPr="000D5975">
        <w:rPr>
          <w:rFonts w:ascii="Times New Roman" w:hAnsi="Times New Roman"/>
          <w:sz w:val="24"/>
          <w:szCs w:val="22"/>
        </w:rPr>
        <w:t>November 2020 which prescribes an additional set of information that must now be provided in a unit title certificate under section 119</w:t>
      </w:r>
      <w:r w:rsidR="0036542F">
        <w:rPr>
          <w:rFonts w:ascii="Times New Roman" w:hAnsi="Times New Roman"/>
          <w:sz w:val="24"/>
          <w:szCs w:val="22"/>
        </w:rPr>
        <w:t xml:space="preserve"> </w:t>
      </w:r>
      <w:r w:rsidRPr="000D5975">
        <w:rPr>
          <w:rFonts w:ascii="Times New Roman" w:hAnsi="Times New Roman"/>
          <w:sz w:val="24"/>
          <w:szCs w:val="22"/>
        </w:rPr>
        <w:t>(1)</w:t>
      </w:r>
      <w:r w:rsidR="0036542F">
        <w:rPr>
          <w:rFonts w:ascii="Times New Roman" w:hAnsi="Times New Roman"/>
          <w:sz w:val="24"/>
          <w:szCs w:val="22"/>
        </w:rPr>
        <w:t xml:space="preserve"> </w:t>
      </w:r>
      <w:r w:rsidRPr="000D5975">
        <w:rPr>
          <w:rFonts w:ascii="Times New Roman" w:hAnsi="Times New Roman"/>
          <w:sz w:val="24"/>
          <w:szCs w:val="22"/>
        </w:rPr>
        <w:t>(a) of the A</w:t>
      </w:r>
      <w:r w:rsidR="0036542F">
        <w:rPr>
          <w:rFonts w:ascii="Times New Roman" w:hAnsi="Times New Roman"/>
          <w:sz w:val="24"/>
          <w:szCs w:val="22"/>
        </w:rPr>
        <w:t>ct</w:t>
      </w:r>
      <w:r w:rsidRPr="000D5975">
        <w:rPr>
          <w:rFonts w:ascii="Times New Roman" w:hAnsi="Times New Roman"/>
          <w:sz w:val="24"/>
          <w:szCs w:val="22"/>
        </w:rPr>
        <w:t>.</w:t>
      </w:r>
      <w:r w:rsidR="000F0524">
        <w:rPr>
          <w:rFonts w:ascii="Times New Roman" w:hAnsi="Times New Roman"/>
          <w:sz w:val="24"/>
          <w:szCs w:val="22"/>
        </w:rPr>
        <w:t xml:space="preserve">  The fee increase is required as the Certificate must now include significantly more information than previously required, such as information on levi</w:t>
      </w:r>
      <w:r w:rsidR="00FE5A77">
        <w:rPr>
          <w:rFonts w:ascii="Times New Roman" w:hAnsi="Times New Roman"/>
          <w:sz w:val="24"/>
          <w:szCs w:val="22"/>
        </w:rPr>
        <w:t xml:space="preserve">es, insurance, warranties and service contracts. </w:t>
      </w:r>
      <w:r w:rsidR="000F0524">
        <w:rPr>
          <w:rFonts w:ascii="Times New Roman" w:hAnsi="Times New Roman"/>
          <w:sz w:val="24"/>
          <w:szCs w:val="22"/>
        </w:rPr>
        <w:t xml:space="preserve"> </w:t>
      </w:r>
    </w:p>
    <w:p w14:paraId="23D34F33" w14:textId="77777777" w:rsidR="00700869" w:rsidRDefault="00700869" w:rsidP="00177CD6">
      <w:pPr>
        <w:pStyle w:val="PlainText"/>
        <w:rPr>
          <w:rFonts w:ascii="Times New Roman" w:hAnsi="Times New Roman"/>
          <w:sz w:val="24"/>
          <w:szCs w:val="22"/>
        </w:rPr>
      </w:pPr>
    </w:p>
    <w:p w14:paraId="02F09CA0" w14:textId="5A00FA41" w:rsidR="000F0524" w:rsidRDefault="00177CD6" w:rsidP="00177CD6">
      <w:pPr>
        <w:pStyle w:val="PlainText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This</w:t>
      </w:r>
      <w:r w:rsidRPr="000D5975">
        <w:rPr>
          <w:rFonts w:ascii="Times New Roman" w:hAnsi="Times New Roman"/>
          <w:sz w:val="24"/>
          <w:szCs w:val="22"/>
        </w:rPr>
        <w:t xml:space="preserve"> determination also contains a new fee in item 425 of the schedule which is consequential to amendments introduced by section 104 of the </w:t>
      </w:r>
      <w:r w:rsidRPr="00700869">
        <w:rPr>
          <w:rFonts w:ascii="Times New Roman" w:hAnsi="Times New Roman"/>
          <w:i/>
          <w:iCs/>
          <w:sz w:val="24"/>
          <w:szCs w:val="22"/>
        </w:rPr>
        <w:t>Unit Titles Legislation Amendment Act 2020</w:t>
      </w:r>
      <w:r w:rsidRPr="000D5975">
        <w:rPr>
          <w:rFonts w:ascii="Times New Roman" w:hAnsi="Times New Roman"/>
          <w:sz w:val="24"/>
          <w:szCs w:val="22"/>
        </w:rPr>
        <w:t>, and now required under section 119</w:t>
      </w:r>
      <w:r w:rsidR="0036542F">
        <w:rPr>
          <w:rFonts w:ascii="Times New Roman" w:hAnsi="Times New Roman"/>
          <w:sz w:val="24"/>
          <w:szCs w:val="22"/>
        </w:rPr>
        <w:t xml:space="preserve"> </w:t>
      </w:r>
      <w:r w:rsidRPr="000D5975">
        <w:rPr>
          <w:rFonts w:ascii="Times New Roman" w:hAnsi="Times New Roman"/>
          <w:sz w:val="24"/>
          <w:szCs w:val="22"/>
        </w:rPr>
        <w:t>(1)</w:t>
      </w:r>
      <w:r w:rsidR="0036542F">
        <w:rPr>
          <w:rFonts w:ascii="Times New Roman" w:hAnsi="Times New Roman"/>
          <w:sz w:val="24"/>
          <w:szCs w:val="22"/>
        </w:rPr>
        <w:t xml:space="preserve"> </w:t>
      </w:r>
      <w:r w:rsidRPr="000D5975">
        <w:rPr>
          <w:rFonts w:ascii="Times New Roman" w:hAnsi="Times New Roman"/>
          <w:sz w:val="24"/>
          <w:szCs w:val="22"/>
        </w:rPr>
        <w:t>(b) of the A</w:t>
      </w:r>
      <w:r w:rsidR="0036542F">
        <w:rPr>
          <w:rFonts w:ascii="Times New Roman" w:hAnsi="Times New Roman"/>
          <w:sz w:val="24"/>
          <w:szCs w:val="22"/>
        </w:rPr>
        <w:t>ct</w:t>
      </w:r>
      <w:r w:rsidRPr="000D5975">
        <w:rPr>
          <w:rFonts w:ascii="Times New Roman" w:hAnsi="Times New Roman"/>
          <w:sz w:val="24"/>
          <w:szCs w:val="22"/>
        </w:rPr>
        <w:t>.</w:t>
      </w:r>
    </w:p>
    <w:p w14:paraId="453AA7D6" w14:textId="65F0EC56" w:rsidR="00700869" w:rsidRDefault="00700869" w:rsidP="00177CD6">
      <w:pPr>
        <w:pStyle w:val="PlainText"/>
        <w:rPr>
          <w:rFonts w:ascii="Times New Roman" w:hAnsi="Times New Roman"/>
          <w:sz w:val="24"/>
          <w:szCs w:val="22"/>
        </w:rPr>
      </w:pPr>
    </w:p>
    <w:p w14:paraId="0C191022" w14:textId="36353368" w:rsidR="00700869" w:rsidRDefault="008C310B" w:rsidP="00700869">
      <w:r>
        <w:t>As t</w:t>
      </w:r>
      <w:r w:rsidR="00700869">
        <w:t>he fees in items 422 and 425 of the schedule are non-government fees payable to the owners corporation, the 2018 Treasury Guidelines for Fees and Charges does not apply to this determination.</w:t>
      </w:r>
    </w:p>
    <w:p w14:paraId="044BB0D0" w14:textId="77777777" w:rsidR="00700869" w:rsidRDefault="00700869" w:rsidP="00700869"/>
    <w:p w14:paraId="757DC001" w14:textId="7F5ECC1C" w:rsidR="00700869" w:rsidRDefault="00700869" w:rsidP="00AA61DF">
      <w:pPr>
        <w:pStyle w:val="PlainTex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The other fees in this determination, items 423 and 424 of the schedule, are unchanged from the previous fee determination </w:t>
      </w:r>
      <w:r w:rsidRPr="00A5329D">
        <w:rPr>
          <w:rFonts w:ascii="Times New Roman" w:hAnsi="Times New Roman"/>
          <w:i/>
          <w:sz w:val="24"/>
          <w:szCs w:val="24"/>
          <w:lang w:eastAsia="en-AU"/>
        </w:rPr>
        <w:t xml:space="preserve">Unit Titles (Management) (Fees) Determination 2020 </w:t>
      </w:r>
      <w:r>
        <w:rPr>
          <w:rFonts w:ascii="Times New Roman" w:hAnsi="Times New Roman"/>
          <w:iCs/>
          <w:sz w:val="24"/>
          <w:szCs w:val="24"/>
          <w:lang w:eastAsia="en-AU"/>
        </w:rPr>
        <w:t>(DI2020-155)</w:t>
      </w:r>
      <w:r w:rsidRPr="00A5329D">
        <w:rPr>
          <w:rFonts w:ascii="Times New Roman" w:hAnsi="Times New Roman"/>
          <w:sz w:val="24"/>
          <w:szCs w:val="24"/>
          <w:lang w:eastAsia="en-AU"/>
        </w:rPr>
        <w:t>.</w:t>
      </w:r>
    </w:p>
    <w:p w14:paraId="6FFF3B6C" w14:textId="2D979EE3" w:rsidR="00700869" w:rsidRDefault="00700869" w:rsidP="00AA61DF">
      <w:pPr>
        <w:pStyle w:val="PlainText"/>
        <w:rPr>
          <w:rFonts w:ascii="Times New Roman" w:hAnsi="Times New Roman"/>
          <w:sz w:val="24"/>
          <w:szCs w:val="20"/>
        </w:rPr>
      </w:pPr>
    </w:p>
    <w:p w14:paraId="679B5186" w14:textId="72FDADD6" w:rsidR="005D70F1" w:rsidRPr="00AA61DF" w:rsidRDefault="00EA7C14">
      <w:r w:rsidRPr="00AA61DF">
        <w:lastRenderedPageBreak/>
        <w:t xml:space="preserve">Item numbers, included in the schedule, column </w:t>
      </w:r>
      <w:r w:rsidR="00A5329D">
        <w:t>1</w:t>
      </w:r>
      <w:r w:rsidRPr="00AA61DF">
        <w:t>, enable the comparison of past fees set under the Act with those set by this instrument.</w:t>
      </w:r>
      <w:r w:rsidR="007E59B6">
        <w:t xml:space="preserve"> </w:t>
      </w:r>
      <w:r w:rsidRPr="00AA61DF">
        <w:t xml:space="preserve">The instrument contains further explanatory notes about the fee for various items in the past </w:t>
      </w:r>
      <w:r w:rsidR="00B24B91" w:rsidRPr="00AA61DF">
        <w:t>f</w:t>
      </w:r>
      <w:r w:rsidRPr="00AA61DF">
        <w:t xml:space="preserve">inancial </w:t>
      </w:r>
      <w:r w:rsidR="00B24B91" w:rsidRPr="00AA61DF">
        <w:t>y</w:t>
      </w:r>
      <w:r w:rsidRPr="00AA61DF">
        <w:t>ear.</w:t>
      </w:r>
      <w:r w:rsidR="007E59B6">
        <w:t xml:space="preserve"> </w:t>
      </w:r>
    </w:p>
    <w:sectPr w:rsidR="005D70F1" w:rsidRPr="00AA61DF" w:rsidSect="003654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4B9D4" w14:textId="77777777" w:rsidR="00121DFB" w:rsidRDefault="00121DFB">
      <w:r>
        <w:separator/>
      </w:r>
    </w:p>
  </w:endnote>
  <w:endnote w:type="continuationSeparator" w:id="0">
    <w:p w14:paraId="277D884F" w14:textId="77777777" w:rsidR="00121DFB" w:rsidRDefault="0012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69AA6" w14:textId="77777777" w:rsidR="00B12059" w:rsidRDefault="00B120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DFA2A" w14:textId="64C6C05C" w:rsidR="00B12059" w:rsidRPr="00B12059" w:rsidRDefault="00B12059" w:rsidP="00B12059">
    <w:pPr>
      <w:pStyle w:val="Footer"/>
      <w:jc w:val="center"/>
      <w:rPr>
        <w:rFonts w:cs="Arial"/>
        <w:sz w:val="14"/>
      </w:rPr>
    </w:pPr>
    <w:r w:rsidRPr="00B1205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E98BF" w14:textId="77777777" w:rsidR="00B12059" w:rsidRDefault="00B12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78909" w14:textId="77777777" w:rsidR="00121DFB" w:rsidRDefault="00121DFB">
      <w:r>
        <w:separator/>
      </w:r>
    </w:p>
  </w:footnote>
  <w:footnote w:type="continuationSeparator" w:id="0">
    <w:p w14:paraId="205B983A" w14:textId="77777777" w:rsidR="00121DFB" w:rsidRDefault="00121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05D16" w14:textId="77777777" w:rsidR="00B12059" w:rsidRDefault="00B120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2BDDD" w14:textId="77777777" w:rsidR="00B12059" w:rsidRDefault="00B120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B764A" w14:textId="77777777" w:rsidR="00B12059" w:rsidRDefault="00B120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64C2BEE"/>
    <w:multiLevelType w:val="multilevel"/>
    <w:tmpl w:val="F1249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2F"/>
    <w:rsid w:val="00020B12"/>
    <w:rsid w:val="00026E60"/>
    <w:rsid w:val="00033E8D"/>
    <w:rsid w:val="00061DD6"/>
    <w:rsid w:val="00081CA7"/>
    <w:rsid w:val="000C6F4B"/>
    <w:rsid w:val="000D5975"/>
    <w:rsid w:val="000F0524"/>
    <w:rsid w:val="000F3FAE"/>
    <w:rsid w:val="00121DFB"/>
    <w:rsid w:val="00131DD5"/>
    <w:rsid w:val="001665B6"/>
    <w:rsid w:val="0017170F"/>
    <w:rsid w:val="00177CD6"/>
    <w:rsid w:val="001F4DB7"/>
    <w:rsid w:val="002113B3"/>
    <w:rsid w:val="00221BB7"/>
    <w:rsid w:val="002657B4"/>
    <w:rsid w:val="00274137"/>
    <w:rsid w:val="00293E7B"/>
    <w:rsid w:val="00295AEF"/>
    <w:rsid w:val="00296142"/>
    <w:rsid w:val="002F094B"/>
    <w:rsid w:val="00300C16"/>
    <w:rsid w:val="003011B2"/>
    <w:rsid w:val="00317EB5"/>
    <w:rsid w:val="00334532"/>
    <w:rsid w:val="00343AF9"/>
    <w:rsid w:val="0036542F"/>
    <w:rsid w:val="00367274"/>
    <w:rsid w:val="00377EB9"/>
    <w:rsid w:val="003A0D69"/>
    <w:rsid w:val="003F1729"/>
    <w:rsid w:val="003F350B"/>
    <w:rsid w:val="00447A81"/>
    <w:rsid w:val="00456061"/>
    <w:rsid w:val="00471C05"/>
    <w:rsid w:val="004C4A40"/>
    <w:rsid w:val="004C4DF9"/>
    <w:rsid w:val="00505A79"/>
    <w:rsid w:val="00543CCC"/>
    <w:rsid w:val="00595C5F"/>
    <w:rsid w:val="005A35CD"/>
    <w:rsid w:val="005D70F1"/>
    <w:rsid w:val="005F390C"/>
    <w:rsid w:val="005F4AEA"/>
    <w:rsid w:val="00640842"/>
    <w:rsid w:val="0064604C"/>
    <w:rsid w:val="006712E8"/>
    <w:rsid w:val="00692C6B"/>
    <w:rsid w:val="006B609E"/>
    <w:rsid w:val="006F63C8"/>
    <w:rsid w:val="00700869"/>
    <w:rsid w:val="00727D96"/>
    <w:rsid w:val="007348CF"/>
    <w:rsid w:val="00735725"/>
    <w:rsid w:val="00750F85"/>
    <w:rsid w:val="00763871"/>
    <w:rsid w:val="00764A33"/>
    <w:rsid w:val="007653B9"/>
    <w:rsid w:val="00771D4A"/>
    <w:rsid w:val="0078280C"/>
    <w:rsid w:val="007A5CEB"/>
    <w:rsid w:val="007B0BE5"/>
    <w:rsid w:val="007C1959"/>
    <w:rsid w:val="007D7C3E"/>
    <w:rsid w:val="007E59B6"/>
    <w:rsid w:val="00845FBE"/>
    <w:rsid w:val="008606FE"/>
    <w:rsid w:val="008B0224"/>
    <w:rsid w:val="008B0B1D"/>
    <w:rsid w:val="008C310B"/>
    <w:rsid w:val="00904E98"/>
    <w:rsid w:val="00945CD0"/>
    <w:rsid w:val="00965379"/>
    <w:rsid w:val="009A7B1F"/>
    <w:rsid w:val="009B55B7"/>
    <w:rsid w:val="009F6B43"/>
    <w:rsid w:val="00A2098B"/>
    <w:rsid w:val="00A5329D"/>
    <w:rsid w:val="00A81472"/>
    <w:rsid w:val="00AA61DF"/>
    <w:rsid w:val="00AE6DDC"/>
    <w:rsid w:val="00B057F7"/>
    <w:rsid w:val="00B12059"/>
    <w:rsid w:val="00B24B91"/>
    <w:rsid w:val="00B402FC"/>
    <w:rsid w:val="00B54842"/>
    <w:rsid w:val="00B63E10"/>
    <w:rsid w:val="00BA6001"/>
    <w:rsid w:val="00C02976"/>
    <w:rsid w:val="00C221A0"/>
    <w:rsid w:val="00C36A2B"/>
    <w:rsid w:val="00C4252F"/>
    <w:rsid w:val="00C4480B"/>
    <w:rsid w:val="00C527DE"/>
    <w:rsid w:val="00C71E5E"/>
    <w:rsid w:val="00CB1C03"/>
    <w:rsid w:val="00CB4F98"/>
    <w:rsid w:val="00D723F7"/>
    <w:rsid w:val="00DB0A17"/>
    <w:rsid w:val="00DD7C58"/>
    <w:rsid w:val="00E52BF5"/>
    <w:rsid w:val="00E847FF"/>
    <w:rsid w:val="00E95B44"/>
    <w:rsid w:val="00EA141E"/>
    <w:rsid w:val="00EA23CB"/>
    <w:rsid w:val="00EA7C14"/>
    <w:rsid w:val="00EB2C41"/>
    <w:rsid w:val="00EC3EA9"/>
    <w:rsid w:val="00F05593"/>
    <w:rsid w:val="00F169F1"/>
    <w:rsid w:val="00F2657C"/>
    <w:rsid w:val="00F71E80"/>
    <w:rsid w:val="00F80B69"/>
    <w:rsid w:val="00FA6F77"/>
    <w:rsid w:val="00FA7A15"/>
    <w:rsid w:val="00FE5A77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15A4AB"/>
  <w14:defaultImageDpi w14:val="0"/>
  <w15:docId w15:val="{0F9002D6-4981-4906-A14D-58D2BF45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6F4B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F4B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0C6F4B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C6F4B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0C6F4B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C6F4B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C6F4B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C6F4B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C6F4B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0C6F4B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0C6F4B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0C6F4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6F4B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0C6F4B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0C6F4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0C6F4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0C6F4B"/>
    <w:pPr>
      <w:spacing w:before="180" w:after="60"/>
      <w:jc w:val="both"/>
    </w:pPr>
  </w:style>
  <w:style w:type="paragraph" w:customStyle="1" w:styleId="CoverActName">
    <w:name w:val="CoverActName"/>
    <w:basedOn w:val="Normal"/>
    <w:rsid w:val="000C6F4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0C6F4B"/>
    <w:pPr>
      <w:tabs>
        <w:tab w:val="left" w:pos="2880"/>
      </w:tabs>
    </w:pPr>
  </w:style>
  <w:style w:type="paragraph" w:customStyle="1" w:styleId="Apara">
    <w:name w:val="A para"/>
    <w:basedOn w:val="Normal"/>
    <w:rsid w:val="000C6F4B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0C6F4B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0C6F4B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0C6F4B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0C6F4B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6F4B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0C6F4B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0C6F4B"/>
    <w:rPr>
      <w:rFonts w:cs="Times New Roman"/>
    </w:rPr>
  </w:style>
  <w:style w:type="paragraph" w:customStyle="1" w:styleId="CoverInForce">
    <w:name w:val="CoverInForce"/>
    <w:basedOn w:val="Normal"/>
    <w:rsid w:val="000C6F4B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0C6F4B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0C6F4B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0C6F4B"/>
    <w:rPr>
      <w:rFonts w:cs="Times New Roman"/>
    </w:rPr>
  </w:style>
  <w:style w:type="paragraph" w:customStyle="1" w:styleId="Aparabullet">
    <w:name w:val="A para bullet"/>
    <w:basedOn w:val="Normal"/>
    <w:rsid w:val="000C6F4B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0C6F4B"/>
  </w:style>
  <w:style w:type="paragraph" w:styleId="TOC2">
    <w:name w:val="toc 2"/>
    <w:basedOn w:val="Normal"/>
    <w:next w:val="Normal"/>
    <w:autoRedefine/>
    <w:uiPriority w:val="39"/>
    <w:semiHidden/>
    <w:rsid w:val="000C6F4B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0C6F4B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0C6F4B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0C6F4B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0C6F4B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0C6F4B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0C6F4B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0C6F4B"/>
    <w:pPr>
      <w:ind w:left="1920"/>
    </w:pPr>
  </w:style>
  <w:style w:type="character" w:styleId="Hyperlink">
    <w:name w:val="Hyperlink"/>
    <w:basedOn w:val="DefaultParagraphFont"/>
    <w:uiPriority w:val="99"/>
    <w:rsid w:val="000C6F4B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0C6F4B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C6F4B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0C6F4B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0C6F4B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0C6F4B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0C6F4B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0C6F4B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C6F4B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C6F4B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0C6F4B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0C6F4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F4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F4DB7"/>
    <w:rPr>
      <w:rFonts w:ascii="Tahoma" w:hAnsi="Tahoma" w:cs="Tahoma"/>
      <w:sz w:val="16"/>
      <w:szCs w:val="16"/>
      <w:lang w:val="x-none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A61DF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61DF"/>
    <w:rPr>
      <w:rFonts w:ascii="Calibri" w:hAnsi="Calibri"/>
      <w:sz w:val="22"/>
      <w:szCs w:val="21"/>
      <w:lang w:eastAsia="en-US"/>
    </w:rPr>
  </w:style>
  <w:style w:type="character" w:styleId="CommentReference">
    <w:name w:val="annotation reference"/>
    <w:basedOn w:val="DefaultParagraphFont"/>
    <w:rsid w:val="007348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48C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348C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34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48C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0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1881</Characters>
  <Application>Microsoft Office Word</Application>
  <DocSecurity>0</DocSecurity>
  <Lines>43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2016-06-15T01:35:00Z</cp:lastPrinted>
  <dcterms:created xsi:type="dcterms:W3CDTF">2021-05-21T00:28:00Z</dcterms:created>
  <dcterms:modified xsi:type="dcterms:W3CDTF">2021-05-21T00:28:00Z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A29346081</vt:lpwstr>
  </property>
  <property fmtid="{D5CDD505-2E9C-101B-9397-08002B2CF9AE}" pid="4" name="Objective-Title">
    <vt:lpwstr>Att B - Explanatory Statement - Unit Titles (Management) (Fees) Determination 2021 - clean copy</vt:lpwstr>
  </property>
  <property fmtid="{D5CDD505-2E9C-101B-9397-08002B2CF9AE}" pid="5" name="Objective-Comment">
    <vt:lpwstr/>
  </property>
  <property fmtid="{D5CDD505-2E9C-101B-9397-08002B2CF9AE}" pid="6" name="Objective-CreationStamp">
    <vt:filetime>2021-05-20T04:19:30Z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2021-05-20T06:50:08Z</vt:filetime>
  </property>
  <property fmtid="{D5CDD505-2E9C-101B-9397-08002B2CF9AE}" pid="10" name="Objective-ModificationStamp">
    <vt:filetime>2021-05-20T06:50:08Z</vt:filetime>
  </property>
  <property fmtid="{D5CDD505-2E9C-101B-9397-08002B2CF9AE}" pid="11" name="Objective-Owner">
    <vt:lpwstr>Erica Hurrell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Ministerials:2020 - Ministerial and Chief Ministerial Briefs / Correspondence:Planning, Land and Building:12. December:20/95315 Ministerial Information Brief - Attorney General - Unit Titles Fee Determination.:</vt:lpwstr>
  </property>
  <property fmtid="{D5CDD505-2E9C-101B-9397-08002B2CF9AE}" pid="13" name="Objective-Parent">
    <vt:lpwstr>20/95315 Ministerial Information Brief - Attorney General - Unit Titles Fee Determination.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1-2020/95315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