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114DB" w14:textId="77777777" w:rsidR="00C95B0D" w:rsidRPr="001E3BF4" w:rsidRDefault="00C95B0D" w:rsidP="001E3BF4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1E3BF4">
            <w:rPr>
              <w:rFonts w:ascii="Arial" w:hAnsi="Arial" w:cs="Arial"/>
            </w:rPr>
            <w:t>Australian Capital Territory</w:t>
          </w:r>
        </w:smartTag>
      </w:smartTag>
    </w:p>
    <w:p w14:paraId="0F19E583" w14:textId="59487290" w:rsidR="00C95B0D" w:rsidRPr="001E351E" w:rsidRDefault="00C95B0D" w:rsidP="001E3BF4">
      <w:pPr>
        <w:pStyle w:val="Billname"/>
        <w:spacing w:before="700"/>
      </w:pPr>
      <w:r w:rsidRPr="001E351E">
        <w:t>Planning and Development (Fees) Determination 20</w:t>
      </w:r>
      <w:r w:rsidR="002638FE">
        <w:t>21</w:t>
      </w:r>
      <w:r w:rsidRPr="001E351E">
        <w:t xml:space="preserve"> </w:t>
      </w:r>
    </w:p>
    <w:p w14:paraId="6F867ECC" w14:textId="1BB5F7A3" w:rsidR="00C95B0D" w:rsidRPr="001E3BF4" w:rsidRDefault="00C95B0D" w:rsidP="001E3BF4">
      <w:pPr>
        <w:spacing w:before="340"/>
        <w:rPr>
          <w:rFonts w:ascii="Arial" w:hAnsi="Arial" w:cs="Arial"/>
          <w:b/>
          <w:bCs/>
          <w:vertAlign w:val="superscript"/>
        </w:rPr>
      </w:pPr>
      <w:r w:rsidRPr="001E3BF4">
        <w:rPr>
          <w:rFonts w:ascii="Arial" w:hAnsi="Arial" w:cs="Arial"/>
          <w:b/>
          <w:bCs/>
        </w:rPr>
        <w:t>Di</w:t>
      </w:r>
      <w:r w:rsidR="00081C7F" w:rsidRPr="001E3BF4">
        <w:rPr>
          <w:rFonts w:ascii="Arial" w:hAnsi="Arial" w:cs="Arial"/>
          <w:b/>
          <w:bCs/>
        </w:rPr>
        <w:t xml:space="preserve">sallowable </w:t>
      </w:r>
      <w:r w:rsidR="001E3BF4">
        <w:rPr>
          <w:rFonts w:ascii="Arial" w:hAnsi="Arial" w:cs="Arial"/>
          <w:b/>
          <w:bCs/>
        </w:rPr>
        <w:t>i</w:t>
      </w:r>
      <w:r w:rsidR="00081C7F" w:rsidRPr="001E3BF4">
        <w:rPr>
          <w:rFonts w:ascii="Arial" w:hAnsi="Arial" w:cs="Arial"/>
          <w:b/>
          <w:bCs/>
        </w:rPr>
        <w:t>nstrument DI20</w:t>
      </w:r>
      <w:r w:rsidR="002638FE">
        <w:rPr>
          <w:rFonts w:ascii="Arial" w:hAnsi="Arial" w:cs="Arial"/>
          <w:b/>
          <w:bCs/>
        </w:rPr>
        <w:t>21</w:t>
      </w:r>
      <w:r w:rsidR="00081C7F" w:rsidRPr="001E3BF4">
        <w:rPr>
          <w:rFonts w:ascii="Arial" w:hAnsi="Arial" w:cs="Arial"/>
          <w:b/>
          <w:bCs/>
        </w:rPr>
        <w:t>-</w:t>
      </w:r>
      <w:r w:rsidR="008D1D35">
        <w:rPr>
          <w:rFonts w:ascii="Arial" w:hAnsi="Arial" w:cs="Arial"/>
          <w:b/>
          <w:bCs/>
        </w:rPr>
        <w:t>126</w:t>
      </w:r>
    </w:p>
    <w:p w14:paraId="15BB3865" w14:textId="77777777" w:rsidR="00C95B0D" w:rsidRPr="00A10AC2" w:rsidRDefault="00C95B0D" w:rsidP="001E3BF4">
      <w:pPr>
        <w:pStyle w:val="madeunder"/>
        <w:spacing w:before="300" w:after="0"/>
      </w:pPr>
      <w:r w:rsidRPr="00A10AC2">
        <w:t>made under the</w:t>
      </w:r>
    </w:p>
    <w:p w14:paraId="4A6F3DE7" w14:textId="77777777" w:rsidR="00C95B0D" w:rsidRPr="001E351E" w:rsidRDefault="00C95B0D" w:rsidP="001E3BF4">
      <w:pPr>
        <w:pStyle w:val="CoverActName"/>
        <w:spacing w:before="320" w:after="0"/>
        <w:rPr>
          <w:sz w:val="20"/>
          <w:szCs w:val="20"/>
          <w:vertAlign w:val="superscript"/>
        </w:rPr>
      </w:pPr>
      <w:r w:rsidRPr="001E351E">
        <w:rPr>
          <w:sz w:val="20"/>
          <w:szCs w:val="20"/>
        </w:rPr>
        <w:t>Planning and Development Act 2007, s 424 (Determination of fees)</w:t>
      </w:r>
    </w:p>
    <w:p w14:paraId="28A69E23" w14:textId="77777777" w:rsidR="00C95B0D" w:rsidRPr="001E3BF4" w:rsidRDefault="00C95B0D" w:rsidP="001E3BF4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 w:rsidRPr="001E3BF4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0D68AD" w14:textId="77777777" w:rsidR="00C95B0D" w:rsidRPr="00A10AC2" w:rsidRDefault="00C95B0D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/>
          <w:bCs/>
        </w:rPr>
      </w:pPr>
    </w:p>
    <w:p w14:paraId="6C758505" w14:textId="77777777" w:rsidR="00C95B0D" w:rsidRPr="00A10AC2" w:rsidRDefault="00C95B0D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14:paraId="737CF84A" w14:textId="77777777" w:rsidR="001E351E" w:rsidRDefault="001E351E" w:rsidP="00A73ED1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424 of the </w:t>
      </w:r>
      <w:r w:rsidRPr="00A73ED1">
        <w:rPr>
          <w:color w:val="000000"/>
        </w:rPr>
        <w:t xml:space="preserve">Planning and Development Act 2007 </w:t>
      </w:r>
      <w:r>
        <w:rPr>
          <w:color w:val="000000"/>
        </w:rPr>
        <w:t xml:space="preserve">(the </w:t>
      </w:r>
      <w:r w:rsidRPr="00A73ED1">
        <w:rPr>
          <w:color w:val="000000"/>
        </w:rPr>
        <w:t>Act</w:t>
      </w:r>
      <w:r>
        <w:rPr>
          <w:color w:val="000000"/>
        </w:rPr>
        <w:t>)</w:t>
      </w:r>
      <w:r w:rsidRPr="00A73ED1">
        <w:rPr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14:paraId="1C4E293E" w14:textId="77777777" w:rsidR="001E351E" w:rsidRDefault="001E351E" w:rsidP="00A73ED1">
      <w:pPr>
        <w:pStyle w:val="LongTitle"/>
        <w:spacing w:before="0" w:after="0"/>
        <w:jc w:val="left"/>
        <w:rPr>
          <w:color w:val="000000"/>
        </w:rPr>
      </w:pPr>
    </w:p>
    <w:p w14:paraId="7D90FAD3" w14:textId="0FE31EAB" w:rsidR="001E351E" w:rsidRDefault="001E351E" w:rsidP="00A73ED1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for the </w:t>
      </w:r>
      <w:r w:rsidR="002638FE">
        <w:rPr>
          <w:color w:val="000000"/>
        </w:rPr>
        <w:t>2021-22</w:t>
      </w:r>
      <w:r>
        <w:rPr>
          <w:color w:val="000000"/>
        </w:rPr>
        <w:t xml:space="preserve"> financial year. </w:t>
      </w:r>
    </w:p>
    <w:p w14:paraId="3DF35F8C" w14:textId="77777777" w:rsidR="001E351E" w:rsidRPr="00A73ED1" w:rsidRDefault="001E351E" w:rsidP="00A73ED1">
      <w:pPr>
        <w:pStyle w:val="LongTitle"/>
        <w:spacing w:before="0" w:after="0"/>
        <w:jc w:val="left"/>
        <w:rPr>
          <w:color w:val="000000"/>
        </w:rPr>
      </w:pPr>
    </w:p>
    <w:p w14:paraId="3CA5511B" w14:textId="6AF1F132" w:rsidR="001E351E" w:rsidRPr="00A73ED1" w:rsidRDefault="00EF7D96" w:rsidP="00A73ED1">
      <w:pPr>
        <w:pStyle w:val="LongTitle"/>
        <w:spacing w:before="0" w:after="0"/>
        <w:jc w:val="left"/>
        <w:rPr>
          <w:color w:val="000000"/>
        </w:rPr>
      </w:pPr>
      <w:r w:rsidRPr="00A73ED1">
        <w:rPr>
          <w:color w:val="000000"/>
        </w:rPr>
        <w:t>The regulatory fees in the determination</w:t>
      </w:r>
      <w:r w:rsidR="000B49AB">
        <w:rPr>
          <w:color w:val="000000"/>
        </w:rPr>
        <w:t xml:space="preserve">, </w:t>
      </w:r>
      <w:r w:rsidR="000B49AB">
        <w:t>which applied in the 2019-20 and 2020-21 financial years,</w:t>
      </w:r>
      <w:r w:rsidRPr="00A73ED1">
        <w:rPr>
          <w:color w:val="000000"/>
        </w:rPr>
        <w:t xml:space="preserve"> </w:t>
      </w:r>
      <w:r w:rsidR="00387D67" w:rsidRPr="00A73ED1">
        <w:rPr>
          <w:color w:val="000000"/>
        </w:rPr>
        <w:t xml:space="preserve">have been increased by </w:t>
      </w:r>
      <w:r w:rsidR="002638FE">
        <w:rPr>
          <w:color w:val="000000"/>
        </w:rPr>
        <w:t>1.75</w:t>
      </w:r>
      <w:r w:rsidR="00387D67" w:rsidRPr="00A73ED1">
        <w:rPr>
          <w:color w:val="000000"/>
        </w:rPr>
        <w:t xml:space="preserve">% </w:t>
      </w:r>
      <w:r w:rsidR="00C34244" w:rsidRPr="00A73ED1">
        <w:rPr>
          <w:color w:val="000000"/>
        </w:rPr>
        <w:t>for the 20</w:t>
      </w:r>
      <w:r w:rsidR="002638FE">
        <w:rPr>
          <w:color w:val="000000"/>
        </w:rPr>
        <w:t>21</w:t>
      </w:r>
      <w:r w:rsidR="002638FE">
        <w:rPr>
          <w:color w:val="000000"/>
        </w:rPr>
        <w:noBreakHyphen/>
      </w:r>
      <w:r w:rsidR="00BB3D45" w:rsidRPr="00A73ED1">
        <w:rPr>
          <w:color w:val="000000"/>
        </w:rPr>
        <w:t>2</w:t>
      </w:r>
      <w:r w:rsidR="002638FE">
        <w:rPr>
          <w:color w:val="000000"/>
        </w:rPr>
        <w:t>2</w:t>
      </w:r>
      <w:r w:rsidR="00387D67" w:rsidRPr="00A73ED1">
        <w:rPr>
          <w:color w:val="000000"/>
        </w:rPr>
        <w:t xml:space="preserve"> financial year, based on the wage price index as per government’s advice</w:t>
      </w:r>
      <w:r w:rsidRPr="00A73ED1">
        <w:rPr>
          <w:color w:val="000000"/>
        </w:rPr>
        <w:t xml:space="preserve">. Administration fees relating to refunds are increased by </w:t>
      </w:r>
      <w:r w:rsidR="009F2D15">
        <w:rPr>
          <w:color w:val="000000"/>
        </w:rPr>
        <w:t>1.75</w:t>
      </w:r>
      <w:r w:rsidRPr="00A73ED1">
        <w:rPr>
          <w:color w:val="000000"/>
        </w:rPr>
        <w:t xml:space="preserve">% (the </w:t>
      </w:r>
      <w:r w:rsidR="00A73ED1" w:rsidRPr="00A73ED1">
        <w:rPr>
          <w:color w:val="000000"/>
        </w:rPr>
        <w:t>w</w:t>
      </w:r>
      <w:r w:rsidRPr="00A73ED1">
        <w:rPr>
          <w:color w:val="000000"/>
        </w:rPr>
        <w:t xml:space="preserve">age </w:t>
      </w:r>
      <w:r w:rsidR="00A73ED1" w:rsidRPr="00A73ED1">
        <w:rPr>
          <w:color w:val="000000"/>
        </w:rPr>
        <w:t>p</w:t>
      </w:r>
      <w:r w:rsidRPr="00A73ED1">
        <w:rPr>
          <w:color w:val="000000"/>
        </w:rPr>
        <w:t xml:space="preserve">rice </w:t>
      </w:r>
      <w:r w:rsidR="00A73ED1" w:rsidRPr="00A73ED1">
        <w:rPr>
          <w:color w:val="000000"/>
        </w:rPr>
        <w:t>i</w:t>
      </w:r>
      <w:r w:rsidRPr="00A73ED1">
        <w:rPr>
          <w:color w:val="000000"/>
        </w:rPr>
        <w:t>ndex), as per the government’s Fees and Charges Policy and Guidelines. Appropriate rounding has been made in relation to increases.</w:t>
      </w:r>
    </w:p>
    <w:p w14:paraId="2D254B15" w14:textId="77777777" w:rsidR="00675015" w:rsidRPr="00A73ED1" w:rsidRDefault="00675015" w:rsidP="00A73ED1">
      <w:pPr>
        <w:pStyle w:val="LongTitle"/>
        <w:spacing w:before="0" w:after="0"/>
        <w:jc w:val="left"/>
        <w:rPr>
          <w:color w:val="000000"/>
        </w:rPr>
      </w:pPr>
    </w:p>
    <w:p w14:paraId="7A2FE45C" w14:textId="6D13EFF5" w:rsidR="001E351E" w:rsidRPr="00A73ED1" w:rsidRDefault="001E351E" w:rsidP="00A73ED1">
      <w:pPr>
        <w:pStyle w:val="LongTitle"/>
        <w:spacing w:before="0" w:after="0"/>
        <w:jc w:val="left"/>
        <w:rPr>
          <w:color w:val="000000"/>
        </w:rPr>
      </w:pPr>
      <w:r w:rsidRPr="00A73ED1">
        <w:rPr>
          <w:color w:val="000000"/>
        </w:rPr>
        <w:t>The instrument commences on 1 July 20</w:t>
      </w:r>
      <w:r w:rsidR="009F2D15">
        <w:rPr>
          <w:color w:val="000000"/>
        </w:rPr>
        <w:t>21</w:t>
      </w:r>
      <w:r w:rsidRPr="00A73ED1">
        <w:rPr>
          <w:color w:val="000000"/>
        </w:rPr>
        <w:t>.</w:t>
      </w:r>
    </w:p>
    <w:p w14:paraId="1A5899F5" w14:textId="77777777" w:rsidR="001E351E" w:rsidRPr="00A73ED1" w:rsidRDefault="001E351E" w:rsidP="00A73ED1">
      <w:pPr>
        <w:pStyle w:val="LongTitle"/>
        <w:spacing w:before="0" w:after="0"/>
        <w:jc w:val="left"/>
        <w:rPr>
          <w:color w:val="000000"/>
        </w:rPr>
      </w:pPr>
    </w:p>
    <w:p w14:paraId="5416FB48" w14:textId="077F7D81" w:rsidR="001E351E" w:rsidRPr="00A73ED1" w:rsidRDefault="001E351E" w:rsidP="00A73ED1">
      <w:pPr>
        <w:pStyle w:val="LongTitle"/>
        <w:spacing w:before="0" w:after="0"/>
        <w:jc w:val="left"/>
        <w:rPr>
          <w:color w:val="000000"/>
        </w:rPr>
      </w:pPr>
      <w:r w:rsidRPr="00A73ED1">
        <w:rPr>
          <w:color w:val="000000"/>
        </w:rPr>
        <w:t xml:space="preserve">This instrument revokes the </w:t>
      </w:r>
      <w:r w:rsidR="00B86F5B" w:rsidRPr="009F2D15">
        <w:rPr>
          <w:i/>
          <w:iCs/>
          <w:color w:val="000000"/>
        </w:rPr>
        <w:t>Planning and Devel</w:t>
      </w:r>
      <w:r w:rsidR="00B13AFD" w:rsidRPr="009F2D15">
        <w:rPr>
          <w:i/>
          <w:iCs/>
          <w:color w:val="000000"/>
        </w:rPr>
        <w:t>opment (Fees) Determination 201</w:t>
      </w:r>
      <w:r w:rsidR="009F2D15" w:rsidRPr="009F2D15">
        <w:rPr>
          <w:i/>
          <w:iCs/>
          <w:color w:val="000000"/>
        </w:rPr>
        <w:t>9</w:t>
      </w:r>
      <w:r w:rsidR="00C34244" w:rsidRPr="00A73ED1">
        <w:rPr>
          <w:color w:val="000000"/>
        </w:rPr>
        <w:t xml:space="preserve"> </w:t>
      </w:r>
      <w:r w:rsidR="00B86F5B" w:rsidRPr="00A73ED1">
        <w:rPr>
          <w:color w:val="000000"/>
        </w:rPr>
        <w:t>(DI201</w:t>
      </w:r>
      <w:r w:rsidR="002638FE">
        <w:rPr>
          <w:color w:val="000000"/>
        </w:rPr>
        <w:t>9</w:t>
      </w:r>
      <w:r w:rsidR="00B86F5B" w:rsidRPr="00A73ED1">
        <w:rPr>
          <w:color w:val="000000"/>
        </w:rPr>
        <w:noBreakHyphen/>
        <w:t>1</w:t>
      </w:r>
      <w:r w:rsidR="002638FE">
        <w:rPr>
          <w:color w:val="000000"/>
        </w:rPr>
        <w:t>33</w:t>
      </w:r>
      <w:r w:rsidR="00B86F5B" w:rsidRPr="00A73ED1">
        <w:rPr>
          <w:color w:val="000000"/>
        </w:rPr>
        <w:t>)</w:t>
      </w:r>
      <w:r w:rsidRPr="00A73ED1">
        <w:rPr>
          <w:color w:val="000000"/>
        </w:rPr>
        <w:t>.</w:t>
      </w:r>
    </w:p>
    <w:p w14:paraId="10B2EA9A" w14:textId="77777777" w:rsidR="001E351E" w:rsidRPr="00A73ED1" w:rsidRDefault="001E351E" w:rsidP="00A73ED1">
      <w:pPr>
        <w:pStyle w:val="LongTitle"/>
        <w:spacing w:before="0" w:after="0"/>
        <w:jc w:val="left"/>
        <w:rPr>
          <w:color w:val="000000"/>
        </w:rPr>
      </w:pPr>
    </w:p>
    <w:p w14:paraId="3ADEC992" w14:textId="77777777" w:rsidR="00EF7D96" w:rsidRDefault="001E351E" w:rsidP="00A73ED1">
      <w:pPr>
        <w:pStyle w:val="LongTitle"/>
        <w:spacing w:before="0" w:after="0"/>
        <w:jc w:val="left"/>
        <w:rPr>
          <w:lang w:eastAsia="en-AU"/>
        </w:rPr>
      </w:pPr>
      <w:r w:rsidRPr="00A73ED1">
        <w:rPr>
          <w:color w:val="000000"/>
        </w:rPr>
        <w:t>The determination under section 424 of the Act is a disallowable instrument</w:t>
      </w:r>
      <w:r w:rsidR="00EF7D96" w:rsidRPr="00EF7D96">
        <w:rPr>
          <w:lang w:eastAsia="en-AU"/>
        </w:rPr>
        <w:t xml:space="preserve"> </w:t>
      </w:r>
      <w:r w:rsidR="00EF7D96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EF7D96" w:rsidRPr="008B4B31">
        <w:rPr>
          <w:i/>
          <w:iCs/>
          <w:lang w:eastAsia="en-AU"/>
        </w:rPr>
        <w:t>Legislation</w:t>
      </w:r>
      <w:r w:rsidR="00EF7D96">
        <w:rPr>
          <w:i/>
          <w:iCs/>
          <w:lang w:eastAsia="en-AU"/>
        </w:rPr>
        <w:t> </w:t>
      </w:r>
      <w:r w:rsidR="00EF7D96" w:rsidRPr="008B4B31">
        <w:rPr>
          <w:i/>
          <w:iCs/>
          <w:lang w:eastAsia="en-AU"/>
        </w:rPr>
        <w:t>Act 2001</w:t>
      </w:r>
      <w:r w:rsidR="00A73ED1">
        <w:rPr>
          <w:i/>
          <w:iCs/>
          <w:lang w:eastAsia="en-AU"/>
        </w:rPr>
        <w:t xml:space="preserve"> </w:t>
      </w:r>
      <w:r w:rsidR="00A73ED1">
        <w:rPr>
          <w:iCs/>
          <w:lang w:eastAsia="en-AU"/>
        </w:rPr>
        <w:t>(Legislation Act)</w:t>
      </w:r>
      <w:r w:rsidR="00EF7D96" w:rsidRPr="008B4B31">
        <w:rPr>
          <w:lang w:eastAsia="en-AU"/>
        </w:rPr>
        <w:t>.</w:t>
      </w:r>
    </w:p>
    <w:p w14:paraId="0FE7C5A7" w14:textId="77777777" w:rsidR="00EF7D96" w:rsidRDefault="00EF7D96" w:rsidP="001E351E">
      <w:pPr>
        <w:rPr>
          <w:lang w:eastAsia="en-AU"/>
        </w:rPr>
      </w:pPr>
    </w:p>
    <w:p w14:paraId="49964274" w14:textId="77777777" w:rsidR="00EF7D96" w:rsidRDefault="00EF7D96" w:rsidP="00EF7D96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24802B1E" w14:textId="77777777" w:rsidR="00EF7D96" w:rsidRDefault="00EF7D96" w:rsidP="00EF7D96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1E3BF4">
        <w:rPr>
          <w:lang w:eastAsia="en-AU"/>
        </w:rPr>
        <w:t>ection</w:t>
      </w:r>
      <w:r>
        <w:rPr>
          <w:lang w:eastAsia="en-AU"/>
        </w:rPr>
        <w:t xml:space="preserve"> 36</w:t>
      </w:r>
      <w:r w:rsidR="001E3BF4">
        <w:rPr>
          <w:lang w:eastAsia="en-AU"/>
        </w:rPr>
        <w:t xml:space="preserve"> </w:t>
      </w:r>
      <w:r>
        <w:rPr>
          <w:lang w:eastAsia="en-AU"/>
        </w:rPr>
        <w:t>(1)</w:t>
      </w:r>
      <w:r w:rsidR="001E3BF4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1E3BF4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6402E29B" w14:textId="77777777" w:rsidR="00EF7D96" w:rsidRDefault="00EF7D96" w:rsidP="00EF7D96">
      <w:pPr>
        <w:autoSpaceDE w:val="0"/>
        <w:autoSpaceDN w:val="0"/>
        <w:adjustRightInd w:val="0"/>
        <w:rPr>
          <w:lang w:eastAsia="en-AU"/>
        </w:rPr>
      </w:pPr>
    </w:p>
    <w:p w14:paraId="5DBC43CD" w14:textId="77777777" w:rsidR="006C665A" w:rsidRDefault="006C665A" w:rsidP="00EF7D96">
      <w:pPr>
        <w:autoSpaceDE w:val="0"/>
        <w:autoSpaceDN w:val="0"/>
        <w:adjustRightInd w:val="0"/>
        <w:rPr>
          <w:lang w:eastAsia="en-AU"/>
        </w:rPr>
      </w:pPr>
    </w:p>
    <w:p w14:paraId="1A81F41B" w14:textId="77777777" w:rsidR="00EF7D96" w:rsidRPr="00477EDE" w:rsidRDefault="00EF7D96" w:rsidP="00EF7D96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067E611E" w14:textId="77777777" w:rsidR="001E351E" w:rsidRDefault="00EF7D96" w:rsidP="001519BB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sectPr w:rsidR="001E351E" w:rsidSect="00675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13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63646" w14:textId="77777777" w:rsidR="00C53CCE" w:rsidRDefault="00C53CCE">
      <w:r>
        <w:separator/>
      </w:r>
    </w:p>
  </w:endnote>
  <w:endnote w:type="continuationSeparator" w:id="0">
    <w:p w14:paraId="0CA21710" w14:textId="77777777" w:rsidR="00C53CCE" w:rsidRDefault="00C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DCCE" w14:textId="77777777" w:rsidR="00165551" w:rsidRDefault="00165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BFBC" w14:textId="497C8346" w:rsidR="00C95B0D" w:rsidRPr="00165551" w:rsidRDefault="00165551" w:rsidP="00165551">
    <w:pPr>
      <w:pStyle w:val="Footer"/>
      <w:jc w:val="center"/>
      <w:rPr>
        <w:rFonts w:ascii="Arial" w:hAnsi="Arial" w:cs="Arial"/>
        <w:sz w:val="14"/>
      </w:rPr>
    </w:pPr>
    <w:r w:rsidRPr="0016555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B8F13" w14:textId="77777777" w:rsidR="00165551" w:rsidRDefault="0016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B6D34" w14:textId="77777777" w:rsidR="00C53CCE" w:rsidRDefault="00C53CCE">
      <w:r>
        <w:separator/>
      </w:r>
    </w:p>
  </w:footnote>
  <w:footnote w:type="continuationSeparator" w:id="0">
    <w:p w14:paraId="66C7D53A" w14:textId="77777777" w:rsidR="00C53CCE" w:rsidRDefault="00C5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0DC7" w14:textId="77777777" w:rsidR="00165551" w:rsidRDefault="00165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F21CD" w14:textId="77777777" w:rsidR="00165551" w:rsidRDefault="00165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9843E" w14:textId="77777777" w:rsidR="00165551" w:rsidRDefault="00165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2182018"/>
    <w:multiLevelType w:val="hybridMultilevel"/>
    <w:tmpl w:val="C52E22E0"/>
    <w:lvl w:ilvl="0" w:tplc="057E0E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6EEB"/>
    <w:multiLevelType w:val="hybridMultilevel"/>
    <w:tmpl w:val="08808D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51ECA"/>
    <w:multiLevelType w:val="hybridMultilevel"/>
    <w:tmpl w:val="A1408C32"/>
    <w:lvl w:ilvl="0" w:tplc="F6AA744A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D"/>
    <w:rsid w:val="00030743"/>
    <w:rsid w:val="000426F2"/>
    <w:rsid w:val="000469DD"/>
    <w:rsid w:val="00053EBD"/>
    <w:rsid w:val="00066CAB"/>
    <w:rsid w:val="00081C7F"/>
    <w:rsid w:val="00092F8C"/>
    <w:rsid w:val="000B2C05"/>
    <w:rsid w:val="000B49AB"/>
    <w:rsid w:val="000C31F0"/>
    <w:rsid w:val="000D0F92"/>
    <w:rsid w:val="00101B50"/>
    <w:rsid w:val="0013039E"/>
    <w:rsid w:val="00133062"/>
    <w:rsid w:val="001519BB"/>
    <w:rsid w:val="00165551"/>
    <w:rsid w:val="001A7A67"/>
    <w:rsid w:val="001B4CDF"/>
    <w:rsid w:val="001D3A2C"/>
    <w:rsid w:val="001D5B2A"/>
    <w:rsid w:val="001E351E"/>
    <w:rsid w:val="001E3BF4"/>
    <w:rsid w:val="002318A0"/>
    <w:rsid w:val="002404D9"/>
    <w:rsid w:val="00253C81"/>
    <w:rsid w:val="002625D1"/>
    <w:rsid w:val="002638FE"/>
    <w:rsid w:val="00284DA8"/>
    <w:rsid w:val="003164B7"/>
    <w:rsid w:val="00321B12"/>
    <w:rsid w:val="00361268"/>
    <w:rsid w:val="00377A96"/>
    <w:rsid w:val="00387D67"/>
    <w:rsid w:val="003F39E1"/>
    <w:rsid w:val="00400594"/>
    <w:rsid w:val="00443802"/>
    <w:rsid w:val="00444A52"/>
    <w:rsid w:val="00462EDC"/>
    <w:rsid w:val="0046515A"/>
    <w:rsid w:val="0048462B"/>
    <w:rsid w:val="00491E42"/>
    <w:rsid w:val="004B3A63"/>
    <w:rsid w:val="004B5C97"/>
    <w:rsid w:val="004E081F"/>
    <w:rsid w:val="00502EB1"/>
    <w:rsid w:val="00527FA5"/>
    <w:rsid w:val="00530137"/>
    <w:rsid w:val="00535791"/>
    <w:rsid w:val="00554CBF"/>
    <w:rsid w:val="005B39C2"/>
    <w:rsid w:val="00611A8D"/>
    <w:rsid w:val="00675015"/>
    <w:rsid w:val="006A4884"/>
    <w:rsid w:val="006B782F"/>
    <w:rsid w:val="006C665A"/>
    <w:rsid w:val="006D2B92"/>
    <w:rsid w:val="00701742"/>
    <w:rsid w:val="007175B7"/>
    <w:rsid w:val="007600EC"/>
    <w:rsid w:val="0076626D"/>
    <w:rsid w:val="00821203"/>
    <w:rsid w:val="0087135D"/>
    <w:rsid w:val="008975C3"/>
    <w:rsid w:val="008D1D35"/>
    <w:rsid w:val="008E6BBA"/>
    <w:rsid w:val="00957733"/>
    <w:rsid w:val="00984E88"/>
    <w:rsid w:val="009B2276"/>
    <w:rsid w:val="009C54CD"/>
    <w:rsid w:val="009F2D15"/>
    <w:rsid w:val="00A06C95"/>
    <w:rsid w:val="00A10AC2"/>
    <w:rsid w:val="00A15DC2"/>
    <w:rsid w:val="00A2286F"/>
    <w:rsid w:val="00A33DC7"/>
    <w:rsid w:val="00A41BB3"/>
    <w:rsid w:val="00A73ED1"/>
    <w:rsid w:val="00AE0DAA"/>
    <w:rsid w:val="00AF5B69"/>
    <w:rsid w:val="00B13AFD"/>
    <w:rsid w:val="00B2272F"/>
    <w:rsid w:val="00B334C1"/>
    <w:rsid w:val="00B426A7"/>
    <w:rsid w:val="00B86F5B"/>
    <w:rsid w:val="00BA1060"/>
    <w:rsid w:val="00BB3D45"/>
    <w:rsid w:val="00BB6B18"/>
    <w:rsid w:val="00BC5388"/>
    <w:rsid w:val="00BD4F88"/>
    <w:rsid w:val="00BF56E3"/>
    <w:rsid w:val="00C05558"/>
    <w:rsid w:val="00C34244"/>
    <w:rsid w:val="00C53CCE"/>
    <w:rsid w:val="00C945DE"/>
    <w:rsid w:val="00C95B0D"/>
    <w:rsid w:val="00D61003"/>
    <w:rsid w:val="00D67837"/>
    <w:rsid w:val="00D70970"/>
    <w:rsid w:val="00D818AF"/>
    <w:rsid w:val="00DB0E7C"/>
    <w:rsid w:val="00DE2A57"/>
    <w:rsid w:val="00E1131F"/>
    <w:rsid w:val="00E35B96"/>
    <w:rsid w:val="00E43BE4"/>
    <w:rsid w:val="00E45908"/>
    <w:rsid w:val="00E57E3A"/>
    <w:rsid w:val="00E91634"/>
    <w:rsid w:val="00EC3747"/>
    <w:rsid w:val="00EC731D"/>
    <w:rsid w:val="00EE34A9"/>
    <w:rsid w:val="00EE7CBB"/>
    <w:rsid w:val="00EF7D96"/>
    <w:rsid w:val="00F26762"/>
    <w:rsid w:val="00F94D10"/>
    <w:rsid w:val="00FC243E"/>
    <w:rsid w:val="00FD506D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75BD02C"/>
  <w15:chartTrackingRefBased/>
  <w15:docId w15:val="{5E72EB9A-D59E-4DA4-958F-712D5EE7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hronTableBold">
    <w:name w:val="ChronTableBold"/>
    <w:basedOn w:val="Normal"/>
    <w:uiPriority w:val="99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uiPriority w:val="99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53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766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2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62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2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62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8B93C5B9-98AA-49EB-873C-9C67D578FB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1486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cp:lastModifiedBy>Moxon, KarenL</cp:lastModifiedBy>
  <cp:revision>4</cp:revision>
  <cp:lastPrinted>2018-05-21T01:12:00Z</cp:lastPrinted>
  <dcterms:created xsi:type="dcterms:W3CDTF">2021-06-17T02:33:00Z</dcterms:created>
  <dcterms:modified xsi:type="dcterms:W3CDTF">2021-06-17T02:33:00Z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A28426326</vt:lpwstr>
  </property>
  <property fmtid="{D5CDD505-2E9C-101B-9397-08002B2CF9AE}" pid="3" name="Objective-Comment">
    <vt:lpwstr/>
  </property>
  <property fmtid="{D5CDD505-2E9C-101B-9397-08002B2CF9AE}" pid="4" name="Objective-CreationStamp">
    <vt:filetime>2021-03-10T08:39:37Z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2021-03-19T10:54:50Z</vt:filetime>
  </property>
  <property fmtid="{D5CDD505-2E9C-101B-9397-08002B2CF9AE}" pid="8" name="Objective-ModificationStamp">
    <vt:filetime>2021-04-20T01:35:04Z</vt:filetime>
  </property>
  <property fmtid="{D5CDD505-2E9C-101B-9397-08002B2CF9AE}" pid="9" name="Objective-Owner">
    <vt:lpwstr>RachelL Li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Ministerials:2021 - Ministerial and Chief Ministerial Briefs / Correspondence:Corporate Services and Operations  (Chief Operating Officer):03. March:21/09468 - Ministerial Information Brief - Gentleman - 2021-22 EPSDD Fees and Charges Disallowable Instruments:Attachment B &amp; C: Disallowable Instruments and Explanatory Statements:</vt:lpwstr>
  </property>
  <property fmtid="{D5CDD505-2E9C-101B-9397-08002B2CF9AE}" pid="11" name="Objective-Parent">
    <vt:lpwstr>Attachment B &amp; C: Disallowable Instruments and Explanatory Statements</vt:lpwstr>
  </property>
  <property fmtid="{D5CDD505-2E9C-101B-9397-08002B2CF9AE}" pid="12" name="Objective-State">
    <vt:lpwstr>Published</vt:lpwstr>
  </property>
  <property fmtid="{D5CDD505-2E9C-101B-9397-08002B2CF9AE}" pid="13" name="Objective-Title">
    <vt:lpwstr>C02 - DI2021-XX Planning and Development Determination 2021 Explanatory Statement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/>
  </property>
  <property fmtid="{D5CDD505-2E9C-101B-9397-08002B2CF9AE}" pid="16" name="Objective-VersionNumber">
    <vt:r8>4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314bd111-b6b8-4e8d-a299-c92f78cf83dd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