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15F1" w14:textId="77777777" w:rsidR="00867B7D" w:rsidRPr="008C3B92" w:rsidRDefault="00867B7D" w:rsidP="00867B7D">
      <w:pPr>
        <w:spacing w:after="0"/>
        <w:rPr>
          <w:rFonts w:ascii="Arial" w:hAnsi="Arial" w:cs="Arial"/>
          <w:b/>
          <w:bCs/>
          <w:sz w:val="24"/>
          <w:szCs w:val="24"/>
        </w:rPr>
      </w:pPr>
    </w:p>
    <w:p w14:paraId="209A9BC4" w14:textId="77777777" w:rsidR="00867B7D" w:rsidRPr="008C3B92" w:rsidRDefault="00867B7D" w:rsidP="00867B7D">
      <w:pPr>
        <w:spacing w:after="0"/>
        <w:rPr>
          <w:rFonts w:ascii="Arial" w:hAnsi="Arial" w:cs="Arial"/>
          <w:b/>
          <w:bCs/>
          <w:sz w:val="24"/>
          <w:szCs w:val="24"/>
        </w:rPr>
      </w:pPr>
    </w:p>
    <w:p w14:paraId="6656602E" w14:textId="4F957191" w:rsidR="00867B7D" w:rsidRPr="00BB387E" w:rsidRDefault="00867B7D" w:rsidP="00867B7D">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076160">
        <w:rPr>
          <w:rFonts w:ascii="Arial" w:hAnsi="Arial" w:cs="Arial"/>
          <w:b/>
          <w:bCs/>
          <w:sz w:val="24"/>
          <w:szCs w:val="24"/>
        </w:rPr>
        <w:t>1</w:t>
      </w:r>
    </w:p>
    <w:p w14:paraId="1AB4A479" w14:textId="77777777" w:rsidR="00867B7D" w:rsidRPr="00BB387E" w:rsidRDefault="00867B7D" w:rsidP="00867B7D">
      <w:pPr>
        <w:spacing w:after="0"/>
        <w:jc w:val="center"/>
        <w:rPr>
          <w:rFonts w:ascii="Arial" w:hAnsi="Arial" w:cs="Arial"/>
          <w:b/>
          <w:sz w:val="24"/>
          <w:szCs w:val="24"/>
        </w:rPr>
      </w:pPr>
    </w:p>
    <w:p w14:paraId="1F166EAE" w14:textId="77777777" w:rsidR="00867B7D" w:rsidRPr="00BB387E" w:rsidRDefault="00867B7D" w:rsidP="00867B7D">
      <w:pPr>
        <w:spacing w:after="0"/>
        <w:jc w:val="center"/>
        <w:rPr>
          <w:rFonts w:ascii="Arial" w:hAnsi="Arial" w:cs="Arial"/>
          <w:b/>
          <w:sz w:val="24"/>
          <w:szCs w:val="24"/>
        </w:rPr>
      </w:pPr>
    </w:p>
    <w:p w14:paraId="3AA0CFF2" w14:textId="77777777" w:rsidR="00867B7D" w:rsidRPr="00BB387E" w:rsidRDefault="00867B7D" w:rsidP="00867B7D">
      <w:pPr>
        <w:spacing w:after="0"/>
        <w:jc w:val="center"/>
        <w:rPr>
          <w:rFonts w:ascii="Arial" w:hAnsi="Arial" w:cs="Arial"/>
          <w:b/>
          <w:sz w:val="24"/>
          <w:szCs w:val="24"/>
        </w:rPr>
      </w:pPr>
    </w:p>
    <w:p w14:paraId="46563C5F" w14:textId="77777777" w:rsidR="00867B7D" w:rsidRPr="00BB387E" w:rsidRDefault="00867B7D" w:rsidP="00867B7D">
      <w:pPr>
        <w:spacing w:after="0"/>
        <w:jc w:val="center"/>
        <w:rPr>
          <w:rFonts w:ascii="Arial" w:hAnsi="Arial" w:cs="Arial"/>
          <w:b/>
          <w:sz w:val="24"/>
          <w:szCs w:val="24"/>
        </w:rPr>
      </w:pPr>
    </w:p>
    <w:p w14:paraId="7556F0F5" w14:textId="77777777" w:rsidR="00867B7D" w:rsidRPr="00BB387E" w:rsidRDefault="00867B7D" w:rsidP="00867B7D">
      <w:pPr>
        <w:spacing w:after="0"/>
        <w:jc w:val="center"/>
        <w:rPr>
          <w:rFonts w:ascii="Arial" w:hAnsi="Arial" w:cs="Arial"/>
          <w:b/>
          <w:bCs/>
          <w:sz w:val="24"/>
          <w:szCs w:val="24"/>
        </w:rPr>
      </w:pPr>
    </w:p>
    <w:p w14:paraId="2366EF27" w14:textId="77777777" w:rsidR="00867B7D" w:rsidRPr="00BB387E" w:rsidRDefault="00867B7D" w:rsidP="00867B7D">
      <w:pPr>
        <w:spacing w:after="0"/>
        <w:jc w:val="center"/>
        <w:rPr>
          <w:rFonts w:ascii="Arial" w:hAnsi="Arial" w:cs="Arial"/>
          <w:b/>
          <w:bCs/>
          <w:sz w:val="24"/>
          <w:szCs w:val="24"/>
        </w:rPr>
      </w:pPr>
    </w:p>
    <w:p w14:paraId="3EF1604B" w14:textId="77777777" w:rsidR="00867B7D" w:rsidRPr="00BB387E" w:rsidRDefault="00867B7D" w:rsidP="00867B7D">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4D07EEC5" w14:textId="77777777" w:rsidR="00867B7D" w:rsidRPr="00BB387E" w:rsidRDefault="00867B7D" w:rsidP="00867B7D">
      <w:pPr>
        <w:spacing w:after="0"/>
        <w:jc w:val="center"/>
        <w:rPr>
          <w:rFonts w:ascii="Arial" w:hAnsi="Arial" w:cs="Arial"/>
          <w:b/>
          <w:sz w:val="24"/>
          <w:szCs w:val="24"/>
        </w:rPr>
      </w:pPr>
      <w:r w:rsidRPr="00BB387E">
        <w:rPr>
          <w:rFonts w:ascii="Arial" w:hAnsi="Arial" w:cs="Arial"/>
          <w:b/>
          <w:bCs/>
          <w:sz w:val="24"/>
          <w:szCs w:val="24"/>
        </w:rPr>
        <w:t>AUSTRALIAN CAPITAL TERRITORY</w:t>
      </w:r>
    </w:p>
    <w:p w14:paraId="445FC705" w14:textId="77777777" w:rsidR="00867B7D" w:rsidRPr="00BB387E" w:rsidRDefault="00867B7D" w:rsidP="00867B7D">
      <w:pPr>
        <w:spacing w:after="0"/>
        <w:jc w:val="center"/>
        <w:rPr>
          <w:rFonts w:ascii="Arial" w:hAnsi="Arial" w:cs="Arial"/>
          <w:b/>
          <w:sz w:val="24"/>
          <w:szCs w:val="24"/>
        </w:rPr>
      </w:pPr>
    </w:p>
    <w:p w14:paraId="2962E149" w14:textId="77777777" w:rsidR="00867B7D" w:rsidRPr="00BB387E" w:rsidRDefault="00867B7D" w:rsidP="00867B7D">
      <w:pPr>
        <w:spacing w:after="0"/>
        <w:jc w:val="center"/>
        <w:rPr>
          <w:rFonts w:ascii="Arial" w:hAnsi="Arial" w:cs="Arial"/>
          <w:b/>
          <w:sz w:val="24"/>
          <w:szCs w:val="24"/>
        </w:rPr>
      </w:pPr>
    </w:p>
    <w:p w14:paraId="51697886" w14:textId="77777777" w:rsidR="00867B7D" w:rsidRPr="00BB387E" w:rsidRDefault="00867B7D" w:rsidP="00867B7D">
      <w:pPr>
        <w:spacing w:after="0"/>
        <w:jc w:val="center"/>
        <w:rPr>
          <w:rFonts w:ascii="Arial" w:hAnsi="Arial" w:cs="Arial"/>
          <w:b/>
          <w:sz w:val="24"/>
          <w:szCs w:val="24"/>
        </w:rPr>
      </w:pPr>
    </w:p>
    <w:p w14:paraId="56417FB3" w14:textId="77777777" w:rsidR="00867B7D" w:rsidRPr="00BB387E" w:rsidRDefault="00867B7D" w:rsidP="00867B7D">
      <w:pPr>
        <w:spacing w:after="0"/>
        <w:jc w:val="center"/>
        <w:rPr>
          <w:rFonts w:ascii="Arial" w:hAnsi="Arial" w:cs="Arial"/>
          <w:b/>
          <w:sz w:val="24"/>
          <w:szCs w:val="24"/>
        </w:rPr>
      </w:pPr>
    </w:p>
    <w:p w14:paraId="29CCD9C2" w14:textId="77777777" w:rsidR="00867B7D" w:rsidRPr="00BB387E" w:rsidRDefault="00867B7D" w:rsidP="00867B7D">
      <w:pPr>
        <w:spacing w:after="0"/>
        <w:jc w:val="center"/>
        <w:rPr>
          <w:rFonts w:ascii="Arial" w:hAnsi="Arial" w:cs="Arial"/>
          <w:b/>
          <w:sz w:val="24"/>
          <w:szCs w:val="24"/>
        </w:rPr>
      </w:pPr>
    </w:p>
    <w:p w14:paraId="32CAB840" w14:textId="77777777" w:rsidR="00867B7D" w:rsidRPr="00BB387E" w:rsidRDefault="00867B7D" w:rsidP="00867B7D">
      <w:pPr>
        <w:spacing w:after="0"/>
        <w:jc w:val="center"/>
        <w:rPr>
          <w:rFonts w:ascii="Arial" w:hAnsi="Arial" w:cs="Arial"/>
          <w:b/>
          <w:sz w:val="24"/>
          <w:szCs w:val="24"/>
        </w:rPr>
      </w:pPr>
    </w:p>
    <w:p w14:paraId="260B41BF" w14:textId="77777777" w:rsidR="00867B7D" w:rsidRPr="00BB387E" w:rsidRDefault="00867B7D" w:rsidP="00867B7D">
      <w:pPr>
        <w:spacing w:after="0"/>
        <w:jc w:val="center"/>
        <w:rPr>
          <w:rFonts w:ascii="Arial" w:hAnsi="Arial" w:cs="Arial"/>
          <w:b/>
          <w:sz w:val="24"/>
          <w:szCs w:val="24"/>
        </w:rPr>
      </w:pPr>
    </w:p>
    <w:p w14:paraId="18E615B4" w14:textId="77777777" w:rsidR="00867B7D" w:rsidRPr="00BB387E" w:rsidRDefault="00867B7D" w:rsidP="00867B7D">
      <w:pPr>
        <w:spacing w:after="0"/>
        <w:jc w:val="center"/>
        <w:rPr>
          <w:rFonts w:ascii="Arial" w:hAnsi="Arial" w:cs="Arial"/>
          <w:b/>
          <w:sz w:val="24"/>
          <w:szCs w:val="24"/>
        </w:rPr>
      </w:pPr>
    </w:p>
    <w:p w14:paraId="4DDB61A6" w14:textId="77777777" w:rsidR="00867B7D" w:rsidRPr="00BB387E" w:rsidRDefault="00867B7D" w:rsidP="00867B7D">
      <w:pPr>
        <w:spacing w:after="0"/>
        <w:jc w:val="center"/>
        <w:rPr>
          <w:rFonts w:ascii="Arial" w:hAnsi="Arial" w:cs="Arial"/>
          <w:b/>
          <w:sz w:val="24"/>
          <w:szCs w:val="24"/>
        </w:rPr>
      </w:pPr>
    </w:p>
    <w:p w14:paraId="743DED2D" w14:textId="77777777" w:rsidR="00867B7D" w:rsidRPr="00BB387E" w:rsidRDefault="00867B7D" w:rsidP="00867B7D">
      <w:pPr>
        <w:spacing w:after="0"/>
        <w:jc w:val="center"/>
        <w:rPr>
          <w:rFonts w:ascii="Arial" w:hAnsi="Arial" w:cs="Arial"/>
          <w:b/>
          <w:sz w:val="24"/>
          <w:szCs w:val="24"/>
        </w:rPr>
      </w:pPr>
    </w:p>
    <w:p w14:paraId="06C0C951" w14:textId="2E0AADE6" w:rsidR="00867B7D" w:rsidRPr="00741C4A" w:rsidRDefault="00867B7D" w:rsidP="00867B7D">
      <w:pPr>
        <w:spacing w:after="0"/>
        <w:jc w:val="center"/>
        <w:rPr>
          <w:rFonts w:ascii="Arial" w:hAnsi="Arial" w:cs="Arial"/>
          <w:b/>
          <w:bCs/>
          <w:sz w:val="24"/>
          <w:szCs w:val="24"/>
        </w:rPr>
      </w:pPr>
      <w:r>
        <w:rPr>
          <w:rFonts w:ascii="Arial" w:hAnsi="Arial" w:cs="Arial"/>
          <w:b/>
          <w:bCs/>
          <w:sz w:val="24"/>
          <w:szCs w:val="24"/>
        </w:rPr>
        <w:t>Residential Tenancies (COVID-19 Emergency Response) Declaration 202</w:t>
      </w:r>
      <w:r w:rsidR="00076160">
        <w:rPr>
          <w:rFonts w:ascii="Arial" w:hAnsi="Arial" w:cs="Arial"/>
          <w:b/>
          <w:bCs/>
          <w:sz w:val="24"/>
          <w:szCs w:val="24"/>
        </w:rPr>
        <w:t>1</w:t>
      </w:r>
      <w:r w:rsidR="002277C5">
        <w:rPr>
          <w:rFonts w:ascii="Arial" w:hAnsi="Arial" w:cs="Arial"/>
          <w:b/>
          <w:bCs/>
          <w:sz w:val="24"/>
          <w:szCs w:val="24"/>
        </w:rPr>
        <w:t xml:space="preserve"> (No</w:t>
      </w:r>
      <w:r w:rsidR="00406205">
        <w:rPr>
          <w:rFonts w:ascii="Arial" w:hAnsi="Arial" w:cs="Arial"/>
          <w:b/>
          <w:bCs/>
          <w:sz w:val="24"/>
          <w:szCs w:val="24"/>
        </w:rPr>
        <w:t> </w:t>
      </w:r>
      <w:r w:rsidR="002277C5">
        <w:rPr>
          <w:rFonts w:ascii="Arial" w:hAnsi="Arial" w:cs="Arial"/>
          <w:b/>
          <w:bCs/>
          <w:sz w:val="24"/>
          <w:szCs w:val="24"/>
        </w:rPr>
        <w:t>2)</w:t>
      </w:r>
      <w:r w:rsidR="009D43D2">
        <w:rPr>
          <w:rFonts w:ascii="Arial" w:hAnsi="Arial" w:cs="Arial"/>
          <w:b/>
          <w:bCs/>
          <w:sz w:val="24"/>
          <w:szCs w:val="24"/>
        </w:rPr>
        <w:t xml:space="preserve"> </w:t>
      </w:r>
    </w:p>
    <w:p w14:paraId="2CF7E68B" w14:textId="77777777" w:rsidR="00867B7D" w:rsidRPr="00BB387E" w:rsidRDefault="00867B7D" w:rsidP="00867B7D">
      <w:pPr>
        <w:spacing w:after="0"/>
        <w:jc w:val="center"/>
        <w:rPr>
          <w:rFonts w:ascii="Arial" w:hAnsi="Arial" w:cs="Arial"/>
          <w:b/>
          <w:bCs/>
          <w:sz w:val="24"/>
          <w:szCs w:val="24"/>
        </w:rPr>
      </w:pPr>
    </w:p>
    <w:p w14:paraId="3D542C3A" w14:textId="77777777" w:rsidR="00867B7D" w:rsidRPr="00BB387E" w:rsidRDefault="00867B7D" w:rsidP="00867B7D">
      <w:pPr>
        <w:spacing w:after="0"/>
        <w:jc w:val="center"/>
        <w:rPr>
          <w:rFonts w:ascii="Arial" w:hAnsi="Arial" w:cs="Arial"/>
          <w:b/>
          <w:sz w:val="24"/>
          <w:szCs w:val="24"/>
        </w:rPr>
      </w:pPr>
    </w:p>
    <w:p w14:paraId="61317CB8" w14:textId="77777777" w:rsidR="00867B7D" w:rsidRPr="00BB387E" w:rsidRDefault="00867B7D" w:rsidP="00867B7D">
      <w:pPr>
        <w:spacing w:after="0"/>
        <w:jc w:val="center"/>
        <w:rPr>
          <w:rFonts w:ascii="Arial" w:hAnsi="Arial" w:cs="Arial"/>
          <w:b/>
          <w:bCs/>
          <w:sz w:val="24"/>
          <w:szCs w:val="24"/>
        </w:rPr>
      </w:pPr>
    </w:p>
    <w:p w14:paraId="428A7BE8" w14:textId="77777777" w:rsidR="00867B7D" w:rsidRDefault="00867B7D" w:rsidP="00867B7D">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55C03DAF" w14:textId="77777777" w:rsidR="00867B7D" w:rsidRPr="00BB387E" w:rsidRDefault="00867B7D" w:rsidP="00867B7D">
      <w:pPr>
        <w:spacing w:after="0"/>
        <w:jc w:val="center"/>
        <w:rPr>
          <w:rFonts w:ascii="Arial" w:hAnsi="Arial" w:cs="Arial"/>
          <w:b/>
          <w:sz w:val="24"/>
          <w:szCs w:val="24"/>
        </w:rPr>
      </w:pPr>
    </w:p>
    <w:p w14:paraId="4B0B4A93" w14:textId="77777777" w:rsidR="00867B7D" w:rsidRPr="00BB387E" w:rsidRDefault="00867B7D" w:rsidP="00867B7D">
      <w:pPr>
        <w:spacing w:after="0"/>
        <w:jc w:val="center"/>
        <w:rPr>
          <w:rFonts w:ascii="Arial" w:hAnsi="Arial" w:cs="Arial"/>
          <w:b/>
          <w:sz w:val="24"/>
          <w:szCs w:val="24"/>
        </w:rPr>
      </w:pPr>
    </w:p>
    <w:p w14:paraId="0B38C7BE" w14:textId="77777777" w:rsidR="00867B7D" w:rsidRPr="00BB387E" w:rsidRDefault="00867B7D" w:rsidP="00867B7D">
      <w:pPr>
        <w:spacing w:after="0"/>
        <w:jc w:val="center"/>
        <w:rPr>
          <w:rFonts w:ascii="Arial" w:hAnsi="Arial" w:cs="Arial"/>
          <w:b/>
          <w:sz w:val="24"/>
          <w:szCs w:val="24"/>
        </w:rPr>
      </w:pPr>
    </w:p>
    <w:p w14:paraId="1C536B70" w14:textId="54534EC8" w:rsidR="00867B7D" w:rsidRDefault="00867B7D" w:rsidP="00867B7D">
      <w:pPr>
        <w:spacing w:after="0"/>
        <w:jc w:val="center"/>
        <w:rPr>
          <w:rFonts w:ascii="Arial" w:hAnsi="Arial" w:cs="Arial"/>
          <w:b/>
          <w:sz w:val="24"/>
          <w:szCs w:val="24"/>
        </w:rPr>
      </w:pPr>
    </w:p>
    <w:p w14:paraId="1B0225E0" w14:textId="3C73C656" w:rsidR="00406205" w:rsidRDefault="00406205" w:rsidP="00867B7D">
      <w:pPr>
        <w:spacing w:after="0"/>
        <w:jc w:val="center"/>
        <w:rPr>
          <w:rFonts w:ascii="Arial" w:hAnsi="Arial" w:cs="Arial"/>
          <w:b/>
          <w:sz w:val="24"/>
          <w:szCs w:val="24"/>
        </w:rPr>
      </w:pPr>
    </w:p>
    <w:p w14:paraId="408CA16A" w14:textId="6E1946FB" w:rsidR="00406205" w:rsidRDefault="00406205" w:rsidP="00867B7D">
      <w:pPr>
        <w:spacing w:after="0"/>
        <w:jc w:val="center"/>
        <w:rPr>
          <w:rFonts w:ascii="Arial" w:hAnsi="Arial" w:cs="Arial"/>
          <w:b/>
          <w:sz w:val="24"/>
          <w:szCs w:val="24"/>
        </w:rPr>
      </w:pPr>
    </w:p>
    <w:p w14:paraId="5AC50577" w14:textId="536F90DA" w:rsidR="00406205" w:rsidRDefault="00406205" w:rsidP="00867B7D">
      <w:pPr>
        <w:spacing w:after="0"/>
        <w:jc w:val="center"/>
        <w:rPr>
          <w:rFonts w:ascii="Arial" w:hAnsi="Arial" w:cs="Arial"/>
          <w:b/>
          <w:sz w:val="24"/>
          <w:szCs w:val="24"/>
        </w:rPr>
      </w:pPr>
    </w:p>
    <w:p w14:paraId="7A14E73D" w14:textId="0EF80C85" w:rsidR="00406205" w:rsidRDefault="00406205" w:rsidP="00867B7D">
      <w:pPr>
        <w:spacing w:after="0"/>
        <w:jc w:val="center"/>
        <w:rPr>
          <w:rFonts w:ascii="Arial" w:hAnsi="Arial" w:cs="Arial"/>
          <w:b/>
          <w:sz w:val="24"/>
          <w:szCs w:val="24"/>
        </w:rPr>
      </w:pPr>
    </w:p>
    <w:p w14:paraId="5D04F972" w14:textId="22E26DEC" w:rsidR="00406205" w:rsidRDefault="00406205" w:rsidP="00867B7D">
      <w:pPr>
        <w:spacing w:after="0"/>
        <w:jc w:val="center"/>
        <w:rPr>
          <w:rFonts w:ascii="Arial" w:hAnsi="Arial" w:cs="Arial"/>
          <w:b/>
          <w:sz w:val="24"/>
          <w:szCs w:val="24"/>
        </w:rPr>
      </w:pPr>
    </w:p>
    <w:p w14:paraId="639FB29A" w14:textId="00939CCF" w:rsidR="00406205" w:rsidRDefault="00406205" w:rsidP="00867B7D">
      <w:pPr>
        <w:spacing w:after="0"/>
        <w:jc w:val="center"/>
        <w:rPr>
          <w:rFonts w:ascii="Arial" w:hAnsi="Arial" w:cs="Arial"/>
          <w:b/>
          <w:sz w:val="24"/>
          <w:szCs w:val="24"/>
        </w:rPr>
      </w:pPr>
    </w:p>
    <w:p w14:paraId="39F36307" w14:textId="492AD55E" w:rsidR="00406205" w:rsidRDefault="00406205" w:rsidP="00867B7D">
      <w:pPr>
        <w:spacing w:after="0"/>
        <w:jc w:val="center"/>
        <w:rPr>
          <w:rFonts w:ascii="Arial" w:hAnsi="Arial" w:cs="Arial"/>
          <w:b/>
          <w:sz w:val="24"/>
          <w:szCs w:val="24"/>
        </w:rPr>
      </w:pPr>
    </w:p>
    <w:p w14:paraId="57EDE217" w14:textId="77777777" w:rsidR="00406205" w:rsidRPr="000F15F1" w:rsidRDefault="00406205" w:rsidP="00867B7D">
      <w:pPr>
        <w:spacing w:after="0"/>
        <w:jc w:val="center"/>
        <w:rPr>
          <w:rFonts w:ascii="Arial" w:hAnsi="Arial" w:cs="Arial"/>
          <w:b/>
          <w:sz w:val="24"/>
          <w:szCs w:val="24"/>
        </w:rPr>
      </w:pPr>
    </w:p>
    <w:p w14:paraId="474D6FFE" w14:textId="77777777" w:rsidR="00867B7D" w:rsidRPr="000F15F1" w:rsidRDefault="00867B7D" w:rsidP="00867B7D">
      <w:pPr>
        <w:keepNext/>
        <w:widowControl w:val="0"/>
        <w:spacing w:after="0"/>
        <w:jc w:val="center"/>
        <w:outlineLvl w:val="7"/>
        <w:rPr>
          <w:rFonts w:ascii="Arial" w:hAnsi="Arial" w:cs="Arial"/>
          <w:b/>
          <w:bCs/>
          <w:sz w:val="24"/>
          <w:szCs w:val="24"/>
        </w:rPr>
      </w:pPr>
    </w:p>
    <w:p w14:paraId="00CE47FB" w14:textId="77777777" w:rsidR="00867B7D" w:rsidRPr="000F15F1" w:rsidRDefault="00867B7D" w:rsidP="00867B7D">
      <w:pPr>
        <w:keepNext/>
        <w:widowControl w:val="0"/>
        <w:spacing w:after="0"/>
        <w:jc w:val="center"/>
        <w:outlineLvl w:val="7"/>
        <w:rPr>
          <w:rFonts w:ascii="Arial" w:hAnsi="Arial" w:cs="Arial"/>
          <w:b/>
          <w:bCs/>
          <w:sz w:val="24"/>
          <w:szCs w:val="24"/>
        </w:rPr>
      </w:pPr>
    </w:p>
    <w:p w14:paraId="04AC2075" w14:textId="77777777" w:rsidR="00867B7D" w:rsidRPr="000F15F1" w:rsidRDefault="00867B7D" w:rsidP="00867B7D">
      <w:pPr>
        <w:keepNext/>
        <w:widowControl w:val="0"/>
        <w:spacing w:after="0"/>
        <w:ind w:right="686"/>
        <w:jc w:val="right"/>
        <w:outlineLvl w:val="7"/>
        <w:rPr>
          <w:rFonts w:ascii="Arial" w:hAnsi="Arial" w:cs="Arial"/>
          <w:b/>
          <w:bCs/>
          <w:sz w:val="24"/>
          <w:szCs w:val="24"/>
        </w:rPr>
      </w:pPr>
      <w:r w:rsidRPr="000F15F1">
        <w:rPr>
          <w:rFonts w:ascii="Arial" w:hAnsi="Arial" w:cs="Arial"/>
          <w:b/>
          <w:bCs/>
          <w:sz w:val="24"/>
          <w:szCs w:val="24"/>
        </w:rPr>
        <w:t>Presented by</w:t>
      </w:r>
    </w:p>
    <w:p w14:paraId="5A65EBCA" w14:textId="55AE2B2E" w:rsidR="00867B7D" w:rsidRDefault="00076160" w:rsidP="00867B7D">
      <w:pPr>
        <w:spacing w:after="0"/>
        <w:ind w:right="686"/>
        <w:jc w:val="right"/>
        <w:rPr>
          <w:rFonts w:ascii="Arial" w:hAnsi="Arial" w:cs="Arial"/>
          <w:b/>
          <w:bCs/>
          <w:sz w:val="24"/>
          <w:szCs w:val="24"/>
        </w:rPr>
      </w:pPr>
      <w:r>
        <w:rPr>
          <w:rFonts w:ascii="Arial" w:hAnsi="Arial" w:cs="Arial"/>
          <w:b/>
          <w:bCs/>
          <w:sz w:val="24"/>
          <w:szCs w:val="24"/>
        </w:rPr>
        <w:t>Shane Rattenbury</w:t>
      </w:r>
      <w:r w:rsidR="00867B7D" w:rsidRPr="000F15F1">
        <w:rPr>
          <w:rFonts w:ascii="Arial" w:hAnsi="Arial" w:cs="Arial"/>
          <w:b/>
          <w:bCs/>
          <w:sz w:val="24"/>
          <w:szCs w:val="24"/>
        </w:rPr>
        <w:t xml:space="preserve"> MLA</w:t>
      </w:r>
    </w:p>
    <w:p w14:paraId="15BB7082" w14:textId="38529CBA" w:rsidR="00406205" w:rsidRPr="000F15F1" w:rsidRDefault="00406205" w:rsidP="00867B7D">
      <w:pPr>
        <w:spacing w:after="0"/>
        <w:ind w:right="686"/>
        <w:jc w:val="right"/>
        <w:rPr>
          <w:rFonts w:ascii="Arial" w:hAnsi="Arial" w:cs="Arial"/>
          <w:b/>
          <w:bCs/>
          <w:sz w:val="24"/>
          <w:szCs w:val="24"/>
        </w:rPr>
      </w:pPr>
      <w:r>
        <w:rPr>
          <w:rFonts w:ascii="Arial" w:hAnsi="Arial" w:cs="Arial"/>
          <w:b/>
          <w:bCs/>
          <w:sz w:val="24"/>
          <w:szCs w:val="24"/>
        </w:rPr>
        <w:t>Attorney-General</w:t>
      </w:r>
    </w:p>
    <w:p w14:paraId="13138E11" w14:textId="77777777" w:rsidR="00867B7D" w:rsidRPr="000F15F1" w:rsidRDefault="00867B7D" w:rsidP="00867B7D">
      <w:pPr>
        <w:spacing w:after="0" w:line="240" w:lineRule="auto"/>
        <w:rPr>
          <w:rFonts w:ascii="Arial" w:hAnsi="Arial" w:cs="Arial"/>
          <w:b/>
          <w:bCs/>
          <w:sz w:val="24"/>
          <w:szCs w:val="24"/>
          <w:u w:val="single"/>
        </w:rPr>
        <w:sectPr w:rsidR="00867B7D" w:rsidRPr="000F15F1" w:rsidSect="00DC5912">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9" w:footer="675" w:gutter="0"/>
          <w:pgNumType w:start="1"/>
          <w:cols w:space="708"/>
          <w:docGrid w:linePitch="360"/>
        </w:sectPr>
      </w:pPr>
      <w:r w:rsidRPr="000F15F1">
        <w:rPr>
          <w:rFonts w:ascii="Arial" w:hAnsi="Arial" w:cs="Arial"/>
          <w:b/>
          <w:bCs/>
          <w:sz w:val="24"/>
          <w:szCs w:val="24"/>
          <w:u w:val="single"/>
        </w:rPr>
        <w:lastRenderedPageBreak/>
        <w:br w:type="page"/>
      </w:r>
    </w:p>
    <w:p w14:paraId="703DE90E" w14:textId="18AD068D" w:rsidR="00867B7D" w:rsidRPr="000F15F1" w:rsidRDefault="00867B7D" w:rsidP="00867B7D">
      <w:pPr>
        <w:pStyle w:val="Heading1"/>
        <w:jc w:val="center"/>
      </w:pPr>
      <w:r w:rsidRPr="000F15F1">
        <w:lastRenderedPageBreak/>
        <w:t>Residential Tenancies (COVID-19 Emergency Response) Declaration 202</w:t>
      </w:r>
      <w:r w:rsidR="00076160">
        <w:t>1</w:t>
      </w:r>
      <w:r w:rsidR="002277C5">
        <w:t>(No 2)</w:t>
      </w:r>
    </w:p>
    <w:p w14:paraId="1222B7D9" w14:textId="77777777" w:rsidR="00867B7D" w:rsidRPr="000F15F1" w:rsidRDefault="00867B7D" w:rsidP="00867B7D">
      <w:pPr>
        <w:spacing w:after="0"/>
        <w:contextualSpacing/>
        <w:rPr>
          <w:rFonts w:ascii="Arial" w:hAnsi="Arial" w:cs="Arial"/>
          <w:bCs/>
          <w:sz w:val="24"/>
          <w:szCs w:val="24"/>
        </w:rPr>
      </w:pPr>
    </w:p>
    <w:p w14:paraId="58F3B9C0" w14:textId="77777777" w:rsidR="00867B7D" w:rsidRPr="000F15F1" w:rsidRDefault="00867B7D" w:rsidP="00867B7D">
      <w:pPr>
        <w:pStyle w:val="Heading2"/>
      </w:pPr>
      <w:r w:rsidRPr="000F15F1">
        <w:t>OVERVIEW OF THE DECLARATION</w:t>
      </w:r>
    </w:p>
    <w:p w14:paraId="1929E440" w14:textId="1B4243D1" w:rsidR="00867B7D" w:rsidRPr="00266C9A" w:rsidRDefault="00867B7D" w:rsidP="00867B7D">
      <w:pPr>
        <w:spacing w:after="120"/>
        <w:ind w:right="-45"/>
        <w:rPr>
          <w:rFonts w:ascii="Arial" w:hAnsi="Arial" w:cs="Arial"/>
          <w:iCs/>
          <w:sz w:val="24"/>
          <w:szCs w:val="24"/>
        </w:rPr>
      </w:pPr>
      <w:r>
        <w:rPr>
          <w:rFonts w:ascii="Arial" w:hAnsi="Arial" w:cs="Arial"/>
          <w:iCs/>
          <w:sz w:val="24"/>
          <w:szCs w:val="24"/>
        </w:rPr>
        <w:t xml:space="preserve">The </w:t>
      </w:r>
      <w:r w:rsidRPr="00201107">
        <w:rPr>
          <w:rFonts w:ascii="Arial" w:hAnsi="Arial" w:cs="Arial"/>
          <w:i/>
          <w:sz w:val="24"/>
          <w:szCs w:val="24"/>
        </w:rPr>
        <w:t>Residential Tenancies (COVID-19 Emergency Response) Declaration 202</w:t>
      </w:r>
      <w:r w:rsidR="00076160">
        <w:rPr>
          <w:rFonts w:ascii="Arial" w:hAnsi="Arial" w:cs="Arial"/>
          <w:i/>
          <w:sz w:val="24"/>
          <w:szCs w:val="24"/>
        </w:rPr>
        <w:t>1</w:t>
      </w:r>
      <w:r w:rsidR="002277C5">
        <w:rPr>
          <w:rFonts w:ascii="Arial" w:hAnsi="Arial" w:cs="Arial"/>
          <w:i/>
          <w:sz w:val="24"/>
          <w:szCs w:val="24"/>
        </w:rPr>
        <w:t xml:space="preserve"> (No 2)</w:t>
      </w:r>
      <w:r>
        <w:rPr>
          <w:rFonts w:ascii="Arial" w:hAnsi="Arial" w:cs="Arial"/>
          <w:iCs/>
          <w:sz w:val="24"/>
          <w:szCs w:val="24"/>
        </w:rPr>
        <w:t xml:space="preserve"> (the Declaration) is a disallowable instrument made under section 156 of the </w:t>
      </w:r>
      <w:r>
        <w:rPr>
          <w:rFonts w:ascii="Arial" w:hAnsi="Arial" w:cs="Arial"/>
          <w:i/>
          <w:sz w:val="24"/>
          <w:szCs w:val="24"/>
        </w:rPr>
        <w:t xml:space="preserve">Residential Tenancies Act 1997 </w:t>
      </w:r>
      <w:r w:rsidRPr="004C0C26">
        <w:rPr>
          <w:rFonts w:ascii="Arial" w:hAnsi="Arial" w:cs="Arial"/>
          <w:iCs/>
          <w:sz w:val="24"/>
          <w:szCs w:val="24"/>
        </w:rPr>
        <w:t>(RTA).</w:t>
      </w:r>
      <w:r>
        <w:rPr>
          <w:rFonts w:ascii="Arial" w:hAnsi="Arial" w:cs="Arial"/>
          <w:i/>
          <w:sz w:val="24"/>
          <w:szCs w:val="24"/>
        </w:rPr>
        <w:t xml:space="preserve"> </w:t>
      </w:r>
      <w:r w:rsidR="001B240F">
        <w:rPr>
          <w:rFonts w:ascii="Arial" w:hAnsi="Arial" w:cs="Arial"/>
          <w:sz w:val="24"/>
          <w:szCs w:val="24"/>
        </w:rPr>
        <w:t>It is the f</w:t>
      </w:r>
      <w:r w:rsidR="002277C5">
        <w:rPr>
          <w:rFonts w:ascii="Arial" w:hAnsi="Arial" w:cs="Arial"/>
          <w:sz w:val="24"/>
          <w:szCs w:val="24"/>
        </w:rPr>
        <w:t>ifth</w:t>
      </w:r>
      <w:r w:rsidR="001B240F">
        <w:rPr>
          <w:rFonts w:ascii="Arial" w:hAnsi="Arial" w:cs="Arial"/>
          <w:sz w:val="24"/>
          <w:szCs w:val="24"/>
        </w:rPr>
        <w:t xml:space="preserve"> disallowable instrument made under section 156 of the RTA. The </w:t>
      </w:r>
      <w:r w:rsidR="001B240F" w:rsidRPr="00201107">
        <w:rPr>
          <w:rFonts w:ascii="Arial" w:hAnsi="Arial" w:cs="Arial"/>
          <w:i/>
          <w:sz w:val="24"/>
          <w:szCs w:val="24"/>
        </w:rPr>
        <w:t>Residential Tenancies (COVID-19 Emergency Response) Declaration 202</w:t>
      </w:r>
      <w:r w:rsidR="001B240F">
        <w:rPr>
          <w:rFonts w:ascii="Arial" w:hAnsi="Arial" w:cs="Arial"/>
          <w:i/>
          <w:sz w:val="24"/>
          <w:szCs w:val="24"/>
        </w:rPr>
        <w:t xml:space="preserve">0 (No 1) </w:t>
      </w:r>
      <w:r w:rsidR="001B240F">
        <w:rPr>
          <w:rFonts w:ascii="Arial" w:hAnsi="Arial" w:cs="Arial"/>
          <w:iCs/>
          <w:sz w:val="24"/>
          <w:szCs w:val="24"/>
        </w:rPr>
        <w:t xml:space="preserve">(the First Declaration) and the </w:t>
      </w:r>
      <w:r w:rsidR="001B240F" w:rsidRPr="00201107">
        <w:rPr>
          <w:rFonts w:ascii="Arial" w:hAnsi="Arial" w:cs="Arial"/>
          <w:i/>
          <w:sz w:val="24"/>
          <w:szCs w:val="24"/>
        </w:rPr>
        <w:t>Residential Tenancies (COVID-19 Emergency Response) Declaration 202</w:t>
      </w:r>
      <w:r w:rsidR="001B240F">
        <w:rPr>
          <w:rFonts w:ascii="Arial" w:hAnsi="Arial" w:cs="Arial"/>
          <w:i/>
          <w:sz w:val="24"/>
          <w:szCs w:val="24"/>
        </w:rPr>
        <w:t xml:space="preserve">0 (No 2) </w:t>
      </w:r>
      <w:r w:rsidR="001B240F">
        <w:rPr>
          <w:rFonts w:ascii="Arial" w:hAnsi="Arial" w:cs="Arial"/>
          <w:iCs/>
          <w:sz w:val="24"/>
          <w:szCs w:val="24"/>
        </w:rPr>
        <w:t>(the Second Declaration) implemented a 6-month moratorium on evictions for ren</w:t>
      </w:r>
      <w:r w:rsidR="00C461C7">
        <w:rPr>
          <w:rFonts w:ascii="Arial" w:hAnsi="Arial" w:cs="Arial"/>
          <w:iCs/>
          <w:sz w:val="24"/>
          <w:szCs w:val="24"/>
        </w:rPr>
        <w:t>t</w:t>
      </w:r>
      <w:r w:rsidR="001B240F">
        <w:rPr>
          <w:rFonts w:ascii="Arial" w:hAnsi="Arial" w:cs="Arial"/>
          <w:iCs/>
          <w:sz w:val="24"/>
          <w:szCs w:val="24"/>
        </w:rPr>
        <w:t>al arrears in line with the National Cabinet decision.</w:t>
      </w:r>
      <w:r w:rsidR="00A36303">
        <w:rPr>
          <w:rFonts w:ascii="Arial" w:hAnsi="Arial" w:cs="Arial"/>
          <w:iCs/>
          <w:sz w:val="24"/>
          <w:szCs w:val="24"/>
        </w:rPr>
        <w:t xml:space="preserve"> </w:t>
      </w:r>
      <w:r w:rsidR="001B240F">
        <w:rPr>
          <w:rFonts w:ascii="Arial" w:hAnsi="Arial" w:cs="Arial"/>
          <w:iCs/>
          <w:sz w:val="24"/>
          <w:szCs w:val="24"/>
        </w:rPr>
        <w:t xml:space="preserve">The </w:t>
      </w:r>
      <w:r w:rsidR="001B240F" w:rsidRPr="00201107">
        <w:rPr>
          <w:rFonts w:ascii="Arial" w:hAnsi="Arial" w:cs="Arial"/>
          <w:i/>
          <w:sz w:val="24"/>
          <w:szCs w:val="24"/>
        </w:rPr>
        <w:t>Residential Tenancies (COVID-19 Emergency Response) Declaration 20</w:t>
      </w:r>
      <w:r w:rsidR="001B240F">
        <w:rPr>
          <w:rFonts w:ascii="Arial" w:hAnsi="Arial" w:cs="Arial"/>
          <w:i/>
          <w:sz w:val="24"/>
          <w:szCs w:val="24"/>
        </w:rPr>
        <w:t>20 (No 3)</w:t>
      </w:r>
      <w:r w:rsidR="001B240F">
        <w:rPr>
          <w:rFonts w:ascii="Arial" w:hAnsi="Arial" w:cs="Arial"/>
          <w:iCs/>
          <w:sz w:val="24"/>
          <w:szCs w:val="24"/>
        </w:rPr>
        <w:t xml:space="preserve"> (the Third Declaration) </w:t>
      </w:r>
      <w:r w:rsidR="002277C5">
        <w:rPr>
          <w:rFonts w:ascii="Arial" w:hAnsi="Arial" w:cs="Arial"/>
          <w:iCs/>
          <w:sz w:val="24"/>
          <w:szCs w:val="24"/>
        </w:rPr>
        <w:t xml:space="preserve">and the </w:t>
      </w:r>
      <w:r w:rsidR="002277C5" w:rsidRPr="00201107">
        <w:rPr>
          <w:rFonts w:ascii="Arial" w:hAnsi="Arial" w:cs="Arial"/>
          <w:i/>
          <w:sz w:val="24"/>
          <w:szCs w:val="24"/>
        </w:rPr>
        <w:t>Residential Tenancies (COVID-19 Emergency Response) Declaration 20</w:t>
      </w:r>
      <w:r w:rsidR="002277C5">
        <w:rPr>
          <w:rFonts w:ascii="Arial" w:hAnsi="Arial" w:cs="Arial"/>
          <w:i/>
          <w:sz w:val="24"/>
          <w:szCs w:val="24"/>
        </w:rPr>
        <w:t xml:space="preserve">21 </w:t>
      </w:r>
      <w:r w:rsidR="002277C5">
        <w:rPr>
          <w:rFonts w:ascii="Arial" w:hAnsi="Arial" w:cs="Arial"/>
          <w:iCs/>
          <w:sz w:val="24"/>
          <w:szCs w:val="24"/>
        </w:rPr>
        <w:t xml:space="preserve">(the fourth declaration) </w:t>
      </w:r>
      <w:r w:rsidR="001B240F">
        <w:rPr>
          <w:rFonts w:ascii="Arial" w:hAnsi="Arial" w:cs="Arial"/>
          <w:iCs/>
          <w:sz w:val="24"/>
          <w:szCs w:val="24"/>
        </w:rPr>
        <w:t>implemented a post moratorium transition</w:t>
      </w:r>
      <w:r w:rsidR="00436D48">
        <w:rPr>
          <w:rFonts w:ascii="Arial" w:hAnsi="Arial" w:cs="Arial"/>
          <w:iCs/>
          <w:sz w:val="24"/>
          <w:szCs w:val="24"/>
        </w:rPr>
        <w:t>al</w:t>
      </w:r>
      <w:r w:rsidR="001B240F">
        <w:rPr>
          <w:rFonts w:ascii="Arial" w:hAnsi="Arial" w:cs="Arial"/>
          <w:iCs/>
          <w:sz w:val="24"/>
          <w:szCs w:val="24"/>
        </w:rPr>
        <w:t xml:space="preserve"> period. This Declaration extends the </w:t>
      </w:r>
      <w:r w:rsidR="002277C5">
        <w:rPr>
          <w:rFonts w:ascii="Arial" w:hAnsi="Arial" w:cs="Arial"/>
          <w:iCs/>
          <w:sz w:val="24"/>
          <w:szCs w:val="24"/>
        </w:rPr>
        <w:t xml:space="preserve">payment order </w:t>
      </w:r>
      <w:r w:rsidR="001B240F">
        <w:rPr>
          <w:rFonts w:ascii="Arial" w:hAnsi="Arial" w:cs="Arial"/>
          <w:iCs/>
          <w:sz w:val="24"/>
          <w:szCs w:val="24"/>
        </w:rPr>
        <w:t xml:space="preserve">measure in the Third </w:t>
      </w:r>
      <w:r w:rsidR="002277C5">
        <w:rPr>
          <w:rFonts w:ascii="Arial" w:hAnsi="Arial" w:cs="Arial"/>
          <w:iCs/>
          <w:sz w:val="24"/>
          <w:szCs w:val="24"/>
        </w:rPr>
        <w:t xml:space="preserve">and Fourth </w:t>
      </w:r>
      <w:r w:rsidR="001B240F">
        <w:rPr>
          <w:rFonts w:ascii="Arial" w:hAnsi="Arial" w:cs="Arial"/>
          <w:iCs/>
          <w:sz w:val="24"/>
          <w:szCs w:val="24"/>
        </w:rPr>
        <w:t>Declaration</w:t>
      </w:r>
      <w:r w:rsidR="002277C5">
        <w:rPr>
          <w:rFonts w:ascii="Arial" w:hAnsi="Arial" w:cs="Arial"/>
          <w:iCs/>
          <w:sz w:val="24"/>
          <w:szCs w:val="24"/>
        </w:rPr>
        <w:t>s</w:t>
      </w:r>
      <w:r w:rsidR="001B240F">
        <w:rPr>
          <w:rFonts w:ascii="Arial" w:hAnsi="Arial" w:cs="Arial"/>
          <w:iCs/>
          <w:sz w:val="24"/>
          <w:szCs w:val="24"/>
        </w:rPr>
        <w:t xml:space="preserve"> </w:t>
      </w:r>
      <w:r w:rsidR="001B240F" w:rsidRPr="008262C2">
        <w:rPr>
          <w:rFonts w:ascii="Arial" w:hAnsi="Arial" w:cs="Arial"/>
          <w:iCs/>
          <w:sz w:val="24"/>
          <w:szCs w:val="24"/>
        </w:rPr>
        <w:t xml:space="preserve">until </w:t>
      </w:r>
      <w:r w:rsidR="001B240F" w:rsidRPr="002F5340">
        <w:rPr>
          <w:rFonts w:ascii="Arial" w:hAnsi="Arial" w:cs="Arial"/>
          <w:iCs/>
          <w:sz w:val="24"/>
          <w:szCs w:val="24"/>
        </w:rPr>
        <w:t xml:space="preserve">30 </w:t>
      </w:r>
      <w:r w:rsidR="002277C5" w:rsidRPr="002F5340">
        <w:rPr>
          <w:rFonts w:ascii="Arial" w:hAnsi="Arial" w:cs="Arial"/>
          <w:iCs/>
          <w:sz w:val="24"/>
          <w:szCs w:val="24"/>
        </w:rPr>
        <w:t>September</w:t>
      </w:r>
      <w:r w:rsidR="001B240F" w:rsidRPr="002F5340">
        <w:rPr>
          <w:rFonts w:ascii="Arial" w:hAnsi="Arial" w:cs="Arial"/>
          <w:iCs/>
          <w:sz w:val="24"/>
          <w:szCs w:val="24"/>
        </w:rPr>
        <w:t xml:space="preserve"> 2021</w:t>
      </w:r>
      <w:r w:rsidR="001B240F" w:rsidRPr="008262C2">
        <w:rPr>
          <w:rFonts w:ascii="Arial" w:hAnsi="Arial" w:cs="Arial"/>
          <w:iCs/>
          <w:sz w:val="24"/>
          <w:szCs w:val="24"/>
        </w:rPr>
        <w:t>.</w:t>
      </w:r>
    </w:p>
    <w:p w14:paraId="4DD261F9" w14:textId="0E6C0FC8" w:rsidR="0004644F" w:rsidRDefault="006A4C8C" w:rsidP="002277C5">
      <w:pPr>
        <w:spacing w:after="120"/>
        <w:ind w:right="-45"/>
        <w:rPr>
          <w:rFonts w:ascii="Arial" w:hAnsi="Arial" w:cs="Arial"/>
          <w:iCs/>
          <w:sz w:val="24"/>
          <w:szCs w:val="24"/>
        </w:rPr>
      </w:pPr>
      <w:r>
        <w:rPr>
          <w:rFonts w:ascii="Arial" w:hAnsi="Arial" w:cs="Arial"/>
          <w:iCs/>
          <w:sz w:val="24"/>
          <w:szCs w:val="24"/>
        </w:rPr>
        <w:t>T</w:t>
      </w:r>
      <w:r w:rsidR="00412481">
        <w:rPr>
          <w:rFonts w:ascii="Arial" w:hAnsi="Arial" w:cs="Arial"/>
          <w:iCs/>
          <w:sz w:val="24"/>
          <w:szCs w:val="24"/>
        </w:rPr>
        <w:t xml:space="preserve">he Declaration </w:t>
      </w:r>
      <w:r>
        <w:rPr>
          <w:rFonts w:ascii="Arial" w:hAnsi="Arial" w:cs="Arial"/>
          <w:iCs/>
          <w:sz w:val="24"/>
          <w:szCs w:val="24"/>
        </w:rPr>
        <w:t xml:space="preserve">continues </w:t>
      </w:r>
      <w:r w:rsidR="004D20B4">
        <w:rPr>
          <w:rFonts w:ascii="Arial" w:hAnsi="Arial" w:cs="Arial"/>
          <w:iCs/>
          <w:sz w:val="24"/>
          <w:szCs w:val="24"/>
        </w:rPr>
        <w:t xml:space="preserve">the </w:t>
      </w:r>
      <w:r w:rsidR="00412481">
        <w:rPr>
          <w:rFonts w:ascii="Arial" w:hAnsi="Arial" w:cs="Arial"/>
          <w:iCs/>
          <w:sz w:val="24"/>
          <w:szCs w:val="24"/>
        </w:rPr>
        <w:t>measure</w:t>
      </w:r>
      <w:r>
        <w:rPr>
          <w:rFonts w:ascii="Arial" w:hAnsi="Arial" w:cs="Arial"/>
          <w:iCs/>
          <w:sz w:val="24"/>
          <w:szCs w:val="24"/>
        </w:rPr>
        <w:t xml:space="preserve"> </w:t>
      </w:r>
      <w:r w:rsidR="00F67370">
        <w:rPr>
          <w:rFonts w:ascii="Arial" w:hAnsi="Arial" w:cs="Arial"/>
          <w:iCs/>
          <w:sz w:val="24"/>
          <w:szCs w:val="24"/>
        </w:rPr>
        <w:t xml:space="preserve">modifying the operation of section 49 of the RTA so that </w:t>
      </w:r>
      <w:r w:rsidR="00436D48">
        <w:rPr>
          <w:rFonts w:ascii="Arial" w:hAnsi="Arial" w:cs="Arial"/>
          <w:iCs/>
          <w:sz w:val="24"/>
          <w:szCs w:val="24"/>
        </w:rPr>
        <w:t>the ACT Civil and Administrative Tribunal (</w:t>
      </w:r>
      <w:r w:rsidR="00F67370">
        <w:rPr>
          <w:rFonts w:ascii="Arial" w:hAnsi="Arial" w:cs="Arial"/>
          <w:iCs/>
          <w:sz w:val="24"/>
          <w:szCs w:val="24"/>
        </w:rPr>
        <w:t>ACAT</w:t>
      </w:r>
      <w:r w:rsidR="00436D48">
        <w:rPr>
          <w:rFonts w:ascii="Arial" w:hAnsi="Arial" w:cs="Arial"/>
          <w:iCs/>
          <w:sz w:val="24"/>
          <w:szCs w:val="24"/>
        </w:rPr>
        <w:t>)</w:t>
      </w:r>
      <w:r w:rsidR="00F67370">
        <w:rPr>
          <w:rFonts w:ascii="Arial" w:hAnsi="Arial" w:cs="Arial"/>
          <w:iCs/>
          <w:sz w:val="24"/>
          <w:szCs w:val="24"/>
        </w:rPr>
        <w:t xml:space="preserve"> is required</w:t>
      </w:r>
      <w:r w:rsidR="006D0380" w:rsidRPr="006D0380">
        <w:rPr>
          <w:rFonts w:ascii="Arial" w:hAnsi="Arial" w:cs="Arial"/>
          <w:iCs/>
          <w:sz w:val="24"/>
          <w:szCs w:val="24"/>
        </w:rPr>
        <w:t xml:space="preserve"> to consider </w:t>
      </w:r>
      <w:r w:rsidR="00806F2F">
        <w:rPr>
          <w:rFonts w:ascii="Arial" w:hAnsi="Arial" w:cs="Arial"/>
          <w:iCs/>
          <w:sz w:val="24"/>
          <w:szCs w:val="24"/>
        </w:rPr>
        <w:t xml:space="preserve">the </w:t>
      </w:r>
      <w:r w:rsidR="006D0380" w:rsidRPr="006D0380">
        <w:rPr>
          <w:rFonts w:ascii="Arial" w:hAnsi="Arial" w:cs="Arial"/>
          <w:iCs/>
          <w:sz w:val="24"/>
          <w:szCs w:val="24"/>
        </w:rPr>
        <w:t xml:space="preserve">making </w:t>
      </w:r>
      <w:r w:rsidR="00806F2F">
        <w:rPr>
          <w:rFonts w:ascii="Arial" w:hAnsi="Arial" w:cs="Arial"/>
          <w:iCs/>
          <w:sz w:val="24"/>
          <w:szCs w:val="24"/>
        </w:rPr>
        <w:t xml:space="preserve">of </w:t>
      </w:r>
      <w:r w:rsidR="006D0380" w:rsidRPr="006D0380">
        <w:rPr>
          <w:rFonts w:ascii="Arial" w:hAnsi="Arial" w:cs="Arial"/>
          <w:iCs/>
          <w:sz w:val="24"/>
          <w:szCs w:val="24"/>
        </w:rPr>
        <w:t xml:space="preserve">a payment order </w:t>
      </w:r>
      <w:r w:rsidR="00F67370" w:rsidRPr="006D0380">
        <w:rPr>
          <w:rFonts w:ascii="Arial" w:hAnsi="Arial" w:cs="Arial"/>
          <w:iCs/>
          <w:sz w:val="24"/>
          <w:szCs w:val="24"/>
        </w:rPr>
        <w:t xml:space="preserve">as an alternative to making a termination and possession order </w:t>
      </w:r>
      <w:r w:rsidR="006D0380" w:rsidRPr="006D0380">
        <w:rPr>
          <w:rFonts w:ascii="Arial" w:hAnsi="Arial" w:cs="Arial"/>
          <w:iCs/>
          <w:sz w:val="24"/>
          <w:szCs w:val="24"/>
        </w:rPr>
        <w:t>for a tenant who was a member of an impacted household during the moratorium period</w:t>
      </w:r>
      <w:r w:rsidR="002277C5">
        <w:rPr>
          <w:rFonts w:ascii="Arial" w:hAnsi="Arial" w:cs="Arial"/>
          <w:iCs/>
          <w:sz w:val="24"/>
          <w:szCs w:val="24"/>
        </w:rPr>
        <w:t xml:space="preserve"> for a further 3 months. It also creates the ability for the Minister to extend the payment order measure for an additional 3 months by notifiable instrument. </w:t>
      </w:r>
    </w:p>
    <w:p w14:paraId="24F465C7" w14:textId="3FF0EE8D" w:rsidR="002277C5" w:rsidRDefault="002277C5" w:rsidP="002277C5">
      <w:pPr>
        <w:spacing w:after="120"/>
        <w:ind w:right="-45"/>
        <w:rPr>
          <w:rFonts w:ascii="Arial" w:hAnsi="Arial" w:cs="Arial"/>
          <w:iCs/>
          <w:sz w:val="24"/>
          <w:szCs w:val="24"/>
        </w:rPr>
      </w:pPr>
      <w:r>
        <w:rPr>
          <w:rFonts w:ascii="Arial" w:hAnsi="Arial" w:cs="Arial"/>
          <w:iCs/>
          <w:sz w:val="24"/>
          <w:szCs w:val="24"/>
        </w:rPr>
        <w:t>This measure will assist impacted households consider</w:t>
      </w:r>
      <w:r w:rsidR="00A36303">
        <w:rPr>
          <w:rFonts w:ascii="Arial" w:hAnsi="Arial" w:cs="Arial"/>
          <w:iCs/>
          <w:sz w:val="24"/>
          <w:szCs w:val="24"/>
        </w:rPr>
        <w:t>ed by the ACAT as being</w:t>
      </w:r>
      <w:r>
        <w:rPr>
          <w:rFonts w:ascii="Arial" w:hAnsi="Arial" w:cs="Arial"/>
          <w:iCs/>
          <w:sz w:val="24"/>
          <w:szCs w:val="24"/>
        </w:rPr>
        <w:t xml:space="preserve"> likely to comply with an arrears repayment plan to sustain their tenancies. </w:t>
      </w:r>
    </w:p>
    <w:p w14:paraId="4DAB3917" w14:textId="72715B85" w:rsidR="00867B7D" w:rsidRPr="000F15F1" w:rsidRDefault="006C6394" w:rsidP="001E7D6A">
      <w:pPr>
        <w:spacing w:after="120"/>
        <w:ind w:right="-45"/>
        <w:rPr>
          <w:rFonts w:ascii="Arial" w:hAnsi="Arial" w:cs="Arial"/>
          <w:b/>
          <w:sz w:val="24"/>
          <w:szCs w:val="24"/>
        </w:rPr>
      </w:pPr>
      <w:r>
        <w:rPr>
          <w:rFonts w:ascii="Arial" w:hAnsi="Arial" w:cs="Arial"/>
          <w:b/>
          <w:sz w:val="24"/>
          <w:szCs w:val="24"/>
        </w:rPr>
        <w:br/>
      </w:r>
      <w:r w:rsidR="00867B7D" w:rsidRPr="000F15F1">
        <w:rPr>
          <w:rFonts w:ascii="Arial" w:hAnsi="Arial" w:cs="Arial"/>
          <w:b/>
          <w:sz w:val="24"/>
          <w:szCs w:val="24"/>
        </w:rPr>
        <w:t>CONSULTATION ON THE PROPOSED APPROACH</w:t>
      </w:r>
    </w:p>
    <w:p w14:paraId="3CBA12F4" w14:textId="0C24EEBC" w:rsidR="00867B7D" w:rsidRPr="00E55864" w:rsidRDefault="00867B7D" w:rsidP="00867B7D">
      <w:pPr>
        <w:keepNext/>
        <w:rPr>
          <w:rFonts w:ascii="Arial" w:hAnsi="Arial" w:cs="Arial"/>
          <w:iCs/>
          <w:sz w:val="24"/>
          <w:szCs w:val="24"/>
        </w:rPr>
      </w:pPr>
      <w:r w:rsidRPr="004D337D">
        <w:rPr>
          <w:rFonts w:ascii="Arial" w:hAnsi="Arial" w:cs="Arial"/>
          <w:iCs/>
          <w:sz w:val="24"/>
          <w:szCs w:val="24"/>
        </w:rPr>
        <w:t xml:space="preserve">In </w:t>
      </w:r>
      <w:r w:rsidR="00076160">
        <w:rPr>
          <w:rFonts w:ascii="Arial" w:hAnsi="Arial" w:cs="Arial"/>
          <w:iCs/>
          <w:sz w:val="24"/>
          <w:szCs w:val="24"/>
        </w:rPr>
        <w:t xml:space="preserve">considering whether to extend the transitional </w:t>
      </w:r>
      <w:r w:rsidR="00140322" w:rsidRPr="004D337D">
        <w:rPr>
          <w:rFonts w:ascii="Arial" w:hAnsi="Arial" w:cs="Arial"/>
          <w:iCs/>
          <w:sz w:val="24"/>
          <w:szCs w:val="24"/>
        </w:rPr>
        <w:t>measures</w:t>
      </w:r>
      <w:r w:rsidRPr="004D337D">
        <w:rPr>
          <w:rFonts w:ascii="Arial" w:hAnsi="Arial" w:cs="Arial"/>
          <w:iCs/>
          <w:sz w:val="24"/>
          <w:szCs w:val="24"/>
        </w:rPr>
        <w:t>, the Justice and Community Safety Directorate</w:t>
      </w:r>
      <w:r w:rsidR="004D337D" w:rsidRPr="004D337D">
        <w:rPr>
          <w:rFonts w:ascii="Arial" w:hAnsi="Arial" w:cs="Arial"/>
          <w:iCs/>
          <w:sz w:val="24"/>
          <w:szCs w:val="24"/>
        </w:rPr>
        <w:t xml:space="preserve"> (the Directorate)</w:t>
      </w:r>
      <w:r w:rsidRPr="004D337D">
        <w:rPr>
          <w:rFonts w:ascii="Arial" w:hAnsi="Arial" w:cs="Arial"/>
          <w:iCs/>
          <w:sz w:val="24"/>
          <w:szCs w:val="24"/>
        </w:rPr>
        <w:t xml:space="preserve"> consulted</w:t>
      </w:r>
      <w:r w:rsidR="00D06C3F" w:rsidRPr="004D337D">
        <w:rPr>
          <w:rFonts w:ascii="Arial" w:hAnsi="Arial" w:cs="Arial"/>
          <w:iCs/>
          <w:sz w:val="24"/>
          <w:szCs w:val="24"/>
        </w:rPr>
        <w:t xml:space="preserve"> with </w:t>
      </w:r>
      <w:r w:rsidR="00AC53BC">
        <w:rPr>
          <w:rFonts w:ascii="Arial" w:hAnsi="Arial" w:cs="Arial"/>
          <w:iCs/>
          <w:sz w:val="24"/>
          <w:szCs w:val="24"/>
        </w:rPr>
        <w:t xml:space="preserve">representatives </w:t>
      </w:r>
      <w:r w:rsidR="00D06C3F" w:rsidRPr="004D337D">
        <w:rPr>
          <w:rFonts w:ascii="Arial" w:hAnsi="Arial" w:cs="Arial"/>
          <w:iCs/>
          <w:sz w:val="24"/>
          <w:szCs w:val="24"/>
        </w:rPr>
        <w:t xml:space="preserve">from </w:t>
      </w:r>
      <w:r w:rsidRPr="004D337D">
        <w:rPr>
          <w:rFonts w:ascii="Arial" w:hAnsi="Arial" w:cs="Arial"/>
          <w:iCs/>
          <w:sz w:val="24"/>
          <w:szCs w:val="24"/>
        </w:rPr>
        <w:t xml:space="preserve">the Real Estate Institute of the ACT, the Tenancy Advice Service provided by Legal Aid ACT, </w:t>
      </w:r>
      <w:r w:rsidR="002277C5">
        <w:rPr>
          <w:rFonts w:ascii="Arial" w:hAnsi="Arial" w:cs="Arial"/>
          <w:iCs/>
          <w:sz w:val="24"/>
          <w:szCs w:val="24"/>
        </w:rPr>
        <w:t>and</w:t>
      </w:r>
      <w:r w:rsidR="004D337D" w:rsidRPr="004D337D">
        <w:rPr>
          <w:rFonts w:ascii="Arial" w:hAnsi="Arial" w:cs="Arial"/>
          <w:iCs/>
          <w:sz w:val="24"/>
          <w:szCs w:val="24"/>
        </w:rPr>
        <w:t xml:space="preserve"> </w:t>
      </w:r>
      <w:r w:rsidRPr="004D337D">
        <w:rPr>
          <w:rFonts w:ascii="Arial" w:hAnsi="Arial" w:cs="Arial"/>
          <w:iCs/>
          <w:sz w:val="24"/>
          <w:szCs w:val="24"/>
        </w:rPr>
        <w:t>Canberra Community Law</w:t>
      </w:r>
      <w:r w:rsidRPr="00E55864">
        <w:rPr>
          <w:rFonts w:ascii="Arial" w:hAnsi="Arial" w:cs="Arial"/>
          <w:iCs/>
          <w:sz w:val="24"/>
          <w:szCs w:val="24"/>
        </w:rPr>
        <w:t xml:space="preserve">. This diverse range of stakeholders assisted the Directorate in developing an approach which balances the rights of all parties involved in residential tenancies. </w:t>
      </w:r>
    </w:p>
    <w:p w14:paraId="4C3F6F38" w14:textId="01D104CA" w:rsidR="00867B7D" w:rsidRPr="00E55864" w:rsidRDefault="006C6394" w:rsidP="00867B7D">
      <w:pPr>
        <w:pStyle w:val="Heading2"/>
      </w:pPr>
      <w:r>
        <w:br/>
      </w:r>
      <w:r w:rsidR="00867B7D" w:rsidRPr="00E55864">
        <w:t>COMPATIBILITY WITH HUMAN RIGHTS</w:t>
      </w:r>
    </w:p>
    <w:p w14:paraId="1CD1C8F9" w14:textId="43CA6A51" w:rsidR="00867B7D" w:rsidRPr="00E55864" w:rsidRDefault="00867B7D" w:rsidP="00867B7D">
      <w:pPr>
        <w:shd w:val="clear" w:color="auto" w:fill="FFFFFF"/>
        <w:rPr>
          <w:rFonts w:ascii="Arial" w:hAnsi="Arial" w:cs="Arial"/>
          <w:iCs/>
          <w:sz w:val="24"/>
          <w:szCs w:val="24"/>
        </w:rPr>
      </w:pPr>
      <w:r w:rsidRPr="00E55864">
        <w:rPr>
          <w:rFonts w:ascii="Arial" w:hAnsi="Arial" w:cs="Arial"/>
          <w:iCs/>
          <w:sz w:val="24"/>
          <w:szCs w:val="24"/>
        </w:rPr>
        <w:t xml:space="preserve">The </w:t>
      </w:r>
      <w:r w:rsidR="002277C5">
        <w:rPr>
          <w:rFonts w:ascii="Arial" w:hAnsi="Arial" w:cs="Arial"/>
          <w:iCs/>
          <w:sz w:val="24"/>
          <w:szCs w:val="24"/>
        </w:rPr>
        <w:t xml:space="preserve">payment order </w:t>
      </w:r>
      <w:r w:rsidRPr="00E55864">
        <w:rPr>
          <w:rFonts w:ascii="Arial" w:hAnsi="Arial" w:cs="Arial"/>
          <w:iCs/>
          <w:sz w:val="24"/>
          <w:szCs w:val="24"/>
        </w:rPr>
        <w:t>measure in the Declaration positively engage</w:t>
      </w:r>
      <w:r w:rsidR="004F139C">
        <w:rPr>
          <w:rFonts w:ascii="Arial" w:hAnsi="Arial" w:cs="Arial"/>
          <w:iCs/>
          <w:sz w:val="24"/>
          <w:szCs w:val="24"/>
        </w:rPr>
        <w:t>s</w:t>
      </w:r>
      <w:r w:rsidRPr="00E55864">
        <w:rPr>
          <w:rFonts w:ascii="Arial" w:hAnsi="Arial" w:cs="Arial"/>
          <w:iCs/>
          <w:sz w:val="24"/>
          <w:szCs w:val="24"/>
        </w:rPr>
        <w:t xml:space="preserve"> the right to protection of family and children and the right to privacy in the </w:t>
      </w:r>
      <w:r w:rsidRPr="00E55864">
        <w:rPr>
          <w:rFonts w:ascii="Arial" w:hAnsi="Arial" w:cs="Arial"/>
          <w:i/>
          <w:sz w:val="24"/>
          <w:szCs w:val="24"/>
        </w:rPr>
        <w:t>Human Rights Act 2004</w:t>
      </w:r>
      <w:r w:rsidRPr="00E55864">
        <w:rPr>
          <w:rFonts w:ascii="Arial" w:hAnsi="Arial" w:cs="Arial"/>
          <w:iCs/>
          <w:sz w:val="24"/>
          <w:szCs w:val="24"/>
        </w:rPr>
        <w:t xml:space="preserve"> (HRA)</w:t>
      </w:r>
      <w:r w:rsidR="002277C5">
        <w:rPr>
          <w:rFonts w:ascii="Arial" w:hAnsi="Arial" w:cs="Arial"/>
          <w:iCs/>
          <w:sz w:val="24"/>
          <w:szCs w:val="24"/>
        </w:rPr>
        <w:t xml:space="preserve"> by providing a pathway to </w:t>
      </w:r>
      <w:r w:rsidRPr="00E55864">
        <w:rPr>
          <w:rFonts w:ascii="Arial" w:hAnsi="Arial" w:cs="Arial"/>
          <w:iCs/>
          <w:sz w:val="24"/>
          <w:szCs w:val="24"/>
        </w:rPr>
        <w:t xml:space="preserve">prevent evictions and to keep the family unit together during a period of considerable stress, providing time for families to improve </w:t>
      </w:r>
      <w:r w:rsidRPr="00E55864">
        <w:rPr>
          <w:rFonts w:ascii="Arial" w:hAnsi="Arial" w:cs="Arial"/>
          <w:iCs/>
          <w:sz w:val="24"/>
          <w:szCs w:val="24"/>
        </w:rPr>
        <w:lastRenderedPageBreak/>
        <w:t>their financial situation or consider their alternative options. The measure also promote</w:t>
      </w:r>
      <w:r w:rsidR="002277C5">
        <w:rPr>
          <w:rFonts w:ascii="Arial" w:hAnsi="Arial" w:cs="Arial"/>
          <w:iCs/>
          <w:sz w:val="24"/>
          <w:szCs w:val="24"/>
        </w:rPr>
        <w:t>s</w:t>
      </w:r>
      <w:r w:rsidRPr="00E55864">
        <w:rPr>
          <w:rFonts w:ascii="Arial" w:hAnsi="Arial" w:cs="Arial"/>
          <w:iCs/>
          <w:sz w:val="24"/>
          <w:szCs w:val="24"/>
        </w:rPr>
        <w:t xml:space="preserve"> the right to privacy and home in section 12 of the HRA. </w:t>
      </w:r>
    </w:p>
    <w:p w14:paraId="2425AABD" w14:textId="25AD19F4" w:rsidR="00867B7D" w:rsidRPr="00E55864" w:rsidRDefault="00867B7D" w:rsidP="00867B7D">
      <w:pPr>
        <w:shd w:val="clear" w:color="auto" w:fill="FFFFFF"/>
        <w:rPr>
          <w:rFonts w:ascii="Arial" w:hAnsi="Arial" w:cs="Arial"/>
          <w:sz w:val="24"/>
          <w:szCs w:val="24"/>
        </w:rPr>
      </w:pPr>
      <w:r w:rsidRPr="00E55864">
        <w:rPr>
          <w:rFonts w:ascii="Arial" w:hAnsi="Arial" w:cs="Arial"/>
          <w:sz w:val="24"/>
          <w:szCs w:val="24"/>
        </w:rPr>
        <w:t xml:space="preserve">The Declaration also engages and may limit the right to privacy </w:t>
      </w:r>
      <w:r w:rsidR="007C1523" w:rsidRPr="00E55864">
        <w:rPr>
          <w:rFonts w:ascii="Arial" w:hAnsi="Arial" w:cs="Arial"/>
          <w:sz w:val="24"/>
          <w:szCs w:val="24"/>
        </w:rPr>
        <w:t>as</w:t>
      </w:r>
      <w:r w:rsidRPr="00E55864">
        <w:rPr>
          <w:rFonts w:ascii="Arial" w:hAnsi="Arial" w:cs="Arial"/>
          <w:sz w:val="24"/>
          <w:szCs w:val="24"/>
        </w:rPr>
        <w:t xml:space="preserve"> the definition of a household “impacted” by the COVID-19 pandemic in clause </w:t>
      </w:r>
      <w:r w:rsidR="00A36303">
        <w:rPr>
          <w:rFonts w:ascii="Arial" w:hAnsi="Arial" w:cs="Arial"/>
          <w:sz w:val="24"/>
          <w:szCs w:val="24"/>
        </w:rPr>
        <w:t>6,</w:t>
      </w:r>
      <w:r w:rsidR="007C1523" w:rsidRPr="00E55864">
        <w:rPr>
          <w:rFonts w:ascii="Arial" w:hAnsi="Arial" w:cs="Arial"/>
          <w:sz w:val="24"/>
          <w:szCs w:val="24"/>
        </w:rPr>
        <w:t xml:space="preserve"> </w:t>
      </w:r>
      <w:r w:rsidRPr="00E55864">
        <w:rPr>
          <w:rFonts w:ascii="Arial" w:hAnsi="Arial" w:cs="Arial"/>
          <w:sz w:val="24"/>
          <w:szCs w:val="24"/>
        </w:rPr>
        <w:t xml:space="preserve">may require tenants to provide personal information to their real estate agents or </w:t>
      </w:r>
      <w:r w:rsidR="002D54C9">
        <w:rPr>
          <w:rFonts w:ascii="Arial" w:hAnsi="Arial" w:cs="Arial"/>
          <w:sz w:val="24"/>
          <w:szCs w:val="24"/>
        </w:rPr>
        <w:t>lessor</w:t>
      </w:r>
      <w:r w:rsidRPr="00E55864">
        <w:rPr>
          <w:rFonts w:ascii="Arial" w:hAnsi="Arial" w:cs="Arial"/>
          <w:sz w:val="24"/>
          <w:szCs w:val="24"/>
        </w:rPr>
        <w:t xml:space="preserve"> to demonstrate a loss of income and/or that they have been diagnosed with COVID-19 or are caring for someone who has. </w:t>
      </w:r>
    </w:p>
    <w:p w14:paraId="5413CB48" w14:textId="759E65A7" w:rsidR="00867B7D" w:rsidRPr="00E55864" w:rsidRDefault="00867B7D" w:rsidP="00867B7D">
      <w:pPr>
        <w:shd w:val="clear" w:color="auto" w:fill="FFFFFF"/>
        <w:rPr>
          <w:rFonts w:ascii="Arial" w:hAnsi="Arial" w:cs="Arial"/>
          <w:sz w:val="24"/>
          <w:szCs w:val="24"/>
        </w:rPr>
      </w:pPr>
      <w:r w:rsidRPr="00E55864">
        <w:rPr>
          <w:rFonts w:ascii="Arial" w:hAnsi="Arial" w:cs="Arial"/>
          <w:sz w:val="24"/>
          <w:szCs w:val="24"/>
        </w:rPr>
        <w:t xml:space="preserve">This limitation is reasonable and proportionate in accordance with the test in section 28 of the HRA. The measures in the Declaration have an important purpose, which is to mitigate the risk of homelessness arising from financial stress due to the COVID-19 pandemic. The limitation on the right to privacy is necessary, as </w:t>
      </w:r>
      <w:r w:rsidR="002D54C9">
        <w:rPr>
          <w:rFonts w:ascii="Arial" w:hAnsi="Arial" w:cs="Arial"/>
          <w:sz w:val="24"/>
          <w:szCs w:val="24"/>
        </w:rPr>
        <w:t>lessor</w:t>
      </w:r>
      <w:r w:rsidRPr="00E55864">
        <w:rPr>
          <w:rFonts w:ascii="Arial" w:hAnsi="Arial" w:cs="Arial"/>
          <w:sz w:val="24"/>
          <w:szCs w:val="24"/>
        </w:rPr>
        <w:t xml:space="preserve">s may reasonably expect tenants to demonstrate the reason they are in arrears due to the pandemic. This ensures that </w:t>
      </w:r>
      <w:r w:rsidR="002D54C9">
        <w:rPr>
          <w:rFonts w:ascii="Arial" w:hAnsi="Arial" w:cs="Arial"/>
          <w:sz w:val="24"/>
          <w:szCs w:val="24"/>
        </w:rPr>
        <w:t>lessor</w:t>
      </w:r>
      <w:r w:rsidRPr="00E55864">
        <w:rPr>
          <w:rFonts w:ascii="Arial" w:hAnsi="Arial" w:cs="Arial"/>
          <w:sz w:val="24"/>
          <w:szCs w:val="24"/>
        </w:rPr>
        <w:t xml:space="preserve">s may otherwise exercise their normal statutory rights under residential tenancy law if circumstances extraneous to the pandemic permit. There are no other reasonably available and less restrictive alternatives that would not require the tenant to provide personal information to a third party. </w:t>
      </w:r>
    </w:p>
    <w:p w14:paraId="166A72F5" w14:textId="77777777" w:rsidR="00867B7D" w:rsidRPr="00C26BE1" w:rsidRDefault="00867B7D" w:rsidP="00867B7D">
      <w:pPr>
        <w:spacing w:after="0" w:line="240" w:lineRule="auto"/>
        <w:rPr>
          <w:rFonts w:asciiTheme="minorHAnsi" w:eastAsiaTheme="majorEastAsia" w:hAnsiTheme="minorHAnsi" w:cs="Arial"/>
          <w:sz w:val="28"/>
          <w:szCs w:val="28"/>
          <w:lang w:eastAsia="en-AU"/>
        </w:rPr>
      </w:pPr>
      <w:bookmarkStart w:id="0" w:name="OLE_LINK1"/>
      <w:r>
        <w:rPr>
          <w:rFonts w:asciiTheme="minorHAnsi" w:hAnsiTheme="minorHAnsi" w:cs="Arial"/>
          <w:b/>
          <w:sz w:val="28"/>
          <w:szCs w:val="28"/>
          <w:lang w:eastAsia="en-AU"/>
        </w:rPr>
        <w:br w:type="page"/>
      </w:r>
      <w:bookmarkEnd w:id="0"/>
    </w:p>
    <w:p w14:paraId="0CC8E6C4" w14:textId="20DCE41B" w:rsidR="00867B7D" w:rsidRDefault="00867B7D" w:rsidP="00867B7D">
      <w:pPr>
        <w:pStyle w:val="Heading2"/>
        <w:pageBreakBefore/>
        <w:spacing w:before="240" w:after="240"/>
      </w:pPr>
      <w:r w:rsidRPr="008C225D">
        <w:lastRenderedPageBreak/>
        <w:t>CLAUSE NOTES</w:t>
      </w:r>
    </w:p>
    <w:p w14:paraId="552797A1" w14:textId="73364FB9" w:rsidR="00AA3379" w:rsidRPr="00AA3379" w:rsidRDefault="00AA3379" w:rsidP="00AA3379">
      <w:pPr>
        <w:pStyle w:val="Heading3"/>
      </w:pPr>
      <w:r w:rsidRPr="00AA3379">
        <w:t xml:space="preserve">Part </w:t>
      </w:r>
      <w:r>
        <w:t>1</w:t>
      </w:r>
      <w:r>
        <w:tab/>
      </w:r>
      <w:r>
        <w:tab/>
        <w:t>Preliminary</w:t>
      </w:r>
    </w:p>
    <w:p w14:paraId="1249A4CE" w14:textId="77777777" w:rsidR="00867B7D" w:rsidRDefault="00867B7D" w:rsidP="00867B7D">
      <w:pPr>
        <w:pStyle w:val="Heading3"/>
      </w:pPr>
      <w:r w:rsidRPr="00ED3B77">
        <w:t>Clause 1</w:t>
      </w:r>
      <w:r w:rsidRPr="00ED3B77">
        <w:tab/>
        <w:t xml:space="preserve">Name of </w:t>
      </w:r>
      <w:r>
        <w:t>instrument</w:t>
      </w:r>
    </w:p>
    <w:p w14:paraId="2E441DC5" w14:textId="61131611" w:rsidR="00867B7D" w:rsidRPr="007D69CA" w:rsidRDefault="00867B7D" w:rsidP="00867B7D">
      <w:pPr>
        <w:rPr>
          <w:rFonts w:ascii="Arial" w:hAnsi="Arial" w:cs="Arial"/>
          <w:sz w:val="24"/>
          <w:szCs w:val="24"/>
        </w:rPr>
      </w:pPr>
      <w:r w:rsidRPr="0074496A">
        <w:rPr>
          <w:rFonts w:ascii="Arial" w:hAnsi="Arial" w:cs="Arial"/>
          <w:sz w:val="24"/>
          <w:szCs w:val="24"/>
        </w:rPr>
        <w:t xml:space="preserve">This clause is a formal provision setting out the name of the </w:t>
      </w:r>
      <w:r>
        <w:rPr>
          <w:rFonts w:ascii="Arial" w:hAnsi="Arial" w:cs="Arial"/>
          <w:sz w:val="24"/>
          <w:szCs w:val="24"/>
        </w:rPr>
        <w:t>instrument</w:t>
      </w:r>
      <w:r w:rsidRPr="0074496A">
        <w:rPr>
          <w:rFonts w:ascii="Arial" w:hAnsi="Arial" w:cs="Arial"/>
          <w:sz w:val="24"/>
          <w:szCs w:val="24"/>
        </w:rPr>
        <w:t xml:space="preserve"> as the </w:t>
      </w:r>
      <w:r>
        <w:rPr>
          <w:rFonts w:ascii="Arial" w:hAnsi="Arial" w:cs="Arial"/>
          <w:i/>
          <w:iCs/>
          <w:sz w:val="24"/>
          <w:szCs w:val="24"/>
        </w:rPr>
        <w:t>Residential Tenancies (COVID-19 Emergency Response) Declaration 202</w:t>
      </w:r>
      <w:r w:rsidR="00743554">
        <w:rPr>
          <w:rFonts w:ascii="Arial" w:hAnsi="Arial" w:cs="Arial"/>
          <w:i/>
          <w:iCs/>
          <w:sz w:val="24"/>
          <w:szCs w:val="24"/>
        </w:rPr>
        <w:t>1</w:t>
      </w:r>
      <w:r w:rsidR="00BF71A8">
        <w:rPr>
          <w:rFonts w:ascii="Arial" w:hAnsi="Arial" w:cs="Arial"/>
          <w:i/>
          <w:iCs/>
          <w:sz w:val="24"/>
          <w:szCs w:val="24"/>
        </w:rPr>
        <w:t xml:space="preserve"> (No 2)</w:t>
      </w:r>
      <w:r w:rsidR="009A1712">
        <w:rPr>
          <w:rFonts w:ascii="Arial" w:hAnsi="Arial" w:cs="Arial"/>
          <w:i/>
          <w:iCs/>
          <w:sz w:val="24"/>
          <w:szCs w:val="24"/>
        </w:rPr>
        <w:t xml:space="preserve"> </w:t>
      </w:r>
      <w:r w:rsidRPr="007D69CA">
        <w:rPr>
          <w:rFonts w:ascii="Arial" w:hAnsi="Arial" w:cs="Arial"/>
          <w:sz w:val="24"/>
          <w:szCs w:val="24"/>
        </w:rPr>
        <w:t xml:space="preserve">(the </w:t>
      </w:r>
      <w:r>
        <w:rPr>
          <w:rFonts w:ascii="Arial" w:hAnsi="Arial" w:cs="Arial"/>
          <w:sz w:val="24"/>
          <w:szCs w:val="24"/>
        </w:rPr>
        <w:t>Declaration</w:t>
      </w:r>
      <w:r w:rsidRPr="007D69CA">
        <w:rPr>
          <w:rFonts w:ascii="Arial" w:hAnsi="Arial" w:cs="Arial"/>
          <w:sz w:val="24"/>
          <w:szCs w:val="24"/>
        </w:rPr>
        <w:t>).</w:t>
      </w:r>
    </w:p>
    <w:p w14:paraId="0636EB7B" w14:textId="77777777" w:rsidR="00867B7D" w:rsidRPr="00A62AB2" w:rsidRDefault="00867B7D" w:rsidP="00867B7D">
      <w:pPr>
        <w:pStyle w:val="Heading3"/>
      </w:pPr>
      <w:r w:rsidRPr="00A62AB2">
        <w:t>Clause 2</w:t>
      </w:r>
      <w:r w:rsidRPr="00A62AB2">
        <w:tab/>
        <w:t>Commencement</w:t>
      </w:r>
    </w:p>
    <w:p w14:paraId="46764FC8" w14:textId="58AEBE17" w:rsidR="00A62AB2" w:rsidRPr="00A62AB2" w:rsidRDefault="00867B7D" w:rsidP="00867B7D">
      <w:pPr>
        <w:rPr>
          <w:rFonts w:ascii="Arial" w:hAnsi="Arial" w:cs="Arial"/>
          <w:sz w:val="24"/>
          <w:szCs w:val="24"/>
        </w:rPr>
      </w:pPr>
      <w:r w:rsidRPr="00A62AB2">
        <w:rPr>
          <w:rFonts w:ascii="Arial" w:hAnsi="Arial" w:cs="Arial"/>
          <w:sz w:val="24"/>
          <w:szCs w:val="24"/>
        </w:rPr>
        <w:t xml:space="preserve">This clause provides for </w:t>
      </w:r>
      <w:r w:rsidRPr="007512CF">
        <w:rPr>
          <w:rFonts w:ascii="Arial" w:hAnsi="Arial" w:cs="Arial"/>
          <w:sz w:val="24"/>
          <w:szCs w:val="24"/>
        </w:rPr>
        <w:t xml:space="preserve">commencement of the Declaration on </w:t>
      </w:r>
      <w:r w:rsidR="00953EF9" w:rsidRPr="002F5340">
        <w:rPr>
          <w:rFonts w:ascii="Arial" w:hAnsi="Arial" w:cs="Arial"/>
          <w:sz w:val="24"/>
          <w:szCs w:val="24"/>
        </w:rPr>
        <w:t>1 July 2021</w:t>
      </w:r>
      <w:r w:rsidR="003471EF" w:rsidRPr="002F5340">
        <w:rPr>
          <w:rFonts w:ascii="Arial" w:hAnsi="Arial" w:cs="Arial"/>
          <w:sz w:val="24"/>
          <w:szCs w:val="24"/>
        </w:rPr>
        <w:t>.</w:t>
      </w:r>
    </w:p>
    <w:p w14:paraId="55C2EE8A" w14:textId="4C000959" w:rsidR="00AE5C53" w:rsidRDefault="00AE5C53" w:rsidP="00AE5C53">
      <w:pPr>
        <w:rPr>
          <w:rFonts w:ascii="Arial" w:hAnsi="Arial" w:cs="Arial"/>
          <w:b/>
          <w:bCs/>
          <w:sz w:val="24"/>
          <w:szCs w:val="24"/>
        </w:rPr>
      </w:pPr>
      <w:r w:rsidRPr="005E4D0F">
        <w:rPr>
          <w:rFonts w:ascii="Arial" w:eastAsiaTheme="majorEastAsia" w:hAnsi="Arial" w:cstheme="majorBidi"/>
          <w:b/>
          <w:sz w:val="24"/>
          <w:szCs w:val="24"/>
        </w:rPr>
        <w:t xml:space="preserve">Clause </w:t>
      </w:r>
      <w:r>
        <w:rPr>
          <w:rFonts w:ascii="Arial" w:eastAsiaTheme="majorEastAsia" w:hAnsi="Arial" w:cstheme="majorBidi"/>
          <w:b/>
          <w:sz w:val="24"/>
          <w:szCs w:val="24"/>
        </w:rPr>
        <w:t>3</w:t>
      </w:r>
      <w:r w:rsidRPr="009A1712">
        <w:rPr>
          <w:rFonts w:ascii="Arial" w:hAnsi="Arial" w:cs="Arial"/>
          <w:sz w:val="24"/>
          <w:szCs w:val="24"/>
        </w:rPr>
        <w:tab/>
      </w:r>
      <w:r>
        <w:rPr>
          <w:rFonts w:ascii="Arial" w:hAnsi="Arial" w:cs="Arial"/>
          <w:b/>
          <w:bCs/>
          <w:sz w:val="24"/>
          <w:szCs w:val="24"/>
        </w:rPr>
        <w:t>Expiry</w:t>
      </w:r>
    </w:p>
    <w:p w14:paraId="46F396DA" w14:textId="651F526D" w:rsidR="0090708B" w:rsidRPr="009C4CC9" w:rsidRDefault="0090708B" w:rsidP="0090708B">
      <w:pPr>
        <w:rPr>
          <w:rFonts w:ascii="Arial" w:hAnsi="Arial" w:cs="Arial"/>
          <w:sz w:val="24"/>
          <w:szCs w:val="24"/>
        </w:rPr>
      </w:pPr>
      <w:r w:rsidRPr="009C4CC9">
        <w:rPr>
          <w:rFonts w:ascii="Arial" w:hAnsi="Arial" w:cs="Arial"/>
          <w:sz w:val="24"/>
          <w:szCs w:val="24"/>
        </w:rPr>
        <w:t xml:space="preserve">The Declaration expires </w:t>
      </w:r>
      <w:r w:rsidR="002F5393" w:rsidRPr="009C4CC9">
        <w:rPr>
          <w:rFonts w:ascii="Arial" w:hAnsi="Arial" w:cs="Arial"/>
          <w:sz w:val="24"/>
          <w:szCs w:val="24"/>
        </w:rPr>
        <w:t>on the earlier of</w:t>
      </w:r>
      <w:r w:rsidRPr="009C4CC9">
        <w:rPr>
          <w:rFonts w:ascii="Arial" w:hAnsi="Arial" w:cs="Arial"/>
          <w:sz w:val="24"/>
          <w:szCs w:val="24"/>
        </w:rPr>
        <w:t xml:space="preserve"> </w:t>
      </w:r>
      <w:r w:rsidRPr="007512CF">
        <w:rPr>
          <w:rFonts w:ascii="Arial" w:hAnsi="Arial" w:cs="Arial"/>
          <w:sz w:val="24"/>
          <w:szCs w:val="24"/>
        </w:rPr>
        <w:t xml:space="preserve">either </w:t>
      </w:r>
      <w:r w:rsidRPr="002F5340">
        <w:rPr>
          <w:rFonts w:ascii="Arial" w:hAnsi="Arial" w:cs="Arial"/>
          <w:sz w:val="24"/>
          <w:szCs w:val="24"/>
        </w:rPr>
        <w:t>the day the transitional period ends</w:t>
      </w:r>
      <w:r w:rsidR="00953EF9" w:rsidRPr="002F5340">
        <w:rPr>
          <w:rFonts w:ascii="Arial" w:hAnsi="Arial" w:cs="Arial"/>
          <w:sz w:val="24"/>
          <w:szCs w:val="24"/>
        </w:rPr>
        <w:t xml:space="preserve"> as </w:t>
      </w:r>
      <w:r w:rsidR="007512CF">
        <w:rPr>
          <w:rFonts w:ascii="Arial" w:hAnsi="Arial" w:cs="Arial"/>
          <w:sz w:val="24"/>
          <w:szCs w:val="24"/>
        </w:rPr>
        <w:t>defined by</w:t>
      </w:r>
      <w:r w:rsidR="00953EF9" w:rsidRPr="002F5340">
        <w:rPr>
          <w:rFonts w:ascii="Arial" w:hAnsi="Arial" w:cs="Arial"/>
          <w:sz w:val="24"/>
          <w:szCs w:val="24"/>
        </w:rPr>
        <w:t xml:space="preserve"> clause 3 (2) of the declaration,</w:t>
      </w:r>
      <w:r w:rsidR="00C174D8" w:rsidRPr="002F5340">
        <w:rPr>
          <w:rFonts w:ascii="Arial" w:hAnsi="Arial" w:cs="Arial"/>
          <w:sz w:val="24"/>
          <w:szCs w:val="24"/>
        </w:rPr>
        <w:t xml:space="preserve"> </w:t>
      </w:r>
      <w:r w:rsidRPr="002F5340">
        <w:rPr>
          <w:rFonts w:ascii="Arial" w:hAnsi="Arial" w:cs="Arial"/>
          <w:sz w:val="24"/>
          <w:szCs w:val="24"/>
        </w:rPr>
        <w:t xml:space="preserve">or </w:t>
      </w:r>
      <w:r w:rsidR="00C174D8" w:rsidRPr="002F5340">
        <w:rPr>
          <w:rFonts w:ascii="Arial" w:hAnsi="Arial" w:cs="Arial"/>
          <w:sz w:val="24"/>
          <w:szCs w:val="24"/>
        </w:rPr>
        <w:t xml:space="preserve">the day mentioned in </w:t>
      </w:r>
      <w:r w:rsidRPr="002F5340">
        <w:rPr>
          <w:rFonts w:ascii="Arial" w:hAnsi="Arial" w:cs="Arial"/>
          <w:sz w:val="24"/>
          <w:szCs w:val="24"/>
        </w:rPr>
        <w:t xml:space="preserve">section 156 (3) of the </w:t>
      </w:r>
      <w:r w:rsidRPr="002F5340">
        <w:rPr>
          <w:rFonts w:ascii="Arial" w:hAnsi="Arial" w:cs="Arial"/>
          <w:i/>
          <w:iCs/>
          <w:sz w:val="24"/>
          <w:szCs w:val="24"/>
        </w:rPr>
        <w:t>Residential Tenancies Act</w:t>
      </w:r>
      <w:r w:rsidRPr="009C4CC9">
        <w:rPr>
          <w:rFonts w:ascii="Arial" w:hAnsi="Arial" w:cs="Arial"/>
          <w:i/>
          <w:iCs/>
          <w:sz w:val="24"/>
          <w:szCs w:val="24"/>
        </w:rPr>
        <w:t xml:space="preserve"> 1977</w:t>
      </w:r>
      <w:r w:rsidRPr="009C4CC9">
        <w:rPr>
          <w:rFonts w:ascii="Arial" w:hAnsi="Arial" w:cs="Arial"/>
          <w:sz w:val="24"/>
          <w:szCs w:val="24"/>
        </w:rPr>
        <w:t xml:space="preserve"> (RTA), namely on the day the </w:t>
      </w:r>
      <w:r w:rsidRPr="009C4CC9">
        <w:rPr>
          <w:rFonts w:ascii="Arial" w:hAnsi="Arial" w:cs="Arial"/>
          <w:i/>
          <w:iCs/>
          <w:sz w:val="24"/>
          <w:szCs w:val="24"/>
        </w:rPr>
        <w:t xml:space="preserve">Public Health (Emergency) Declaration 2020 (No 1) </w:t>
      </w:r>
      <w:r w:rsidRPr="009C4CC9">
        <w:rPr>
          <w:rFonts w:ascii="Arial" w:hAnsi="Arial" w:cs="Arial"/>
          <w:sz w:val="24"/>
          <w:szCs w:val="24"/>
        </w:rPr>
        <w:t xml:space="preserve">ends or, if the Minister considers the effect of the COVID-19 pandemic justifies a later day, a later day notified by the Minister but no later than 3 months after the </w:t>
      </w:r>
      <w:r w:rsidRPr="009C4CC9">
        <w:rPr>
          <w:rFonts w:ascii="Arial" w:hAnsi="Arial" w:cs="Arial"/>
          <w:i/>
          <w:iCs/>
          <w:sz w:val="24"/>
          <w:szCs w:val="24"/>
        </w:rPr>
        <w:t xml:space="preserve">Public Health (Emergency) Declaration 2020 (No 1) </w:t>
      </w:r>
      <w:r w:rsidRPr="009C4CC9">
        <w:rPr>
          <w:rFonts w:ascii="Arial" w:hAnsi="Arial" w:cs="Arial"/>
          <w:sz w:val="24"/>
          <w:szCs w:val="24"/>
        </w:rPr>
        <w:t xml:space="preserve">ends. </w:t>
      </w:r>
      <w:r w:rsidR="00953EF9">
        <w:rPr>
          <w:rFonts w:ascii="Arial" w:hAnsi="Arial" w:cs="Arial"/>
          <w:sz w:val="24"/>
          <w:szCs w:val="24"/>
        </w:rPr>
        <w:t>Clause 3 (3) provides that a declaration made</w:t>
      </w:r>
      <w:r w:rsidR="007512CF">
        <w:rPr>
          <w:rFonts w:ascii="Arial" w:hAnsi="Arial" w:cs="Arial"/>
          <w:sz w:val="24"/>
          <w:szCs w:val="24"/>
        </w:rPr>
        <w:t xml:space="preserve"> by the Minister extending the validity of the instrument beyond 30 September 2021, is a notifiable instrument.</w:t>
      </w:r>
    </w:p>
    <w:p w14:paraId="373DD82F" w14:textId="7DAA0E0A" w:rsidR="009A1712" w:rsidRDefault="009A1712" w:rsidP="00867B7D">
      <w:pPr>
        <w:rPr>
          <w:rFonts w:ascii="Arial" w:hAnsi="Arial" w:cs="Arial"/>
          <w:b/>
          <w:bCs/>
          <w:sz w:val="24"/>
          <w:szCs w:val="24"/>
        </w:rPr>
      </w:pPr>
      <w:r w:rsidRPr="002F5340">
        <w:rPr>
          <w:rFonts w:ascii="Arial" w:eastAsiaTheme="majorEastAsia" w:hAnsi="Arial" w:cstheme="majorBidi"/>
          <w:b/>
          <w:sz w:val="24"/>
          <w:szCs w:val="24"/>
        </w:rPr>
        <w:t xml:space="preserve">Clause </w:t>
      </w:r>
      <w:r w:rsidR="00AE5C53" w:rsidRPr="002F5340">
        <w:rPr>
          <w:rFonts w:ascii="Arial" w:eastAsiaTheme="majorEastAsia" w:hAnsi="Arial" w:cstheme="majorBidi"/>
          <w:b/>
          <w:sz w:val="24"/>
          <w:szCs w:val="24"/>
        </w:rPr>
        <w:t>4</w:t>
      </w:r>
      <w:r w:rsidRPr="002F5340">
        <w:rPr>
          <w:rFonts w:ascii="Arial" w:hAnsi="Arial" w:cs="Arial"/>
          <w:sz w:val="24"/>
          <w:szCs w:val="24"/>
        </w:rPr>
        <w:tab/>
      </w:r>
      <w:r w:rsidR="007512CF">
        <w:rPr>
          <w:rFonts w:ascii="Arial" w:hAnsi="Arial" w:cs="Arial"/>
          <w:b/>
          <w:bCs/>
          <w:sz w:val="24"/>
          <w:szCs w:val="24"/>
        </w:rPr>
        <w:t>Modification of Act, s 49–payment orders for COVID-19 impacted households</w:t>
      </w:r>
    </w:p>
    <w:p w14:paraId="40702E5F" w14:textId="77777777" w:rsidR="007512CF" w:rsidRPr="004F139C" w:rsidRDefault="007512CF" w:rsidP="007512CF">
      <w:pPr>
        <w:pStyle w:val="Heading3"/>
        <w:rPr>
          <w:rFonts w:eastAsia="Times New Roman" w:cs="Arial"/>
          <w:b w:val="0"/>
        </w:rPr>
      </w:pPr>
      <w:r w:rsidRPr="004F139C">
        <w:rPr>
          <w:rFonts w:eastAsia="Times New Roman" w:cs="Arial"/>
          <w:b w:val="0"/>
        </w:rPr>
        <w:t>This clause requires ACAT to consider making a payment order for a tenant who was a member of an impacted household during the moratorium period as an alternative to making a termination and possession order. This clause applies in circumstances where a tenant is in rent arrears and a lessor has applied to ACAT for a termination and possession order.</w:t>
      </w:r>
    </w:p>
    <w:p w14:paraId="2AAFD5B8" w14:textId="7FE98BCB" w:rsidR="007512CF" w:rsidRPr="002E1846" w:rsidRDefault="007512CF" w:rsidP="007512CF">
      <w:pPr>
        <w:rPr>
          <w:rFonts w:ascii="Arial" w:hAnsi="Arial" w:cs="Arial"/>
          <w:sz w:val="24"/>
          <w:szCs w:val="24"/>
        </w:rPr>
      </w:pPr>
      <w:r w:rsidRPr="002E1846">
        <w:rPr>
          <w:rFonts w:ascii="Arial" w:hAnsi="Arial" w:cs="Arial"/>
          <w:sz w:val="24"/>
          <w:szCs w:val="24"/>
        </w:rPr>
        <w:t>Currently, under sections 49 to 49B of the RTA, although ACAT is able to consider a payment order as an alternative to a termination and possession order in circumstances where a tenant is in rent arrears, it is not essential that they do so.</w:t>
      </w:r>
      <w:r>
        <w:rPr>
          <w:rFonts w:ascii="Arial" w:hAnsi="Arial" w:cs="Arial"/>
          <w:sz w:val="24"/>
          <w:szCs w:val="24"/>
        </w:rPr>
        <w:t xml:space="preserve"> ACAT will still be able to exercise its discretion as to whether making the payment order is appropriate in the circumstances.</w:t>
      </w:r>
      <w:r w:rsidRPr="00953BF9">
        <w:rPr>
          <w:b/>
          <w:bCs/>
          <w:lang w:val="en-US"/>
        </w:rPr>
        <w:t xml:space="preserve"> </w:t>
      </w:r>
      <w:r>
        <w:rPr>
          <w:b/>
          <w:bCs/>
          <w:lang w:val="en-US"/>
        </w:rPr>
        <w:t>I</w:t>
      </w:r>
      <w:r>
        <w:rPr>
          <w:rFonts w:ascii="Arial" w:hAnsi="Arial" w:cs="Arial"/>
          <w:sz w:val="24"/>
          <w:szCs w:val="24"/>
        </w:rPr>
        <w:t xml:space="preserve">n circumstances where </w:t>
      </w:r>
      <w:r w:rsidRPr="00830F50">
        <w:rPr>
          <w:rFonts w:ascii="Arial" w:hAnsi="Arial" w:cs="Arial"/>
          <w:sz w:val="24"/>
          <w:szCs w:val="24"/>
        </w:rPr>
        <w:t xml:space="preserve">a tenant </w:t>
      </w:r>
      <w:r>
        <w:rPr>
          <w:rFonts w:ascii="Arial" w:hAnsi="Arial" w:cs="Arial"/>
          <w:sz w:val="24"/>
          <w:szCs w:val="24"/>
        </w:rPr>
        <w:t>is still in arrears from the moratorium period, the measure operates to provide that tenant with a further opportunity to save their tenancy. This is because a payment order allows the tenancy to continue where the tenant pays their rent and a specified amount towards any rental arrears in accordance with the ACAT order. This measure will allow</w:t>
      </w:r>
      <w:r w:rsidRPr="00CC69C0">
        <w:rPr>
          <w:rFonts w:ascii="Arial" w:hAnsi="Arial" w:cs="Arial"/>
          <w:sz w:val="24"/>
          <w:szCs w:val="24"/>
        </w:rPr>
        <w:t xml:space="preserve"> tenants </w:t>
      </w:r>
      <w:r>
        <w:rPr>
          <w:rFonts w:ascii="Arial" w:hAnsi="Arial" w:cs="Arial"/>
          <w:sz w:val="24"/>
          <w:szCs w:val="24"/>
        </w:rPr>
        <w:t>to</w:t>
      </w:r>
      <w:r w:rsidRPr="00CC69C0">
        <w:rPr>
          <w:rFonts w:ascii="Arial" w:hAnsi="Arial" w:cs="Arial"/>
          <w:sz w:val="24"/>
          <w:szCs w:val="24"/>
        </w:rPr>
        <w:t xml:space="preserve"> remain in their homes during a period of considerable </w:t>
      </w:r>
      <w:r>
        <w:rPr>
          <w:rFonts w:ascii="Arial" w:hAnsi="Arial" w:cs="Arial"/>
          <w:sz w:val="24"/>
          <w:szCs w:val="24"/>
        </w:rPr>
        <w:t xml:space="preserve">financial </w:t>
      </w:r>
      <w:r w:rsidRPr="00CC69C0">
        <w:rPr>
          <w:rFonts w:ascii="Arial" w:hAnsi="Arial" w:cs="Arial"/>
          <w:sz w:val="24"/>
          <w:szCs w:val="24"/>
        </w:rPr>
        <w:t xml:space="preserve">stress </w:t>
      </w:r>
      <w:r>
        <w:rPr>
          <w:rFonts w:ascii="Arial" w:hAnsi="Arial" w:cs="Arial"/>
          <w:sz w:val="24"/>
          <w:szCs w:val="24"/>
        </w:rPr>
        <w:t>and provides tenants with an additional opportunity to pay their rental debts before facing eviction. Requiring ACAT to consider making payment orders for impacted households sends a strong message that, wherever it is reasonably possible to do so, tenancies should be sustained.</w:t>
      </w:r>
    </w:p>
    <w:p w14:paraId="7A7DFADB" w14:textId="463778FD" w:rsidR="00FE65B9" w:rsidRPr="007512CF" w:rsidRDefault="00FE65B9" w:rsidP="00FE65B9">
      <w:pPr>
        <w:pStyle w:val="Heading3"/>
      </w:pPr>
      <w:r w:rsidRPr="002F5340">
        <w:lastRenderedPageBreak/>
        <w:t xml:space="preserve">Clause </w:t>
      </w:r>
      <w:r w:rsidR="00BF71A8" w:rsidRPr="002F5340">
        <w:t>5</w:t>
      </w:r>
      <w:r w:rsidRPr="002F5340">
        <w:tab/>
        <w:t>Definitions</w:t>
      </w:r>
    </w:p>
    <w:p w14:paraId="06C464DC" w14:textId="24E50D13" w:rsidR="00E94FC9" w:rsidRDefault="00E94FC9" w:rsidP="00E94FC9">
      <w:pPr>
        <w:rPr>
          <w:rFonts w:ascii="Arial" w:hAnsi="Arial" w:cs="Arial"/>
          <w:sz w:val="24"/>
          <w:szCs w:val="24"/>
        </w:rPr>
      </w:pPr>
      <w:r w:rsidRPr="00F27C94">
        <w:rPr>
          <w:rFonts w:ascii="Arial" w:hAnsi="Arial" w:cs="Arial"/>
          <w:sz w:val="24"/>
          <w:szCs w:val="24"/>
        </w:rPr>
        <w:t xml:space="preserve">This clause defines terms in </w:t>
      </w:r>
      <w:r w:rsidR="007512CF" w:rsidRPr="007512CF">
        <w:rPr>
          <w:rFonts w:ascii="Arial" w:hAnsi="Arial" w:cs="Arial"/>
          <w:sz w:val="24"/>
          <w:szCs w:val="24"/>
        </w:rPr>
        <w:t>the instrument</w:t>
      </w:r>
      <w:r w:rsidRPr="00F27C94">
        <w:rPr>
          <w:rFonts w:ascii="Arial" w:hAnsi="Arial" w:cs="Arial"/>
          <w:sz w:val="24"/>
          <w:szCs w:val="24"/>
        </w:rPr>
        <w:t>. The purpose of the definitions in this clause and clause </w:t>
      </w:r>
      <w:r w:rsidR="00BF71A8" w:rsidRPr="002F5340">
        <w:rPr>
          <w:rFonts w:ascii="Arial" w:hAnsi="Arial" w:cs="Arial"/>
          <w:sz w:val="24"/>
          <w:szCs w:val="24"/>
        </w:rPr>
        <w:t>6</w:t>
      </w:r>
      <w:r w:rsidRPr="007512CF">
        <w:rPr>
          <w:rFonts w:ascii="Arial" w:hAnsi="Arial" w:cs="Arial"/>
          <w:sz w:val="24"/>
          <w:szCs w:val="24"/>
        </w:rPr>
        <w:t xml:space="preserve"> is to ensure that the benefit of the measures in the Declaration</w:t>
      </w:r>
      <w:r w:rsidR="00DA3D9E" w:rsidRPr="002F5340">
        <w:rPr>
          <w:rFonts w:ascii="Arial" w:hAnsi="Arial" w:cs="Arial"/>
          <w:sz w:val="24"/>
          <w:szCs w:val="24"/>
        </w:rPr>
        <w:t xml:space="preserve"> </w:t>
      </w:r>
      <w:r w:rsidRPr="002F5340">
        <w:rPr>
          <w:rFonts w:ascii="Arial" w:hAnsi="Arial" w:cs="Arial"/>
          <w:sz w:val="24"/>
          <w:szCs w:val="24"/>
        </w:rPr>
        <w:t>is restricted to persons who have been impacted by the COVID-19 pandemic. This</w:t>
      </w:r>
      <w:r>
        <w:rPr>
          <w:rFonts w:ascii="Arial" w:hAnsi="Arial" w:cs="Arial"/>
          <w:sz w:val="24"/>
          <w:szCs w:val="24"/>
        </w:rPr>
        <w:t xml:space="preserve"> ensures that the rights and obligations of </w:t>
      </w:r>
      <w:r w:rsidR="002D54C9">
        <w:rPr>
          <w:rFonts w:ascii="Arial" w:hAnsi="Arial" w:cs="Arial"/>
          <w:sz w:val="24"/>
          <w:szCs w:val="24"/>
        </w:rPr>
        <w:t>lessor</w:t>
      </w:r>
      <w:r>
        <w:rPr>
          <w:rFonts w:ascii="Arial" w:hAnsi="Arial" w:cs="Arial"/>
          <w:sz w:val="24"/>
          <w:szCs w:val="24"/>
        </w:rPr>
        <w:t xml:space="preserve">s and tenants in circumstances extraneous to the COVID-19 pandemic continue unaffected. </w:t>
      </w:r>
    </w:p>
    <w:p w14:paraId="375DF55C" w14:textId="77777777" w:rsidR="00E94FC9" w:rsidRDefault="00E94FC9" w:rsidP="00E94FC9">
      <w:pPr>
        <w:rPr>
          <w:rFonts w:ascii="Arial" w:hAnsi="Arial" w:cs="Arial"/>
          <w:sz w:val="24"/>
          <w:szCs w:val="24"/>
        </w:rPr>
      </w:pPr>
      <w:r>
        <w:rPr>
          <w:rFonts w:ascii="Arial" w:hAnsi="Arial" w:cs="Arial"/>
          <w:sz w:val="24"/>
          <w:szCs w:val="24"/>
        </w:rPr>
        <w:t>‘</w:t>
      </w:r>
      <w:r w:rsidRPr="001E7D6A">
        <w:rPr>
          <w:rFonts w:ascii="Arial" w:hAnsi="Arial" w:cs="Arial"/>
          <w:b/>
          <w:bCs/>
          <w:i/>
          <w:iCs/>
          <w:sz w:val="24"/>
          <w:szCs w:val="24"/>
        </w:rPr>
        <w:t>Household</w:t>
      </w:r>
      <w:r>
        <w:rPr>
          <w:rFonts w:ascii="Arial" w:hAnsi="Arial" w:cs="Arial"/>
          <w:sz w:val="24"/>
          <w:szCs w:val="24"/>
        </w:rPr>
        <w:t xml:space="preserve">’ means the tenants and any other people living in premises the subject of a residential tenancy agreement. </w:t>
      </w:r>
    </w:p>
    <w:p w14:paraId="2A9A8F0F" w14:textId="02336933" w:rsidR="00E94FC9" w:rsidRDefault="00E94FC9" w:rsidP="00E94FC9">
      <w:pPr>
        <w:rPr>
          <w:rFonts w:ascii="Arial" w:hAnsi="Arial" w:cs="Arial"/>
          <w:sz w:val="24"/>
          <w:szCs w:val="24"/>
        </w:rPr>
      </w:pPr>
      <w:r>
        <w:rPr>
          <w:rFonts w:ascii="Arial" w:hAnsi="Arial" w:cs="Arial"/>
          <w:sz w:val="24"/>
          <w:szCs w:val="24"/>
        </w:rPr>
        <w:t>‘</w:t>
      </w:r>
      <w:r w:rsidRPr="001E7D6A">
        <w:rPr>
          <w:rFonts w:ascii="Arial" w:hAnsi="Arial" w:cs="Arial"/>
          <w:b/>
          <w:bCs/>
          <w:i/>
          <w:iCs/>
          <w:sz w:val="24"/>
          <w:szCs w:val="24"/>
        </w:rPr>
        <w:t>Impacted</w:t>
      </w:r>
      <w:r>
        <w:rPr>
          <w:rFonts w:ascii="Arial" w:hAnsi="Arial" w:cs="Arial"/>
          <w:sz w:val="24"/>
          <w:szCs w:val="24"/>
        </w:rPr>
        <w:t>’ by the COVID-19 pandemic is further defined in clause</w:t>
      </w:r>
      <w:r w:rsidRPr="00854954">
        <w:rPr>
          <w:rFonts w:ascii="Arial" w:hAnsi="Arial" w:cs="Arial"/>
          <w:sz w:val="24"/>
          <w:szCs w:val="24"/>
        </w:rPr>
        <w:t xml:space="preserve"> </w:t>
      </w:r>
      <w:r w:rsidR="00F27C94">
        <w:rPr>
          <w:rFonts w:ascii="Arial" w:hAnsi="Arial" w:cs="Arial"/>
          <w:sz w:val="24"/>
          <w:szCs w:val="24"/>
        </w:rPr>
        <w:t>6</w:t>
      </w:r>
      <w:r>
        <w:rPr>
          <w:rFonts w:ascii="Arial" w:hAnsi="Arial" w:cs="Arial"/>
          <w:sz w:val="24"/>
          <w:szCs w:val="24"/>
        </w:rPr>
        <w:t xml:space="preserve">. </w:t>
      </w:r>
    </w:p>
    <w:p w14:paraId="066EF49D" w14:textId="06030635" w:rsidR="00E94FC9" w:rsidRPr="00F27C94" w:rsidRDefault="00E94FC9" w:rsidP="00E94FC9">
      <w:pPr>
        <w:rPr>
          <w:rFonts w:ascii="Arial" w:hAnsi="Arial" w:cs="Arial"/>
          <w:sz w:val="24"/>
          <w:szCs w:val="24"/>
        </w:rPr>
      </w:pPr>
      <w:r>
        <w:rPr>
          <w:rFonts w:ascii="Arial" w:hAnsi="Arial" w:cs="Arial"/>
          <w:sz w:val="24"/>
          <w:szCs w:val="24"/>
        </w:rPr>
        <w:t>‘</w:t>
      </w:r>
      <w:r w:rsidRPr="001E7D6A">
        <w:rPr>
          <w:rFonts w:ascii="Arial" w:hAnsi="Arial" w:cs="Arial"/>
          <w:b/>
          <w:bCs/>
          <w:i/>
          <w:iCs/>
          <w:sz w:val="24"/>
          <w:szCs w:val="24"/>
        </w:rPr>
        <w:t>Impacted household’</w:t>
      </w:r>
      <w:r>
        <w:rPr>
          <w:rFonts w:ascii="Arial" w:hAnsi="Arial" w:cs="Arial"/>
          <w:sz w:val="24"/>
          <w:szCs w:val="24"/>
        </w:rPr>
        <w:t xml:space="preserve"> means a household ‘impacted by the COVID-19 pandemic’, or, a household in which a member became eligible for the JobSeeker or JobKeeper payment from </w:t>
      </w:r>
      <w:r w:rsidRPr="00F27C94">
        <w:rPr>
          <w:rFonts w:ascii="Arial" w:hAnsi="Arial" w:cs="Arial"/>
          <w:sz w:val="24"/>
          <w:szCs w:val="24"/>
        </w:rPr>
        <w:t>the Commonwealth on or after 20 March 2020. ‘I</w:t>
      </w:r>
      <w:r w:rsidRPr="004C2F66">
        <w:rPr>
          <w:rFonts w:ascii="Arial" w:hAnsi="Arial" w:cs="Arial"/>
          <w:sz w:val="24"/>
          <w:szCs w:val="24"/>
        </w:rPr>
        <w:t>mpacted by the COVID-19 pandemic’</w:t>
      </w:r>
      <w:r w:rsidRPr="008262C2">
        <w:rPr>
          <w:rFonts w:ascii="Arial" w:hAnsi="Arial" w:cs="Arial"/>
          <w:sz w:val="24"/>
          <w:szCs w:val="24"/>
        </w:rPr>
        <w:t xml:space="preserve"> is defined in clause </w:t>
      </w:r>
      <w:r w:rsidR="00BF71A8" w:rsidRPr="002F5340">
        <w:rPr>
          <w:rFonts w:ascii="Arial" w:hAnsi="Arial" w:cs="Arial"/>
          <w:sz w:val="24"/>
          <w:szCs w:val="24"/>
        </w:rPr>
        <w:t>6</w:t>
      </w:r>
      <w:r w:rsidRPr="00F27C94">
        <w:rPr>
          <w:rFonts w:ascii="Arial" w:hAnsi="Arial" w:cs="Arial"/>
          <w:sz w:val="24"/>
          <w:szCs w:val="24"/>
        </w:rPr>
        <w:t xml:space="preserve">. See further discussion below under clause </w:t>
      </w:r>
      <w:r w:rsidR="00BF71A8" w:rsidRPr="002F5340">
        <w:rPr>
          <w:rFonts w:ascii="Arial" w:hAnsi="Arial" w:cs="Arial"/>
          <w:sz w:val="24"/>
          <w:szCs w:val="24"/>
        </w:rPr>
        <w:t>6</w:t>
      </w:r>
      <w:r w:rsidRPr="002F5340">
        <w:rPr>
          <w:rFonts w:ascii="Arial" w:hAnsi="Arial" w:cs="Arial"/>
          <w:sz w:val="24"/>
          <w:szCs w:val="24"/>
        </w:rPr>
        <w:t>.</w:t>
      </w:r>
      <w:r w:rsidRPr="00F27C94">
        <w:rPr>
          <w:rFonts w:ascii="Arial" w:hAnsi="Arial" w:cs="Arial"/>
          <w:sz w:val="24"/>
          <w:szCs w:val="24"/>
        </w:rPr>
        <w:t xml:space="preserve"> </w:t>
      </w:r>
    </w:p>
    <w:p w14:paraId="69AAED6B" w14:textId="05F42E9A" w:rsidR="00E94FC9" w:rsidRPr="002F5340" w:rsidRDefault="00E94FC9" w:rsidP="00E94FC9">
      <w:pPr>
        <w:rPr>
          <w:rFonts w:ascii="Arial" w:hAnsi="Arial" w:cs="Arial"/>
          <w:sz w:val="24"/>
          <w:szCs w:val="24"/>
        </w:rPr>
      </w:pPr>
      <w:r w:rsidRPr="002F5340">
        <w:rPr>
          <w:rFonts w:ascii="Arial" w:hAnsi="Arial" w:cs="Arial"/>
          <w:sz w:val="24"/>
          <w:szCs w:val="24"/>
        </w:rPr>
        <w:t>‘</w:t>
      </w:r>
      <w:r w:rsidRPr="002F5340">
        <w:rPr>
          <w:rFonts w:ascii="Arial" w:hAnsi="Arial" w:cs="Arial"/>
          <w:b/>
          <w:bCs/>
          <w:i/>
          <w:iCs/>
          <w:sz w:val="24"/>
          <w:szCs w:val="24"/>
        </w:rPr>
        <w:t>Moratorium period’</w:t>
      </w:r>
      <w:r w:rsidRPr="002F5340">
        <w:rPr>
          <w:rFonts w:ascii="Arial" w:hAnsi="Arial" w:cs="Arial"/>
          <w:sz w:val="24"/>
          <w:szCs w:val="24"/>
        </w:rPr>
        <w:t xml:space="preserve"> means the period beginning on 22 April 2020 and ending on </w:t>
      </w:r>
      <w:r w:rsidR="0023084E" w:rsidRPr="002F5340">
        <w:rPr>
          <w:rFonts w:ascii="Arial" w:hAnsi="Arial" w:cs="Arial"/>
          <w:sz w:val="24"/>
          <w:szCs w:val="24"/>
        </w:rPr>
        <w:t>22 October 2020</w:t>
      </w:r>
      <w:r w:rsidRPr="002F5340">
        <w:rPr>
          <w:rFonts w:ascii="Arial" w:hAnsi="Arial" w:cs="Arial"/>
          <w:sz w:val="24"/>
          <w:szCs w:val="24"/>
        </w:rPr>
        <w:t>.</w:t>
      </w:r>
    </w:p>
    <w:p w14:paraId="763C5BD0" w14:textId="71944D2B" w:rsidR="00FE65B9" w:rsidRPr="008262C2" w:rsidRDefault="00FE65B9" w:rsidP="00FE65B9">
      <w:pPr>
        <w:pStyle w:val="Heading3"/>
      </w:pPr>
      <w:r w:rsidRPr="002F5340">
        <w:t xml:space="preserve">Clause </w:t>
      </w:r>
      <w:r w:rsidR="00BF71A8" w:rsidRPr="002F5340">
        <w:t>6</w:t>
      </w:r>
      <w:r w:rsidRPr="00F27C94">
        <w:tab/>
        <w:t xml:space="preserve">When is a household </w:t>
      </w:r>
      <w:r w:rsidRPr="00F27C94">
        <w:rPr>
          <w:i/>
          <w:iCs/>
        </w:rPr>
        <w:t>impacted</w:t>
      </w:r>
      <w:r w:rsidRPr="004C2F66">
        <w:t xml:space="preserve"> by COVID-19 pandemic?</w:t>
      </w:r>
    </w:p>
    <w:p w14:paraId="1A4E8F1A" w14:textId="77777777" w:rsidR="00676391" w:rsidRDefault="00676391" w:rsidP="00676391">
      <w:pPr>
        <w:rPr>
          <w:rFonts w:ascii="Arial" w:hAnsi="Arial" w:cs="Arial"/>
          <w:sz w:val="24"/>
          <w:szCs w:val="24"/>
        </w:rPr>
      </w:pPr>
      <w:r w:rsidRPr="002F5340">
        <w:rPr>
          <w:rFonts w:ascii="Arial" w:hAnsi="Arial" w:cs="Arial"/>
          <w:sz w:val="24"/>
          <w:szCs w:val="24"/>
        </w:rPr>
        <w:t>This clause outlines when a household is considered to be impacted by the COVID</w:t>
      </w:r>
      <w:r w:rsidRPr="002F5340">
        <w:rPr>
          <w:rFonts w:ascii="Arial" w:hAnsi="Arial" w:cs="Arial"/>
          <w:sz w:val="24"/>
          <w:szCs w:val="24"/>
        </w:rPr>
        <w:noBreakHyphen/>
        <w:t>19 pandemic</w:t>
      </w:r>
      <w:r>
        <w:rPr>
          <w:rFonts w:ascii="Arial" w:hAnsi="Arial" w:cs="Arial"/>
          <w:sz w:val="24"/>
          <w:szCs w:val="24"/>
        </w:rPr>
        <w:t xml:space="preserve"> for the purpose of the Declaration. </w:t>
      </w:r>
    </w:p>
    <w:p w14:paraId="52D486FA" w14:textId="77777777" w:rsidR="00676391" w:rsidRDefault="00676391" w:rsidP="00676391">
      <w:pPr>
        <w:rPr>
          <w:rFonts w:ascii="Arial" w:hAnsi="Arial" w:cs="Arial"/>
          <w:sz w:val="24"/>
          <w:szCs w:val="24"/>
        </w:rPr>
      </w:pPr>
      <w:r>
        <w:rPr>
          <w:rFonts w:ascii="Arial" w:hAnsi="Arial" w:cs="Arial"/>
          <w:sz w:val="24"/>
          <w:szCs w:val="24"/>
        </w:rPr>
        <w:t xml:space="preserve">A household is impacted by the COVID-19 pandemic where one or more rent-paying household members have stopped earning income or had a reduction in income either for health-related reasons (because a member of the household is ill with COVID-19 or the rent-paying member has carer responsibilities for a family member ill with COVID-19, whether or not in the same household), or for reasons arising from COVID-19 response measures (whether by the ACT Government or another Australian Government). In addition, the household’s gross weekly income must be at least 25% less than the household’s gross weekly income before the income of any of the rent-paying household members was stopped or reduced. </w:t>
      </w:r>
    </w:p>
    <w:p w14:paraId="3E4AF6F1" w14:textId="77777777" w:rsidR="00676391" w:rsidRDefault="00676391" w:rsidP="00676391">
      <w:pPr>
        <w:rPr>
          <w:rFonts w:ascii="Arial" w:hAnsi="Arial" w:cs="Arial"/>
          <w:sz w:val="24"/>
          <w:szCs w:val="24"/>
        </w:rPr>
      </w:pPr>
      <w:r>
        <w:rPr>
          <w:rFonts w:ascii="Arial" w:hAnsi="Arial" w:cs="Arial"/>
          <w:sz w:val="24"/>
          <w:szCs w:val="24"/>
        </w:rPr>
        <w:t xml:space="preserve">In this clause, ‘rent-paying household member’ means a member of the household who regularly pays a share of the rent payable under the agreement. </w:t>
      </w:r>
    </w:p>
    <w:p w14:paraId="5CF05863" w14:textId="77777777" w:rsidR="00676391" w:rsidRDefault="00676391" w:rsidP="00676391">
      <w:pPr>
        <w:rPr>
          <w:rFonts w:ascii="Arial" w:hAnsi="Arial" w:cs="Arial"/>
          <w:sz w:val="24"/>
          <w:szCs w:val="24"/>
        </w:rPr>
      </w:pPr>
      <w:r>
        <w:rPr>
          <w:rFonts w:ascii="Arial" w:hAnsi="Arial" w:cs="Arial"/>
          <w:sz w:val="24"/>
          <w:szCs w:val="24"/>
        </w:rPr>
        <w:t xml:space="preserve">‘Weekly gross income’ of a household means the total of the weekly gross income, including any government payment, received by each rent-paying household member. </w:t>
      </w:r>
    </w:p>
    <w:p w14:paraId="0B7BA9D5" w14:textId="5B6B5980" w:rsidR="00676391" w:rsidRPr="004C2F66" w:rsidRDefault="00676391" w:rsidP="00676391">
      <w:pPr>
        <w:rPr>
          <w:rFonts w:ascii="Arial" w:hAnsi="Arial" w:cs="Arial"/>
          <w:sz w:val="24"/>
          <w:szCs w:val="24"/>
        </w:rPr>
      </w:pPr>
      <w:r w:rsidRPr="00F27C94">
        <w:rPr>
          <w:rFonts w:ascii="Arial" w:hAnsi="Arial" w:cs="Arial"/>
          <w:sz w:val="24"/>
          <w:szCs w:val="24"/>
        </w:rPr>
        <w:t xml:space="preserve">If this definition is met, the household will be considered an ‘impacted household’ and the </w:t>
      </w:r>
      <w:r w:rsidR="00D87329" w:rsidRPr="004C2F66">
        <w:rPr>
          <w:rFonts w:ascii="Arial" w:hAnsi="Arial" w:cs="Arial"/>
          <w:sz w:val="24"/>
          <w:szCs w:val="24"/>
        </w:rPr>
        <w:t xml:space="preserve">provisions relating to </w:t>
      </w:r>
      <w:r w:rsidR="00BF71A8" w:rsidRPr="004C2F66">
        <w:rPr>
          <w:rFonts w:ascii="Arial" w:hAnsi="Arial" w:cs="Arial"/>
          <w:sz w:val="24"/>
          <w:szCs w:val="24"/>
        </w:rPr>
        <w:t>payment orders</w:t>
      </w:r>
      <w:r w:rsidR="009B7EA6" w:rsidRPr="00A36303">
        <w:rPr>
          <w:rFonts w:ascii="Arial" w:hAnsi="Arial" w:cs="Arial"/>
          <w:sz w:val="24"/>
          <w:szCs w:val="24"/>
        </w:rPr>
        <w:t xml:space="preserve"> will apply</w:t>
      </w:r>
      <w:r w:rsidR="00D87329" w:rsidRPr="008262C2">
        <w:rPr>
          <w:rFonts w:ascii="Arial" w:hAnsi="Arial" w:cs="Arial"/>
          <w:sz w:val="24"/>
          <w:szCs w:val="24"/>
        </w:rPr>
        <w:t xml:space="preserve"> (clause</w:t>
      </w:r>
      <w:r w:rsidR="00BF71A8" w:rsidRPr="002F5340">
        <w:rPr>
          <w:rFonts w:ascii="Arial" w:hAnsi="Arial" w:cs="Arial"/>
          <w:sz w:val="24"/>
          <w:szCs w:val="24"/>
        </w:rPr>
        <w:t xml:space="preserve"> </w:t>
      </w:r>
      <w:r w:rsidR="00F27C94" w:rsidRPr="002F5340">
        <w:rPr>
          <w:rFonts w:ascii="Arial" w:hAnsi="Arial" w:cs="Arial"/>
          <w:sz w:val="24"/>
          <w:szCs w:val="24"/>
        </w:rPr>
        <w:t>4</w:t>
      </w:r>
      <w:r w:rsidR="00D87329" w:rsidRPr="00F27C94">
        <w:rPr>
          <w:rFonts w:ascii="Arial" w:hAnsi="Arial" w:cs="Arial"/>
          <w:sz w:val="24"/>
          <w:szCs w:val="24"/>
        </w:rPr>
        <w:t>)</w:t>
      </w:r>
      <w:r w:rsidR="009B7EA6" w:rsidRPr="004C2F66">
        <w:rPr>
          <w:rFonts w:ascii="Arial" w:hAnsi="Arial" w:cs="Arial"/>
          <w:sz w:val="24"/>
          <w:szCs w:val="24"/>
        </w:rPr>
        <w:t>.</w:t>
      </w:r>
    </w:p>
    <w:p w14:paraId="7EED8EA9" w14:textId="4055656E" w:rsidR="00676391" w:rsidRPr="004C2F66" w:rsidRDefault="00676391" w:rsidP="00676391">
      <w:pPr>
        <w:rPr>
          <w:rFonts w:ascii="Arial" w:hAnsi="Arial" w:cs="Arial"/>
          <w:sz w:val="24"/>
          <w:szCs w:val="24"/>
        </w:rPr>
      </w:pPr>
      <w:r w:rsidRPr="002F5340">
        <w:rPr>
          <w:rFonts w:ascii="Arial" w:hAnsi="Arial" w:cs="Arial"/>
          <w:sz w:val="24"/>
          <w:szCs w:val="24"/>
        </w:rPr>
        <w:lastRenderedPageBreak/>
        <w:t xml:space="preserve">It is anticipated that tenants will be able to show that they are an ‘impacted household’ (clause </w:t>
      </w:r>
      <w:r w:rsidR="00F27C94" w:rsidRPr="002F5340">
        <w:rPr>
          <w:rFonts w:ascii="Arial" w:hAnsi="Arial" w:cs="Arial"/>
          <w:sz w:val="24"/>
          <w:szCs w:val="24"/>
        </w:rPr>
        <w:t>6</w:t>
      </w:r>
      <w:r w:rsidRPr="00F27C94">
        <w:rPr>
          <w:rFonts w:ascii="Arial" w:hAnsi="Arial" w:cs="Arial"/>
          <w:sz w:val="24"/>
          <w:szCs w:val="24"/>
        </w:rPr>
        <w:t>) through simple evidence, such as, for example:</w:t>
      </w:r>
    </w:p>
    <w:p w14:paraId="7A86E818" w14:textId="77777777" w:rsidR="00676391" w:rsidRPr="006D71A2" w:rsidRDefault="00676391" w:rsidP="00676391">
      <w:pPr>
        <w:numPr>
          <w:ilvl w:val="0"/>
          <w:numId w:val="2"/>
        </w:numPr>
        <w:rPr>
          <w:rFonts w:ascii="Arial" w:hAnsi="Arial" w:cs="Arial"/>
          <w:sz w:val="24"/>
          <w:szCs w:val="24"/>
        </w:rPr>
      </w:pPr>
      <w:r w:rsidRPr="002F5340">
        <w:rPr>
          <w:rFonts w:ascii="Arial" w:hAnsi="Arial" w:cs="Arial"/>
          <w:sz w:val="24"/>
          <w:szCs w:val="24"/>
        </w:rPr>
        <w:t>proof of eligibility for JobSeeker</w:t>
      </w:r>
      <w:r w:rsidRPr="006D71A2">
        <w:rPr>
          <w:rFonts w:ascii="Arial" w:hAnsi="Arial" w:cs="Arial"/>
          <w:sz w:val="24"/>
          <w:szCs w:val="24"/>
        </w:rPr>
        <w:t xml:space="preserve"> or JobKeeper payment;</w:t>
      </w:r>
    </w:p>
    <w:p w14:paraId="2482E6EB" w14:textId="77777777" w:rsidR="00676391" w:rsidRPr="006D71A2" w:rsidRDefault="00676391" w:rsidP="00676391">
      <w:pPr>
        <w:numPr>
          <w:ilvl w:val="0"/>
          <w:numId w:val="2"/>
        </w:numPr>
        <w:rPr>
          <w:rFonts w:ascii="Arial" w:hAnsi="Arial" w:cs="Arial"/>
          <w:sz w:val="24"/>
          <w:szCs w:val="24"/>
        </w:rPr>
      </w:pPr>
      <w:r w:rsidRPr="006D71A2">
        <w:rPr>
          <w:rFonts w:ascii="Arial" w:hAnsi="Arial" w:cs="Arial"/>
          <w:sz w:val="24"/>
          <w:szCs w:val="24"/>
        </w:rPr>
        <w:t>proof of job termination or stand-down such a letter or email from</w:t>
      </w:r>
      <w:r>
        <w:rPr>
          <w:rFonts w:ascii="Arial" w:hAnsi="Arial" w:cs="Arial"/>
          <w:sz w:val="24"/>
          <w:szCs w:val="24"/>
        </w:rPr>
        <w:t xml:space="preserve"> an</w:t>
      </w:r>
      <w:r w:rsidRPr="006D71A2">
        <w:rPr>
          <w:rFonts w:ascii="Arial" w:hAnsi="Arial" w:cs="Arial"/>
          <w:sz w:val="24"/>
          <w:szCs w:val="24"/>
        </w:rPr>
        <w:t xml:space="preserve"> employer;</w:t>
      </w:r>
    </w:p>
    <w:p w14:paraId="4CE18522" w14:textId="77777777" w:rsidR="00676391" w:rsidRPr="006D71A2" w:rsidRDefault="00676391" w:rsidP="00676391">
      <w:pPr>
        <w:numPr>
          <w:ilvl w:val="0"/>
          <w:numId w:val="2"/>
        </w:numPr>
        <w:rPr>
          <w:rFonts w:ascii="Arial" w:hAnsi="Arial" w:cs="Arial"/>
          <w:sz w:val="24"/>
          <w:szCs w:val="24"/>
        </w:rPr>
      </w:pPr>
      <w:r w:rsidRPr="006D71A2">
        <w:rPr>
          <w:rFonts w:ascii="Arial" w:hAnsi="Arial" w:cs="Arial"/>
          <w:sz w:val="24"/>
          <w:szCs w:val="24"/>
        </w:rPr>
        <w:t xml:space="preserve">proof of loss of work hours </w:t>
      </w:r>
      <w:r>
        <w:rPr>
          <w:rFonts w:ascii="Arial" w:hAnsi="Arial" w:cs="Arial"/>
          <w:sz w:val="24"/>
          <w:szCs w:val="24"/>
        </w:rPr>
        <w:t>(</w:t>
      </w:r>
      <w:r w:rsidRPr="006D71A2">
        <w:rPr>
          <w:rFonts w:ascii="Arial" w:hAnsi="Arial" w:cs="Arial"/>
          <w:sz w:val="24"/>
          <w:szCs w:val="24"/>
        </w:rPr>
        <w:t>such as rosters showing a reduction in hours</w:t>
      </w:r>
      <w:r>
        <w:rPr>
          <w:rFonts w:ascii="Arial" w:hAnsi="Arial" w:cs="Arial"/>
          <w:sz w:val="24"/>
          <w:szCs w:val="24"/>
        </w:rPr>
        <w:t>)</w:t>
      </w:r>
      <w:r w:rsidRPr="006D71A2">
        <w:rPr>
          <w:rFonts w:ascii="Arial" w:hAnsi="Arial" w:cs="Arial"/>
          <w:sz w:val="24"/>
          <w:szCs w:val="24"/>
        </w:rPr>
        <w:t>;</w:t>
      </w:r>
    </w:p>
    <w:p w14:paraId="02BD594C" w14:textId="77777777" w:rsidR="00676391" w:rsidRDefault="00676391" w:rsidP="00676391">
      <w:pPr>
        <w:numPr>
          <w:ilvl w:val="0"/>
          <w:numId w:val="2"/>
        </w:numPr>
        <w:rPr>
          <w:rFonts w:ascii="Arial" w:hAnsi="Arial" w:cs="Arial"/>
          <w:sz w:val="24"/>
          <w:szCs w:val="24"/>
        </w:rPr>
      </w:pPr>
      <w:r w:rsidRPr="006D71A2">
        <w:rPr>
          <w:rFonts w:ascii="Arial" w:hAnsi="Arial" w:cs="Arial"/>
          <w:sz w:val="24"/>
          <w:szCs w:val="24"/>
        </w:rPr>
        <w:t>proof of prior income</w:t>
      </w:r>
      <w:r>
        <w:rPr>
          <w:rFonts w:ascii="Arial" w:hAnsi="Arial" w:cs="Arial"/>
          <w:sz w:val="24"/>
          <w:szCs w:val="24"/>
        </w:rPr>
        <w:t>; or</w:t>
      </w:r>
    </w:p>
    <w:p w14:paraId="35177A53" w14:textId="77777777" w:rsidR="00676391" w:rsidRPr="006D71A2" w:rsidRDefault="00676391" w:rsidP="00676391">
      <w:pPr>
        <w:numPr>
          <w:ilvl w:val="0"/>
          <w:numId w:val="2"/>
        </w:numPr>
        <w:rPr>
          <w:rFonts w:ascii="Arial" w:hAnsi="Arial" w:cs="Arial"/>
          <w:sz w:val="24"/>
          <w:szCs w:val="24"/>
        </w:rPr>
      </w:pPr>
      <w:r>
        <w:rPr>
          <w:rFonts w:ascii="Arial" w:hAnsi="Arial" w:cs="Arial"/>
          <w:sz w:val="24"/>
          <w:szCs w:val="24"/>
        </w:rPr>
        <w:t>a statutory declaration</w:t>
      </w:r>
      <w:r w:rsidRPr="006D71A2">
        <w:rPr>
          <w:rFonts w:ascii="Arial" w:hAnsi="Arial" w:cs="Arial"/>
          <w:sz w:val="24"/>
          <w:szCs w:val="24"/>
        </w:rPr>
        <w:t>.</w:t>
      </w:r>
    </w:p>
    <w:p w14:paraId="3F9FEBA9" w14:textId="40D9C89A" w:rsidR="008039F5" w:rsidRPr="00E55864" w:rsidRDefault="008039F5" w:rsidP="008262C2">
      <w:pPr>
        <w:pStyle w:val="Heading3"/>
        <w:rPr>
          <w:rFonts w:cs="Arial"/>
        </w:rPr>
      </w:pPr>
    </w:p>
    <w:sectPr w:rsidR="008039F5" w:rsidRPr="00E55864" w:rsidSect="00F41A2F">
      <w:footerReference w:type="default" r:id="rId14"/>
      <w:footerReference w:type="first" r:id="rId15"/>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00740" w14:textId="77777777" w:rsidR="00EC38F7" w:rsidRDefault="00EC38F7">
      <w:pPr>
        <w:spacing w:after="0" w:line="240" w:lineRule="auto"/>
      </w:pPr>
      <w:r>
        <w:separator/>
      </w:r>
    </w:p>
  </w:endnote>
  <w:endnote w:type="continuationSeparator" w:id="0">
    <w:p w14:paraId="05354B60" w14:textId="77777777" w:rsidR="00EC38F7" w:rsidRDefault="00EC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799B" w14:textId="77777777" w:rsidR="006440D4" w:rsidRDefault="00644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FF7B" w14:textId="4AAA2A95" w:rsidR="006440D4" w:rsidRPr="006440D4" w:rsidRDefault="006440D4" w:rsidP="006440D4">
    <w:pPr>
      <w:pStyle w:val="Footer"/>
      <w:jc w:val="center"/>
      <w:rPr>
        <w:rFonts w:cs="Arial"/>
        <w:sz w:val="14"/>
      </w:rPr>
    </w:pPr>
    <w:r w:rsidRPr="006440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81C41" w14:textId="77777777" w:rsidR="009028C1" w:rsidRDefault="006440D4">
    <w:pPr>
      <w:pStyle w:val="Footer"/>
      <w:jc w:val="right"/>
    </w:pPr>
  </w:p>
  <w:p w14:paraId="11F0B8AA" w14:textId="77777777" w:rsidR="009028C1" w:rsidRPr="00DC5912" w:rsidRDefault="006440D4"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16B2" w14:textId="16073398" w:rsidR="009028C1" w:rsidRDefault="00E13E3E"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2D53133B" w14:textId="67157D12" w:rsidR="006440D4" w:rsidRPr="006440D4" w:rsidRDefault="006440D4" w:rsidP="006440D4">
    <w:pPr>
      <w:pStyle w:val="Footer"/>
      <w:spacing w:before="60" w:line="240" w:lineRule="auto"/>
      <w:jc w:val="center"/>
      <w:rPr>
        <w:rFonts w:cs="Arial"/>
        <w:sz w:val="14"/>
      </w:rPr>
    </w:pPr>
    <w:r w:rsidRPr="006440D4">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6743" w14:textId="7D307ECD" w:rsidR="009028C1" w:rsidRDefault="00E13E3E">
    <w:pPr>
      <w:pStyle w:val="Footer"/>
      <w:jc w:val="right"/>
    </w:pPr>
    <w:r>
      <w:fldChar w:fldCharType="begin"/>
    </w:r>
    <w:r>
      <w:instrText xml:space="preserve"> PAGE   \* MERGEFORMAT </w:instrText>
    </w:r>
    <w:r>
      <w:fldChar w:fldCharType="separate"/>
    </w:r>
    <w:r>
      <w:rPr>
        <w:noProof/>
      </w:rPr>
      <w:t>1</w:t>
    </w:r>
    <w:r>
      <w:fldChar w:fldCharType="end"/>
    </w:r>
  </w:p>
  <w:p w14:paraId="487D7529" w14:textId="100474F2" w:rsidR="006440D4" w:rsidRPr="006440D4" w:rsidRDefault="006440D4" w:rsidP="006440D4">
    <w:pPr>
      <w:pStyle w:val="Footer"/>
      <w:jc w:val="center"/>
      <w:rPr>
        <w:rFonts w:cs="Arial"/>
        <w:sz w:val="14"/>
      </w:rPr>
    </w:pPr>
    <w:r w:rsidRPr="006440D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95CE1" w14:textId="77777777" w:rsidR="00EC38F7" w:rsidRDefault="00EC38F7">
      <w:pPr>
        <w:spacing w:after="0" w:line="240" w:lineRule="auto"/>
      </w:pPr>
      <w:r>
        <w:separator/>
      </w:r>
    </w:p>
  </w:footnote>
  <w:footnote w:type="continuationSeparator" w:id="0">
    <w:p w14:paraId="38A05521" w14:textId="77777777" w:rsidR="00EC38F7" w:rsidRDefault="00EC3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DF03" w14:textId="77777777" w:rsidR="006440D4" w:rsidRDefault="00644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F1A63" w14:textId="77777777" w:rsidR="006440D4" w:rsidRDefault="00644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497D" w14:textId="77777777" w:rsidR="006440D4" w:rsidRDefault="00644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034A3"/>
    <w:multiLevelType w:val="hybridMultilevel"/>
    <w:tmpl w:val="70644A14"/>
    <w:lvl w:ilvl="0" w:tplc="928EB9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5872B8"/>
    <w:multiLevelType w:val="hybridMultilevel"/>
    <w:tmpl w:val="43429B66"/>
    <w:lvl w:ilvl="0" w:tplc="8B4664C4">
      <w:start w:val="1"/>
      <w:numFmt w:val="decimal"/>
      <w:pStyle w:val="CS-Paragraphnumbering"/>
      <w:lvlText w:val="%1."/>
      <w:lvlJc w:val="left"/>
      <w:pPr>
        <w:ind w:left="720" w:hanging="360"/>
      </w:pPr>
      <w:rPr>
        <w:color w:val="auto"/>
        <w:sz w:val="24"/>
        <w:szCs w:val="24"/>
      </w:rPr>
    </w:lvl>
    <w:lvl w:ilvl="1" w:tplc="2D4AF32A">
      <w:start w:val="1"/>
      <w:numFmt w:val="lowerLetter"/>
      <w:lvlText w:val="%2)"/>
      <w:lvlJc w:val="left"/>
      <w:pPr>
        <w:ind w:left="1440" w:hanging="360"/>
      </w:pPr>
      <w:rPr>
        <w:rFonts w:asciiTheme="minorHAnsi" w:eastAsiaTheme="minorHAnsi" w:hAnsiTheme="minorHAnsi" w:cstheme="minorBid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77780A"/>
    <w:multiLevelType w:val="multilevel"/>
    <w:tmpl w:val="EA5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066D8"/>
    <w:multiLevelType w:val="hybridMultilevel"/>
    <w:tmpl w:val="6B700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6603533"/>
    <w:multiLevelType w:val="hybridMultilevel"/>
    <w:tmpl w:val="8D4C06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800F6D"/>
    <w:multiLevelType w:val="hybridMultilevel"/>
    <w:tmpl w:val="D0A250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7D"/>
    <w:rsid w:val="0000063F"/>
    <w:rsid w:val="00031DB1"/>
    <w:rsid w:val="00032883"/>
    <w:rsid w:val="00035EA7"/>
    <w:rsid w:val="0004644F"/>
    <w:rsid w:val="00051774"/>
    <w:rsid w:val="00057129"/>
    <w:rsid w:val="000602F9"/>
    <w:rsid w:val="0006296B"/>
    <w:rsid w:val="00062C3A"/>
    <w:rsid w:val="000702AF"/>
    <w:rsid w:val="00076160"/>
    <w:rsid w:val="00084EA6"/>
    <w:rsid w:val="000962FC"/>
    <w:rsid w:val="000A0891"/>
    <w:rsid w:val="000A0C32"/>
    <w:rsid w:val="000A6BC7"/>
    <w:rsid w:val="000B5A63"/>
    <w:rsid w:val="000B6145"/>
    <w:rsid w:val="000B6DA7"/>
    <w:rsid w:val="000C012A"/>
    <w:rsid w:val="000D2C96"/>
    <w:rsid w:val="000D35C4"/>
    <w:rsid w:val="000D6D87"/>
    <w:rsid w:val="000D74FF"/>
    <w:rsid w:val="000E099C"/>
    <w:rsid w:val="000F3867"/>
    <w:rsid w:val="001040EB"/>
    <w:rsid w:val="001115F0"/>
    <w:rsid w:val="001253D0"/>
    <w:rsid w:val="00131752"/>
    <w:rsid w:val="00131A7E"/>
    <w:rsid w:val="00140322"/>
    <w:rsid w:val="001422CE"/>
    <w:rsid w:val="0015029F"/>
    <w:rsid w:val="00152FDB"/>
    <w:rsid w:val="001562A3"/>
    <w:rsid w:val="0015723A"/>
    <w:rsid w:val="0016280A"/>
    <w:rsid w:val="00164717"/>
    <w:rsid w:val="00164E0E"/>
    <w:rsid w:val="00164F82"/>
    <w:rsid w:val="0017539E"/>
    <w:rsid w:val="00180FFC"/>
    <w:rsid w:val="00181568"/>
    <w:rsid w:val="00182DFE"/>
    <w:rsid w:val="0018705F"/>
    <w:rsid w:val="00195108"/>
    <w:rsid w:val="001A1C19"/>
    <w:rsid w:val="001A341A"/>
    <w:rsid w:val="001B240F"/>
    <w:rsid w:val="001B5BC3"/>
    <w:rsid w:val="001C2DA1"/>
    <w:rsid w:val="001C3DED"/>
    <w:rsid w:val="001C3FD8"/>
    <w:rsid w:val="001C4417"/>
    <w:rsid w:val="001E315F"/>
    <w:rsid w:val="001E7D6A"/>
    <w:rsid w:val="001F0171"/>
    <w:rsid w:val="001F4C7D"/>
    <w:rsid w:val="00203054"/>
    <w:rsid w:val="002037FE"/>
    <w:rsid w:val="00205CDA"/>
    <w:rsid w:val="00206C87"/>
    <w:rsid w:val="002071B7"/>
    <w:rsid w:val="002118EB"/>
    <w:rsid w:val="0021482A"/>
    <w:rsid w:val="002168A0"/>
    <w:rsid w:val="00224ED6"/>
    <w:rsid w:val="002257FA"/>
    <w:rsid w:val="002277C5"/>
    <w:rsid w:val="0023084E"/>
    <w:rsid w:val="00251FB5"/>
    <w:rsid w:val="00260AA2"/>
    <w:rsid w:val="002639D0"/>
    <w:rsid w:val="00263E2D"/>
    <w:rsid w:val="0026510B"/>
    <w:rsid w:val="00266C9A"/>
    <w:rsid w:val="002679F5"/>
    <w:rsid w:val="00283BF5"/>
    <w:rsid w:val="00292CD6"/>
    <w:rsid w:val="00293D70"/>
    <w:rsid w:val="002B2F5F"/>
    <w:rsid w:val="002B793A"/>
    <w:rsid w:val="002C0E96"/>
    <w:rsid w:val="002C4758"/>
    <w:rsid w:val="002C6605"/>
    <w:rsid w:val="002D54C9"/>
    <w:rsid w:val="002D61C5"/>
    <w:rsid w:val="002E0E54"/>
    <w:rsid w:val="002E1846"/>
    <w:rsid w:val="002F09B9"/>
    <w:rsid w:val="002F5340"/>
    <w:rsid w:val="002F5393"/>
    <w:rsid w:val="002F7DD4"/>
    <w:rsid w:val="00300832"/>
    <w:rsid w:val="0030342B"/>
    <w:rsid w:val="00306DB7"/>
    <w:rsid w:val="00316ACC"/>
    <w:rsid w:val="00326022"/>
    <w:rsid w:val="00331D92"/>
    <w:rsid w:val="00334E88"/>
    <w:rsid w:val="003365BE"/>
    <w:rsid w:val="003471EF"/>
    <w:rsid w:val="00353F26"/>
    <w:rsid w:val="0035406C"/>
    <w:rsid w:val="00373529"/>
    <w:rsid w:val="00375690"/>
    <w:rsid w:val="00384CC7"/>
    <w:rsid w:val="00390360"/>
    <w:rsid w:val="0039407E"/>
    <w:rsid w:val="003A1267"/>
    <w:rsid w:val="003A5E91"/>
    <w:rsid w:val="003C0CE1"/>
    <w:rsid w:val="003C535E"/>
    <w:rsid w:val="003E1452"/>
    <w:rsid w:val="00406205"/>
    <w:rsid w:val="00410C8C"/>
    <w:rsid w:val="00412481"/>
    <w:rsid w:val="0041258B"/>
    <w:rsid w:val="00417BBA"/>
    <w:rsid w:val="00427ECC"/>
    <w:rsid w:val="00436C78"/>
    <w:rsid w:val="00436D48"/>
    <w:rsid w:val="00441FDA"/>
    <w:rsid w:val="0044373A"/>
    <w:rsid w:val="00445B59"/>
    <w:rsid w:val="00446F91"/>
    <w:rsid w:val="0045425B"/>
    <w:rsid w:val="00455B19"/>
    <w:rsid w:val="00456B1D"/>
    <w:rsid w:val="0046727B"/>
    <w:rsid w:val="00477B6D"/>
    <w:rsid w:val="00485A13"/>
    <w:rsid w:val="0049625B"/>
    <w:rsid w:val="00497028"/>
    <w:rsid w:val="004B60E4"/>
    <w:rsid w:val="004C12A5"/>
    <w:rsid w:val="004C2F66"/>
    <w:rsid w:val="004D11F8"/>
    <w:rsid w:val="004D20B4"/>
    <w:rsid w:val="004D337D"/>
    <w:rsid w:val="004D3520"/>
    <w:rsid w:val="004D59A6"/>
    <w:rsid w:val="004E270C"/>
    <w:rsid w:val="004E5C74"/>
    <w:rsid w:val="004E606C"/>
    <w:rsid w:val="004E777C"/>
    <w:rsid w:val="004F139C"/>
    <w:rsid w:val="004F29D7"/>
    <w:rsid w:val="004F519E"/>
    <w:rsid w:val="00501A4C"/>
    <w:rsid w:val="00507877"/>
    <w:rsid w:val="00510B78"/>
    <w:rsid w:val="00526FCE"/>
    <w:rsid w:val="00534A31"/>
    <w:rsid w:val="005371B0"/>
    <w:rsid w:val="00541F73"/>
    <w:rsid w:val="00545A21"/>
    <w:rsid w:val="00555185"/>
    <w:rsid w:val="00566CA1"/>
    <w:rsid w:val="00570E35"/>
    <w:rsid w:val="00577929"/>
    <w:rsid w:val="00581474"/>
    <w:rsid w:val="00593714"/>
    <w:rsid w:val="005942EC"/>
    <w:rsid w:val="005A121E"/>
    <w:rsid w:val="005A267D"/>
    <w:rsid w:val="005A639F"/>
    <w:rsid w:val="005B4159"/>
    <w:rsid w:val="005D10CE"/>
    <w:rsid w:val="005E24E3"/>
    <w:rsid w:val="005E3D95"/>
    <w:rsid w:val="005E4D0F"/>
    <w:rsid w:val="005E652F"/>
    <w:rsid w:val="005E781F"/>
    <w:rsid w:val="005F13AB"/>
    <w:rsid w:val="005F1403"/>
    <w:rsid w:val="005F3D40"/>
    <w:rsid w:val="0060214E"/>
    <w:rsid w:val="00611E8B"/>
    <w:rsid w:val="00627EAE"/>
    <w:rsid w:val="00641BAB"/>
    <w:rsid w:val="006440D4"/>
    <w:rsid w:val="00644FAB"/>
    <w:rsid w:val="00650F8D"/>
    <w:rsid w:val="006520B5"/>
    <w:rsid w:val="0067110D"/>
    <w:rsid w:val="00673016"/>
    <w:rsid w:val="006744A5"/>
    <w:rsid w:val="00676391"/>
    <w:rsid w:val="006803A0"/>
    <w:rsid w:val="00683854"/>
    <w:rsid w:val="00687710"/>
    <w:rsid w:val="006911BE"/>
    <w:rsid w:val="00695122"/>
    <w:rsid w:val="0069554D"/>
    <w:rsid w:val="006A1D26"/>
    <w:rsid w:val="006A4C8C"/>
    <w:rsid w:val="006B4F08"/>
    <w:rsid w:val="006B6D7A"/>
    <w:rsid w:val="006C192D"/>
    <w:rsid w:val="006C4C2A"/>
    <w:rsid w:val="006C6394"/>
    <w:rsid w:val="006C6D82"/>
    <w:rsid w:val="006D0380"/>
    <w:rsid w:val="006D1015"/>
    <w:rsid w:val="006D40D8"/>
    <w:rsid w:val="006D4768"/>
    <w:rsid w:val="006D7E1C"/>
    <w:rsid w:val="006E7689"/>
    <w:rsid w:val="006F11EE"/>
    <w:rsid w:val="006F126C"/>
    <w:rsid w:val="006F7D88"/>
    <w:rsid w:val="0070128A"/>
    <w:rsid w:val="007046AA"/>
    <w:rsid w:val="0071429A"/>
    <w:rsid w:val="00721ED1"/>
    <w:rsid w:val="00724B2B"/>
    <w:rsid w:val="007301EC"/>
    <w:rsid w:val="007308DB"/>
    <w:rsid w:val="00734969"/>
    <w:rsid w:val="0073552E"/>
    <w:rsid w:val="00743554"/>
    <w:rsid w:val="007512CF"/>
    <w:rsid w:val="00751CB1"/>
    <w:rsid w:val="00752DDE"/>
    <w:rsid w:val="007532DA"/>
    <w:rsid w:val="00753AE6"/>
    <w:rsid w:val="00756B25"/>
    <w:rsid w:val="00761D56"/>
    <w:rsid w:val="00776CAA"/>
    <w:rsid w:val="007904A9"/>
    <w:rsid w:val="007908B3"/>
    <w:rsid w:val="00791353"/>
    <w:rsid w:val="00796906"/>
    <w:rsid w:val="007A05DD"/>
    <w:rsid w:val="007A0A6B"/>
    <w:rsid w:val="007A25FF"/>
    <w:rsid w:val="007A71D4"/>
    <w:rsid w:val="007A7AF0"/>
    <w:rsid w:val="007B31FE"/>
    <w:rsid w:val="007B4A6B"/>
    <w:rsid w:val="007C098B"/>
    <w:rsid w:val="007C1523"/>
    <w:rsid w:val="007C6CDC"/>
    <w:rsid w:val="007D00AF"/>
    <w:rsid w:val="007E4CCA"/>
    <w:rsid w:val="007E730F"/>
    <w:rsid w:val="007F4D1B"/>
    <w:rsid w:val="008039F5"/>
    <w:rsid w:val="0080429F"/>
    <w:rsid w:val="00805CCE"/>
    <w:rsid w:val="00806F2F"/>
    <w:rsid w:val="008146F5"/>
    <w:rsid w:val="0081543E"/>
    <w:rsid w:val="0082002B"/>
    <w:rsid w:val="008227A8"/>
    <w:rsid w:val="008262C2"/>
    <w:rsid w:val="008263EC"/>
    <w:rsid w:val="00830F50"/>
    <w:rsid w:val="0083554A"/>
    <w:rsid w:val="0083698E"/>
    <w:rsid w:val="008369E1"/>
    <w:rsid w:val="00863C74"/>
    <w:rsid w:val="00864391"/>
    <w:rsid w:val="00867B7D"/>
    <w:rsid w:val="008707BA"/>
    <w:rsid w:val="00871EE7"/>
    <w:rsid w:val="008723D1"/>
    <w:rsid w:val="00877C7F"/>
    <w:rsid w:val="0088041C"/>
    <w:rsid w:val="008870ED"/>
    <w:rsid w:val="00896DF8"/>
    <w:rsid w:val="008A51BD"/>
    <w:rsid w:val="008B1BA1"/>
    <w:rsid w:val="008B3595"/>
    <w:rsid w:val="008B48D9"/>
    <w:rsid w:val="008B4C72"/>
    <w:rsid w:val="008C1888"/>
    <w:rsid w:val="008C1C21"/>
    <w:rsid w:val="008D4E7A"/>
    <w:rsid w:val="008D53ED"/>
    <w:rsid w:val="008D718D"/>
    <w:rsid w:val="008E0781"/>
    <w:rsid w:val="008E6A03"/>
    <w:rsid w:val="008F14E7"/>
    <w:rsid w:val="008F5F47"/>
    <w:rsid w:val="00900AA7"/>
    <w:rsid w:val="0090167F"/>
    <w:rsid w:val="0090708B"/>
    <w:rsid w:val="00912CAE"/>
    <w:rsid w:val="00920EAA"/>
    <w:rsid w:val="00921C04"/>
    <w:rsid w:val="00923FD1"/>
    <w:rsid w:val="00930E4A"/>
    <w:rsid w:val="00952CB7"/>
    <w:rsid w:val="00953BF9"/>
    <w:rsid w:val="00953EF9"/>
    <w:rsid w:val="00957A37"/>
    <w:rsid w:val="00965EC1"/>
    <w:rsid w:val="00974862"/>
    <w:rsid w:val="00976CDB"/>
    <w:rsid w:val="009775EA"/>
    <w:rsid w:val="00981E47"/>
    <w:rsid w:val="00982064"/>
    <w:rsid w:val="00982369"/>
    <w:rsid w:val="00983CAE"/>
    <w:rsid w:val="0099081D"/>
    <w:rsid w:val="0099484A"/>
    <w:rsid w:val="009A1712"/>
    <w:rsid w:val="009A2FB2"/>
    <w:rsid w:val="009A64F3"/>
    <w:rsid w:val="009A7D18"/>
    <w:rsid w:val="009B7EA6"/>
    <w:rsid w:val="009C4CC9"/>
    <w:rsid w:val="009D43D2"/>
    <w:rsid w:val="009E39C8"/>
    <w:rsid w:val="00A025E4"/>
    <w:rsid w:val="00A36303"/>
    <w:rsid w:val="00A412AD"/>
    <w:rsid w:val="00A44C34"/>
    <w:rsid w:val="00A52EA9"/>
    <w:rsid w:val="00A61006"/>
    <w:rsid w:val="00A62AB2"/>
    <w:rsid w:val="00A700F7"/>
    <w:rsid w:val="00A71B21"/>
    <w:rsid w:val="00A71C03"/>
    <w:rsid w:val="00A77474"/>
    <w:rsid w:val="00A877E6"/>
    <w:rsid w:val="00A97904"/>
    <w:rsid w:val="00AA3379"/>
    <w:rsid w:val="00AB1EDD"/>
    <w:rsid w:val="00AB712D"/>
    <w:rsid w:val="00AC4192"/>
    <w:rsid w:val="00AC53BC"/>
    <w:rsid w:val="00AC6543"/>
    <w:rsid w:val="00AD45C1"/>
    <w:rsid w:val="00AD6BAA"/>
    <w:rsid w:val="00AE0F8B"/>
    <w:rsid w:val="00AE1E11"/>
    <w:rsid w:val="00AE2031"/>
    <w:rsid w:val="00AE5C53"/>
    <w:rsid w:val="00B13747"/>
    <w:rsid w:val="00B23ED2"/>
    <w:rsid w:val="00B4438F"/>
    <w:rsid w:val="00B52E30"/>
    <w:rsid w:val="00B700CA"/>
    <w:rsid w:val="00B71185"/>
    <w:rsid w:val="00B75508"/>
    <w:rsid w:val="00B84F58"/>
    <w:rsid w:val="00B86788"/>
    <w:rsid w:val="00B924F3"/>
    <w:rsid w:val="00B92555"/>
    <w:rsid w:val="00B95C8B"/>
    <w:rsid w:val="00BA2F35"/>
    <w:rsid w:val="00BA5012"/>
    <w:rsid w:val="00BA531E"/>
    <w:rsid w:val="00BB2A1E"/>
    <w:rsid w:val="00BC12FF"/>
    <w:rsid w:val="00BC430E"/>
    <w:rsid w:val="00BC6F9C"/>
    <w:rsid w:val="00BC7437"/>
    <w:rsid w:val="00BD25A4"/>
    <w:rsid w:val="00BD7207"/>
    <w:rsid w:val="00BE611A"/>
    <w:rsid w:val="00BF49EE"/>
    <w:rsid w:val="00BF6348"/>
    <w:rsid w:val="00BF71A8"/>
    <w:rsid w:val="00C0095D"/>
    <w:rsid w:val="00C10692"/>
    <w:rsid w:val="00C1735D"/>
    <w:rsid w:val="00C174D8"/>
    <w:rsid w:val="00C17FCB"/>
    <w:rsid w:val="00C24AA9"/>
    <w:rsid w:val="00C31EB3"/>
    <w:rsid w:val="00C356C8"/>
    <w:rsid w:val="00C43F5E"/>
    <w:rsid w:val="00C461C7"/>
    <w:rsid w:val="00C55858"/>
    <w:rsid w:val="00C6317C"/>
    <w:rsid w:val="00C70894"/>
    <w:rsid w:val="00C72029"/>
    <w:rsid w:val="00C80E78"/>
    <w:rsid w:val="00C815C4"/>
    <w:rsid w:val="00C85EA4"/>
    <w:rsid w:val="00CA3B1A"/>
    <w:rsid w:val="00CB2753"/>
    <w:rsid w:val="00CB7849"/>
    <w:rsid w:val="00CC1A62"/>
    <w:rsid w:val="00CC27A4"/>
    <w:rsid w:val="00CC4EAA"/>
    <w:rsid w:val="00CC69C0"/>
    <w:rsid w:val="00CD1633"/>
    <w:rsid w:val="00CD77AB"/>
    <w:rsid w:val="00CE170F"/>
    <w:rsid w:val="00CF3934"/>
    <w:rsid w:val="00CF4959"/>
    <w:rsid w:val="00D00955"/>
    <w:rsid w:val="00D01C56"/>
    <w:rsid w:val="00D06C3F"/>
    <w:rsid w:val="00D06F90"/>
    <w:rsid w:val="00D132E9"/>
    <w:rsid w:val="00D15054"/>
    <w:rsid w:val="00D20A54"/>
    <w:rsid w:val="00D23E03"/>
    <w:rsid w:val="00D26A37"/>
    <w:rsid w:val="00D3047F"/>
    <w:rsid w:val="00D3578E"/>
    <w:rsid w:val="00D40F36"/>
    <w:rsid w:val="00D5069D"/>
    <w:rsid w:val="00D53755"/>
    <w:rsid w:val="00D61A0C"/>
    <w:rsid w:val="00D76042"/>
    <w:rsid w:val="00D777A7"/>
    <w:rsid w:val="00D800E4"/>
    <w:rsid w:val="00D87329"/>
    <w:rsid w:val="00D96AE6"/>
    <w:rsid w:val="00DA3D9E"/>
    <w:rsid w:val="00DA5203"/>
    <w:rsid w:val="00DA5F03"/>
    <w:rsid w:val="00DB37C2"/>
    <w:rsid w:val="00DB398C"/>
    <w:rsid w:val="00DC3D80"/>
    <w:rsid w:val="00DC4AE3"/>
    <w:rsid w:val="00DE09B1"/>
    <w:rsid w:val="00DE763D"/>
    <w:rsid w:val="00DF5D00"/>
    <w:rsid w:val="00E0412E"/>
    <w:rsid w:val="00E070E0"/>
    <w:rsid w:val="00E125BC"/>
    <w:rsid w:val="00E125FC"/>
    <w:rsid w:val="00E13E3E"/>
    <w:rsid w:val="00E16995"/>
    <w:rsid w:val="00E21F57"/>
    <w:rsid w:val="00E369AB"/>
    <w:rsid w:val="00E36CDE"/>
    <w:rsid w:val="00E41CED"/>
    <w:rsid w:val="00E45712"/>
    <w:rsid w:val="00E4703E"/>
    <w:rsid w:val="00E47303"/>
    <w:rsid w:val="00E53847"/>
    <w:rsid w:val="00E539B1"/>
    <w:rsid w:val="00E549E0"/>
    <w:rsid w:val="00E55864"/>
    <w:rsid w:val="00E60CC3"/>
    <w:rsid w:val="00E7668E"/>
    <w:rsid w:val="00E82337"/>
    <w:rsid w:val="00E85768"/>
    <w:rsid w:val="00E91B7F"/>
    <w:rsid w:val="00E93048"/>
    <w:rsid w:val="00E94FC9"/>
    <w:rsid w:val="00E96050"/>
    <w:rsid w:val="00EA4596"/>
    <w:rsid w:val="00EA45A3"/>
    <w:rsid w:val="00EA532E"/>
    <w:rsid w:val="00EB2A54"/>
    <w:rsid w:val="00EC01F8"/>
    <w:rsid w:val="00EC38F7"/>
    <w:rsid w:val="00EC5975"/>
    <w:rsid w:val="00EE4A51"/>
    <w:rsid w:val="00EE683A"/>
    <w:rsid w:val="00EF1379"/>
    <w:rsid w:val="00EF7DEB"/>
    <w:rsid w:val="00F032B9"/>
    <w:rsid w:val="00F04E4C"/>
    <w:rsid w:val="00F06D09"/>
    <w:rsid w:val="00F07DF1"/>
    <w:rsid w:val="00F17CE4"/>
    <w:rsid w:val="00F2539C"/>
    <w:rsid w:val="00F27C94"/>
    <w:rsid w:val="00F27DA4"/>
    <w:rsid w:val="00F31A83"/>
    <w:rsid w:val="00F32F6C"/>
    <w:rsid w:val="00F35CE7"/>
    <w:rsid w:val="00F37F82"/>
    <w:rsid w:val="00F421DD"/>
    <w:rsid w:val="00F442AE"/>
    <w:rsid w:val="00F447A7"/>
    <w:rsid w:val="00F44C8B"/>
    <w:rsid w:val="00F472C7"/>
    <w:rsid w:val="00F55C97"/>
    <w:rsid w:val="00F627C5"/>
    <w:rsid w:val="00F64639"/>
    <w:rsid w:val="00F654BC"/>
    <w:rsid w:val="00F67370"/>
    <w:rsid w:val="00F81B78"/>
    <w:rsid w:val="00FA1771"/>
    <w:rsid w:val="00FA7939"/>
    <w:rsid w:val="00FB4022"/>
    <w:rsid w:val="00FC2B58"/>
    <w:rsid w:val="00FC3D07"/>
    <w:rsid w:val="00FC41B7"/>
    <w:rsid w:val="00FD628F"/>
    <w:rsid w:val="00FE65B9"/>
    <w:rsid w:val="00FF05FA"/>
    <w:rsid w:val="00FF6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5A85D"/>
  <w15:chartTrackingRefBased/>
  <w15:docId w15:val="{DA39749A-CD5A-4094-8A81-49CD020E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7D"/>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67B7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867B7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867B7D"/>
    <w:pPr>
      <w:keepNext/>
      <w:keepLines/>
      <w:spacing w:before="240" w:after="24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B7D"/>
    <w:rPr>
      <w:rFonts w:ascii="Arial" w:eastAsiaTheme="majorEastAsia" w:hAnsi="Arial" w:cs="Times New Roman"/>
      <w:b/>
      <w:bCs/>
      <w:sz w:val="28"/>
      <w:szCs w:val="28"/>
    </w:rPr>
  </w:style>
  <w:style w:type="character" w:customStyle="1" w:styleId="Heading2Char">
    <w:name w:val="Heading 2 Char"/>
    <w:basedOn w:val="DefaultParagraphFont"/>
    <w:link w:val="Heading2"/>
    <w:rsid w:val="00867B7D"/>
    <w:rPr>
      <w:rFonts w:ascii="Arial" w:eastAsiaTheme="majorEastAsia" w:hAnsi="Arial" w:cstheme="majorBidi"/>
      <w:b/>
      <w:sz w:val="24"/>
      <w:szCs w:val="26"/>
    </w:rPr>
  </w:style>
  <w:style w:type="character" w:customStyle="1" w:styleId="Heading3Char">
    <w:name w:val="Heading 3 Char"/>
    <w:basedOn w:val="DefaultParagraphFont"/>
    <w:link w:val="Heading3"/>
    <w:rsid w:val="00867B7D"/>
    <w:rPr>
      <w:rFonts w:ascii="Arial" w:eastAsiaTheme="majorEastAsia" w:hAnsi="Arial" w:cstheme="majorBidi"/>
      <w:b/>
      <w:sz w:val="24"/>
      <w:szCs w:val="24"/>
    </w:rPr>
  </w:style>
  <w:style w:type="paragraph" w:styleId="Footer">
    <w:name w:val="footer"/>
    <w:basedOn w:val="Normal"/>
    <w:link w:val="FooterChar"/>
    <w:uiPriority w:val="99"/>
    <w:rsid w:val="00867B7D"/>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867B7D"/>
    <w:rPr>
      <w:rFonts w:ascii="Arial" w:eastAsia="Times New Roman" w:hAnsi="Arial" w:cs="Times New Roman"/>
      <w:sz w:val="18"/>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67B7D"/>
    <w:pPr>
      <w:spacing w:after="0" w:line="240" w:lineRule="auto"/>
      <w:ind w:left="720"/>
    </w:pPr>
    <w:rPr>
      <w:rFonts w:cs="Calibri"/>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867B7D"/>
    <w:rPr>
      <w:rFonts w:ascii="Calibri" w:eastAsia="Times New Roman" w:hAnsi="Calibri" w:cs="Calibri"/>
      <w:lang w:eastAsia="en-AU"/>
    </w:rPr>
  </w:style>
  <w:style w:type="paragraph" w:styleId="BalloonText">
    <w:name w:val="Balloon Text"/>
    <w:basedOn w:val="Normal"/>
    <w:link w:val="BalloonTextChar"/>
    <w:uiPriority w:val="99"/>
    <w:semiHidden/>
    <w:unhideWhenUsed/>
    <w:rsid w:val="009D4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3D2"/>
    <w:rPr>
      <w:rFonts w:ascii="Segoe UI" w:eastAsia="Times New Roman" w:hAnsi="Segoe UI" w:cs="Segoe UI"/>
      <w:sz w:val="18"/>
      <w:szCs w:val="18"/>
    </w:rPr>
  </w:style>
  <w:style w:type="paragraph" w:customStyle="1" w:styleId="CS-Paragraphnumbering">
    <w:name w:val="CS - Paragraph numbering"/>
    <w:basedOn w:val="Normal"/>
    <w:rsid w:val="00695122"/>
    <w:pPr>
      <w:numPr>
        <w:numId w:val="3"/>
      </w:numPr>
      <w:spacing w:after="120"/>
      <w:ind w:left="567" w:right="-45" w:hanging="567"/>
    </w:pPr>
    <w:rPr>
      <w:rFonts w:asciiTheme="minorHAnsi" w:eastAsiaTheme="minorHAnsi" w:hAnsiTheme="minorHAnsi" w:cstheme="minorBidi"/>
      <w:sz w:val="24"/>
      <w:szCs w:val="24"/>
    </w:rPr>
  </w:style>
  <w:style w:type="paragraph" w:styleId="Revision">
    <w:name w:val="Revision"/>
    <w:hidden/>
    <w:uiPriority w:val="99"/>
    <w:semiHidden/>
    <w:rsid w:val="005E652F"/>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F32F6C"/>
    <w:rPr>
      <w:sz w:val="16"/>
      <w:szCs w:val="16"/>
    </w:rPr>
  </w:style>
  <w:style w:type="paragraph" w:styleId="CommentText">
    <w:name w:val="annotation text"/>
    <w:basedOn w:val="Normal"/>
    <w:link w:val="CommentTextChar"/>
    <w:uiPriority w:val="99"/>
    <w:semiHidden/>
    <w:unhideWhenUsed/>
    <w:rsid w:val="00F32F6C"/>
    <w:pPr>
      <w:spacing w:line="240" w:lineRule="auto"/>
    </w:pPr>
    <w:rPr>
      <w:sz w:val="20"/>
      <w:szCs w:val="20"/>
    </w:rPr>
  </w:style>
  <w:style w:type="character" w:customStyle="1" w:styleId="CommentTextChar">
    <w:name w:val="Comment Text Char"/>
    <w:basedOn w:val="DefaultParagraphFont"/>
    <w:link w:val="CommentText"/>
    <w:uiPriority w:val="99"/>
    <w:semiHidden/>
    <w:rsid w:val="00F32F6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2F6C"/>
    <w:rPr>
      <w:b/>
      <w:bCs/>
    </w:rPr>
  </w:style>
  <w:style w:type="character" w:customStyle="1" w:styleId="CommentSubjectChar">
    <w:name w:val="Comment Subject Char"/>
    <w:basedOn w:val="CommentTextChar"/>
    <w:link w:val="CommentSubject"/>
    <w:uiPriority w:val="99"/>
    <w:semiHidden/>
    <w:rsid w:val="00F32F6C"/>
    <w:rPr>
      <w:rFonts w:ascii="Calibri" w:eastAsia="Times New Roman" w:hAnsi="Calibri" w:cs="Times New Roman"/>
      <w:b/>
      <w:bCs/>
      <w:sz w:val="20"/>
      <w:szCs w:val="20"/>
    </w:rPr>
  </w:style>
  <w:style w:type="character" w:customStyle="1" w:styleId="Calibri12">
    <w:name w:val="Calibri 12"/>
    <w:uiPriority w:val="1"/>
    <w:qFormat/>
    <w:rsid w:val="005F1403"/>
    <w:rPr>
      <w:rFonts w:asciiTheme="minorHAnsi" w:hAnsiTheme="minorHAnsi"/>
    </w:rPr>
  </w:style>
  <w:style w:type="paragraph" w:styleId="FootnoteText">
    <w:name w:val="footnote text"/>
    <w:basedOn w:val="Normal"/>
    <w:link w:val="FootnoteTextChar"/>
    <w:uiPriority w:val="99"/>
    <w:semiHidden/>
    <w:unhideWhenUsed/>
    <w:rsid w:val="004542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25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5425B"/>
    <w:rPr>
      <w:vertAlign w:val="superscript"/>
    </w:rPr>
  </w:style>
  <w:style w:type="character" w:styleId="Hyperlink">
    <w:name w:val="Hyperlink"/>
    <w:basedOn w:val="DefaultParagraphFont"/>
    <w:uiPriority w:val="99"/>
    <w:unhideWhenUsed/>
    <w:rsid w:val="00FF05FA"/>
    <w:rPr>
      <w:color w:val="0563C1" w:themeColor="hyperlink"/>
      <w:u w:val="single"/>
    </w:rPr>
  </w:style>
  <w:style w:type="character" w:styleId="UnresolvedMention">
    <w:name w:val="Unresolved Mention"/>
    <w:basedOn w:val="DefaultParagraphFont"/>
    <w:uiPriority w:val="99"/>
    <w:semiHidden/>
    <w:unhideWhenUsed/>
    <w:rsid w:val="00FF05FA"/>
    <w:rPr>
      <w:color w:val="605E5C"/>
      <w:shd w:val="clear" w:color="auto" w:fill="E1DFDD"/>
    </w:rPr>
  </w:style>
  <w:style w:type="paragraph" w:styleId="Header">
    <w:name w:val="header"/>
    <w:basedOn w:val="Normal"/>
    <w:link w:val="HeaderChar"/>
    <w:uiPriority w:val="99"/>
    <w:unhideWhenUsed/>
    <w:rsid w:val="00644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0D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6146E-ACCB-4B2C-9C8B-BDB0942E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1472</Words>
  <Characters>7891</Characters>
  <Application>Microsoft Office Word</Application>
  <DocSecurity>0</DocSecurity>
  <Lines>185</Lines>
  <Paragraphs>48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Jessica</dc:creator>
  <cp:keywords/>
  <dc:description/>
  <cp:lastModifiedBy>Moxon, KarenL</cp:lastModifiedBy>
  <cp:revision>4</cp:revision>
  <dcterms:created xsi:type="dcterms:W3CDTF">2021-06-29T05:07:00Z</dcterms:created>
  <dcterms:modified xsi:type="dcterms:W3CDTF">2021-06-29T05:07:00Z</dcterms:modified>
</cp:coreProperties>
</file>