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03DF" w14:textId="77777777" w:rsidR="00275484" w:rsidRDefault="002222AA">
      <w:pPr>
        <w:spacing w:before="120"/>
        <w:outlineLvl w:val="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37D65808" w14:textId="17CB4032" w:rsidR="00275484" w:rsidRDefault="00EB0D43">
      <w:pPr>
        <w:pStyle w:val="Billname"/>
        <w:spacing w:before="700"/>
      </w:pPr>
      <w:r>
        <w:t>Taxation Administration (</w:t>
      </w:r>
      <w:r w:rsidR="00A37B29">
        <w:t>Amounts Payable</w:t>
      </w:r>
      <w:bookmarkStart w:id="1" w:name="_Hlk43221651"/>
      <w:r w:rsidR="00A37B29">
        <w:t>—</w:t>
      </w:r>
      <w:bookmarkEnd w:id="1"/>
      <w:r>
        <w:t xml:space="preserve">Land Tax) Determination </w:t>
      </w:r>
      <w:r w:rsidR="006D3261">
        <w:t>202</w:t>
      </w:r>
      <w:r w:rsidR="00BB6F83">
        <w:t>1</w:t>
      </w:r>
    </w:p>
    <w:p w14:paraId="34FBF277" w14:textId="145210A4" w:rsidR="00275484" w:rsidRDefault="00A14E34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424C5">
        <w:rPr>
          <w:rFonts w:ascii="Arial" w:hAnsi="Arial" w:cs="Arial"/>
          <w:b/>
          <w:bCs/>
        </w:rPr>
        <w:t xml:space="preserve">instrument </w:t>
      </w:r>
      <w:r w:rsidR="00BB6F83" w:rsidRPr="00F424C5">
        <w:rPr>
          <w:rFonts w:ascii="Arial" w:hAnsi="Arial" w:cs="Arial"/>
          <w:b/>
          <w:bCs/>
        </w:rPr>
        <w:t>DI</w:t>
      </w:r>
      <w:r w:rsidR="00BB6F83">
        <w:rPr>
          <w:rFonts w:ascii="Arial" w:hAnsi="Arial" w:cs="Arial"/>
          <w:b/>
          <w:bCs/>
        </w:rPr>
        <w:t>2021</w:t>
      </w:r>
      <w:r w:rsidR="00A37B29">
        <w:rPr>
          <w:rFonts w:ascii="Arial" w:hAnsi="Arial" w:cs="Arial"/>
          <w:b/>
          <w:bCs/>
        </w:rPr>
        <w:t>–</w:t>
      </w:r>
      <w:r w:rsidR="00E4489C">
        <w:rPr>
          <w:rFonts w:ascii="Arial" w:hAnsi="Arial" w:cs="Arial"/>
          <w:b/>
          <w:bCs/>
        </w:rPr>
        <w:t>169</w:t>
      </w:r>
    </w:p>
    <w:p w14:paraId="4091849D" w14:textId="77777777" w:rsidR="00275484" w:rsidRDefault="002222AA">
      <w:pPr>
        <w:pStyle w:val="madeunder"/>
        <w:spacing w:before="300" w:after="0"/>
      </w:pPr>
      <w:r>
        <w:t xml:space="preserve">made under the  </w:t>
      </w:r>
    </w:p>
    <w:p w14:paraId="29995C85" w14:textId="77777777" w:rsidR="00275484" w:rsidRDefault="00035594">
      <w:pPr>
        <w:pStyle w:val="CoverActName"/>
        <w:spacing w:before="320" w:after="0"/>
        <w:outlineLvl w:val="0"/>
        <w:rPr>
          <w:rFonts w:cs="Arial"/>
          <w:i/>
          <w:sz w:val="20"/>
        </w:rPr>
      </w:pPr>
      <w:r w:rsidRPr="00035594">
        <w:rPr>
          <w:rFonts w:cs="Arial"/>
          <w:i/>
          <w:sz w:val="20"/>
        </w:rPr>
        <w:t>Taxation Administration Act 1999</w:t>
      </w:r>
      <w:r w:rsidRPr="00035594">
        <w:rPr>
          <w:rFonts w:cs="Arial"/>
          <w:sz w:val="20"/>
        </w:rPr>
        <w:t>, s 139 (Determination of amounts payable under tax laws)</w:t>
      </w:r>
    </w:p>
    <w:p w14:paraId="7B7F19DA" w14:textId="77777777" w:rsidR="00A37B29" w:rsidRDefault="00A37B29" w:rsidP="00A37B29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60FC198" w14:textId="77777777" w:rsidR="002222AA" w:rsidRDefault="002222AA">
      <w:pPr>
        <w:pStyle w:val="N-line3"/>
        <w:pBdr>
          <w:bottom w:val="none" w:sz="0" w:space="0" w:color="auto"/>
        </w:pBdr>
      </w:pPr>
    </w:p>
    <w:p w14:paraId="3582D8BC" w14:textId="77777777" w:rsidR="002222AA" w:rsidRDefault="002222AA" w:rsidP="00F424C5">
      <w:pPr>
        <w:pStyle w:val="N-line3"/>
        <w:pBdr>
          <w:top w:val="single" w:sz="12" w:space="1" w:color="auto"/>
          <w:bottom w:val="none" w:sz="0" w:space="0" w:color="auto"/>
        </w:pBdr>
      </w:pPr>
    </w:p>
    <w:p w14:paraId="084A6DC3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Background</w:t>
      </w:r>
    </w:p>
    <w:p w14:paraId="2A617AAD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</w:p>
    <w:p w14:paraId="78AC1875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787EED">
        <w:t xml:space="preserve">Under section 139 of the </w:t>
      </w:r>
      <w:r w:rsidRPr="00015AD2">
        <w:rPr>
          <w:i/>
        </w:rPr>
        <w:t>Taxation Administration Act 1999</w:t>
      </w:r>
      <w:r w:rsidRPr="00787EED">
        <w:t xml:space="preserve">, the Minister has the authority to determine in writing by disallowable instrument, amounts and rates applicable for the </w:t>
      </w:r>
      <w:r w:rsidRPr="00BA3AA1">
        <w:rPr>
          <w:i/>
        </w:rPr>
        <w:t>Land Tax Act 2004</w:t>
      </w:r>
      <w:r>
        <w:t xml:space="preserve"> (the Act)</w:t>
      </w:r>
      <w:r w:rsidRPr="00787EED">
        <w:t xml:space="preserve">. </w:t>
      </w:r>
    </w:p>
    <w:p w14:paraId="7D3349FE" w14:textId="77777777" w:rsidR="00E1536B" w:rsidRDefault="00E1536B" w:rsidP="00E1536B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14:paraId="33AAA177" w14:textId="1674A985" w:rsidR="00E1536B" w:rsidRDefault="00885FB4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</w:t>
      </w:r>
      <w:r w:rsidR="00F96C62" w:rsidRPr="00F96C62">
        <w:rPr>
          <w:i/>
          <w:iCs/>
        </w:rPr>
        <w:t>Taxation Administration (Amounts Payable</w:t>
      </w:r>
      <w:r w:rsidR="001A223A" w:rsidRPr="001A223A">
        <w:rPr>
          <w:i/>
          <w:iCs/>
        </w:rPr>
        <w:t>—</w:t>
      </w:r>
      <w:r w:rsidR="00F96C62" w:rsidRPr="00F96C62">
        <w:rPr>
          <w:i/>
          <w:iCs/>
        </w:rPr>
        <w:t xml:space="preserve">Land Tax) Determination </w:t>
      </w:r>
      <w:r w:rsidR="00BB6F83" w:rsidRPr="00F96C62">
        <w:rPr>
          <w:i/>
          <w:iCs/>
        </w:rPr>
        <w:t>202</w:t>
      </w:r>
      <w:r w:rsidR="00BB6F83">
        <w:rPr>
          <w:i/>
          <w:iCs/>
        </w:rPr>
        <w:t xml:space="preserve">1 </w:t>
      </w:r>
      <w:r w:rsidR="00F96C62">
        <w:t xml:space="preserve">(the Land Tax Determination) </w:t>
      </w:r>
      <w:r w:rsidR="00E1536B">
        <w:t>determines the fixed charge and percentage rates (commonly referred to as ‘marginal rating factors’) for land tax and a flat percentage rate for the foreign ownership surcharge (the surcharge).</w:t>
      </w:r>
    </w:p>
    <w:p w14:paraId="74CF588A" w14:textId="77777777" w:rsidR="00E1536B" w:rsidRDefault="00E1536B">
      <w:pPr>
        <w:keepNext/>
        <w:rPr>
          <w:rFonts w:ascii="Arial" w:hAnsi="Arial" w:cs="Arial"/>
          <w:b/>
          <w:szCs w:val="22"/>
        </w:rPr>
      </w:pPr>
    </w:p>
    <w:p w14:paraId="77C16914" w14:textId="06D00152" w:rsidR="00275484" w:rsidRDefault="006A2249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</w:p>
    <w:p w14:paraId="51E91ABA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5397E12D" w14:textId="13E4BB62" w:rsidR="00275484" w:rsidRDefault="00F96C62" w:rsidP="001A223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906DB7">
        <w:t>commences</w:t>
      </w:r>
      <w:r w:rsidR="00694AD7">
        <w:t xml:space="preserve"> on</w:t>
      </w:r>
      <w:r w:rsidR="00044E03">
        <w:t xml:space="preserve"> 1 July </w:t>
      </w:r>
      <w:r w:rsidR="00BB6F83">
        <w:t>2021</w:t>
      </w:r>
      <w:r w:rsidR="00EB0D43">
        <w:t>.</w:t>
      </w:r>
    </w:p>
    <w:p w14:paraId="385438EF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12190D3B" w14:textId="369FCF56" w:rsidR="00AF65A4" w:rsidRPr="006106BC" w:rsidRDefault="00AF65A4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Preliminary (</w:t>
      </w:r>
      <w:r w:rsidR="001A223A">
        <w:rPr>
          <w:rFonts w:ascii="Arial" w:hAnsi="Arial" w:cs="Arial"/>
          <w:b/>
          <w:szCs w:val="22"/>
        </w:rPr>
        <w:t>P</w:t>
      </w:r>
      <w:r w:rsidR="001A223A" w:rsidRPr="006106BC">
        <w:rPr>
          <w:rFonts w:ascii="Arial" w:hAnsi="Arial" w:cs="Arial"/>
          <w:b/>
          <w:szCs w:val="22"/>
        </w:rPr>
        <w:t xml:space="preserve">art </w:t>
      </w:r>
      <w:r w:rsidRPr="006106BC">
        <w:rPr>
          <w:rFonts w:ascii="Arial" w:hAnsi="Arial" w:cs="Arial"/>
          <w:b/>
          <w:szCs w:val="22"/>
        </w:rPr>
        <w:t>1)</w:t>
      </w:r>
    </w:p>
    <w:p w14:paraId="661D5331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37A88084" w14:textId="198490C1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The ‘base value’ referred to in this instrument is a reference to the base value to which rating factors apply</w:t>
      </w:r>
      <w:r w:rsidR="00F96C62">
        <w:t>:</w:t>
      </w:r>
      <w:r>
        <w:t xml:space="preserve"> </w:t>
      </w:r>
    </w:p>
    <w:p w14:paraId="56571E32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72E40A0" w14:textId="77777777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non-unit properties, base value refers to the Average Unimproved Value (AUV) of the parcel of land. </w:t>
      </w:r>
    </w:p>
    <w:p w14:paraId="74721981" w14:textId="1BD84411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residential units, base value refers to AUVRU (the AUV of the entire parcel as it relates to the proportion of all residential units). </w:t>
      </w:r>
    </w:p>
    <w:p w14:paraId="52B802F0" w14:textId="77777777" w:rsidR="006D3261" w:rsidRDefault="006D3261" w:rsidP="00E1536B">
      <w:pPr>
        <w:pStyle w:val="ListParagraph"/>
      </w:pPr>
    </w:p>
    <w:p w14:paraId="1BC8ABA6" w14:textId="5D3E1E38" w:rsidR="00E1536B" w:rsidRDefault="006D3261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1A223A">
        <w:t>Note</w:t>
      </w:r>
      <w:r w:rsidR="00E1536B" w:rsidRPr="001A223A">
        <w:t>,</w:t>
      </w:r>
      <w:r w:rsidRPr="001A223A">
        <w:t xml:space="preserve"> the definition of AUV has been amended from 1 July 2019 to extend the </w:t>
      </w:r>
      <w:r w:rsidR="001A223A" w:rsidRPr="001A223A">
        <w:t xml:space="preserve">averaging </w:t>
      </w:r>
      <w:r w:rsidRPr="001A223A">
        <w:t>period</w:t>
      </w:r>
      <w:r w:rsidR="004106B3">
        <w:t xml:space="preserve"> from three years</w:t>
      </w:r>
      <w:r w:rsidRPr="001A223A">
        <w:t xml:space="preserve"> for determining AUV </w:t>
      </w:r>
      <w:r w:rsidR="00E1536B" w:rsidRPr="001A223A">
        <w:t>(</w:t>
      </w:r>
      <w:r w:rsidRPr="001A223A">
        <w:t xml:space="preserve">as provided under the </w:t>
      </w:r>
      <w:r w:rsidRPr="001A223A">
        <w:rPr>
          <w:i/>
          <w:iCs/>
        </w:rPr>
        <w:t>Rates Amendment Act 2020</w:t>
      </w:r>
      <w:r w:rsidR="00E1536B" w:rsidRPr="004106B3">
        <w:t>)</w:t>
      </w:r>
      <w:r w:rsidRPr="004106B3">
        <w:t xml:space="preserve">. A period of four years </w:t>
      </w:r>
      <w:r w:rsidR="00BB6F83" w:rsidRPr="004106B3">
        <w:t>was</w:t>
      </w:r>
      <w:r w:rsidRPr="004106B3">
        <w:t xml:space="preserve"> used for 2020-21</w:t>
      </w:r>
      <w:r w:rsidR="00E1536B" w:rsidRPr="004106B3">
        <w:t>,</w:t>
      </w:r>
      <w:r w:rsidRPr="004106B3">
        <w:t xml:space="preserve"> and five years </w:t>
      </w:r>
      <w:r w:rsidR="00BB6F83" w:rsidRPr="004106B3">
        <w:t xml:space="preserve">is used </w:t>
      </w:r>
      <w:r w:rsidRPr="004106B3">
        <w:t>for 2021</w:t>
      </w:r>
      <w:r w:rsidR="004106B3">
        <w:noBreakHyphen/>
      </w:r>
      <w:r w:rsidRPr="004106B3">
        <w:t>22 onward.</w:t>
      </w:r>
      <w:r w:rsidR="00E1536B" w:rsidRPr="00E1536B">
        <w:t xml:space="preserve"> </w:t>
      </w:r>
    </w:p>
    <w:p w14:paraId="03DA87B2" w14:textId="1F4D53E2" w:rsidR="006D3261" w:rsidRDefault="006D3261" w:rsidP="00E1536B"/>
    <w:p w14:paraId="14C730B8" w14:textId="2F6AADDE" w:rsidR="009A370E" w:rsidRDefault="002C4681">
      <w:r>
        <w:t xml:space="preserve">The Land Tax Determination </w:t>
      </w:r>
      <w:r w:rsidR="009A370E">
        <w:t>in</w:t>
      </w:r>
      <w:r w:rsidR="00245CAA">
        <w:t>cludes</w:t>
      </w:r>
      <w:r w:rsidR="009A370E">
        <w:t xml:space="preserve"> an ex</w:t>
      </w:r>
      <w:r w:rsidR="00245CAA">
        <w:t>ample</w:t>
      </w:r>
      <w:r w:rsidR="009A370E">
        <w:t xml:space="preserve"> concerning how the determined fixed charges and percentage rates apply to a quarter. The amounts determined in this </w:t>
      </w:r>
      <w:r w:rsidR="009A370E">
        <w:lastRenderedPageBreak/>
        <w:t xml:space="preserve">instrument are the amounts that would apply if a parcel of land was liable over a full year, or four consecutive quarters. The </w:t>
      </w:r>
      <w:r w:rsidR="00245CAA">
        <w:t>example</w:t>
      </w:r>
      <w:r w:rsidR="009A370E">
        <w:t xml:space="preserve"> clarifies </w:t>
      </w:r>
      <w:r w:rsidR="00B75D9E">
        <w:t xml:space="preserve">the existing practice of calculating land tax for a single quarter by apportioning the annual amount to the number of days in the full year corresponding to the quarter. </w:t>
      </w:r>
    </w:p>
    <w:p w14:paraId="0588FFCD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7837A2AB" w14:textId="5F8335B3" w:rsidR="00E1536B" w:rsidRDefault="002C4681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1A223A">
        <w:t xml:space="preserve">also </w:t>
      </w:r>
      <w:r w:rsidR="00E1536B" w:rsidRPr="00AF65A4">
        <w:t>clarifies that any amount that is part of an AUV must be rounded down to the nearest dollar before the marginal rating factors are applied.</w:t>
      </w:r>
    </w:p>
    <w:p w14:paraId="38A4C66E" w14:textId="77777777" w:rsidR="009A370E" w:rsidRDefault="009A370E"/>
    <w:p w14:paraId="245D3DA8" w14:textId="30B3C7EC" w:rsidR="00275484" w:rsidRDefault="009A370E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D</w:t>
      </w:r>
      <w:r w:rsidR="00AF65A4">
        <w:rPr>
          <w:rFonts w:ascii="Arial" w:hAnsi="Arial" w:cs="Arial"/>
          <w:b/>
          <w:szCs w:val="22"/>
        </w:rPr>
        <w:t>etermination of land tax (</w:t>
      </w:r>
      <w:r w:rsidR="001A223A">
        <w:rPr>
          <w:rFonts w:ascii="Arial" w:hAnsi="Arial" w:cs="Arial"/>
          <w:b/>
          <w:szCs w:val="22"/>
        </w:rPr>
        <w:t xml:space="preserve">Part </w:t>
      </w:r>
      <w:r w:rsidR="00AF65A4">
        <w:rPr>
          <w:rFonts w:ascii="Arial" w:hAnsi="Arial" w:cs="Arial"/>
          <w:b/>
          <w:szCs w:val="22"/>
        </w:rPr>
        <w:t>2)</w:t>
      </w:r>
    </w:p>
    <w:p w14:paraId="28132BC0" w14:textId="77777777" w:rsidR="00AF65A4" w:rsidRDefault="00AF65A4">
      <w:pPr>
        <w:keepNext/>
        <w:rPr>
          <w:rFonts w:ascii="Arial" w:hAnsi="Arial" w:cs="Arial"/>
          <w:b/>
          <w:szCs w:val="22"/>
        </w:rPr>
      </w:pPr>
    </w:p>
    <w:p w14:paraId="028236CD" w14:textId="2A9CDCBD" w:rsidR="00E8154A" w:rsidRDefault="00AF65A4" w:rsidP="00E8154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From 1 July 2018</w:t>
      </w:r>
      <w:r w:rsidR="006D3261">
        <w:t>,</w:t>
      </w:r>
      <w:r>
        <w:t xml:space="preserve"> land tax is imposed on </w:t>
      </w:r>
      <w:r w:rsidR="009A370E">
        <w:t>a</w:t>
      </w:r>
      <w:r>
        <w:t xml:space="preserve"> parce</w:t>
      </w:r>
      <w:r w:rsidR="009A370E">
        <w:t>l of rateable residential land</w:t>
      </w:r>
      <w:r>
        <w:t xml:space="preserve"> unless </w:t>
      </w:r>
      <w:r w:rsidR="009A370E">
        <w:t>it is</w:t>
      </w:r>
      <w:r>
        <w:t xml:space="preserve"> an owner’s principal place of residence or the parcel is otherwise exempt from land tax.</w:t>
      </w:r>
      <w:r w:rsidR="00E8154A" w:rsidRPr="00E8154A">
        <w:t xml:space="preserve"> </w:t>
      </w:r>
      <w:r w:rsidR="00E8154A">
        <w:t>As a part of taxation reform, land tax has not been levied on commercial properties since 1 July 2012.</w:t>
      </w:r>
    </w:p>
    <w:p w14:paraId="587D05FA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4F5B27CE" w14:textId="01B5A696" w:rsidR="00AF65A4" w:rsidRPr="001A223A" w:rsidRDefault="00F41F1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1A223A">
        <w:t xml:space="preserve">For </w:t>
      </w:r>
      <w:r w:rsidR="00BB6F83" w:rsidRPr="001A223A">
        <w:t>202</w:t>
      </w:r>
      <w:r w:rsidR="00BB6F83">
        <w:t>1</w:t>
      </w:r>
      <w:r w:rsidR="009A370E" w:rsidRPr="001A223A">
        <w:t>-</w:t>
      </w:r>
      <w:r w:rsidR="00C425DD" w:rsidRPr="001A223A">
        <w:t>2</w:t>
      </w:r>
      <w:r w:rsidR="00BB6F83">
        <w:t>2</w:t>
      </w:r>
      <w:r w:rsidR="00E1536B" w:rsidRPr="001A223A">
        <w:t>,</w:t>
      </w:r>
      <w:r w:rsidR="009A370E" w:rsidRPr="001A223A">
        <w:t xml:space="preserve"> land tax is made up of a fixed </w:t>
      </w:r>
      <w:r w:rsidR="009A370E" w:rsidRPr="004106B3">
        <w:t>charge of $1,</w:t>
      </w:r>
      <w:r w:rsidR="00885FB4" w:rsidRPr="004106B3">
        <w:t xml:space="preserve">392 </w:t>
      </w:r>
      <w:r w:rsidR="009A370E" w:rsidRPr="004106B3">
        <w:t xml:space="preserve">(increased </w:t>
      </w:r>
      <w:r w:rsidR="00E1536B" w:rsidRPr="004106B3">
        <w:t xml:space="preserve">by 5 per cent </w:t>
      </w:r>
      <w:r w:rsidR="009A370E" w:rsidRPr="004106B3">
        <w:t xml:space="preserve">from </w:t>
      </w:r>
      <w:r w:rsidR="00E8154A" w:rsidRPr="004106B3">
        <w:t>$1</w:t>
      </w:r>
      <w:r w:rsidR="00BB6F83" w:rsidRPr="004106B3">
        <w:t>,326</w:t>
      </w:r>
      <w:r w:rsidR="006D3261" w:rsidRPr="004106B3">
        <w:t xml:space="preserve"> </w:t>
      </w:r>
      <w:r w:rsidR="00E8154A" w:rsidRPr="004106B3">
        <w:t xml:space="preserve">in </w:t>
      </w:r>
      <w:r w:rsidR="00BB6F83" w:rsidRPr="004106B3">
        <w:t>2020</w:t>
      </w:r>
      <w:r w:rsidR="00E8154A" w:rsidRPr="004106B3">
        <w:noBreakHyphen/>
      </w:r>
      <w:r w:rsidR="006D3261" w:rsidRPr="004106B3">
        <w:t>2</w:t>
      </w:r>
      <w:r w:rsidR="00BB6F83" w:rsidRPr="004106B3">
        <w:t>1</w:t>
      </w:r>
      <w:r w:rsidR="00E8154A" w:rsidRPr="004106B3">
        <w:t>) and marginal rating factor</w:t>
      </w:r>
      <w:r w:rsidR="00E8154A" w:rsidRPr="001A223A">
        <w:t>s determined as</w:t>
      </w:r>
      <w:r w:rsidR="00E1536B" w:rsidRPr="001A223A">
        <w:t xml:space="preserve"> per the</w:t>
      </w:r>
      <w:r w:rsidR="00E8154A" w:rsidRPr="001A223A">
        <w:t xml:space="preserve"> follow</w:t>
      </w:r>
      <w:r w:rsidR="00E1536B" w:rsidRPr="001A223A">
        <w:t>ing table</w:t>
      </w:r>
      <w:r w:rsidR="00E8154A" w:rsidRPr="001A223A">
        <w:t xml:space="preserve">. </w:t>
      </w:r>
      <w:r w:rsidR="00E8154A" w:rsidRPr="00885FB4">
        <w:t xml:space="preserve">The marginal rating factors </w:t>
      </w:r>
      <w:r w:rsidR="00E1536B" w:rsidRPr="00885FB4">
        <w:t xml:space="preserve">are increased by 0.02 percentage points for each marginal tax </w:t>
      </w:r>
      <w:r w:rsidR="00E1536B" w:rsidRPr="004106B3">
        <w:t>rate</w:t>
      </w:r>
      <w:r w:rsidR="00885FB4" w:rsidRPr="004106B3">
        <w:t xml:space="preserve"> to account for the extension of the averaging period for AUV to five years from 2021-22</w:t>
      </w:r>
      <w:r w:rsidR="00E8154A" w:rsidRPr="004106B3">
        <w:t>.</w:t>
      </w:r>
    </w:p>
    <w:p w14:paraId="7712EE76" w14:textId="77777777" w:rsidR="00AF65A4" w:rsidRPr="001A223A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843"/>
        <w:gridCol w:w="1559"/>
      </w:tblGrid>
      <w:tr w:rsidR="00AC2386" w:rsidRPr="001A223A" w14:paraId="65C00B19" w14:textId="10ED63C6" w:rsidTr="00885FB4">
        <w:tc>
          <w:tcPr>
            <w:tcW w:w="2623" w:type="dxa"/>
          </w:tcPr>
          <w:p w14:paraId="2C5322E6" w14:textId="77777777" w:rsidR="00AC2386" w:rsidRPr="001A223A" w:rsidRDefault="00AC2386" w:rsidP="00144989">
            <w:pPr>
              <w:rPr>
                <w:b/>
              </w:rPr>
            </w:pPr>
            <w:r w:rsidRPr="001A223A">
              <w:rPr>
                <w:b/>
              </w:rPr>
              <w:t>Base value</w:t>
            </w:r>
          </w:p>
        </w:tc>
        <w:tc>
          <w:tcPr>
            <w:tcW w:w="1843" w:type="dxa"/>
          </w:tcPr>
          <w:p w14:paraId="3028D1A4" w14:textId="5DCC6BDC" w:rsidR="00AC2386" w:rsidRPr="001A223A" w:rsidRDefault="00AC2386" w:rsidP="00144989">
            <w:pPr>
              <w:rPr>
                <w:b/>
              </w:rPr>
            </w:pPr>
            <w:r w:rsidRPr="001A223A">
              <w:rPr>
                <w:b/>
              </w:rPr>
              <w:t>2020-21</w:t>
            </w:r>
          </w:p>
        </w:tc>
        <w:tc>
          <w:tcPr>
            <w:tcW w:w="1559" w:type="dxa"/>
          </w:tcPr>
          <w:p w14:paraId="7E19635D" w14:textId="106419C1" w:rsidR="00AC2386" w:rsidRPr="001A223A" w:rsidRDefault="00AC2386" w:rsidP="00144989">
            <w:pPr>
              <w:rPr>
                <w:b/>
              </w:rPr>
            </w:pPr>
            <w:r>
              <w:rPr>
                <w:b/>
              </w:rPr>
              <w:t>2021-22</w:t>
            </w:r>
          </w:p>
        </w:tc>
      </w:tr>
      <w:tr w:rsidR="00AC2386" w:rsidRPr="001A223A" w14:paraId="38D3C046" w14:textId="2F05EF15" w:rsidTr="00885FB4">
        <w:tc>
          <w:tcPr>
            <w:tcW w:w="2623" w:type="dxa"/>
          </w:tcPr>
          <w:p w14:paraId="1376991F" w14:textId="77777777" w:rsidR="00AC2386" w:rsidRPr="001A223A" w:rsidRDefault="00AC2386" w:rsidP="00C425DD">
            <w:r w:rsidRPr="001A223A">
              <w:t>$150,000 or less</w:t>
            </w:r>
          </w:p>
        </w:tc>
        <w:tc>
          <w:tcPr>
            <w:tcW w:w="1843" w:type="dxa"/>
          </w:tcPr>
          <w:p w14:paraId="63EC92B1" w14:textId="50883C84" w:rsidR="00AC2386" w:rsidRPr="001A223A" w:rsidRDefault="00AC2386" w:rsidP="00C425DD">
            <w:r w:rsidRPr="001A223A">
              <w:t>0.52%</w:t>
            </w:r>
          </w:p>
        </w:tc>
        <w:tc>
          <w:tcPr>
            <w:tcW w:w="1559" w:type="dxa"/>
          </w:tcPr>
          <w:p w14:paraId="11B1BBB1" w14:textId="2C24FD16" w:rsidR="00AC2386" w:rsidRPr="004106B3" w:rsidRDefault="00AC2386" w:rsidP="00C425DD">
            <w:r w:rsidRPr="004106B3">
              <w:t>0.54%</w:t>
            </w:r>
          </w:p>
        </w:tc>
      </w:tr>
      <w:tr w:rsidR="00AC2386" w:rsidRPr="001A223A" w14:paraId="5B1B6A97" w14:textId="6A7A3E94" w:rsidTr="00885FB4">
        <w:tc>
          <w:tcPr>
            <w:tcW w:w="2623" w:type="dxa"/>
          </w:tcPr>
          <w:p w14:paraId="2E8418FE" w14:textId="77777777" w:rsidR="00AC2386" w:rsidRPr="001A223A" w:rsidRDefault="00AC2386" w:rsidP="00C425DD">
            <w:r w:rsidRPr="001A223A">
              <w:t>$150,001 to $275,000</w:t>
            </w:r>
          </w:p>
        </w:tc>
        <w:tc>
          <w:tcPr>
            <w:tcW w:w="1843" w:type="dxa"/>
          </w:tcPr>
          <w:p w14:paraId="5F0E2BDF" w14:textId="1B94E739" w:rsidR="00AC2386" w:rsidRPr="001A223A" w:rsidRDefault="00AC2386" w:rsidP="00C425DD">
            <w:r w:rsidRPr="001A223A">
              <w:t>0.62%</w:t>
            </w:r>
          </w:p>
        </w:tc>
        <w:tc>
          <w:tcPr>
            <w:tcW w:w="1559" w:type="dxa"/>
          </w:tcPr>
          <w:p w14:paraId="6EBFA654" w14:textId="775BCE57" w:rsidR="00AC2386" w:rsidRPr="004106B3" w:rsidRDefault="00AC2386" w:rsidP="00C425DD">
            <w:r w:rsidRPr="004106B3">
              <w:t>0.64%</w:t>
            </w:r>
          </w:p>
        </w:tc>
      </w:tr>
      <w:tr w:rsidR="00AC2386" w:rsidRPr="001A223A" w14:paraId="244B4B36" w14:textId="495CDA4D" w:rsidTr="00885FB4">
        <w:tc>
          <w:tcPr>
            <w:tcW w:w="2623" w:type="dxa"/>
          </w:tcPr>
          <w:p w14:paraId="45D50E9A" w14:textId="77777777" w:rsidR="00AC2386" w:rsidRPr="001A223A" w:rsidRDefault="00AC2386" w:rsidP="00C425DD">
            <w:r w:rsidRPr="001A223A">
              <w:t>$275,001 to $2,000,000</w:t>
            </w:r>
          </w:p>
        </w:tc>
        <w:tc>
          <w:tcPr>
            <w:tcW w:w="1843" w:type="dxa"/>
          </w:tcPr>
          <w:p w14:paraId="0A0C24AB" w14:textId="29A59603" w:rsidR="00AC2386" w:rsidRPr="001A223A" w:rsidRDefault="00AC2386" w:rsidP="00C425DD">
            <w:r w:rsidRPr="001A223A">
              <w:t>1.10%</w:t>
            </w:r>
          </w:p>
        </w:tc>
        <w:tc>
          <w:tcPr>
            <w:tcW w:w="1559" w:type="dxa"/>
          </w:tcPr>
          <w:p w14:paraId="0A2FAA7F" w14:textId="2E419F95" w:rsidR="00AC2386" w:rsidRPr="004106B3" w:rsidRDefault="00AC2386" w:rsidP="00C425DD">
            <w:r w:rsidRPr="004106B3">
              <w:t>1.12%</w:t>
            </w:r>
          </w:p>
        </w:tc>
      </w:tr>
      <w:tr w:rsidR="00AC2386" w14:paraId="3A814D37" w14:textId="61AC7A8A" w:rsidTr="00885FB4">
        <w:tc>
          <w:tcPr>
            <w:tcW w:w="2623" w:type="dxa"/>
          </w:tcPr>
          <w:p w14:paraId="7791146E" w14:textId="77777777" w:rsidR="00AC2386" w:rsidRPr="001A223A" w:rsidRDefault="00AC2386" w:rsidP="00C425DD">
            <w:r w:rsidRPr="001A223A">
              <w:t>$2,000,001 or more</w:t>
            </w:r>
          </w:p>
        </w:tc>
        <w:tc>
          <w:tcPr>
            <w:tcW w:w="1843" w:type="dxa"/>
          </w:tcPr>
          <w:p w14:paraId="5D3958DE" w14:textId="375815A8" w:rsidR="00AC2386" w:rsidRPr="001A223A" w:rsidRDefault="00AC2386" w:rsidP="00C425DD">
            <w:r w:rsidRPr="001A223A">
              <w:t>1.12%</w:t>
            </w:r>
          </w:p>
        </w:tc>
        <w:tc>
          <w:tcPr>
            <w:tcW w:w="1559" w:type="dxa"/>
          </w:tcPr>
          <w:p w14:paraId="30E5E703" w14:textId="7A533FFA" w:rsidR="00AC2386" w:rsidRPr="004106B3" w:rsidRDefault="00AC2386" w:rsidP="00C425DD">
            <w:r w:rsidRPr="004106B3">
              <w:t>1.14%</w:t>
            </w:r>
          </w:p>
        </w:tc>
      </w:tr>
    </w:tbl>
    <w:p w14:paraId="0D7BFE51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8D819E7" w14:textId="58FD9C3A" w:rsidR="00E8154A" w:rsidRDefault="00E8154A" w:rsidP="00E8154A">
      <w:pPr>
        <w:pStyle w:val="Amain"/>
        <w:rPr>
          <w:rFonts w:ascii="Arial" w:hAnsi="Arial" w:cs="Arial"/>
          <w:b/>
          <w:szCs w:val="22"/>
        </w:rPr>
      </w:pPr>
      <w:r w:rsidRPr="0014498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>etermination of foreign ownership surcharge (</w:t>
      </w:r>
      <w:r w:rsidR="001A223A">
        <w:rPr>
          <w:rFonts w:ascii="Arial" w:hAnsi="Arial" w:cs="Arial"/>
          <w:b/>
          <w:szCs w:val="22"/>
        </w:rPr>
        <w:t xml:space="preserve">Part </w:t>
      </w:r>
      <w:r w:rsidR="00B75D9E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>)</w:t>
      </w:r>
    </w:p>
    <w:p w14:paraId="4566A0C3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D323D9F" w14:textId="2A8D3DE7" w:rsidR="00E8154A" w:rsidRDefault="006D3261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A</w:t>
      </w:r>
      <w:r w:rsidR="00AF65A4">
        <w:t xml:space="preserve"> surcharge</w:t>
      </w:r>
      <w:r w:rsidR="00B75D9E" w:rsidRPr="00B75D9E">
        <w:t xml:space="preserve"> </w:t>
      </w:r>
      <w:r w:rsidR="00B75D9E">
        <w:t>on foreign investors who own residential property in the ACT</w:t>
      </w:r>
      <w:r w:rsidR="00AF65A4">
        <w:t xml:space="preserve"> </w:t>
      </w:r>
      <w:r>
        <w:t xml:space="preserve">commenced on </w:t>
      </w:r>
      <w:r w:rsidR="00AF65A4">
        <w:t>1 July 2018.</w:t>
      </w:r>
      <w:r w:rsidR="00B75D9E">
        <w:t xml:space="preserve"> The surcharge is applied to a parcel of rateable residential land owned by a foreign person on the first day of a quarter.</w:t>
      </w:r>
    </w:p>
    <w:p w14:paraId="5B72BC00" w14:textId="77777777" w:rsidR="00E8154A" w:rsidRDefault="00E8154A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BA33187" w14:textId="7D36FB20" w:rsidR="00275484" w:rsidRDefault="00ED1E7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szCs w:val="22"/>
        </w:rPr>
      </w:pPr>
      <w:r>
        <w:t xml:space="preserve">The Land Tax Determination </w:t>
      </w:r>
      <w:r w:rsidR="00AF65A4">
        <w:t xml:space="preserve">determines a surcharge rate of </w:t>
      </w:r>
      <w:r w:rsidR="00AF65A4" w:rsidRPr="001A223A">
        <w:t>0.75 per cent of the property’s base value</w:t>
      </w:r>
      <w:r w:rsidR="00E8154A" w:rsidRPr="001A223A">
        <w:t xml:space="preserve"> for the purposes of section 17E (4) of the Act</w:t>
      </w:r>
      <w:r w:rsidR="008E281D" w:rsidRPr="001A223A">
        <w:t>.</w:t>
      </w:r>
      <w:r w:rsidR="00245CAA" w:rsidRPr="001A223A">
        <w:t xml:space="preserve"> This rate remains unchanged for </w:t>
      </w:r>
      <w:r w:rsidR="00BB6F83">
        <w:t>2021-22</w:t>
      </w:r>
      <w:r w:rsidR="00245CAA" w:rsidRPr="001A223A">
        <w:t>.</w:t>
      </w:r>
    </w:p>
    <w:p w14:paraId="1EAFE69B" w14:textId="77777777" w:rsidR="00275484" w:rsidRDefault="0027548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</w:rPr>
      </w:pPr>
    </w:p>
    <w:p w14:paraId="5D2E84A0" w14:textId="77777777"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Revocation</w:t>
      </w:r>
    </w:p>
    <w:p w14:paraId="5CA2D06E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6D22F1C9" w14:textId="469391E7" w:rsidR="00275484" w:rsidRDefault="00D553D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3A6089">
        <w:t xml:space="preserve">revokes </w:t>
      </w:r>
      <w:r w:rsidR="00726886" w:rsidRPr="005A3FE5">
        <w:rPr>
          <w:i/>
          <w:szCs w:val="24"/>
        </w:rPr>
        <w:t>Taxation Administration (</w:t>
      </w:r>
      <w:r w:rsidR="00726886">
        <w:rPr>
          <w:i/>
          <w:szCs w:val="24"/>
        </w:rPr>
        <w:t>Amounts Payable—</w:t>
      </w:r>
      <w:r w:rsidR="00726886" w:rsidRPr="005A3FE5">
        <w:rPr>
          <w:i/>
          <w:szCs w:val="24"/>
        </w:rPr>
        <w:t>Land</w:t>
      </w:r>
      <w:r w:rsidR="00726886">
        <w:rPr>
          <w:i/>
          <w:szCs w:val="24"/>
        </w:rPr>
        <w:t> </w:t>
      </w:r>
      <w:r w:rsidR="00726886" w:rsidRPr="005A3FE5">
        <w:rPr>
          <w:i/>
          <w:szCs w:val="24"/>
        </w:rPr>
        <w:t>Tax) Determination 20</w:t>
      </w:r>
      <w:r w:rsidR="00BB6F83">
        <w:rPr>
          <w:i/>
          <w:szCs w:val="24"/>
        </w:rPr>
        <w:t>20</w:t>
      </w:r>
      <w:r w:rsidR="00726886">
        <w:rPr>
          <w:iCs/>
          <w:szCs w:val="24"/>
        </w:rPr>
        <w:t xml:space="preserve">, </w:t>
      </w:r>
      <w:r w:rsidR="006D3261">
        <w:t>DI20</w:t>
      </w:r>
      <w:r w:rsidR="00BB6F83">
        <w:t>20-177</w:t>
      </w:r>
      <w:r w:rsidR="003A6089">
        <w:t xml:space="preserve">. </w:t>
      </w:r>
      <w:r w:rsidR="006D3261">
        <w:t>DI20</w:t>
      </w:r>
      <w:r w:rsidR="00BB6F83">
        <w:t>20-177</w:t>
      </w:r>
      <w:r w:rsidR="006D3261">
        <w:t xml:space="preserve"> </w:t>
      </w:r>
      <w:r w:rsidR="00EB0D43">
        <w:t xml:space="preserve">continues to apply for the period </w:t>
      </w:r>
      <w:r w:rsidR="00386AFC">
        <w:t xml:space="preserve">1 </w:t>
      </w:r>
      <w:r w:rsidR="000D3B20">
        <w:t>July</w:t>
      </w:r>
      <w:r w:rsidR="00386AFC">
        <w:t xml:space="preserve"> </w:t>
      </w:r>
      <w:r w:rsidR="00BB6F83">
        <w:t xml:space="preserve">2020 </w:t>
      </w:r>
      <w:r w:rsidR="00386AFC">
        <w:t xml:space="preserve">to 30 June </w:t>
      </w:r>
      <w:r w:rsidR="00BB6F83">
        <w:t>2021</w:t>
      </w:r>
      <w:r w:rsidR="00EB0D43">
        <w:t xml:space="preserve">, inclusive. </w:t>
      </w:r>
    </w:p>
    <w:p w14:paraId="70A2A673" w14:textId="77777777" w:rsidR="005A7C33" w:rsidRDefault="005A7C33" w:rsidP="006F6907">
      <w:pPr>
        <w:pStyle w:val="ListParagraph"/>
        <w:ind w:left="567" w:hanging="567"/>
      </w:pPr>
    </w:p>
    <w:p w14:paraId="2AD8827D" w14:textId="77777777" w:rsidR="009F22AC" w:rsidRDefault="009F22AC" w:rsidP="00F424C5"/>
    <w:p w14:paraId="4F12C0DD" w14:textId="77777777" w:rsidR="000D77C5" w:rsidRDefault="000D77C5" w:rsidP="00F424C5"/>
    <w:bookmarkEnd w:id="0"/>
    <w:p w14:paraId="1D7DB4C1" w14:textId="77777777" w:rsidR="006841E4" w:rsidRDefault="006841E4" w:rsidP="00F424C5">
      <w:pPr>
        <w:ind w:left="720" w:hanging="720"/>
      </w:pPr>
      <w:r>
        <w:t>Authorised by the Treasurer</w:t>
      </w:r>
    </w:p>
    <w:p w14:paraId="7A8C1B1D" w14:textId="77777777" w:rsidR="009F22AC" w:rsidRDefault="0005745F" w:rsidP="00F424C5">
      <w:pPr>
        <w:ind w:left="720" w:hanging="720"/>
      </w:pPr>
      <w:r>
        <w:rPr>
          <w:bCs/>
        </w:rPr>
        <w:t>Andrew Barr</w:t>
      </w:r>
      <w:r w:rsidR="00EE7F59">
        <w:rPr>
          <w:bCs/>
        </w:rPr>
        <w:t xml:space="preserve"> </w:t>
      </w:r>
      <w:r w:rsidR="006841E4">
        <w:t>MLA</w:t>
      </w:r>
    </w:p>
    <w:p w14:paraId="6BF920EB" w14:textId="77777777" w:rsidR="00F424C5" w:rsidRDefault="00F424C5" w:rsidP="00A12C81">
      <w:pPr>
        <w:ind w:left="720" w:hanging="720"/>
      </w:pPr>
    </w:p>
    <w:sectPr w:rsidR="00F424C5" w:rsidSect="006C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4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12B2" w14:textId="77777777" w:rsidR="002F0094" w:rsidRDefault="002F0094">
      <w:r>
        <w:separator/>
      </w:r>
    </w:p>
  </w:endnote>
  <w:endnote w:type="continuationSeparator" w:id="0">
    <w:p w14:paraId="55F78DD0" w14:textId="77777777" w:rsidR="002F0094" w:rsidRDefault="002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5A96" w14:textId="77777777" w:rsidR="00961788" w:rsidRDefault="00961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09E5" w14:textId="49A73211" w:rsidR="007A014F" w:rsidRPr="00961788" w:rsidRDefault="00961788" w:rsidP="00961788">
    <w:pPr>
      <w:pStyle w:val="Footer"/>
      <w:jc w:val="center"/>
      <w:rPr>
        <w:rFonts w:cs="Arial"/>
        <w:sz w:val="14"/>
      </w:rPr>
    </w:pPr>
    <w:r w:rsidRPr="0096178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BBB8F" w14:textId="77777777" w:rsidR="00961788" w:rsidRDefault="0096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0BB1A" w14:textId="77777777" w:rsidR="002F0094" w:rsidRDefault="002F0094">
      <w:r>
        <w:separator/>
      </w:r>
    </w:p>
  </w:footnote>
  <w:footnote w:type="continuationSeparator" w:id="0">
    <w:p w14:paraId="09C007B7" w14:textId="77777777" w:rsidR="002F0094" w:rsidRDefault="002F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C08EC" w14:textId="77777777" w:rsidR="00961788" w:rsidRDefault="0096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C83C" w14:textId="77777777" w:rsidR="00961788" w:rsidRDefault="00961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3B35" w14:textId="77777777" w:rsidR="00961788" w:rsidRDefault="00961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423C46"/>
    <w:lvl w:ilvl="0">
      <w:start w:val="1"/>
      <w:numFmt w:val="bullet"/>
      <w:pStyle w:val="AH5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471"/>
    <w:multiLevelType w:val="hybridMultilevel"/>
    <w:tmpl w:val="A55C6B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C733E"/>
    <w:multiLevelType w:val="multilevel"/>
    <w:tmpl w:val="D8E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2C96265"/>
    <w:multiLevelType w:val="hybridMultilevel"/>
    <w:tmpl w:val="2AA41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CF0B4E"/>
    <w:multiLevelType w:val="multilevel"/>
    <w:tmpl w:val="1E225380"/>
    <w:lvl w:ilvl="0">
      <w:start w:val="1"/>
      <w:numFmt w:val="bullet"/>
      <w:pStyle w:val="TSY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effect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: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color w:val="auto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5" w15:restartNumberingAfterBreak="0">
    <w:nsid w:val="2E094E2F"/>
    <w:multiLevelType w:val="hybridMultilevel"/>
    <w:tmpl w:val="D3B2DD50"/>
    <w:lvl w:ilvl="0" w:tplc="D6EA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0E7A95"/>
    <w:multiLevelType w:val="hybridMultilevel"/>
    <w:tmpl w:val="7412335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2D43"/>
    <w:multiLevelType w:val="hybridMultilevel"/>
    <w:tmpl w:val="3A0C51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60A64"/>
    <w:multiLevelType w:val="hybridMultilevel"/>
    <w:tmpl w:val="9216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8EB3BAF"/>
    <w:multiLevelType w:val="hybridMultilevel"/>
    <w:tmpl w:val="CCB8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0F1718"/>
    <w:multiLevelType w:val="hybridMultilevel"/>
    <w:tmpl w:val="6876182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4242"/>
    <w:multiLevelType w:val="hybridMultilevel"/>
    <w:tmpl w:val="55E244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2B12D8"/>
    <w:multiLevelType w:val="hybridMultilevel"/>
    <w:tmpl w:val="29B0B2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E50F8"/>
    <w:multiLevelType w:val="hybridMultilevel"/>
    <w:tmpl w:val="FA204AB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4CB5ED9"/>
    <w:multiLevelType w:val="hybridMultilevel"/>
    <w:tmpl w:val="7602BD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057E62"/>
    <w:multiLevelType w:val="hybridMultilevel"/>
    <w:tmpl w:val="ADB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7F0F"/>
    <w:multiLevelType w:val="hybridMultilevel"/>
    <w:tmpl w:val="74463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B39F2"/>
    <w:multiLevelType w:val="hybridMultilevel"/>
    <w:tmpl w:val="4C3C0A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C03725"/>
    <w:multiLevelType w:val="hybridMultilevel"/>
    <w:tmpl w:val="8B5812B4"/>
    <w:lvl w:ilvl="0" w:tplc="BA42F2A2">
      <w:start w:val="1"/>
      <w:numFmt w:val="lowerRoman"/>
      <w:pStyle w:val="ListBullet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5570F7"/>
    <w:multiLevelType w:val="hybridMultilevel"/>
    <w:tmpl w:val="E2D81DC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35955"/>
    <w:multiLevelType w:val="hybridMultilevel"/>
    <w:tmpl w:val="BBE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0F4FE9"/>
    <w:multiLevelType w:val="hybridMultilevel"/>
    <w:tmpl w:val="7256AD2A"/>
    <w:lvl w:ilvl="0" w:tplc="B5F2B7E6">
      <w:start w:val="40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718B2C34"/>
    <w:multiLevelType w:val="hybridMultilevel"/>
    <w:tmpl w:val="F6F263C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4"/>
  </w:num>
  <w:num w:numId="20">
    <w:abstractNumId w:val="2"/>
  </w:num>
  <w:num w:numId="21">
    <w:abstractNumId w:val="14"/>
  </w:num>
  <w:num w:numId="22">
    <w:abstractNumId w:val="15"/>
  </w:num>
  <w:num w:numId="23">
    <w:abstractNumId w:val="17"/>
  </w:num>
  <w:num w:numId="24">
    <w:abstractNumId w:val="5"/>
  </w:num>
  <w:num w:numId="25">
    <w:abstractNumId w:val="8"/>
  </w:num>
  <w:num w:numId="26">
    <w:abstractNumId w:val="1"/>
  </w:num>
  <w:num w:numId="27">
    <w:abstractNumId w:val="13"/>
  </w:num>
  <w:num w:numId="28">
    <w:abstractNumId w:val="3"/>
  </w:num>
  <w:num w:numId="29">
    <w:abstractNumId w:val="21"/>
  </w:num>
  <w:num w:numId="30">
    <w:abstractNumId w:val="18"/>
  </w:num>
  <w:num w:numId="31">
    <w:abstractNumId w:val="12"/>
  </w:num>
  <w:num w:numId="32">
    <w:abstractNumId w:val="10"/>
  </w:num>
  <w:num w:numId="33">
    <w:abstractNumId w:val="23"/>
  </w:num>
  <w:num w:numId="34">
    <w:abstractNumId w:val="7"/>
  </w:num>
  <w:num w:numId="35">
    <w:abstractNumId w:val="22"/>
  </w:num>
  <w:num w:numId="36">
    <w:abstractNumId w:val="16"/>
  </w:num>
  <w:num w:numId="37">
    <w:abstractNumId w:val="6"/>
  </w:num>
  <w:num w:numId="38">
    <w:abstractNumId w:val="20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04DC3"/>
    <w:rsid w:val="0001080F"/>
    <w:rsid w:val="000118F0"/>
    <w:rsid w:val="00015AD2"/>
    <w:rsid w:val="00017850"/>
    <w:rsid w:val="00021685"/>
    <w:rsid w:val="00024E8C"/>
    <w:rsid w:val="0003222B"/>
    <w:rsid w:val="00034465"/>
    <w:rsid w:val="00035594"/>
    <w:rsid w:val="0003785A"/>
    <w:rsid w:val="00040445"/>
    <w:rsid w:val="00042F2D"/>
    <w:rsid w:val="00043F5A"/>
    <w:rsid w:val="00044E03"/>
    <w:rsid w:val="00050BBA"/>
    <w:rsid w:val="0005745F"/>
    <w:rsid w:val="00057AB4"/>
    <w:rsid w:val="00063995"/>
    <w:rsid w:val="0006655B"/>
    <w:rsid w:val="00067496"/>
    <w:rsid w:val="00071E88"/>
    <w:rsid w:val="00075A06"/>
    <w:rsid w:val="00076578"/>
    <w:rsid w:val="000818E4"/>
    <w:rsid w:val="00093D3A"/>
    <w:rsid w:val="0009676B"/>
    <w:rsid w:val="000B59D6"/>
    <w:rsid w:val="000C5436"/>
    <w:rsid w:val="000D3B20"/>
    <w:rsid w:val="000D7061"/>
    <w:rsid w:val="000D77C5"/>
    <w:rsid w:val="000E0FD3"/>
    <w:rsid w:val="000E42A5"/>
    <w:rsid w:val="000E6B2D"/>
    <w:rsid w:val="000F338F"/>
    <w:rsid w:val="00101271"/>
    <w:rsid w:val="001062AC"/>
    <w:rsid w:val="0010720D"/>
    <w:rsid w:val="001178DF"/>
    <w:rsid w:val="001200B3"/>
    <w:rsid w:val="001202C6"/>
    <w:rsid w:val="0012239F"/>
    <w:rsid w:val="001229A0"/>
    <w:rsid w:val="00135177"/>
    <w:rsid w:val="00144989"/>
    <w:rsid w:val="00152530"/>
    <w:rsid w:val="00156C71"/>
    <w:rsid w:val="00156DF8"/>
    <w:rsid w:val="00173D0A"/>
    <w:rsid w:val="001749EF"/>
    <w:rsid w:val="00177C4A"/>
    <w:rsid w:val="00184B45"/>
    <w:rsid w:val="0019567B"/>
    <w:rsid w:val="001A2101"/>
    <w:rsid w:val="001A223A"/>
    <w:rsid w:val="001A5E10"/>
    <w:rsid w:val="001B617C"/>
    <w:rsid w:val="001C229D"/>
    <w:rsid w:val="001D4567"/>
    <w:rsid w:val="001D5F03"/>
    <w:rsid w:val="001E30D0"/>
    <w:rsid w:val="001F3CFD"/>
    <w:rsid w:val="00203AB1"/>
    <w:rsid w:val="002075A9"/>
    <w:rsid w:val="00211AC2"/>
    <w:rsid w:val="002155FC"/>
    <w:rsid w:val="00216720"/>
    <w:rsid w:val="002222AA"/>
    <w:rsid w:val="002337BC"/>
    <w:rsid w:val="00243EC9"/>
    <w:rsid w:val="002440C9"/>
    <w:rsid w:val="00245CAA"/>
    <w:rsid w:val="0025027E"/>
    <w:rsid w:val="002524E1"/>
    <w:rsid w:val="0025376F"/>
    <w:rsid w:val="00274BD4"/>
    <w:rsid w:val="00275484"/>
    <w:rsid w:val="00293A3C"/>
    <w:rsid w:val="002A5924"/>
    <w:rsid w:val="002A682C"/>
    <w:rsid w:val="002C2A1A"/>
    <w:rsid w:val="002C4681"/>
    <w:rsid w:val="002C4E7F"/>
    <w:rsid w:val="002D5516"/>
    <w:rsid w:val="002E6E98"/>
    <w:rsid w:val="002F0094"/>
    <w:rsid w:val="002F21EE"/>
    <w:rsid w:val="002F7862"/>
    <w:rsid w:val="00301D50"/>
    <w:rsid w:val="00305D62"/>
    <w:rsid w:val="0030679A"/>
    <w:rsid w:val="00311857"/>
    <w:rsid w:val="00317DB0"/>
    <w:rsid w:val="00322BA9"/>
    <w:rsid w:val="00332515"/>
    <w:rsid w:val="00343D65"/>
    <w:rsid w:val="0034423D"/>
    <w:rsid w:val="003461D7"/>
    <w:rsid w:val="003505EC"/>
    <w:rsid w:val="003518F2"/>
    <w:rsid w:val="00360E46"/>
    <w:rsid w:val="00366DCF"/>
    <w:rsid w:val="003707F8"/>
    <w:rsid w:val="00373F23"/>
    <w:rsid w:val="0038050E"/>
    <w:rsid w:val="0038697C"/>
    <w:rsid w:val="00386AFC"/>
    <w:rsid w:val="00391C17"/>
    <w:rsid w:val="003964DF"/>
    <w:rsid w:val="003A46BB"/>
    <w:rsid w:val="003A4F55"/>
    <w:rsid w:val="003A6089"/>
    <w:rsid w:val="003B4A00"/>
    <w:rsid w:val="003B780E"/>
    <w:rsid w:val="003D32D2"/>
    <w:rsid w:val="003D6A50"/>
    <w:rsid w:val="003E5FDC"/>
    <w:rsid w:val="003F15F0"/>
    <w:rsid w:val="003F20D0"/>
    <w:rsid w:val="003F5BFC"/>
    <w:rsid w:val="00400A2D"/>
    <w:rsid w:val="004106B3"/>
    <w:rsid w:val="00411C55"/>
    <w:rsid w:val="004179C5"/>
    <w:rsid w:val="004261C8"/>
    <w:rsid w:val="0043065E"/>
    <w:rsid w:val="00430F1B"/>
    <w:rsid w:val="00432367"/>
    <w:rsid w:val="004414CC"/>
    <w:rsid w:val="00463A12"/>
    <w:rsid w:val="00473A7C"/>
    <w:rsid w:val="00477C40"/>
    <w:rsid w:val="00491935"/>
    <w:rsid w:val="00492A5C"/>
    <w:rsid w:val="004951D8"/>
    <w:rsid w:val="0049520C"/>
    <w:rsid w:val="004B4FAF"/>
    <w:rsid w:val="004C0428"/>
    <w:rsid w:val="004D6D56"/>
    <w:rsid w:val="004E08D0"/>
    <w:rsid w:val="004E127D"/>
    <w:rsid w:val="004F5510"/>
    <w:rsid w:val="00511F20"/>
    <w:rsid w:val="005207CB"/>
    <w:rsid w:val="00523A6E"/>
    <w:rsid w:val="00527A25"/>
    <w:rsid w:val="005356B2"/>
    <w:rsid w:val="00540705"/>
    <w:rsid w:val="005530AC"/>
    <w:rsid w:val="00554259"/>
    <w:rsid w:val="00554FB1"/>
    <w:rsid w:val="00563B34"/>
    <w:rsid w:val="00566219"/>
    <w:rsid w:val="00577177"/>
    <w:rsid w:val="00583C6C"/>
    <w:rsid w:val="0059389A"/>
    <w:rsid w:val="00594834"/>
    <w:rsid w:val="00596DF9"/>
    <w:rsid w:val="005A22B5"/>
    <w:rsid w:val="005A73E7"/>
    <w:rsid w:val="005A7C33"/>
    <w:rsid w:val="005B6D9E"/>
    <w:rsid w:val="005D0DD4"/>
    <w:rsid w:val="005E2844"/>
    <w:rsid w:val="005E630B"/>
    <w:rsid w:val="005F0D22"/>
    <w:rsid w:val="005F3AEE"/>
    <w:rsid w:val="00606749"/>
    <w:rsid w:val="006106BC"/>
    <w:rsid w:val="006114A8"/>
    <w:rsid w:val="0061571C"/>
    <w:rsid w:val="00632542"/>
    <w:rsid w:val="00633006"/>
    <w:rsid w:val="00634AF6"/>
    <w:rsid w:val="00635B6B"/>
    <w:rsid w:val="00636A77"/>
    <w:rsid w:val="00643392"/>
    <w:rsid w:val="00651BCD"/>
    <w:rsid w:val="00662865"/>
    <w:rsid w:val="00665CB4"/>
    <w:rsid w:val="00675EF3"/>
    <w:rsid w:val="006768D4"/>
    <w:rsid w:val="00682CC1"/>
    <w:rsid w:val="006841E4"/>
    <w:rsid w:val="00686E48"/>
    <w:rsid w:val="0069161C"/>
    <w:rsid w:val="00694AD7"/>
    <w:rsid w:val="006A2249"/>
    <w:rsid w:val="006A6612"/>
    <w:rsid w:val="006B555B"/>
    <w:rsid w:val="006B7318"/>
    <w:rsid w:val="006C059C"/>
    <w:rsid w:val="006C292B"/>
    <w:rsid w:val="006C5C10"/>
    <w:rsid w:val="006D3261"/>
    <w:rsid w:val="006F6907"/>
    <w:rsid w:val="0070413C"/>
    <w:rsid w:val="007158B7"/>
    <w:rsid w:val="00726886"/>
    <w:rsid w:val="007268AD"/>
    <w:rsid w:val="00727520"/>
    <w:rsid w:val="00732508"/>
    <w:rsid w:val="00734035"/>
    <w:rsid w:val="007432D4"/>
    <w:rsid w:val="00750618"/>
    <w:rsid w:val="00750B02"/>
    <w:rsid w:val="00752817"/>
    <w:rsid w:val="00763844"/>
    <w:rsid w:val="00773E7F"/>
    <w:rsid w:val="007748B7"/>
    <w:rsid w:val="00777DC0"/>
    <w:rsid w:val="00787147"/>
    <w:rsid w:val="00787EED"/>
    <w:rsid w:val="007943C1"/>
    <w:rsid w:val="007944C1"/>
    <w:rsid w:val="007A014F"/>
    <w:rsid w:val="007A08B8"/>
    <w:rsid w:val="007A1C41"/>
    <w:rsid w:val="007A334F"/>
    <w:rsid w:val="007A7A72"/>
    <w:rsid w:val="007B27A9"/>
    <w:rsid w:val="007C2980"/>
    <w:rsid w:val="007C5C12"/>
    <w:rsid w:val="007C63CC"/>
    <w:rsid w:val="007C71B6"/>
    <w:rsid w:val="007D0775"/>
    <w:rsid w:val="007D20BE"/>
    <w:rsid w:val="007E5BDA"/>
    <w:rsid w:val="007F11C4"/>
    <w:rsid w:val="007F191B"/>
    <w:rsid w:val="007F2E03"/>
    <w:rsid w:val="007F420E"/>
    <w:rsid w:val="007F5403"/>
    <w:rsid w:val="00806C07"/>
    <w:rsid w:val="0081284A"/>
    <w:rsid w:val="008366CC"/>
    <w:rsid w:val="008379A7"/>
    <w:rsid w:val="008416AC"/>
    <w:rsid w:val="0084660F"/>
    <w:rsid w:val="00857624"/>
    <w:rsid w:val="0086504D"/>
    <w:rsid w:val="00885FB4"/>
    <w:rsid w:val="00894BD8"/>
    <w:rsid w:val="00897ADD"/>
    <w:rsid w:val="008A1B05"/>
    <w:rsid w:val="008A3CB7"/>
    <w:rsid w:val="008D2BC1"/>
    <w:rsid w:val="008E054B"/>
    <w:rsid w:val="008E281D"/>
    <w:rsid w:val="008E4049"/>
    <w:rsid w:val="008E40CF"/>
    <w:rsid w:val="008E636B"/>
    <w:rsid w:val="008E683E"/>
    <w:rsid w:val="008F0F1D"/>
    <w:rsid w:val="008F6992"/>
    <w:rsid w:val="008F6C4F"/>
    <w:rsid w:val="00906DB7"/>
    <w:rsid w:val="0091130E"/>
    <w:rsid w:val="00912E7C"/>
    <w:rsid w:val="00913C7B"/>
    <w:rsid w:val="00917FC3"/>
    <w:rsid w:val="00924CC8"/>
    <w:rsid w:val="009459EB"/>
    <w:rsid w:val="00946BE7"/>
    <w:rsid w:val="00954D11"/>
    <w:rsid w:val="009551B6"/>
    <w:rsid w:val="00961788"/>
    <w:rsid w:val="00964E7B"/>
    <w:rsid w:val="00970EF9"/>
    <w:rsid w:val="00974076"/>
    <w:rsid w:val="00974CF6"/>
    <w:rsid w:val="00980B81"/>
    <w:rsid w:val="00981551"/>
    <w:rsid w:val="00981722"/>
    <w:rsid w:val="00982EEA"/>
    <w:rsid w:val="00985745"/>
    <w:rsid w:val="00991E2C"/>
    <w:rsid w:val="00993B08"/>
    <w:rsid w:val="009A370E"/>
    <w:rsid w:val="009B2F41"/>
    <w:rsid w:val="009C1DA5"/>
    <w:rsid w:val="009C41E1"/>
    <w:rsid w:val="009C55D1"/>
    <w:rsid w:val="009E633C"/>
    <w:rsid w:val="009F0089"/>
    <w:rsid w:val="009F04DC"/>
    <w:rsid w:val="009F22AC"/>
    <w:rsid w:val="009F44EF"/>
    <w:rsid w:val="009F66F0"/>
    <w:rsid w:val="00A02F01"/>
    <w:rsid w:val="00A033C9"/>
    <w:rsid w:val="00A05EBB"/>
    <w:rsid w:val="00A106BC"/>
    <w:rsid w:val="00A119B3"/>
    <w:rsid w:val="00A12C81"/>
    <w:rsid w:val="00A1413C"/>
    <w:rsid w:val="00A14E34"/>
    <w:rsid w:val="00A20AA3"/>
    <w:rsid w:val="00A270CC"/>
    <w:rsid w:val="00A30ADB"/>
    <w:rsid w:val="00A3139C"/>
    <w:rsid w:val="00A32B3C"/>
    <w:rsid w:val="00A36CB0"/>
    <w:rsid w:val="00A36EA2"/>
    <w:rsid w:val="00A37B29"/>
    <w:rsid w:val="00A52361"/>
    <w:rsid w:val="00A533EA"/>
    <w:rsid w:val="00A62048"/>
    <w:rsid w:val="00A76B30"/>
    <w:rsid w:val="00A85B01"/>
    <w:rsid w:val="00A87F31"/>
    <w:rsid w:val="00A94729"/>
    <w:rsid w:val="00AA08B7"/>
    <w:rsid w:val="00AA0D78"/>
    <w:rsid w:val="00AA11FA"/>
    <w:rsid w:val="00AA2019"/>
    <w:rsid w:val="00AB0F22"/>
    <w:rsid w:val="00AB2D8A"/>
    <w:rsid w:val="00AB3154"/>
    <w:rsid w:val="00AB5D91"/>
    <w:rsid w:val="00AC215C"/>
    <w:rsid w:val="00AC2386"/>
    <w:rsid w:val="00AC5EAB"/>
    <w:rsid w:val="00AC6D0D"/>
    <w:rsid w:val="00AE36AB"/>
    <w:rsid w:val="00AE5EF3"/>
    <w:rsid w:val="00AE6AB4"/>
    <w:rsid w:val="00AF2A07"/>
    <w:rsid w:val="00AF65A4"/>
    <w:rsid w:val="00B0074D"/>
    <w:rsid w:val="00B040B5"/>
    <w:rsid w:val="00B17DE1"/>
    <w:rsid w:val="00B24C84"/>
    <w:rsid w:val="00B42564"/>
    <w:rsid w:val="00B43A45"/>
    <w:rsid w:val="00B534DD"/>
    <w:rsid w:val="00B64390"/>
    <w:rsid w:val="00B73323"/>
    <w:rsid w:val="00B75BE3"/>
    <w:rsid w:val="00B75D9E"/>
    <w:rsid w:val="00B77D94"/>
    <w:rsid w:val="00B83794"/>
    <w:rsid w:val="00B83BAD"/>
    <w:rsid w:val="00B8569E"/>
    <w:rsid w:val="00B94045"/>
    <w:rsid w:val="00B97375"/>
    <w:rsid w:val="00BA3AA1"/>
    <w:rsid w:val="00BA407F"/>
    <w:rsid w:val="00BB24C2"/>
    <w:rsid w:val="00BB5C0C"/>
    <w:rsid w:val="00BB6F83"/>
    <w:rsid w:val="00BC4425"/>
    <w:rsid w:val="00BD2F9D"/>
    <w:rsid w:val="00BE7C05"/>
    <w:rsid w:val="00BF40A1"/>
    <w:rsid w:val="00BF625C"/>
    <w:rsid w:val="00BF7198"/>
    <w:rsid w:val="00C0329A"/>
    <w:rsid w:val="00C10F37"/>
    <w:rsid w:val="00C131A2"/>
    <w:rsid w:val="00C14258"/>
    <w:rsid w:val="00C148E0"/>
    <w:rsid w:val="00C173F3"/>
    <w:rsid w:val="00C26658"/>
    <w:rsid w:val="00C27133"/>
    <w:rsid w:val="00C275F2"/>
    <w:rsid w:val="00C301FE"/>
    <w:rsid w:val="00C34A10"/>
    <w:rsid w:val="00C425DD"/>
    <w:rsid w:val="00C5232A"/>
    <w:rsid w:val="00C523B7"/>
    <w:rsid w:val="00C53A51"/>
    <w:rsid w:val="00C772C0"/>
    <w:rsid w:val="00C80686"/>
    <w:rsid w:val="00C875F4"/>
    <w:rsid w:val="00C87BED"/>
    <w:rsid w:val="00C9290C"/>
    <w:rsid w:val="00C92A21"/>
    <w:rsid w:val="00C92D8A"/>
    <w:rsid w:val="00C934D4"/>
    <w:rsid w:val="00C95509"/>
    <w:rsid w:val="00CA04E6"/>
    <w:rsid w:val="00CB2CBC"/>
    <w:rsid w:val="00CB36B1"/>
    <w:rsid w:val="00CB3EB0"/>
    <w:rsid w:val="00CE08AD"/>
    <w:rsid w:val="00CF0823"/>
    <w:rsid w:val="00CF44E6"/>
    <w:rsid w:val="00D03289"/>
    <w:rsid w:val="00D17D19"/>
    <w:rsid w:val="00D23E3B"/>
    <w:rsid w:val="00D35D4C"/>
    <w:rsid w:val="00D373E4"/>
    <w:rsid w:val="00D553DA"/>
    <w:rsid w:val="00D60388"/>
    <w:rsid w:val="00D60EF8"/>
    <w:rsid w:val="00D65EB0"/>
    <w:rsid w:val="00D667D7"/>
    <w:rsid w:val="00DA1BEC"/>
    <w:rsid w:val="00DB3D27"/>
    <w:rsid w:val="00E006EA"/>
    <w:rsid w:val="00E05ECC"/>
    <w:rsid w:val="00E1536B"/>
    <w:rsid w:val="00E23EB3"/>
    <w:rsid w:val="00E3276E"/>
    <w:rsid w:val="00E37274"/>
    <w:rsid w:val="00E4489C"/>
    <w:rsid w:val="00E47871"/>
    <w:rsid w:val="00E53021"/>
    <w:rsid w:val="00E55685"/>
    <w:rsid w:val="00E603CA"/>
    <w:rsid w:val="00E7438F"/>
    <w:rsid w:val="00E747C3"/>
    <w:rsid w:val="00E7499A"/>
    <w:rsid w:val="00E7555C"/>
    <w:rsid w:val="00E77C15"/>
    <w:rsid w:val="00E8154A"/>
    <w:rsid w:val="00E96E50"/>
    <w:rsid w:val="00EA2091"/>
    <w:rsid w:val="00EA6179"/>
    <w:rsid w:val="00EB0D43"/>
    <w:rsid w:val="00EB3CEB"/>
    <w:rsid w:val="00EB478A"/>
    <w:rsid w:val="00ED1E70"/>
    <w:rsid w:val="00ED3D6B"/>
    <w:rsid w:val="00ED4AEC"/>
    <w:rsid w:val="00ED747A"/>
    <w:rsid w:val="00EE7F59"/>
    <w:rsid w:val="00EF0B73"/>
    <w:rsid w:val="00EF18BA"/>
    <w:rsid w:val="00EF6AD0"/>
    <w:rsid w:val="00EF6D97"/>
    <w:rsid w:val="00F07242"/>
    <w:rsid w:val="00F1436C"/>
    <w:rsid w:val="00F201F4"/>
    <w:rsid w:val="00F2286F"/>
    <w:rsid w:val="00F27B72"/>
    <w:rsid w:val="00F41F10"/>
    <w:rsid w:val="00F424C5"/>
    <w:rsid w:val="00F5180D"/>
    <w:rsid w:val="00F540A1"/>
    <w:rsid w:val="00F57212"/>
    <w:rsid w:val="00F61D97"/>
    <w:rsid w:val="00F70DB7"/>
    <w:rsid w:val="00F714B2"/>
    <w:rsid w:val="00F71B27"/>
    <w:rsid w:val="00F76C32"/>
    <w:rsid w:val="00F80083"/>
    <w:rsid w:val="00F9032F"/>
    <w:rsid w:val="00F92FE7"/>
    <w:rsid w:val="00F96C62"/>
    <w:rsid w:val="00FA03B3"/>
    <w:rsid w:val="00FB4D41"/>
    <w:rsid w:val="00FD0921"/>
    <w:rsid w:val="00FF4E5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647250D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8A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A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AD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8AD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68AD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68A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268AD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68AD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68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268AD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268A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7268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268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268A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268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268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268AD"/>
    <w:pPr>
      <w:tabs>
        <w:tab w:val="left" w:pos="2880"/>
      </w:tabs>
    </w:pPr>
  </w:style>
  <w:style w:type="paragraph" w:customStyle="1" w:styleId="Apara">
    <w:name w:val="A para"/>
    <w:basedOn w:val="Normal"/>
    <w:rsid w:val="007268AD"/>
    <w:pPr>
      <w:numPr>
        <w:ilvl w:val="6"/>
        <w:numId w:val="2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268AD"/>
    <w:pPr>
      <w:numPr>
        <w:ilvl w:val="7"/>
        <w:numId w:val="2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268AD"/>
    <w:pPr>
      <w:numPr>
        <w:ilvl w:val="8"/>
        <w:numId w:val="2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268AD"/>
    <w:pPr>
      <w:keepNext/>
      <w:numPr>
        <w:ilvl w:val="4"/>
        <w:numId w:val="12"/>
      </w:numPr>
      <w:tabs>
        <w:tab w:val="clear" w:pos="360"/>
        <w:tab w:val="num" w:pos="700"/>
      </w:tabs>
      <w:spacing w:before="180" w:after="60"/>
      <w:ind w:left="700" w:hanging="70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268AD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268AD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268AD"/>
    <w:rPr>
      <w:rFonts w:cs="Times New Roman"/>
    </w:rPr>
  </w:style>
  <w:style w:type="paragraph" w:customStyle="1" w:styleId="CoverInForce">
    <w:name w:val="CoverInForc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268AD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268AD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7268AD"/>
    <w:rPr>
      <w:rFonts w:cs="Times New Roman"/>
    </w:rPr>
  </w:style>
  <w:style w:type="paragraph" w:customStyle="1" w:styleId="Aparabullet">
    <w:name w:val="A para bullet"/>
    <w:basedOn w:val="Normal"/>
    <w:rsid w:val="007268AD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rsid w:val="007268AD"/>
  </w:style>
  <w:style w:type="paragraph" w:styleId="TOC2">
    <w:name w:val="toc 2"/>
    <w:basedOn w:val="Normal"/>
    <w:next w:val="Normal"/>
    <w:autoRedefine/>
    <w:uiPriority w:val="39"/>
    <w:semiHidden/>
    <w:rsid w:val="007268AD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268AD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268A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268A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268A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268A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268A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268AD"/>
    <w:pPr>
      <w:ind w:left="1920"/>
    </w:pPr>
  </w:style>
  <w:style w:type="character" w:styleId="Hyperlink">
    <w:name w:val="Hyperlink"/>
    <w:basedOn w:val="DefaultParagraphFont"/>
    <w:uiPriority w:val="99"/>
    <w:rsid w:val="007268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268AD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268AD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268AD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268AD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7268A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268AD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8AD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8A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268AD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268AD"/>
    <w:rPr>
      <w:rFonts w:cs="Times New Roman"/>
    </w:rPr>
  </w:style>
  <w:style w:type="paragraph" w:customStyle="1" w:styleId="aDef">
    <w:name w:val="aDef"/>
    <w:basedOn w:val="Normal"/>
    <w:rsid w:val="00A033C9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A033C9"/>
    <w:pPr>
      <w:numPr>
        <w:ilvl w:val="0"/>
        <w:numId w:val="0"/>
      </w:numPr>
      <w:tabs>
        <w:tab w:val="right" w:pos="1400"/>
        <w:tab w:val="left" w:pos="1600"/>
      </w:tabs>
      <w:ind w:left="1600" w:hanging="1600"/>
    </w:pPr>
    <w:rPr>
      <w:szCs w:val="24"/>
    </w:rPr>
  </w:style>
  <w:style w:type="character" w:customStyle="1" w:styleId="charBoldItals">
    <w:name w:val="charBoldItals"/>
    <w:basedOn w:val="DefaultParagraphFont"/>
    <w:rsid w:val="00A033C9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sid w:val="00A033C9"/>
    <w:rPr>
      <w:rFonts w:cs="Times New Roman"/>
      <w:i/>
      <w:iCs/>
    </w:rPr>
  </w:style>
  <w:style w:type="paragraph" w:styleId="ListBullet">
    <w:name w:val="List Bullet"/>
    <w:basedOn w:val="Normal"/>
    <w:uiPriority w:val="99"/>
    <w:rsid w:val="00A033C9"/>
    <w:pPr>
      <w:numPr>
        <w:numId w:val="18"/>
      </w:numPr>
      <w:tabs>
        <w:tab w:val="clear" w:pos="1304"/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D6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8AD"/>
    <w:rPr>
      <w:rFonts w:ascii="Tahoma" w:hAnsi="Tahoma" w:cs="Tahoma"/>
      <w:sz w:val="16"/>
      <w:szCs w:val="16"/>
      <w:lang w:val="x-none" w:eastAsia="en-US"/>
    </w:rPr>
  </w:style>
  <w:style w:type="paragraph" w:customStyle="1" w:styleId="TSYBullets">
    <w:name w:val="TSY_Bullets"/>
    <w:basedOn w:val="Normal"/>
    <w:rsid w:val="00075A06"/>
    <w:pPr>
      <w:numPr>
        <w:numId w:val="19"/>
      </w:numPr>
      <w:spacing w:before="120" w:after="120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4C5"/>
    <w:pPr>
      <w:ind w:left="720"/>
    </w:pPr>
  </w:style>
  <w:style w:type="character" w:styleId="CommentReference">
    <w:name w:val="annotation reference"/>
    <w:basedOn w:val="DefaultParagraphFont"/>
    <w:uiPriority w:val="99"/>
    <w:rsid w:val="00044E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4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4E0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4E03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0E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674C-7C0E-46ED-9839-5C60936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3100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2017-06-16T05:05:00Z</cp:lastPrinted>
  <dcterms:created xsi:type="dcterms:W3CDTF">2021-06-29T07:21:00Z</dcterms:created>
  <dcterms:modified xsi:type="dcterms:W3CDTF">2021-06-29T07:21:00Z</dcterms:modified>
</cp:coreProperties>
</file>