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E421D" w14:textId="77777777" w:rsidR="00A62A15" w:rsidRDefault="00A62A15">
      <w:pPr>
        <w:spacing w:before="120"/>
        <w:rPr>
          <w:rFonts w:ascii="Arial" w:hAnsi="Arial" w:cs="Arial"/>
        </w:rPr>
      </w:pPr>
      <w:bookmarkStart w:id="0" w:name="_Toc44738651"/>
      <w:smartTag w:uri="urn:schemas-microsoft-com:office:smarttags" w:element="place">
        <w:smartTag w:uri="urn:schemas-microsoft-com:office:smarttags" w:element="State">
          <w:r>
            <w:rPr>
              <w:rFonts w:ascii="Arial" w:hAnsi="Arial" w:cs="Arial"/>
            </w:rPr>
            <w:t>Australian Capital Territory</w:t>
          </w:r>
        </w:smartTag>
      </w:smartTag>
    </w:p>
    <w:p w14:paraId="35DB33B8" w14:textId="3671B1B3" w:rsidR="00A62A15" w:rsidRDefault="00A62A15" w:rsidP="006E22B3">
      <w:pPr>
        <w:pStyle w:val="Billname"/>
        <w:spacing w:before="700"/>
      </w:pPr>
      <w:r>
        <w:t xml:space="preserve">Race and Sports Bookmaking (Fees) Determination </w:t>
      </w:r>
      <w:r w:rsidR="003B0E56">
        <w:t>20</w:t>
      </w:r>
      <w:r w:rsidR="00FC2CA6">
        <w:t>2</w:t>
      </w:r>
      <w:r w:rsidR="006956BC">
        <w:t>1</w:t>
      </w:r>
    </w:p>
    <w:p w14:paraId="355BE3E0" w14:textId="6986EA93" w:rsidR="00A62A15" w:rsidRDefault="00A62A15" w:rsidP="00581BC9">
      <w:pPr>
        <w:tabs>
          <w:tab w:val="left" w:pos="4585"/>
        </w:tabs>
        <w:spacing w:before="240" w:after="60"/>
        <w:jc w:val="both"/>
        <w:rPr>
          <w:rFonts w:ascii="Arial" w:hAnsi="Arial" w:cs="Arial"/>
          <w:b/>
          <w:bCs/>
          <w:vertAlign w:val="superscript"/>
        </w:rPr>
      </w:pPr>
      <w:r>
        <w:rPr>
          <w:rFonts w:ascii="Arial" w:hAnsi="Arial" w:cs="Arial"/>
          <w:b/>
          <w:bCs/>
        </w:rPr>
        <w:t xml:space="preserve">Disallowable Instrument </w:t>
      </w:r>
      <w:bookmarkStart w:id="1" w:name="_Hlk10625456"/>
      <w:r w:rsidR="00CB50E0" w:rsidRPr="00F4553A">
        <w:rPr>
          <w:rFonts w:ascii="Arial" w:hAnsi="Arial" w:cs="Arial"/>
          <w:b/>
          <w:bCs/>
        </w:rPr>
        <w:t>DI</w:t>
      </w:r>
      <w:r w:rsidR="00CB50E0">
        <w:rPr>
          <w:rFonts w:ascii="Arial" w:hAnsi="Arial" w:cs="Arial"/>
          <w:b/>
          <w:bCs/>
        </w:rPr>
        <w:t>20</w:t>
      </w:r>
      <w:r w:rsidR="00FC2CA6">
        <w:rPr>
          <w:rFonts w:ascii="Arial" w:hAnsi="Arial" w:cs="Arial"/>
          <w:b/>
          <w:bCs/>
        </w:rPr>
        <w:t>2</w:t>
      </w:r>
      <w:bookmarkEnd w:id="1"/>
      <w:r w:rsidR="006956BC">
        <w:rPr>
          <w:rFonts w:ascii="Arial" w:hAnsi="Arial" w:cs="Arial"/>
          <w:b/>
          <w:bCs/>
        </w:rPr>
        <w:t>1-</w:t>
      </w:r>
      <w:r w:rsidR="00107A84">
        <w:rPr>
          <w:rFonts w:ascii="Arial" w:hAnsi="Arial" w:cs="Arial"/>
          <w:b/>
          <w:bCs/>
        </w:rPr>
        <w:t>179</w:t>
      </w:r>
    </w:p>
    <w:p w14:paraId="2141CD89" w14:textId="77777777" w:rsidR="00A62A15" w:rsidRDefault="00A62A15" w:rsidP="006E22B3">
      <w:pPr>
        <w:pStyle w:val="madeunder"/>
        <w:spacing w:before="240" w:after="120"/>
      </w:pPr>
      <w:r>
        <w:t xml:space="preserve">made under the  </w:t>
      </w:r>
    </w:p>
    <w:p w14:paraId="7476CD58" w14:textId="77777777" w:rsidR="00A62A15" w:rsidRPr="00E972F6" w:rsidRDefault="00A62A15" w:rsidP="006E22B3">
      <w:pPr>
        <w:pStyle w:val="CoverActName"/>
      </w:pPr>
      <w:r w:rsidRPr="00E972F6">
        <w:rPr>
          <w:rFonts w:cs="Arial"/>
          <w:iCs/>
          <w:sz w:val="20"/>
        </w:rPr>
        <w:t>Race and Sports Bookmaking Act 2001</w:t>
      </w:r>
      <w:r w:rsidRPr="00E972F6">
        <w:rPr>
          <w:rFonts w:cs="Arial"/>
          <w:sz w:val="20"/>
        </w:rPr>
        <w:t>, section 97 (Determination of fees)</w:t>
      </w:r>
    </w:p>
    <w:p w14:paraId="0CB09B3D" w14:textId="77777777" w:rsidR="00A62A15" w:rsidRDefault="00A62A15" w:rsidP="006E22B3">
      <w:pPr>
        <w:pStyle w:val="N-line3"/>
        <w:pBdr>
          <w:bottom w:val="none" w:sz="0" w:space="0" w:color="auto"/>
        </w:pBdr>
        <w:rPr>
          <w:sz w:val="22"/>
        </w:rPr>
      </w:pPr>
    </w:p>
    <w:p w14:paraId="6E4026C9" w14:textId="77777777" w:rsidR="00A62A15" w:rsidRDefault="00A62A15" w:rsidP="006E22B3">
      <w:pPr>
        <w:jc w:val="both"/>
        <w:rPr>
          <w:sz w:val="22"/>
        </w:rPr>
      </w:pPr>
    </w:p>
    <w:p w14:paraId="2E1CCCA1" w14:textId="77777777" w:rsidR="00A62A15" w:rsidRDefault="00A62A15" w:rsidP="006E22B3">
      <w:pPr>
        <w:pStyle w:val="Heading3"/>
        <w:jc w:val="both"/>
      </w:pPr>
      <w:r>
        <w:t>EXPLANATORY STATEMENT</w:t>
      </w:r>
    </w:p>
    <w:p w14:paraId="21E30DA3" w14:textId="77777777" w:rsidR="00A62A15" w:rsidRDefault="00A62A15" w:rsidP="006E22B3">
      <w:pPr>
        <w:jc w:val="both"/>
      </w:pPr>
    </w:p>
    <w:p w14:paraId="1E8EF531" w14:textId="77777777" w:rsidR="00A62A15" w:rsidRDefault="00A62A15" w:rsidP="006E22B3">
      <w:pPr>
        <w:pStyle w:val="N-line3"/>
        <w:pBdr>
          <w:top w:val="single" w:sz="12" w:space="1" w:color="auto"/>
          <w:bottom w:val="none" w:sz="0" w:space="0" w:color="auto"/>
        </w:pBdr>
        <w:rPr>
          <w:sz w:val="22"/>
        </w:rPr>
      </w:pPr>
    </w:p>
    <w:p w14:paraId="6D611D82" w14:textId="77777777" w:rsidR="00A62A15" w:rsidRDefault="00A62A15" w:rsidP="006E22B3">
      <w:pPr>
        <w:jc w:val="both"/>
      </w:pPr>
      <w:r>
        <w:t xml:space="preserve">The </w:t>
      </w:r>
      <w:r>
        <w:rPr>
          <w:rFonts w:cs="Arial"/>
          <w:i/>
          <w:iCs/>
        </w:rPr>
        <w:t>Race and Sports Bookmaking Act 2001</w:t>
      </w:r>
      <w:r>
        <w:t xml:space="preserve"> (the Act)</w:t>
      </w:r>
      <w:r>
        <w:rPr>
          <w:i/>
          <w:iCs/>
        </w:rPr>
        <w:t xml:space="preserve"> </w:t>
      </w:r>
      <w:r>
        <w:t>regulates the activities of race and sports bookmakers within the ACT.</w:t>
      </w:r>
    </w:p>
    <w:p w14:paraId="41B5F3B8" w14:textId="77777777" w:rsidR="00A62A15" w:rsidRDefault="00A62A15" w:rsidP="006E22B3">
      <w:pPr>
        <w:jc w:val="both"/>
        <w:rPr>
          <w:sz w:val="22"/>
        </w:rPr>
      </w:pPr>
    </w:p>
    <w:p w14:paraId="7C53BE78" w14:textId="59FC7BED" w:rsidR="006E66D2" w:rsidRPr="006E66D2" w:rsidRDefault="006E66D2" w:rsidP="006E66D2">
      <w:pPr>
        <w:pStyle w:val="N-line3"/>
        <w:pBdr>
          <w:bottom w:val="none" w:sz="0" w:space="0" w:color="auto"/>
        </w:pBdr>
      </w:pPr>
      <w:r w:rsidRPr="006E66D2">
        <w:t>This instrument revokes DI20</w:t>
      </w:r>
      <w:r w:rsidR="006956BC">
        <w:t>20-156</w:t>
      </w:r>
      <w:r w:rsidRPr="006E66D2">
        <w:t xml:space="preserve">, the </w:t>
      </w:r>
      <w:r w:rsidRPr="006E66D2">
        <w:rPr>
          <w:i/>
        </w:rPr>
        <w:t>Race and Sports Bookmaking (Fees) Determination 20</w:t>
      </w:r>
      <w:r w:rsidR="006956BC">
        <w:rPr>
          <w:i/>
        </w:rPr>
        <w:t>20</w:t>
      </w:r>
      <w:r w:rsidRPr="006E66D2">
        <w:rPr>
          <w:i/>
        </w:rPr>
        <w:t>.</w:t>
      </w:r>
    </w:p>
    <w:p w14:paraId="33BEFFA0" w14:textId="77777777" w:rsidR="00A62A15" w:rsidRPr="006E66D2" w:rsidRDefault="00A62A15" w:rsidP="006E66D2">
      <w:pPr>
        <w:jc w:val="both"/>
      </w:pPr>
    </w:p>
    <w:p w14:paraId="416164AF" w14:textId="77777777" w:rsidR="00A62A15" w:rsidRDefault="00A62A15" w:rsidP="006E22B3">
      <w:pPr>
        <w:jc w:val="both"/>
      </w:pPr>
      <w:r>
        <w:t xml:space="preserve">Section 97 of the Act provides that the Minister may determine fees for the Act. This instrument provides for the fees for </w:t>
      </w:r>
      <w:r w:rsidR="000743D0">
        <w:t xml:space="preserve">approvals under the Act as well as </w:t>
      </w:r>
      <w:r>
        <w:t>the licensing arrangements of race bookmakers, race bookmaker’s agents, sports bookmakers and sports bookmaker’s agents.</w:t>
      </w:r>
    </w:p>
    <w:p w14:paraId="506052F5" w14:textId="77777777" w:rsidR="00A62A15" w:rsidRDefault="00A62A15" w:rsidP="006E22B3">
      <w:pPr>
        <w:jc w:val="both"/>
        <w:rPr>
          <w:sz w:val="22"/>
        </w:rPr>
      </w:pPr>
    </w:p>
    <w:p w14:paraId="65174E70" w14:textId="63BA813C" w:rsidR="00815C4F" w:rsidRDefault="00815C4F" w:rsidP="00815C4F">
      <w:pPr>
        <w:pStyle w:val="Header"/>
        <w:tabs>
          <w:tab w:val="clear" w:pos="4153"/>
          <w:tab w:val="clear" w:pos="8306"/>
        </w:tabs>
        <w:jc w:val="both"/>
      </w:pPr>
      <w:r w:rsidRPr="00C96D5F">
        <w:t xml:space="preserve">The new determination sets the fees that will apply </w:t>
      </w:r>
      <w:r w:rsidR="00CD33A4">
        <w:t>beginning on</w:t>
      </w:r>
      <w:r w:rsidRPr="00C96D5F">
        <w:t xml:space="preserve"> 1</w:t>
      </w:r>
      <w:r>
        <w:t> </w:t>
      </w:r>
      <w:r w:rsidRPr="00C96D5F">
        <w:t>July</w:t>
      </w:r>
      <w:r>
        <w:t> </w:t>
      </w:r>
      <w:r w:rsidRPr="00C96D5F">
        <w:t xml:space="preserve">2021 and repeals the </w:t>
      </w:r>
      <w:r w:rsidRPr="00185B09">
        <w:rPr>
          <w:i/>
          <w:iCs/>
        </w:rPr>
        <w:t>Race and Sports Bookmaking (Fees) Determination 2020</w:t>
      </w:r>
      <w:r w:rsidRPr="00C96D5F">
        <w:t xml:space="preserve"> DI2020-1</w:t>
      </w:r>
      <w:r>
        <w:t>56</w:t>
      </w:r>
      <w:r w:rsidRPr="00C96D5F">
        <w:t xml:space="preserve">. It provides for fee increases in line with annual adjustments to the Wages Price Index (WPI) of 1.75%, rounded down to the nearest dollar for most fees, with the exception of fees that have been consecutively rounded down in previous years by more than $1.00 in which case have been rounded up to the nearest dollar. This approach also aligns with the 2021 Treasury Guidelines for Fees and Charges. Explanatory notes in the </w:t>
      </w:r>
      <w:r w:rsidR="008E33D2">
        <w:t>attachment</w:t>
      </w:r>
      <w:r w:rsidRPr="00C96D5F">
        <w:t xml:space="preserve"> list the fees previously determined to enable comparison.</w:t>
      </w:r>
    </w:p>
    <w:p w14:paraId="2DC617A0" w14:textId="23852A8C" w:rsidR="008E33D2" w:rsidRDefault="008E33D2" w:rsidP="00815C4F">
      <w:pPr>
        <w:pStyle w:val="Header"/>
        <w:tabs>
          <w:tab w:val="clear" w:pos="4153"/>
          <w:tab w:val="clear" w:pos="8306"/>
        </w:tabs>
        <w:jc w:val="both"/>
      </w:pPr>
    </w:p>
    <w:p w14:paraId="46BDF308" w14:textId="2F881F55" w:rsidR="008E33D2" w:rsidRPr="008E33D2" w:rsidRDefault="008E33D2" w:rsidP="00815C4F">
      <w:pPr>
        <w:pStyle w:val="Header"/>
        <w:tabs>
          <w:tab w:val="clear" w:pos="4153"/>
          <w:tab w:val="clear" w:pos="8306"/>
        </w:tabs>
        <w:jc w:val="both"/>
      </w:pPr>
      <w:r>
        <w:t xml:space="preserve">The determination includes new fees for the renewal of licences for race bookmakers and race bookmaker’s agents under sections 10A (Race bookmaking licence – application for renewal) and 16A (Race bookmaker’s agent licence – application for renewal) of the Act. </w:t>
      </w:r>
      <w:r>
        <w:rPr>
          <w:szCs w:val="24"/>
        </w:rPr>
        <w:t xml:space="preserve">A new framework to renew a race bookmaking licence and a race bookmaker’s agent licence was introduced under the </w:t>
      </w:r>
      <w:r>
        <w:rPr>
          <w:i/>
          <w:iCs/>
          <w:szCs w:val="24"/>
        </w:rPr>
        <w:t>Gaming and Racing (Red Tape Reduction) Legislation Amendment Act 2016.</w:t>
      </w:r>
      <w:r>
        <w:rPr>
          <w:szCs w:val="24"/>
        </w:rPr>
        <w:t xml:space="preserve"> </w:t>
      </w:r>
    </w:p>
    <w:p w14:paraId="6673E1DF" w14:textId="77777777" w:rsidR="008E33D2" w:rsidRDefault="008E33D2" w:rsidP="008E33D2">
      <w:pPr>
        <w:rPr>
          <w:szCs w:val="24"/>
        </w:rPr>
      </w:pPr>
    </w:p>
    <w:p w14:paraId="09DFDF54" w14:textId="2700E4E7" w:rsidR="008E33D2" w:rsidRDefault="008E33D2" w:rsidP="008E33D2">
      <w:pPr>
        <w:rPr>
          <w:szCs w:val="24"/>
        </w:rPr>
      </w:pPr>
      <w:r>
        <w:rPr>
          <w:szCs w:val="24"/>
        </w:rPr>
        <w:t xml:space="preserve">The </w:t>
      </w:r>
      <w:r w:rsidRPr="001B5080">
        <w:rPr>
          <w:i/>
          <w:iCs/>
          <w:szCs w:val="24"/>
        </w:rPr>
        <w:t>Gaming and Racing (Red Tape Reduction) Legislation Amendment Act</w:t>
      </w:r>
      <w:r w:rsidR="001B5080" w:rsidRPr="001B5080">
        <w:rPr>
          <w:i/>
          <w:iCs/>
          <w:szCs w:val="24"/>
        </w:rPr>
        <w:t xml:space="preserve"> 2016</w:t>
      </w:r>
      <w:r>
        <w:rPr>
          <w:szCs w:val="24"/>
        </w:rPr>
        <w:t xml:space="preserve"> inserted new sections 10A and 16A into the Act. The sections concern applications for the renewal of a race bookmaking licence and a race bookmaker’s agent licence </w:t>
      </w:r>
      <w:r>
        <w:rPr>
          <w:szCs w:val="24"/>
        </w:rPr>
        <w:lastRenderedPageBreak/>
        <w:t xml:space="preserve">respectively. The intent of the reform was to facilitate the implementation of streamlined licence renewal processes in response to industry concerns. </w:t>
      </w:r>
    </w:p>
    <w:p w14:paraId="6C87420D" w14:textId="77777777" w:rsidR="008E33D2" w:rsidRDefault="008E33D2" w:rsidP="008E33D2">
      <w:pPr>
        <w:rPr>
          <w:szCs w:val="24"/>
        </w:rPr>
      </w:pPr>
    </w:p>
    <w:p w14:paraId="1BFDD0D4" w14:textId="77777777" w:rsidR="008E33D2" w:rsidRDefault="008E33D2" w:rsidP="008E33D2">
      <w:pPr>
        <w:rPr>
          <w:szCs w:val="24"/>
        </w:rPr>
      </w:pPr>
      <w:r>
        <w:rPr>
          <w:szCs w:val="24"/>
        </w:rPr>
        <w:t>Part of the intended red tape reduction was to remove the requirement for an Australian Federal Police (AFP) fingerprint check as part of renewal process. This requirement was a key concern for industry and was noted as an overly bureaucratic requirement for a low-risk approval, particularly for individuals that have previously been granted a licence. The intended approach for renewals is to instead request the applicant obtain an Australian Federal Police name check at their own cost and submit the resulting check to the ACT Gambling and Racing Commission (GRC).</w:t>
      </w:r>
    </w:p>
    <w:p w14:paraId="73412244" w14:textId="77777777" w:rsidR="008E33D2" w:rsidRDefault="008E33D2" w:rsidP="008E33D2">
      <w:pPr>
        <w:rPr>
          <w:szCs w:val="24"/>
        </w:rPr>
      </w:pPr>
    </w:p>
    <w:p w14:paraId="118C30AF" w14:textId="06AD206D" w:rsidR="006308C5" w:rsidRDefault="006308C5" w:rsidP="006E22B3">
      <w:pPr>
        <w:jc w:val="both"/>
      </w:pPr>
      <w:bookmarkStart w:id="2" w:name="_Hlk37239736"/>
      <w:bookmarkEnd w:id="0"/>
      <w:r w:rsidRPr="00BE600D">
        <w:t xml:space="preserve">The list of </w:t>
      </w:r>
      <w:r w:rsidR="009C04F7" w:rsidRPr="00BE600D">
        <w:t xml:space="preserve">items for which fees are set </w:t>
      </w:r>
      <w:r w:rsidRPr="00BE600D">
        <w:t xml:space="preserve">in this instrument is identical to the list of </w:t>
      </w:r>
      <w:r w:rsidR="009C04F7" w:rsidRPr="00BE600D">
        <w:t xml:space="preserve">items </w:t>
      </w:r>
      <w:r w:rsidRPr="00BE600D">
        <w:t xml:space="preserve">in the Disallowable Instrument </w:t>
      </w:r>
      <w:r w:rsidR="00DD1C04" w:rsidRPr="00BE600D">
        <w:rPr>
          <w:bCs/>
        </w:rPr>
        <w:t>DI</w:t>
      </w:r>
      <w:r w:rsidR="003B0E56" w:rsidRPr="00BE600D">
        <w:rPr>
          <w:bCs/>
        </w:rPr>
        <w:t>20</w:t>
      </w:r>
      <w:bookmarkEnd w:id="2"/>
      <w:r w:rsidR="006956BC">
        <w:rPr>
          <w:bCs/>
        </w:rPr>
        <w:t>20</w:t>
      </w:r>
      <w:r w:rsidR="004E2306" w:rsidRPr="00BE600D">
        <w:rPr>
          <w:bCs/>
        </w:rPr>
        <w:t>-</w:t>
      </w:r>
      <w:r w:rsidR="003B0E56" w:rsidRPr="00BE600D">
        <w:rPr>
          <w:bCs/>
        </w:rPr>
        <w:t>1</w:t>
      </w:r>
      <w:r w:rsidR="006956BC">
        <w:rPr>
          <w:bCs/>
        </w:rPr>
        <w:t>56</w:t>
      </w:r>
      <w:r w:rsidR="008E33D2">
        <w:rPr>
          <w:bCs/>
        </w:rPr>
        <w:t xml:space="preserve"> aside from the renewal fees described above</w:t>
      </w:r>
      <w:r w:rsidRPr="00BE600D">
        <w:t>.</w:t>
      </w:r>
    </w:p>
    <w:p w14:paraId="4A34576E" w14:textId="77777777" w:rsidR="006308C5" w:rsidRDefault="006308C5" w:rsidP="006E22B3">
      <w:pPr>
        <w:jc w:val="both"/>
      </w:pPr>
    </w:p>
    <w:p w14:paraId="550AF718" w14:textId="4A4CAC4F" w:rsidR="00A62A15" w:rsidRDefault="00A62A15" w:rsidP="006E22B3">
      <w:pPr>
        <w:jc w:val="both"/>
      </w:pPr>
      <w:r>
        <w:t>A determination</w:t>
      </w:r>
      <w:r w:rsidR="006E66D2">
        <w:t xml:space="preserve"> </w:t>
      </w:r>
      <w:r>
        <w:t>under section 97</w:t>
      </w:r>
      <w:r w:rsidR="006E66D2">
        <w:t xml:space="preserve"> of the Act</w:t>
      </w:r>
      <w:r>
        <w:t xml:space="preserve"> is a disallowable instrument and must be tabled in the Legislative Assembly.</w:t>
      </w:r>
    </w:p>
    <w:p w14:paraId="7A7B359A" w14:textId="63C44C28" w:rsidR="008E33D2" w:rsidRDefault="008E33D2" w:rsidP="006E22B3">
      <w:pPr>
        <w:jc w:val="both"/>
      </w:pPr>
    </w:p>
    <w:p w14:paraId="7CAA7411" w14:textId="575F96D6" w:rsidR="008E33D2" w:rsidRDefault="00C4225D" w:rsidP="006E22B3">
      <w:pPr>
        <w:jc w:val="both"/>
        <w:rPr>
          <w:b/>
          <w:bCs/>
        </w:rPr>
      </w:pPr>
      <w:r>
        <w:rPr>
          <w:b/>
          <w:bCs/>
        </w:rPr>
        <w:t>Commencement dates</w:t>
      </w:r>
    </w:p>
    <w:p w14:paraId="180965A8" w14:textId="110ABB27" w:rsidR="008E33D2" w:rsidRPr="0076477C" w:rsidRDefault="008E33D2" w:rsidP="0076477C">
      <w:pPr>
        <w:rPr>
          <w:szCs w:val="24"/>
        </w:rPr>
      </w:pPr>
      <w:r>
        <w:t xml:space="preserve">The provisions of the determination relating to the renewal fees under sections 10A and 16A of </w:t>
      </w:r>
      <w:r w:rsidR="00C4225D">
        <w:t xml:space="preserve">the Act will commence on the day after notification, </w:t>
      </w:r>
      <w:r w:rsidR="00C4225D">
        <w:rPr>
          <w:szCs w:val="24"/>
        </w:rPr>
        <w:t xml:space="preserve"> </w:t>
      </w:r>
    </w:p>
    <w:p w14:paraId="41AF32EA" w14:textId="77777777" w:rsidR="008E33D2" w:rsidRPr="0076477C" w:rsidRDefault="008E33D2" w:rsidP="006E22B3">
      <w:pPr>
        <w:jc w:val="both"/>
        <w:rPr>
          <w:b/>
          <w:bCs/>
        </w:rPr>
      </w:pPr>
    </w:p>
    <w:p w14:paraId="3FF83A7B" w14:textId="04E201B1" w:rsidR="008E33D2" w:rsidRDefault="008E33D2" w:rsidP="006E22B3">
      <w:pPr>
        <w:jc w:val="both"/>
        <w:rPr>
          <w:b/>
          <w:bCs/>
        </w:rPr>
      </w:pPr>
      <w:r w:rsidRPr="0076477C">
        <w:rPr>
          <w:b/>
          <w:bCs/>
        </w:rPr>
        <w:t>Regulatory Impact Statement (RIS)</w:t>
      </w:r>
    </w:p>
    <w:p w14:paraId="6ECC01B5" w14:textId="6C17EDFC" w:rsidR="008E33D2" w:rsidRDefault="008E33D2" w:rsidP="008E33D2">
      <w:pPr>
        <w:tabs>
          <w:tab w:val="left" w:pos="2600"/>
        </w:tabs>
        <w:autoSpaceDE w:val="0"/>
        <w:autoSpaceDN w:val="0"/>
        <w:adjustRightInd w:val="0"/>
        <w:jc w:val="both"/>
        <w:rPr>
          <w:szCs w:val="24"/>
          <w:lang w:eastAsia="en-AU"/>
        </w:rPr>
      </w:pPr>
      <w:r>
        <w:rPr>
          <w:szCs w:val="24"/>
          <w:lang w:eastAsia="en-AU"/>
        </w:rPr>
        <w:t xml:space="preserve">A RIS is not required for this fee determination. Section 36(1)(k) of the </w:t>
      </w:r>
      <w:r w:rsidRPr="00C4225D">
        <w:rPr>
          <w:i/>
          <w:iCs/>
          <w:szCs w:val="24"/>
          <w:lang w:eastAsia="en-AU"/>
        </w:rPr>
        <w:t xml:space="preserve">Legislation Act </w:t>
      </w:r>
      <w:r w:rsidR="00C4225D" w:rsidRPr="0076477C">
        <w:rPr>
          <w:i/>
          <w:iCs/>
          <w:szCs w:val="24"/>
          <w:lang w:eastAsia="en-AU"/>
        </w:rPr>
        <w:t>2001</w:t>
      </w:r>
      <w:r w:rsidR="00C4225D">
        <w:rPr>
          <w:szCs w:val="24"/>
          <w:lang w:eastAsia="en-AU"/>
        </w:rPr>
        <w:t xml:space="preserve"> </w:t>
      </w:r>
      <w:r>
        <w:rPr>
          <w:szCs w:val="24"/>
          <w:lang w:eastAsia="en-AU"/>
        </w:rPr>
        <w:t xml:space="preserve">provides that it is not necessary to provide a RIS for an amendment of a fee consistent with announced government policy. </w:t>
      </w:r>
    </w:p>
    <w:p w14:paraId="30D327DA" w14:textId="2FACAA57" w:rsidR="008E33D2" w:rsidRDefault="008E33D2" w:rsidP="006E22B3">
      <w:pPr>
        <w:jc w:val="both"/>
      </w:pPr>
    </w:p>
    <w:p w14:paraId="0E0FA4C6" w14:textId="12508CFD" w:rsidR="008E33D2" w:rsidRDefault="008E33D2" w:rsidP="006E22B3">
      <w:pPr>
        <w:jc w:val="both"/>
        <w:rPr>
          <w:b/>
          <w:bCs/>
        </w:rPr>
      </w:pPr>
      <w:r w:rsidRPr="0076477C">
        <w:rPr>
          <w:b/>
          <w:bCs/>
        </w:rPr>
        <w:t>Human Rights</w:t>
      </w:r>
    </w:p>
    <w:p w14:paraId="5FB46293" w14:textId="77777777" w:rsidR="003C54B1" w:rsidRDefault="003C54B1" w:rsidP="003C54B1">
      <w:pPr>
        <w:tabs>
          <w:tab w:val="left" w:pos="2600"/>
        </w:tabs>
        <w:autoSpaceDE w:val="0"/>
        <w:autoSpaceDN w:val="0"/>
        <w:adjustRightInd w:val="0"/>
        <w:jc w:val="both"/>
        <w:rPr>
          <w:szCs w:val="24"/>
          <w:lang w:eastAsia="en-AU"/>
        </w:rPr>
      </w:pPr>
      <w:r>
        <w:rPr>
          <w:szCs w:val="24"/>
          <w:lang w:eastAsia="en-AU"/>
        </w:rPr>
        <w:t xml:space="preserve">The terms of reference of the Standing Committee on Justice and Community Safety (Legislative Scrutiny Role) require consideration of the human rights impacts of bills and subordinate legislation, among other matters. There are no human rights impacts arising from the new determination. </w:t>
      </w:r>
    </w:p>
    <w:p w14:paraId="373D8B38" w14:textId="77777777" w:rsidR="008E33D2" w:rsidRPr="0076477C" w:rsidRDefault="008E33D2" w:rsidP="006E22B3">
      <w:pPr>
        <w:jc w:val="both"/>
        <w:rPr>
          <w:b/>
          <w:bCs/>
        </w:rPr>
      </w:pPr>
    </w:p>
    <w:p w14:paraId="20B62F49" w14:textId="77777777" w:rsidR="00170F91" w:rsidRDefault="00170F91" w:rsidP="006E22B3">
      <w:pPr>
        <w:jc w:val="both"/>
      </w:pPr>
    </w:p>
    <w:p w14:paraId="0840B5A6" w14:textId="77777777" w:rsidR="00170F91" w:rsidRDefault="00170F91" w:rsidP="006E22B3">
      <w:pPr>
        <w:jc w:val="both"/>
        <w:sectPr w:rsidR="00170F91" w:rsidSect="001146E2">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985" w:left="1797" w:header="720" w:footer="720" w:gutter="0"/>
          <w:paperSrc w:first="7" w:other="7"/>
          <w:cols w:space="720"/>
        </w:sectPr>
      </w:pPr>
    </w:p>
    <w:tbl>
      <w:tblPr>
        <w:tblW w:w="9549"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69"/>
        <w:gridCol w:w="5512"/>
        <w:gridCol w:w="1384"/>
        <w:gridCol w:w="1384"/>
      </w:tblGrid>
      <w:tr w:rsidR="001D083E" w:rsidRPr="00652B7F" w14:paraId="10C9EEC4" w14:textId="77777777" w:rsidTr="001D083E">
        <w:trPr>
          <w:trHeight w:val="368"/>
          <w:tblHeader/>
          <w:jc w:val="center"/>
        </w:trPr>
        <w:tc>
          <w:tcPr>
            <w:tcW w:w="1269" w:type="dxa"/>
            <w:tcBorders>
              <w:top w:val="nil"/>
              <w:bottom w:val="single" w:sz="12" w:space="0" w:color="auto"/>
            </w:tcBorders>
          </w:tcPr>
          <w:p w14:paraId="358568A3" w14:textId="77777777" w:rsidR="001D083E" w:rsidRPr="00652B7F" w:rsidRDefault="001D083E" w:rsidP="001221B5">
            <w:pPr>
              <w:pStyle w:val="Heading2"/>
              <w:spacing w:before="120"/>
              <w:jc w:val="left"/>
              <w:rPr>
                <w:sz w:val="22"/>
                <w:szCs w:val="22"/>
              </w:rPr>
            </w:pPr>
            <w:r w:rsidRPr="00652B7F">
              <w:rPr>
                <w:sz w:val="22"/>
                <w:szCs w:val="22"/>
              </w:rPr>
              <w:lastRenderedPageBreak/>
              <w:t xml:space="preserve">Column </w:t>
            </w:r>
            <w:r>
              <w:rPr>
                <w:sz w:val="22"/>
                <w:szCs w:val="22"/>
              </w:rPr>
              <w:t>1</w:t>
            </w:r>
          </w:p>
        </w:tc>
        <w:tc>
          <w:tcPr>
            <w:tcW w:w="5512" w:type="dxa"/>
            <w:tcBorders>
              <w:top w:val="nil"/>
              <w:bottom w:val="single" w:sz="12" w:space="0" w:color="auto"/>
            </w:tcBorders>
          </w:tcPr>
          <w:p w14:paraId="5A0C0C0E" w14:textId="77777777" w:rsidR="001D083E" w:rsidRPr="00652B7F" w:rsidRDefault="001D083E" w:rsidP="001221B5">
            <w:pPr>
              <w:spacing w:before="120"/>
              <w:rPr>
                <w:b/>
                <w:bCs/>
                <w:sz w:val="22"/>
                <w:szCs w:val="22"/>
              </w:rPr>
            </w:pPr>
            <w:r w:rsidRPr="00652B7F">
              <w:rPr>
                <w:b/>
                <w:bCs/>
                <w:sz w:val="22"/>
                <w:szCs w:val="22"/>
              </w:rPr>
              <w:t xml:space="preserve">Column </w:t>
            </w:r>
            <w:r>
              <w:rPr>
                <w:b/>
                <w:bCs/>
                <w:sz w:val="22"/>
                <w:szCs w:val="22"/>
              </w:rPr>
              <w:t>2</w:t>
            </w:r>
          </w:p>
        </w:tc>
        <w:tc>
          <w:tcPr>
            <w:tcW w:w="1384" w:type="dxa"/>
            <w:tcBorders>
              <w:top w:val="nil"/>
              <w:bottom w:val="single" w:sz="12" w:space="0" w:color="auto"/>
            </w:tcBorders>
          </w:tcPr>
          <w:p w14:paraId="1B3762EF" w14:textId="77777777" w:rsidR="001D083E" w:rsidRPr="00652B7F" w:rsidRDefault="001D083E" w:rsidP="001221B5">
            <w:pPr>
              <w:spacing w:before="120"/>
              <w:rPr>
                <w:b/>
                <w:bCs/>
                <w:sz w:val="22"/>
                <w:szCs w:val="22"/>
              </w:rPr>
            </w:pPr>
            <w:r w:rsidRPr="00652B7F">
              <w:rPr>
                <w:b/>
                <w:bCs/>
                <w:sz w:val="22"/>
                <w:szCs w:val="22"/>
              </w:rPr>
              <w:t xml:space="preserve">Column </w:t>
            </w:r>
            <w:r>
              <w:rPr>
                <w:b/>
                <w:bCs/>
                <w:sz w:val="22"/>
                <w:szCs w:val="22"/>
              </w:rPr>
              <w:t>3</w:t>
            </w:r>
          </w:p>
        </w:tc>
        <w:tc>
          <w:tcPr>
            <w:tcW w:w="1384" w:type="dxa"/>
            <w:tcBorders>
              <w:top w:val="nil"/>
              <w:bottom w:val="single" w:sz="12" w:space="0" w:color="auto"/>
            </w:tcBorders>
          </w:tcPr>
          <w:p w14:paraId="36DB293E" w14:textId="77777777" w:rsidR="001D083E" w:rsidRPr="00652B7F" w:rsidRDefault="001D083E" w:rsidP="001221B5">
            <w:pPr>
              <w:spacing w:before="120"/>
              <w:rPr>
                <w:b/>
                <w:bCs/>
                <w:sz w:val="22"/>
                <w:szCs w:val="22"/>
              </w:rPr>
            </w:pPr>
            <w:r>
              <w:rPr>
                <w:b/>
                <w:bCs/>
                <w:sz w:val="22"/>
                <w:szCs w:val="22"/>
              </w:rPr>
              <w:t>Column 4</w:t>
            </w:r>
          </w:p>
        </w:tc>
      </w:tr>
      <w:tr w:rsidR="001D083E" w:rsidRPr="00652B7F" w14:paraId="5BAE2451" w14:textId="77777777" w:rsidTr="001D083E">
        <w:trPr>
          <w:trHeight w:val="813"/>
          <w:tblHeader/>
          <w:jc w:val="center"/>
        </w:trPr>
        <w:tc>
          <w:tcPr>
            <w:tcW w:w="1269" w:type="dxa"/>
            <w:tcBorders>
              <w:top w:val="single" w:sz="12" w:space="0" w:color="auto"/>
              <w:bottom w:val="single" w:sz="12" w:space="0" w:color="auto"/>
            </w:tcBorders>
          </w:tcPr>
          <w:p w14:paraId="2DD9945E" w14:textId="77777777" w:rsidR="001D083E" w:rsidRPr="00652B7F" w:rsidRDefault="001D083E" w:rsidP="001221B5">
            <w:pPr>
              <w:pStyle w:val="Heading2"/>
              <w:jc w:val="left"/>
              <w:rPr>
                <w:sz w:val="22"/>
                <w:szCs w:val="22"/>
              </w:rPr>
            </w:pPr>
            <w:r>
              <w:rPr>
                <w:sz w:val="22"/>
                <w:szCs w:val="22"/>
              </w:rPr>
              <w:t>Relevant S</w:t>
            </w:r>
            <w:r w:rsidRPr="00652B7F">
              <w:rPr>
                <w:sz w:val="22"/>
                <w:szCs w:val="22"/>
              </w:rPr>
              <w:t>ection of Act</w:t>
            </w:r>
          </w:p>
        </w:tc>
        <w:tc>
          <w:tcPr>
            <w:tcW w:w="5512" w:type="dxa"/>
            <w:tcBorders>
              <w:top w:val="single" w:sz="12" w:space="0" w:color="auto"/>
              <w:bottom w:val="single" w:sz="12" w:space="0" w:color="auto"/>
            </w:tcBorders>
          </w:tcPr>
          <w:p w14:paraId="0F1DB8B6" w14:textId="77777777" w:rsidR="001D083E" w:rsidRPr="00652B7F" w:rsidRDefault="001D083E" w:rsidP="001221B5">
            <w:pPr>
              <w:rPr>
                <w:b/>
                <w:bCs/>
                <w:sz w:val="22"/>
                <w:szCs w:val="22"/>
              </w:rPr>
            </w:pPr>
            <w:r w:rsidRPr="00652B7F">
              <w:rPr>
                <w:b/>
                <w:bCs/>
                <w:sz w:val="22"/>
                <w:szCs w:val="22"/>
              </w:rPr>
              <w:t>Description of Matter for which Fee is Payable</w:t>
            </w:r>
          </w:p>
        </w:tc>
        <w:tc>
          <w:tcPr>
            <w:tcW w:w="1384" w:type="dxa"/>
            <w:tcBorders>
              <w:top w:val="single" w:sz="12" w:space="0" w:color="auto"/>
              <w:bottom w:val="single" w:sz="12" w:space="0" w:color="auto"/>
            </w:tcBorders>
          </w:tcPr>
          <w:p w14:paraId="0243DA70" w14:textId="77777777" w:rsidR="001D083E" w:rsidRPr="00652B7F" w:rsidRDefault="001D083E" w:rsidP="003E3E29">
            <w:pPr>
              <w:ind w:left="34" w:hanging="34"/>
              <w:rPr>
                <w:b/>
                <w:bCs/>
                <w:sz w:val="22"/>
                <w:szCs w:val="22"/>
              </w:rPr>
            </w:pPr>
            <w:r>
              <w:rPr>
                <w:b/>
                <w:bCs/>
                <w:sz w:val="22"/>
                <w:szCs w:val="22"/>
              </w:rPr>
              <w:t>Previous Fee</w:t>
            </w:r>
            <w:r w:rsidR="00B249DC">
              <w:rPr>
                <w:b/>
                <w:bCs/>
                <w:sz w:val="22"/>
                <w:szCs w:val="22"/>
              </w:rPr>
              <w:t xml:space="preserve"> (GST exempt)</w:t>
            </w:r>
          </w:p>
        </w:tc>
        <w:tc>
          <w:tcPr>
            <w:tcW w:w="1384" w:type="dxa"/>
            <w:tcBorders>
              <w:top w:val="single" w:sz="12" w:space="0" w:color="auto"/>
              <w:bottom w:val="single" w:sz="12" w:space="0" w:color="auto"/>
            </w:tcBorders>
          </w:tcPr>
          <w:p w14:paraId="001FB6A2" w14:textId="415E4BD7" w:rsidR="001D083E" w:rsidRPr="00652B7F" w:rsidRDefault="001D083E" w:rsidP="001221B5">
            <w:pPr>
              <w:rPr>
                <w:b/>
                <w:bCs/>
                <w:sz w:val="22"/>
                <w:szCs w:val="22"/>
              </w:rPr>
            </w:pPr>
            <w:r>
              <w:rPr>
                <w:b/>
                <w:bCs/>
                <w:sz w:val="22"/>
                <w:szCs w:val="22"/>
              </w:rPr>
              <w:t xml:space="preserve">Fee </w:t>
            </w:r>
            <w:r w:rsidR="009562D3">
              <w:rPr>
                <w:b/>
                <w:bCs/>
                <w:sz w:val="22"/>
                <w:szCs w:val="22"/>
              </w:rPr>
              <w:t>on and after</w:t>
            </w:r>
            <w:r>
              <w:rPr>
                <w:b/>
                <w:bCs/>
                <w:sz w:val="22"/>
                <w:szCs w:val="22"/>
              </w:rPr>
              <w:t xml:space="preserve"> 1 July 20</w:t>
            </w:r>
            <w:r w:rsidR="00D866B6">
              <w:rPr>
                <w:b/>
                <w:bCs/>
                <w:sz w:val="22"/>
                <w:szCs w:val="22"/>
              </w:rPr>
              <w:t>2</w:t>
            </w:r>
            <w:r w:rsidR="006956BC">
              <w:rPr>
                <w:b/>
                <w:bCs/>
                <w:sz w:val="22"/>
                <w:szCs w:val="22"/>
              </w:rPr>
              <w:t>1</w:t>
            </w:r>
            <w:r w:rsidR="00B249DC">
              <w:rPr>
                <w:b/>
                <w:bCs/>
                <w:sz w:val="22"/>
                <w:szCs w:val="22"/>
              </w:rPr>
              <w:t xml:space="preserve"> (GST exempt)</w:t>
            </w:r>
          </w:p>
        </w:tc>
      </w:tr>
      <w:tr w:rsidR="00480EDA" w:rsidRPr="00A01B5F" w14:paraId="06D0B172" w14:textId="77777777" w:rsidTr="001D083E">
        <w:trPr>
          <w:trHeight w:val="874"/>
          <w:tblHeader/>
          <w:jc w:val="center"/>
        </w:trPr>
        <w:tc>
          <w:tcPr>
            <w:tcW w:w="1269" w:type="dxa"/>
            <w:tcBorders>
              <w:top w:val="single" w:sz="12" w:space="0" w:color="auto"/>
              <w:right w:val="nil"/>
            </w:tcBorders>
          </w:tcPr>
          <w:p w14:paraId="42B4227E" w14:textId="77777777" w:rsidR="00480EDA" w:rsidRPr="00A01B5F" w:rsidRDefault="00480EDA" w:rsidP="00480EDA">
            <w:pPr>
              <w:rPr>
                <w:szCs w:val="24"/>
              </w:rPr>
            </w:pPr>
            <w:r>
              <w:t>6(1)</w:t>
            </w:r>
          </w:p>
        </w:tc>
        <w:tc>
          <w:tcPr>
            <w:tcW w:w="5512" w:type="dxa"/>
            <w:tcBorders>
              <w:top w:val="single" w:sz="12" w:space="0" w:color="auto"/>
              <w:left w:val="nil"/>
              <w:right w:val="nil"/>
            </w:tcBorders>
          </w:tcPr>
          <w:p w14:paraId="139C1B03" w14:textId="78E1A9AC" w:rsidR="00480EDA" w:rsidRDefault="00480EDA" w:rsidP="00480EDA">
            <w:r>
              <w:t>Application for approval of a race bookmaking licence</w:t>
            </w:r>
          </w:p>
          <w:p w14:paraId="66C4F065" w14:textId="77777777" w:rsidR="00480EDA" w:rsidRPr="00A01B5F" w:rsidRDefault="00480EDA" w:rsidP="00480EDA">
            <w:pPr>
              <w:rPr>
                <w:szCs w:val="24"/>
              </w:rPr>
            </w:pPr>
          </w:p>
        </w:tc>
        <w:tc>
          <w:tcPr>
            <w:tcW w:w="1384" w:type="dxa"/>
            <w:tcBorders>
              <w:top w:val="single" w:sz="12" w:space="0" w:color="auto"/>
              <w:left w:val="nil"/>
            </w:tcBorders>
          </w:tcPr>
          <w:p w14:paraId="2C473646" w14:textId="79B1761F" w:rsidR="00480EDA" w:rsidRPr="00A01B5F" w:rsidRDefault="00480EDA" w:rsidP="00480EDA">
            <w:pPr>
              <w:rPr>
                <w:szCs w:val="24"/>
              </w:rPr>
            </w:pPr>
            <w:r>
              <w:rPr>
                <w:szCs w:val="24"/>
              </w:rPr>
              <w:t>2</w:t>
            </w:r>
            <w:r w:rsidR="006956BC">
              <w:rPr>
                <w:szCs w:val="24"/>
              </w:rPr>
              <w:t>43</w:t>
            </w:r>
            <w:r>
              <w:rPr>
                <w:szCs w:val="24"/>
              </w:rPr>
              <w:t>.00</w:t>
            </w:r>
          </w:p>
        </w:tc>
        <w:tc>
          <w:tcPr>
            <w:tcW w:w="1384" w:type="dxa"/>
            <w:tcBorders>
              <w:top w:val="single" w:sz="12" w:space="0" w:color="auto"/>
              <w:left w:val="nil"/>
            </w:tcBorders>
          </w:tcPr>
          <w:p w14:paraId="42F9DE44" w14:textId="2A53B426" w:rsidR="00480EDA" w:rsidRPr="00BA74E9" w:rsidRDefault="00480EDA" w:rsidP="00480EDA">
            <w:pPr>
              <w:rPr>
                <w:szCs w:val="24"/>
                <w:highlight w:val="yellow"/>
              </w:rPr>
            </w:pPr>
            <w:r>
              <w:rPr>
                <w:szCs w:val="24"/>
              </w:rPr>
              <w:t>24</w:t>
            </w:r>
            <w:r w:rsidR="006956BC">
              <w:rPr>
                <w:szCs w:val="24"/>
              </w:rPr>
              <w:t>7</w:t>
            </w:r>
            <w:r w:rsidRPr="00227EE0">
              <w:rPr>
                <w:szCs w:val="24"/>
              </w:rPr>
              <w:t>.00</w:t>
            </w:r>
          </w:p>
        </w:tc>
      </w:tr>
      <w:tr w:rsidR="00480EDA" w14:paraId="26D537AD" w14:textId="77777777" w:rsidTr="001D083E">
        <w:trPr>
          <w:trHeight w:val="874"/>
          <w:tblHeader/>
          <w:jc w:val="center"/>
        </w:trPr>
        <w:tc>
          <w:tcPr>
            <w:tcW w:w="1269" w:type="dxa"/>
            <w:tcBorders>
              <w:right w:val="nil"/>
            </w:tcBorders>
          </w:tcPr>
          <w:p w14:paraId="0F34149F" w14:textId="52BC3A4F" w:rsidR="00480EDA" w:rsidRPr="00A01B5F" w:rsidRDefault="00480EDA" w:rsidP="00480EDA">
            <w:pPr>
              <w:rPr>
                <w:szCs w:val="24"/>
              </w:rPr>
            </w:pPr>
            <w:r>
              <w:t>7</w:t>
            </w:r>
          </w:p>
        </w:tc>
        <w:tc>
          <w:tcPr>
            <w:tcW w:w="5512" w:type="dxa"/>
            <w:tcBorders>
              <w:left w:val="nil"/>
              <w:right w:val="nil"/>
            </w:tcBorders>
          </w:tcPr>
          <w:p w14:paraId="4F3D3ED0" w14:textId="77777777" w:rsidR="00480EDA" w:rsidRDefault="00480EDA" w:rsidP="00480EDA">
            <w:r>
              <w:t>Annual fee for a race bookmaking licence, commencing 1 July, or for any part of a year for which the licence is issued</w:t>
            </w:r>
          </w:p>
          <w:p w14:paraId="305208C0" w14:textId="6E15A3E3" w:rsidR="00480EDA" w:rsidRPr="00A01B5F" w:rsidRDefault="00480EDA" w:rsidP="00480EDA">
            <w:pPr>
              <w:rPr>
                <w:szCs w:val="24"/>
              </w:rPr>
            </w:pPr>
          </w:p>
        </w:tc>
        <w:tc>
          <w:tcPr>
            <w:tcW w:w="1384" w:type="dxa"/>
            <w:tcBorders>
              <w:left w:val="nil"/>
            </w:tcBorders>
          </w:tcPr>
          <w:p w14:paraId="5626759B" w14:textId="7548C26E" w:rsidR="00480EDA" w:rsidRPr="00A01B5F" w:rsidRDefault="00480EDA" w:rsidP="00480EDA">
            <w:pPr>
              <w:rPr>
                <w:szCs w:val="24"/>
              </w:rPr>
            </w:pPr>
            <w:r>
              <w:rPr>
                <w:szCs w:val="24"/>
              </w:rPr>
              <w:t>1</w:t>
            </w:r>
            <w:r w:rsidR="006956BC">
              <w:rPr>
                <w:szCs w:val="24"/>
              </w:rPr>
              <w:t>10</w:t>
            </w:r>
            <w:r>
              <w:rPr>
                <w:szCs w:val="24"/>
              </w:rPr>
              <w:t>.00</w:t>
            </w:r>
          </w:p>
        </w:tc>
        <w:tc>
          <w:tcPr>
            <w:tcW w:w="1384" w:type="dxa"/>
            <w:tcBorders>
              <w:left w:val="nil"/>
            </w:tcBorders>
          </w:tcPr>
          <w:p w14:paraId="1C7A9C91" w14:textId="1B4D9B7F" w:rsidR="00480EDA" w:rsidRDefault="00480EDA" w:rsidP="00480EDA">
            <w:pPr>
              <w:rPr>
                <w:szCs w:val="24"/>
              </w:rPr>
            </w:pPr>
            <w:r>
              <w:rPr>
                <w:szCs w:val="24"/>
              </w:rPr>
              <w:t>1</w:t>
            </w:r>
            <w:r w:rsidR="006956BC">
              <w:rPr>
                <w:szCs w:val="24"/>
              </w:rPr>
              <w:t>11</w:t>
            </w:r>
            <w:r w:rsidRPr="00227EE0">
              <w:rPr>
                <w:szCs w:val="24"/>
              </w:rPr>
              <w:t>.00</w:t>
            </w:r>
          </w:p>
        </w:tc>
      </w:tr>
      <w:tr w:rsidR="008E33D2" w14:paraId="3361E355" w14:textId="77777777" w:rsidTr="001D083E">
        <w:trPr>
          <w:trHeight w:val="874"/>
          <w:tblHeader/>
          <w:jc w:val="center"/>
        </w:trPr>
        <w:tc>
          <w:tcPr>
            <w:tcW w:w="1269" w:type="dxa"/>
            <w:tcBorders>
              <w:right w:val="nil"/>
            </w:tcBorders>
          </w:tcPr>
          <w:p w14:paraId="63804EB5" w14:textId="59C46AED" w:rsidR="008E33D2" w:rsidRDefault="008E33D2" w:rsidP="00480EDA">
            <w:r>
              <w:t>10A</w:t>
            </w:r>
          </w:p>
        </w:tc>
        <w:tc>
          <w:tcPr>
            <w:tcW w:w="5512" w:type="dxa"/>
            <w:tcBorders>
              <w:left w:val="nil"/>
              <w:right w:val="nil"/>
            </w:tcBorders>
          </w:tcPr>
          <w:p w14:paraId="4C586C24" w14:textId="1DC3F3D3" w:rsidR="008E33D2" w:rsidRDefault="008E33D2" w:rsidP="00480EDA">
            <w:pPr>
              <w:pStyle w:val="Header"/>
              <w:tabs>
                <w:tab w:val="clear" w:pos="4153"/>
                <w:tab w:val="clear" w:pos="8306"/>
              </w:tabs>
            </w:pPr>
            <w:r>
              <w:t>Application for renewal of a race bookmaking licence</w:t>
            </w:r>
          </w:p>
        </w:tc>
        <w:tc>
          <w:tcPr>
            <w:tcW w:w="1384" w:type="dxa"/>
            <w:tcBorders>
              <w:left w:val="nil"/>
            </w:tcBorders>
          </w:tcPr>
          <w:p w14:paraId="7739919E" w14:textId="3AE40CB0" w:rsidR="008E33D2" w:rsidRDefault="008E33D2" w:rsidP="00480EDA">
            <w:r>
              <w:t>N/A</w:t>
            </w:r>
          </w:p>
        </w:tc>
        <w:tc>
          <w:tcPr>
            <w:tcW w:w="1384" w:type="dxa"/>
            <w:tcBorders>
              <w:left w:val="nil"/>
            </w:tcBorders>
          </w:tcPr>
          <w:p w14:paraId="769453DB" w14:textId="34E92529" w:rsidR="008E33D2" w:rsidRDefault="008E33D2" w:rsidP="00480EDA">
            <w:r>
              <w:t>104</w:t>
            </w:r>
            <w:r w:rsidR="00CD33A4">
              <w:t>.00</w:t>
            </w:r>
          </w:p>
        </w:tc>
      </w:tr>
      <w:tr w:rsidR="00480EDA" w14:paraId="43648074" w14:textId="77777777" w:rsidTr="001D083E">
        <w:trPr>
          <w:trHeight w:val="874"/>
          <w:tblHeader/>
          <w:jc w:val="center"/>
        </w:trPr>
        <w:tc>
          <w:tcPr>
            <w:tcW w:w="1269" w:type="dxa"/>
            <w:tcBorders>
              <w:right w:val="nil"/>
            </w:tcBorders>
          </w:tcPr>
          <w:p w14:paraId="5CC5A8E2" w14:textId="77777777" w:rsidR="00480EDA" w:rsidRPr="00A01B5F" w:rsidRDefault="00480EDA" w:rsidP="00480EDA">
            <w:pPr>
              <w:rPr>
                <w:szCs w:val="24"/>
              </w:rPr>
            </w:pPr>
            <w:r>
              <w:t>12(1)</w:t>
            </w:r>
          </w:p>
        </w:tc>
        <w:tc>
          <w:tcPr>
            <w:tcW w:w="5512" w:type="dxa"/>
            <w:tcBorders>
              <w:left w:val="nil"/>
              <w:right w:val="nil"/>
            </w:tcBorders>
          </w:tcPr>
          <w:p w14:paraId="25ECD96B" w14:textId="661F28FC" w:rsidR="00480EDA" w:rsidRDefault="00480EDA" w:rsidP="00480EDA">
            <w:pPr>
              <w:pStyle w:val="Header"/>
              <w:tabs>
                <w:tab w:val="clear" w:pos="4153"/>
                <w:tab w:val="clear" w:pos="8306"/>
              </w:tabs>
            </w:pPr>
            <w:r>
              <w:t>Application for a race bookmaker’s agent licence</w:t>
            </w:r>
          </w:p>
          <w:p w14:paraId="0A5DA641" w14:textId="77777777" w:rsidR="00480EDA" w:rsidRDefault="00480EDA" w:rsidP="00480EDA">
            <w:pPr>
              <w:pStyle w:val="Header"/>
              <w:tabs>
                <w:tab w:val="clear" w:pos="4153"/>
                <w:tab w:val="clear" w:pos="8306"/>
              </w:tabs>
            </w:pPr>
          </w:p>
          <w:p w14:paraId="45BFD0EC" w14:textId="54743E09" w:rsidR="00480EDA" w:rsidRDefault="00480EDA" w:rsidP="00480EDA">
            <w:r>
              <w:t>Application for a race bookmaker’s agent licence where the nominated person holds a similar licence with another bookmaker</w:t>
            </w:r>
          </w:p>
          <w:p w14:paraId="6ABEC83F" w14:textId="77777777" w:rsidR="00480EDA" w:rsidRPr="00A01B5F" w:rsidRDefault="00480EDA" w:rsidP="00480EDA">
            <w:pPr>
              <w:rPr>
                <w:szCs w:val="24"/>
              </w:rPr>
            </w:pPr>
          </w:p>
        </w:tc>
        <w:tc>
          <w:tcPr>
            <w:tcW w:w="1384" w:type="dxa"/>
            <w:tcBorders>
              <w:left w:val="nil"/>
            </w:tcBorders>
          </w:tcPr>
          <w:p w14:paraId="4F09E14E" w14:textId="13229976" w:rsidR="00480EDA" w:rsidRDefault="00480EDA" w:rsidP="00480EDA">
            <w:r>
              <w:t>2</w:t>
            </w:r>
            <w:r w:rsidR="006956BC">
              <w:t>43</w:t>
            </w:r>
            <w:r>
              <w:t>.00</w:t>
            </w:r>
          </w:p>
          <w:p w14:paraId="398DE964" w14:textId="77777777" w:rsidR="00480EDA" w:rsidRDefault="00480EDA" w:rsidP="00480EDA"/>
          <w:p w14:paraId="4F0D0640" w14:textId="792100F7" w:rsidR="00480EDA" w:rsidRPr="00A01B5F" w:rsidRDefault="00480EDA" w:rsidP="00480EDA">
            <w:pPr>
              <w:rPr>
                <w:szCs w:val="24"/>
              </w:rPr>
            </w:pPr>
            <w:r>
              <w:t>36.00</w:t>
            </w:r>
          </w:p>
        </w:tc>
        <w:tc>
          <w:tcPr>
            <w:tcW w:w="1384" w:type="dxa"/>
            <w:tcBorders>
              <w:left w:val="nil"/>
            </w:tcBorders>
          </w:tcPr>
          <w:p w14:paraId="7E587501" w14:textId="32C87A5F" w:rsidR="00480EDA" w:rsidRPr="00227EE0" w:rsidRDefault="00480EDA" w:rsidP="00480EDA">
            <w:r>
              <w:t>24</w:t>
            </w:r>
            <w:r w:rsidR="006956BC">
              <w:t>7</w:t>
            </w:r>
            <w:r>
              <w:t>.00</w:t>
            </w:r>
          </w:p>
          <w:p w14:paraId="228DA0AD" w14:textId="77777777" w:rsidR="00480EDA" w:rsidRPr="00227EE0" w:rsidRDefault="00480EDA" w:rsidP="00480EDA"/>
          <w:p w14:paraId="3169D030" w14:textId="1DC7AA22" w:rsidR="00480EDA" w:rsidRPr="00A01B5F" w:rsidRDefault="00480EDA" w:rsidP="00480EDA">
            <w:pPr>
              <w:rPr>
                <w:szCs w:val="24"/>
              </w:rPr>
            </w:pPr>
            <w:r>
              <w:t>3</w:t>
            </w:r>
            <w:r w:rsidR="00815C4F">
              <w:t>7</w:t>
            </w:r>
            <w:r>
              <w:t>.00</w:t>
            </w:r>
          </w:p>
        </w:tc>
      </w:tr>
      <w:tr w:rsidR="00480EDA" w14:paraId="3EEAF8E8" w14:textId="77777777" w:rsidTr="001D083E">
        <w:trPr>
          <w:trHeight w:val="874"/>
          <w:tblHeader/>
          <w:jc w:val="center"/>
        </w:trPr>
        <w:tc>
          <w:tcPr>
            <w:tcW w:w="1269" w:type="dxa"/>
            <w:tcBorders>
              <w:right w:val="nil"/>
            </w:tcBorders>
          </w:tcPr>
          <w:p w14:paraId="01A0B2C5" w14:textId="77CA3A6D" w:rsidR="00480EDA" w:rsidRDefault="00480EDA" w:rsidP="00480EDA">
            <w:r>
              <w:t>13</w:t>
            </w:r>
          </w:p>
        </w:tc>
        <w:tc>
          <w:tcPr>
            <w:tcW w:w="5512" w:type="dxa"/>
            <w:tcBorders>
              <w:left w:val="nil"/>
              <w:right w:val="nil"/>
            </w:tcBorders>
          </w:tcPr>
          <w:p w14:paraId="0CF6CDC4" w14:textId="0B1606AC" w:rsidR="00480EDA" w:rsidRDefault="00480EDA" w:rsidP="00480EDA">
            <w:pPr>
              <w:pStyle w:val="Header"/>
              <w:tabs>
                <w:tab w:val="clear" w:pos="4153"/>
                <w:tab w:val="clear" w:pos="8306"/>
              </w:tabs>
            </w:pPr>
            <w:r>
              <w:t>Annual fee payable for a race bookmaker’s agent licence, commencing 1 July, or for any part of a year for which the licence is issued</w:t>
            </w:r>
          </w:p>
          <w:p w14:paraId="73409365" w14:textId="77777777" w:rsidR="00480EDA" w:rsidRDefault="00480EDA" w:rsidP="00480EDA">
            <w:pPr>
              <w:pStyle w:val="Header"/>
              <w:tabs>
                <w:tab w:val="clear" w:pos="4153"/>
                <w:tab w:val="clear" w:pos="8306"/>
              </w:tabs>
            </w:pPr>
          </w:p>
        </w:tc>
        <w:tc>
          <w:tcPr>
            <w:tcW w:w="1384" w:type="dxa"/>
            <w:tcBorders>
              <w:left w:val="nil"/>
            </w:tcBorders>
          </w:tcPr>
          <w:p w14:paraId="0F638211" w14:textId="670AB6DE" w:rsidR="00480EDA" w:rsidRDefault="00480EDA" w:rsidP="00480EDA">
            <w:r>
              <w:t>36.00</w:t>
            </w:r>
          </w:p>
        </w:tc>
        <w:tc>
          <w:tcPr>
            <w:tcW w:w="1384" w:type="dxa"/>
            <w:tcBorders>
              <w:left w:val="nil"/>
            </w:tcBorders>
          </w:tcPr>
          <w:p w14:paraId="7781857D" w14:textId="390B21A6" w:rsidR="00480EDA" w:rsidRDefault="00480EDA" w:rsidP="00480EDA">
            <w:r w:rsidRPr="00227EE0">
              <w:t>3</w:t>
            </w:r>
            <w:r w:rsidR="00815C4F">
              <w:t>7</w:t>
            </w:r>
            <w:r w:rsidRPr="00227EE0">
              <w:t>.00</w:t>
            </w:r>
          </w:p>
        </w:tc>
      </w:tr>
      <w:tr w:rsidR="008E33D2" w14:paraId="271809B9" w14:textId="77777777" w:rsidTr="001D083E">
        <w:trPr>
          <w:trHeight w:val="874"/>
          <w:tblHeader/>
          <w:jc w:val="center"/>
        </w:trPr>
        <w:tc>
          <w:tcPr>
            <w:tcW w:w="1269" w:type="dxa"/>
            <w:tcBorders>
              <w:right w:val="nil"/>
            </w:tcBorders>
          </w:tcPr>
          <w:p w14:paraId="1DAA8DA9" w14:textId="4709AE7B" w:rsidR="008E33D2" w:rsidRDefault="008E33D2" w:rsidP="00480EDA">
            <w:r>
              <w:t>16A</w:t>
            </w:r>
          </w:p>
        </w:tc>
        <w:tc>
          <w:tcPr>
            <w:tcW w:w="5512" w:type="dxa"/>
            <w:tcBorders>
              <w:left w:val="nil"/>
              <w:right w:val="nil"/>
            </w:tcBorders>
          </w:tcPr>
          <w:p w14:paraId="33095A05" w14:textId="5112E671" w:rsidR="008E33D2" w:rsidRDefault="008E33D2" w:rsidP="00480EDA">
            <w:pPr>
              <w:pStyle w:val="Header"/>
              <w:tabs>
                <w:tab w:val="clear" w:pos="4153"/>
                <w:tab w:val="clear" w:pos="8306"/>
              </w:tabs>
            </w:pPr>
            <w:r>
              <w:t>Application for renewal of a race bookmaker’s agent licence</w:t>
            </w:r>
          </w:p>
        </w:tc>
        <w:tc>
          <w:tcPr>
            <w:tcW w:w="1384" w:type="dxa"/>
            <w:tcBorders>
              <w:left w:val="nil"/>
            </w:tcBorders>
          </w:tcPr>
          <w:p w14:paraId="08CF528D" w14:textId="3725E367" w:rsidR="008E33D2" w:rsidRDefault="008E33D2" w:rsidP="00480EDA">
            <w:r>
              <w:t>N/A</w:t>
            </w:r>
          </w:p>
        </w:tc>
        <w:tc>
          <w:tcPr>
            <w:tcW w:w="1384" w:type="dxa"/>
            <w:tcBorders>
              <w:left w:val="nil"/>
            </w:tcBorders>
          </w:tcPr>
          <w:p w14:paraId="149EB1CF" w14:textId="2C467C42" w:rsidR="008E33D2" w:rsidRDefault="008E33D2" w:rsidP="00480EDA">
            <w:r>
              <w:t>104</w:t>
            </w:r>
            <w:r w:rsidR="00CD33A4">
              <w:t>.00</w:t>
            </w:r>
          </w:p>
        </w:tc>
      </w:tr>
      <w:tr w:rsidR="00480EDA" w14:paraId="5A5D8466" w14:textId="77777777" w:rsidTr="001D083E">
        <w:trPr>
          <w:trHeight w:val="874"/>
          <w:tblHeader/>
          <w:jc w:val="center"/>
        </w:trPr>
        <w:tc>
          <w:tcPr>
            <w:tcW w:w="1269" w:type="dxa"/>
            <w:tcBorders>
              <w:right w:val="nil"/>
            </w:tcBorders>
          </w:tcPr>
          <w:p w14:paraId="575BB6B8" w14:textId="1CF5D65E" w:rsidR="00480EDA" w:rsidRDefault="00480EDA" w:rsidP="00480EDA">
            <w:r>
              <w:t>25(1)(a)</w:t>
            </w:r>
          </w:p>
        </w:tc>
        <w:tc>
          <w:tcPr>
            <w:tcW w:w="5512" w:type="dxa"/>
            <w:tcBorders>
              <w:left w:val="nil"/>
              <w:right w:val="nil"/>
            </w:tcBorders>
          </w:tcPr>
          <w:p w14:paraId="747D93E5" w14:textId="0A7CCE18" w:rsidR="00480EDA" w:rsidRDefault="00480EDA" w:rsidP="00480EDA">
            <w:pPr>
              <w:pStyle w:val="Header"/>
              <w:tabs>
                <w:tab w:val="clear" w:pos="4153"/>
                <w:tab w:val="clear" w:pos="8306"/>
              </w:tabs>
            </w:pPr>
            <w:r>
              <w:t>Application for a sports bookmaking licence where the application is made by an individual</w:t>
            </w:r>
          </w:p>
          <w:p w14:paraId="109FBD58" w14:textId="77777777" w:rsidR="00480EDA" w:rsidRDefault="00480EDA" w:rsidP="00480EDA">
            <w:pPr>
              <w:pStyle w:val="Header"/>
              <w:tabs>
                <w:tab w:val="clear" w:pos="4153"/>
                <w:tab w:val="clear" w:pos="8306"/>
              </w:tabs>
            </w:pPr>
          </w:p>
          <w:p w14:paraId="15CB7FEF" w14:textId="77777777" w:rsidR="00480EDA" w:rsidRDefault="00480EDA" w:rsidP="00480EDA">
            <w:pPr>
              <w:pStyle w:val="Header"/>
              <w:tabs>
                <w:tab w:val="clear" w:pos="4153"/>
                <w:tab w:val="clear" w:pos="8306"/>
              </w:tabs>
            </w:pPr>
          </w:p>
        </w:tc>
        <w:tc>
          <w:tcPr>
            <w:tcW w:w="1384" w:type="dxa"/>
            <w:tcBorders>
              <w:left w:val="nil"/>
            </w:tcBorders>
          </w:tcPr>
          <w:p w14:paraId="47EDFB12" w14:textId="6211D3AE" w:rsidR="00480EDA" w:rsidRDefault="00480EDA" w:rsidP="00480EDA">
            <w:r>
              <w:t>1,0</w:t>
            </w:r>
            <w:r w:rsidR="006956BC">
              <w:t>36</w:t>
            </w:r>
            <w:r>
              <w:t>.00</w:t>
            </w:r>
          </w:p>
          <w:p w14:paraId="5705F0C6" w14:textId="77777777" w:rsidR="00480EDA" w:rsidRDefault="00480EDA" w:rsidP="00480EDA"/>
          <w:p w14:paraId="0DB57B1A" w14:textId="50B7B280" w:rsidR="00480EDA" w:rsidRDefault="00480EDA" w:rsidP="00480EDA"/>
        </w:tc>
        <w:tc>
          <w:tcPr>
            <w:tcW w:w="1384" w:type="dxa"/>
            <w:tcBorders>
              <w:left w:val="nil"/>
            </w:tcBorders>
          </w:tcPr>
          <w:p w14:paraId="18FD5E39" w14:textId="311304A1" w:rsidR="00480EDA" w:rsidRPr="00227EE0" w:rsidRDefault="00480EDA" w:rsidP="00480EDA">
            <w:r>
              <w:t>1,0</w:t>
            </w:r>
            <w:r w:rsidR="006956BC">
              <w:t>54</w:t>
            </w:r>
            <w:r w:rsidRPr="00227EE0">
              <w:t>.00</w:t>
            </w:r>
          </w:p>
          <w:p w14:paraId="2E7F07DD" w14:textId="17BA51AA" w:rsidR="00480EDA" w:rsidRDefault="00480EDA" w:rsidP="00480EDA"/>
        </w:tc>
      </w:tr>
      <w:tr w:rsidR="00480EDA" w14:paraId="10771B75" w14:textId="77777777" w:rsidTr="001D083E">
        <w:trPr>
          <w:trHeight w:val="874"/>
          <w:tblHeader/>
          <w:jc w:val="center"/>
        </w:trPr>
        <w:tc>
          <w:tcPr>
            <w:tcW w:w="1269" w:type="dxa"/>
            <w:tcBorders>
              <w:right w:val="nil"/>
            </w:tcBorders>
          </w:tcPr>
          <w:p w14:paraId="54D6D307" w14:textId="5C0C43A8" w:rsidR="00480EDA" w:rsidRDefault="00480EDA" w:rsidP="00480EDA">
            <w:r>
              <w:t>25(1)(b)</w:t>
            </w:r>
          </w:p>
        </w:tc>
        <w:tc>
          <w:tcPr>
            <w:tcW w:w="5512" w:type="dxa"/>
            <w:tcBorders>
              <w:left w:val="nil"/>
              <w:right w:val="nil"/>
            </w:tcBorders>
          </w:tcPr>
          <w:p w14:paraId="4BE32C90" w14:textId="70FB14A1" w:rsidR="00480EDA" w:rsidRDefault="00480EDA" w:rsidP="00480EDA">
            <w:pPr>
              <w:pStyle w:val="Header"/>
              <w:tabs>
                <w:tab w:val="clear" w:pos="4153"/>
                <w:tab w:val="clear" w:pos="8306"/>
              </w:tabs>
            </w:pPr>
            <w:r>
              <w:t xml:space="preserve">Application for a sports bookmaking licence where the application is made by a syndicate </w:t>
            </w:r>
          </w:p>
          <w:p w14:paraId="65317A09" w14:textId="77777777" w:rsidR="00480EDA" w:rsidRDefault="00480EDA" w:rsidP="00480EDA">
            <w:pPr>
              <w:pStyle w:val="Header"/>
              <w:tabs>
                <w:tab w:val="clear" w:pos="4153"/>
                <w:tab w:val="clear" w:pos="8306"/>
              </w:tabs>
            </w:pPr>
          </w:p>
          <w:p w14:paraId="3623906C" w14:textId="624ABBC4" w:rsidR="00480EDA" w:rsidRDefault="00480EDA" w:rsidP="00480EDA">
            <w:pPr>
              <w:pStyle w:val="Header"/>
              <w:tabs>
                <w:tab w:val="clear" w:pos="4153"/>
                <w:tab w:val="clear" w:pos="8306"/>
              </w:tabs>
            </w:pPr>
            <w:r>
              <w:t>Fee payable for each member of the syndicate making the application</w:t>
            </w:r>
          </w:p>
          <w:p w14:paraId="506A8657" w14:textId="77777777" w:rsidR="00480EDA" w:rsidDel="00D866B6" w:rsidRDefault="00480EDA" w:rsidP="00480EDA">
            <w:pPr>
              <w:pStyle w:val="Header"/>
              <w:tabs>
                <w:tab w:val="clear" w:pos="4153"/>
                <w:tab w:val="clear" w:pos="8306"/>
              </w:tabs>
            </w:pPr>
          </w:p>
        </w:tc>
        <w:tc>
          <w:tcPr>
            <w:tcW w:w="1384" w:type="dxa"/>
            <w:tcBorders>
              <w:left w:val="nil"/>
            </w:tcBorders>
          </w:tcPr>
          <w:p w14:paraId="6F8CB767" w14:textId="4C73123E" w:rsidR="00480EDA" w:rsidRDefault="00480EDA" w:rsidP="00480EDA">
            <w:r>
              <w:t>7</w:t>
            </w:r>
            <w:r w:rsidR="006956BC">
              <w:t>99</w:t>
            </w:r>
            <w:r>
              <w:t>.00</w:t>
            </w:r>
          </w:p>
          <w:p w14:paraId="0464DF3C" w14:textId="77777777" w:rsidR="00480EDA" w:rsidRDefault="00480EDA" w:rsidP="00480EDA"/>
          <w:p w14:paraId="2CD4BB2B" w14:textId="77777777" w:rsidR="00480EDA" w:rsidRDefault="00480EDA" w:rsidP="00480EDA"/>
          <w:p w14:paraId="704A43B2" w14:textId="08D6250B" w:rsidR="00480EDA" w:rsidRDefault="00480EDA" w:rsidP="00480EDA">
            <w:r>
              <w:t>2</w:t>
            </w:r>
            <w:r w:rsidR="006956BC">
              <w:t>43</w:t>
            </w:r>
            <w:r>
              <w:t>.00</w:t>
            </w:r>
          </w:p>
          <w:p w14:paraId="21B0866F" w14:textId="77777777" w:rsidR="00480EDA" w:rsidRDefault="00480EDA" w:rsidP="00480EDA"/>
        </w:tc>
        <w:tc>
          <w:tcPr>
            <w:tcW w:w="1384" w:type="dxa"/>
            <w:tcBorders>
              <w:left w:val="nil"/>
            </w:tcBorders>
          </w:tcPr>
          <w:p w14:paraId="0E094D0A" w14:textId="1E41E08F" w:rsidR="00480EDA" w:rsidRPr="00227EE0" w:rsidRDefault="006956BC" w:rsidP="00480EDA">
            <w:r>
              <w:t>812</w:t>
            </w:r>
            <w:r w:rsidR="00480EDA" w:rsidRPr="00227EE0">
              <w:t>.00</w:t>
            </w:r>
          </w:p>
          <w:p w14:paraId="15DD4330" w14:textId="77777777" w:rsidR="00480EDA" w:rsidRPr="00227EE0" w:rsidRDefault="00480EDA" w:rsidP="00480EDA"/>
          <w:p w14:paraId="64675802" w14:textId="77777777" w:rsidR="00480EDA" w:rsidRPr="00227EE0" w:rsidRDefault="00480EDA" w:rsidP="00480EDA"/>
          <w:p w14:paraId="6BA8412E" w14:textId="0BF4FF1A" w:rsidR="00480EDA" w:rsidRPr="00227EE0" w:rsidRDefault="00480EDA" w:rsidP="00480EDA">
            <w:r>
              <w:t>24</w:t>
            </w:r>
            <w:r w:rsidR="006956BC">
              <w:t>7</w:t>
            </w:r>
            <w:r w:rsidRPr="00227EE0">
              <w:t>.00</w:t>
            </w:r>
          </w:p>
          <w:p w14:paraId="30D9769A" w14:textId="77777777" w:rsidR="00480EDA" w:rsidRPr="00227EE0" w:rsidRDefault="00480EDA" w:rsidP="00480EDA"/>
          <w:p w14:paraId="0C22071A" w14:textId="77777777" w:rsidR="00480EDA" w:rsidRDefault="00480EDA" w:rsidP="00480EDA"/>
        </w:tc>
      </w:tr>
      <w:tr w:rsidR="00480EDA" w14:paraId="5551AB3F" w14:textId="77777777" w:rsidTr="001D083E">
        <w:trPr>
          <w:trHeight w:val="874"/>
          <w:tblHeader/>
          <w:jc w:val="center"/>
        </w:trPr>
        <w:tc>
          <w:tcPr>
            <w:tcW w:w="1269" w:type="dxa"/>
            <w:tcBorders>
              <w:right w:val="nil"/>
            </w:tcBorders>
          </w:tcPr>
          <w:p w14:paraId="7B50DE01" w14:textId="7F829B6C" w:rsidR="00480EDA" w:rsidRDefault="00480EDA" w:rsidP="00480EDA">
            <w:r>
              <w:t>25(1)(c)</w:t>
            </w:r>
          </w:p>
        </w:tc>
        <w:tc>
          <w:tcPr>
            <w:tcW w:w="5512" w:type="dxa"/>
            <w:tcBorders>
              <w:left w:val="nil"/>
              <w:right w:val="nil"/>
            </w:tcBorders>
          </w:tcPr>
          <w:p w14:paraId="5E0C0DE9" w14:textId="6B53613E" w:rsidR="00480EDA" w:rsidRDefault="00480EDA" w:rsidP="00480EDA">
            <w:pPr>
              <w:pStyle w:val="Header"/>
              <w:tabs>
                <w:tab w:val="clear" w:pos="4153"/>
                <w:tab w:val="clear" w:pos="8306"/>
              </w:tabs>
            </w:pPr>
            <w:r>
              <w:t>Application for a sports bookmaking licence where the application is made by a corporation</w:t>
            </w:r>
          </w:p>
          <w:p w14:paraId="0F7E9743" w14:textId="77777777" w:rsidR="00480EDA" w:rsidRDefault="00480EDA" w:rsidP="00480EDA">
            <w:pPr>
              <w:pStyle w:val="Header"/>
              <w:tabs>
                <w:tab w:val="clear" w:pos="4153"/>
                <w:tab w:val="clear" w:pos="8306"/>
              </w:tabs>
            </w:pPr>
          </w:p>
          <w:p w14:paraId="20B70BDE" w14:textId="3EFE246C" w:rsidR="00480EDA" w:rsidRDefault="00480EDA" w:rsidP="00480EDA">
            <w:pPr>
              <w:pStyle w:val="Header"/>
              <w:tabs>
                <w:tab w:val="clear" w:pos="4153"/>
                <w:tab w:val="clear" w:pos="8306"/>
              </w:tabs>
            </w:pPr>
            <w:r>
              <w:t>Fee payable for each director of the corporation nominated in the application</w:t>
            </w:r>
          </w:p>
          <w:p w14:paraId="6861C299" w14:textId="216E54C7" w:rsidR="00480EDA" w:rsidDel="00D866B6" w:rsidRDefault="00480EDA" w:rsidP="00480EDA">
            <w:pPr>
              <w:pStyle w:val="Header"/>
              <w:tabs>
                <w:tab w:val="clear" w:pos="4153"/>
                <w:tab w:val="clear" w:pos="8306"/>
              </w:tabs>
            </w:pPr>
          </w:p>
        </w:tc>
        <w:tc>
          <w:tcPr>
            <w:tcW w:w="1384" w:type="dxa"/>
            <w:tcBorders>
              <w:left w:val="nil"/>
            </w:tcBorders>
          </w:tcPr>
          <w:p w14:paraId="41F1527F" w14:textId="0B50F8EC" w:rsidR="00480EDA" w:rsidRDefault="00480EDA" w:rsidP="00480EDA">
            <w:r>
              <w:t>7</w:t>
            </w:r>
            <w:r w:rsidR="00B81B59">
              <w:t>99</w:t>
            </w:r>
            <w:r>
              <w:t>.00</w:t>
            </w:r>
          </w:p>
          <w:p w14:paraId="61F6B783" w14:textId="77777777" w:rsidR="00480EDA" w:rsidRDefault="00480EDA" w:rsidP="00480EDA"/>
          <w:p w14:paraId="50EB1393" w14:textId="77777777" w:rsidR="00480EDA" w:rsidRDefault="00480EDA" w:rsidP="00480EDA"/>
          <w:p w14:paraId="097359B4" w14:textId="329E2D82" w:rsidR="00480EDA" w:rsidRDefault="00480EDA" w:rsidP="00480EDA">
            <w:r>
              <w:t>2</w:t>
            </w:r>
            <w:r w:rsidR="00B81B59">
              <w:t>43</w:t>
            </w:r>
            <w:r>
              <w:t>.00</w:t>
            </w:r>
          </w:p>
        </w:tc>
        <w:tc>
          <w:tcPr>
            <w:tcW w:w="1384" w:type="dxa"/>
            <w:tcBorders>
              <w:left w:val="nil"/>
            </w:tcBorders>
          </w:tcPr>
          <w:p w14:paraId="07F380C7" w14:textId="4B9B90CD" w:rsidR="00480EDA" w:rsidRPr="00227EE0" w:rsidRDefault="00B81B59" w:rsidP="00480EDA">
            <w:r>
              <w:t>812</w:t>
            </w:r>
            <w:r w:rsidR="00480EDA" w:rsidRPr="00227EE0">
              <w:t>.00</w:t>
            </w:r>
          </w:p>
          <w:p w14:paraId="23A00C37" w14:textId="77777777" w:rsidR="00480EDA" w:rsidRPr="00227EE0" w:rsidRDefault="00480EDA" w:rsidP="00480EDA"/>
          <w:p w14:paraId="4E015D1E" w14:textId="77777777" w:rsidR="00480EDA" w:rsidRPr="00227EE0" w:rsidRDefault="00480EDA" w:rsidP="00480EDA"/>
          <w:p w14:paraId="2944F402" w14:textId="18CAA034" w:rsidR="00480EDA" w:rsidRDefault="00480EDA" w:rsidP="00480EDA">
            <w:r>
              <w:t>24</w:t>
            </w:r>
            <w:r w:rsidR="00B81B59">
              <w:t>7</w:t>
            </w:r>
            <w:r w:rsidRPr="00227EE0">
              <w:t>.00</w:t>
            </w:r>
          </w:p>
        </w:tc>
      </w:tr>
    </w:tbl>
    <w:p w14:paraId="50AD1219" w14:textId="77777777" w:rsidR="00A62A15" w:rsidRPr="00C36EE0" w:rsidRDefault="00A62A15" w:rsidP="00C36EE0">
      <w:pPr>
        <w:pStyle w:val="Heading2"/>
        <w:jc w:val="left"/>
        <w:rPr>
          <w:b w:val="0"/>
          <w:i/>
        </w:rPr>
        <w:sectPr w:rsidR="00A62A15" w:rsidRPr="00C36EE0" w:rsidSect="0036314F">
          <w:headerReference w:type="default" r:id="rId14"/>
          <w:pgSz w:w="11907" w:h="16840" w:code="9"/>
          <w:pgMar w:top="1440" w:right="1797" w:bottom="1560" w:left="1797" w:header="720" w:footer="720" w:gutter="0"/>
          <w:paperSrc w:first="264" w:other="264"/>
          <w:cols w:space="720"/>
        </w:sectPr>
      </w:pPr>
    </w:p>
    <w:tbl>
      <w:tblPr>
        <w:tblW w:w="9549"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69"/>
        <w:gridCol w:w="5512"/>
        <w:gridCol w:w="1384"/>
        <w:gridCol w:w="1384"/>
      </w:tblGrid>
      <w:tr w:rsidR="001D083E" w:rsidRPr="00652B7F" w14:paraId="457F9912" w14:textId="77777777" w:rsidTr="001D083E">
        <w:trPr>
          <w:trHeight w:val="368"/>
          <w:tblHeader/>
          <w:jc w:val="center"/>
        </w:trPr>
        <w:tc>
          <w:tcPr>
            <w:tcW w:w="1269" w:type="dxa"/>
            <w:tcBorders>
              <w:top w:val="nil"/>
              <w:bottom w:val="single" w:sz="12" w:space="0" w:color="auto"/>
            </w:tcBorders>
          </w:tcPr>
          <w:p w14:paraId="1A9C2925" w14:textId="77777777" w:rsidR="001D083E" w:rsidRPr="00652B7F" w:rsidRDefault="001D083E" w:rsidP="001221B5">
            <w:pPr>
              <w:pStyle w:val="Heading2"/>
              <w:spacing w:before="120"/>
              <w:jc w:val="left"/>
              <w:rPr>
                <w:sz w:val="22"/>
                <w:szCs w:val="22"/>
              </w:rPr>
            </w:pPr>
            <w:r>
              <w:lastRenderedPageBreak/>
              <w:br w:type="page"/>
            </w:r>
            <w:r w:rsidRPr="00652B7F">
              <w:rPr>
                <w:sz w:val="22"/>
                <w:szCs w:val="22"/>
              </w:rPr>
              <w:t xml:space="preserve">Column </w:t>
            </w:r>
            <w:r>
              <w:rPr>
                <w:sz w:val="22"/>
                <w:szCs w:val="22"/>
              </w:rPr>
              <w:t>1</w:t>
            </w:r>
          </w:p>
        </w:tc>
        <w:tc>
          <w:tcPr>
            <w:tcW w:w="5512" w:type="dxa"/>
            <w:tcBorders>
              <w:top w:val="nil"/>
              <w:bottom w:val="single" w:sz="12" w:space="0" w:color="auto"/>
            </w:tcBorders>
          </w:tcPr>
          <w:p w14:paraId="73E31EAB" w14:textId="77777777" w:rsidR="001D083E" w:rsidRPr="00652B7F" w:rsidRDefault="001D083E" w:rsidP="001221B5">
            <w:pPr>
              <w:spacing w:before="120"/>
              <w:rPr>
                <w:b/>
                <w:bCs/>
                <w:sz w:val="22"/>
                <w:szCs w:val="22"/>
              </w:rPr>
            </w:pPr>
            <w:r w:rsidRPr="00652B7F">
              <w:rPr>
                <w:b/>
                <w:bCs/>
                <w:sz w:val="22"/>
                <w:szCs w:val="22"/>
              </w:rPr>
              <w:t xml:space="preserve">Column </w:t>
            </w:r>
            <w:r>
              <w:rPr>
                <w:b/>
                <w:bCs/>
                <w:sz w:val="22"/>
                <w:szCs w:val="22"/>
              </w:rPr>
              <w:t>2</w:t>
            </w:r>
          </w:p>
        </w:tc>
        <w:tc>
          <w:tcPr>
            <w:tcW w:w="1384" w:type="dxa"/>
            <w:tcBorders>
              <w:top w:val="nil"/>
              <w:bottom w:val="single" w:sz="12" w:space="0" w:color="auto"/>
            </w:tcBorders>
          </w:tcPr>
          <w:p w14:paraId="6B1C8918" w14:textId="77777777" w:rsidR="001D083E" w:rsidRPr="00652B7F" w:rsidRDefault="001D083E" w:rsidP="001221B5">
            <w:pPr>
              <w:spacing w:before="120"/>
              <w:rPr>
                <w:b/>
                <w:bCs/>
                <w:sz w:val="22"/>
                <w:szCs w:val="22"/>
              </w:rPr>
            </w:pPr>
            <w:r w:rsidRPr="00652B7F">
              <w:rPr>
                <w:b/>
                <w:bCs/>
                <w:sz w:val="22"/>
                <w:szCs w:val="22"/>
              </w:rPr>
              <w:t xml:space="preserve">Column </w:t>
            </w:r>
            <w:r>
              <w:rPr>
                <w:b/>
                <w:bCs/>
                <w:sz w:val="22"/>
                <w:szCs w:val="22"/>
              </w:rPr>
              <w:t>3</w:t>
            </w:r>
          </w:p>
        </w:tc>
        <w:tc>
          <w:tcPr>
            <w:tcW w:w="1384" w:type="dxa"/>
            <w:tcBorders>
              <w:top w:val="nil"/>
              <w:bottom w:val="single" w:sz="12" w:space="0" w:color="auto"/>
            </w:tcBorders>
          </w:tcPr>
          <w:p w14:paraId="40C44B0A" w14:textId="77777777" w:rsidR="001D083E" w:rsidRPr="00652B7F" w:rsidRDefault="001D083E" w:rsidP="001221B5">
            <w:pPr>
              <w:spacing w:before="120"/>
              <w:rPr>
                <w:b/>
                <w:bCs/>
                <w:sz w:val="22"/>
                <w:szCs w:val="22"/>
              </w:rPr>
            </w:pPr>
            <w:r>
              <w:rPr>
                <w:b/>
                <w:bCs/>
                <w:sz w:val="22"/>
                <w:szCs w:val="22"/>
              </w:rPr>
              <w:t>Column 4</w:t>
            </w:r>
          </w:p>
        </w:tc>
      </w:tr>
      <w:tr w:rsidR="001D083E" w:rsidRPr="00652B7F" w14:paraId="1CAE3D4D" w14:textId="77777777" w:rsidTr="001D083E">
        <w:trPr>
          <w:trHeight w:val="813"/>
          <w:tblHeader/>
          <w:jc w:val="center"/>
        </w:trPr>
        <w:tc>
          <w:tcPr>
            <w:tcW w:w="1269" w:type="dxa"/>
            <w:tcBorders>
              <w:top w:val="single" w:sz="12" w:space="0" w:color="auto"/>
              <w:bottom w:val="single" w:sz="12" w:space="0" w:color="auto"/>
            </w:tcBorders>
          </w:tcPr>
          <w:p w14:paraId="4B202A98" w14:textId="77777777" w:rsidR="001D083E" w:rsidRPr="00652B7F" w:rsidRDefault="001D083E" w:rsidP="001221B5">
            <w:pPr>
              <w:pStyle w:val="Heading2"/>
              <w:jc w:val="left"/>
              <w:rPr>
                <w:sz w:val="22"/>
                <w:szCs w:val="22"/>
              </w:rPr>
            </w:pPr>
            <w:r w:rsidRPr="00652B7F">
              <w:rPr>
                <w:sz w:val="22"/>
                <w:szCs w:val="22"/>
              </w:rPr>
              <w:t xml:space="preserve">Relevant </w:t>
            </w:r>
            <w:r>
              <w:rPr>
                <w:sz w:val="22"/>
                <w:szCs w:val="22"/>
              </w:rPr>
              <w:t>S</w:t>
            </w:r>
            <w:r w:rsidRPr="00652B7F">
              <w:rPr>
                <w:sz w:val="22"/>
                <w:szCs w:val="22"/>
              </w:rPr>
              <w:t>ection of Act</w:t>
            </w:r>
          </w:p>
        </w:tc>
        <w:tc>
          <w:tcPr>
            <w:tcW w:w="5512" w:type="dxa"/>
            <w:tcBorders>
              <w:top w:val="single" w:sz="12" w:space="0" w:color="auto"/>
              <w:bottom w:val="single" w:sz="12" w:space="0" w:color="auto"/>
            </w:tcBorders>
          </w:tcPr>
          <w:p w14:paraId="2C0EE801" w14:textId="77777777" w:rsidR="001D083E" w:rsidRPr="00652B7F" w:rsidRDefault="001D083E" w:rsidP="001221B5">
            <w:pPr>
              <w:rPr>
                <w:b/>
                <w:bCs/>
                <w:sz w:val="22"/>
                <w:szCs w:val="22"/>
              </w:rPr>
            </w:pPr>
            <w:r w:rsidRPr="00652B7F">
              <w:rPr>
                <w:b/>
                <w:bCs/>
                <w:sz w:val="22"/>
                <w:szCs w:val="22"/>
              </w:rPr>
              <w:t>Description of Matter for which Fee is Payable</w:t>
            </w:r>
          </w:p>
        </w:tc>
        <w:tc>
          <w:tcPr>
            <w:tcW w:w="1384" w:type="dxa"/>
            <w:tcBorders>
              <w:top w:val="single" w:sz="12" w:space="0" w:color="auto"/>
              <w:bottom w:val="single" w:sz="12" w:space="0" w:color="auto"/>
            </w:tcBorders>
          </w:tcPr>
          <w:p w14:paraId="52E73F96" w14:textId="77777777" w:rsidR="001D083E" w:rsidRDefault="001D083E" w:rsidP="003E3E29">
            <w:pPr>
              <w:ind w:left="34" w:hanging="34"/>
              <w:rPr>
                <w:b/>
                <w:bCs/>
                <w:sz w:val="22"/>
                <w:szCs w:val="22"/>
              </w:rPr>
            </w:pPr>
            <w:r>
              <w:rPr>
                <w:b/>
                <w:bCs/>
                <w:sz w:val="22"/>
                <w:szCs w:val="22"/>
              </w:rPr>
              <w:t>Previous Fee</w:t>
            </w:r>
          </w:p>
          <w:p w14:paraId="0C7F3370" w14:textId="77777777" w:rsidR="00B249DC" w:rsidRPr="00652B7F" w:rsidRDefault="00B249DC" w:rsidP="003E3E29">
            <w:pPr>
              <w:ind w:left="34" w:hanging="34"/>
              <w:rPr>
                <w:b/>
                <w:bCs/>
                <w:sz w:val="22"/>
                <w:szCs w:val="22"/>
              </w:rPr>
            </w:pPr>
            <w:r>
              <w:rPr>
                <w:b/>
                <w:bCs/>
                <w:sz w:val="22"/>
                <w:szCs w:val="22"/>
              </w:rPr>
              <w:t>(GST exempt)</w:t>
            </w:r>
          </w:p>
        </w:tc>
        <w:tc>
          <w:tcPr>
            <w:tcW w:w="1384" w:type="dxa"/>
            <w:tcBorders>
              <w:top w:val="single" w:sz="12" w:space="0" w:color="auto"/>
              <w:bottom w:val="single" w:sz="12" w:space="0" w:color="auto"/>
            </w:tcBorders>
          </w:tcPr>
          <w:p w14:paraId="06E51048" w14:textId="7928C3F7" w:rsidR="001D083E" w:rsidRPr="00652B7F" w:rsidRDefault="001D083E" w:rsidP="001221B5">
            <w:pPr>
              <w:rPr>
                <w:b/>
                <w:bCs/>
                <w:sz w:val="22"/>
                <w:szCs w:val="22"/>
              </w:rPr>
            </w:pPr>
            <w:r>
              <w:rPr>
                <w:b/>
                <w:bCs/>
                <w:sz w:val="22"/>
                <w:szCs w:val="22"/>
              </w:rPr>
              <w:t xml:space="preserve">Fee </w:t>
            </w:r>
            <w:r w:rsidR="009562D3">
              <w:rPr>
                <w:b/>
                <w:bCs/>
                <w:sz w:val="22"/>
                <w:szCs w:val="22"/>
              </w:rPr>
              <w:t>payable on and after</w:t>
            </w:r>
            <w:r>
              <w:rPr>
                <w:b/>
                <w:bCs/>
                <w:sz w:val="22"/>
                <w:szCs w:val="22"/>
              </w:rPr>
              <w:t xml:space="preserve"> 1 July 20</w:t>
            </w:r>
            <w:r w:rsidR="007C6147">
              <w:rPr>
                <w:b/>
                <w:bCs/>
                <w:sz w:val="22"/>
                <w:szCs w:val="22"/>
              </w:rPr>
              <w:t>21</w:t>
            </w:r>
            <w:r w:rsidR="00B249DC">
              <w:rPr>
                <w:b/>
                <w:bCs/>
                <w:sz w:val="22"/>
                <w:szCs w:val="22"/>
              </w:rPr>
              <w:t xml:space="preserve"> (GST exempt)</w:t>
            </w:r>
          </w:p>
        </w:tc>
      </w:tr>
      <w:tr w:rsidR="00480EDA" w14:paraId="356A9B65" w14:textId="77777777" w:rsidTr="001D083E">
        <w:trPr>
          <w:trHeight w:val="874"/>
          <w:tblHeader/>
          <w:jc w:val="center"/>
        </w:trPr>
        <w:tc>
          <w:tcPr>
            <w:tcW w:w="1269" w:type="dxa"/>
            <w:tcBorders>
              <w:right w:val="nil"/>
            </w:tcBorders>
          </w:tcPr>
          <w:p w14:paraId="63726DB7" w14:textId="77777777" w:rsidR="00480EDA" w:rsidRDefault="00480EDA" w:rsidP="00480EDA">
            <w:r>
              <w:t>25(5)</w:t>
            </w:r>
          </w:p>
        </w:tc>
        <w:tc>
          <w:tcPr>
            <w:tcW w:w="5512" w:type="dxa"/>
            <w:tcBorders>
              <w:left w:val="nil"/>
              <w:right w:val="nil"/>
            </w:tcBorders>
          </w:tcPr>
          <w:p w14:paraId="37E7EEE8" w14:textId="143BA145" w:rsidR="00480EDA" w:rsidRDefault="00480EDA" w:rsidP="00480EDA">
            <w:pPr>
              <w:pStyle w:val="Header"/>
              <w:tabs>
                <w:tab w:val="clear" w:pos="4153"/>
                <w:tab w:val="clear" w:pos="8306"/>
              </w:tabs>
            </w:pPr>
            <w:r>
              <w:t>Fee payable where an authorisation is required to make inquiries about an influential shareholder</w:t>
            </w:r>
          </w:p>
          <w:p w14:paraId="57C5038F" w14:textId="77777777" w:rsidR="00480EDA" w:rsidRDefault="00480EDA" w:rsidP="00480EDA">
            <w:pPr>
              <w:pStyle w:val="Header"/>
              <w:tabs>
                <w:tab w:val="clear" w:pos="4153"/>
                <w:tab w:val="clear" w:pos="8306"/>
              </w:tabs>
            </w:pPr>
          </w:p>
        </w:tc>
        <w:tc>
          <w:tcPr>
            <w:tcW w:w="1384" w:type="dxa"/>
            <w:tcBorders>
              <w:left w:val="nil"/>
            </w:tcBorders>
          </w:tcPr>
          <w:p w14:paraId="3C267784" w14:textId="7E6E7345" w:rsidR="00480EDA" w:rsidRPr="004F1D13" w:rsidRDefault="00480EDA" w:rsidP="00480EDA">
            <w:r w:rsidRPr="00BA74E9">
              <w:t>2</w:t>
            </w:r>
            <w:r w:rsidR="006956BC">
              <w:t>43</w:t>
            </w:r>
            <w:r w:rsidRPr="00BA74E9">
              <w:t>.00</w:t>
            </w:r>
          </w:p>
        </w:tc>
        <w:tc>
          <w:tcPr>
            <w:tcW w:w="1384" w:type="dxa"/>
            <w:tcBorders>
              <w:left w:val="nil"/>
            </w:tcBorders>
          </w:tcPr>
          <w:p w14:paraId="2AC3D261" w14:textId="030D31FE" w:rsidR="00480EDA" w:rsidRDefault="00480EDA" w:rsidP="00480EDA">
            <w:r>
              <w:t>24</w:t>
            </w:r>
            <w:r w:rsidR="006956BC">
              <w:t>7</w:t>
            </w:r>
            <w:r w:rsidRPr="00227EE0">
              <w:t>.00</w:t>
            </w:r>
          </w:p>
        </w:tc>
      </w:tr>
      <w:tr w:rsidR="00480EDA" w14:paraId="74210ABE" w14:textId="77777777" w:rsidTr="001D083E">
        <w:trPr>
          <w:trHeight w:val="874"/>
          <w:tblHeader/>
          <w:jc w:val="center"/>
        </w:trPr>
        <w:tc>
          <w:tcPr>
            <w:tcW w:w="1269" w:type="dxa"/>
            <w:tcBorders>
              <w:right w:val="nil"/>
            </w:tcBorders>
          </w:tcPr>
          <w:p w14:paraId="55D84875" w14:textId="77777777" w:rsidR="00480EDA" w:rsidRDefault="00480EDA" w:rsidP="00480EDA">
            <w:r>
              <w:t>26(1)</w:t>
            </w:r>
          </w:p>
        </w:tc>
        <w:tc>
          <w:tcPr>
            <w:tcW w:w="5512" w:type="dxa"/>
            <w:tcBorders>
              <w:left w:val="nil"/>
              <w:right w:val="nil"/>
            </w:tcBorders>
          </w:tcPr>
          <w:p w14:paraId="459C4D23" w14:textId="523D95DE" w:rsidR="00480EDA" w:rsidRDefault="00480EDA" w:rsidP="00480EDA">
            <w:pPr>
              <w:pStyle w:val="Header"/>
              <w:tabs>
                <w:tab w:val="clear" w:pos="4153"/>
                <w:tab w:val="clear" w:pos="8306"/>
              </w:tabs>
            </w:pPr>
            <w:r>
              <w:t>Annual fee payable for a sports bookmaking licence, commencing 1 July, or pro rata thereof</w:t>
            </w:r>
          </w:p>
        </w:tc>
        <w:tc>
          <w:tcPr>
            <w:tcW w:w="1384" w:type="dxa"/>
            <w:tcBorders>
              <w:left w:val="nil"/>
            </w:tcBorders>
          </w:tcPr>
          <w:p w14:paraId="18481CF2" w14:textId="1D1E6A4B" w:rsidR="00480EDA" w:rsidRPr="004F1D13" w:rsidRDefault="00480EDA" w:rsidP="00480EDA">
            <w:r w:rsidRPr="00BA74E9">
              <w:t>15,</w:t>
            </w:r>
            <w:r w:rsidR="006956BC">
              <w:t>999</w:t>
            </w:r>
            <w:r w:rsidRPr="00BA74E9">
              <w:t>.00</w:t>
            </w:r>
          </w:p>
        </w:tc>
        <w:tc>
          <w:tcPr>
            <w:tcW w:w="1384" w:type="dxa"/>
            <w:tcBorders>
              <w:left w:val="nil"/>
            </w:tcBorders>
          </w:tcPr>
          <w:p w14:paraId="218B329A" w14:textId="01258D32" w:rsidR="00480EDA" w:rsidRDefault="00480EDA" w:rsidP="00480EDA">
            <w:r w:rsidRPr="00227EE0">
              <w:t>1</w:t>
            </w:r>
            <w:r w:rsidR="006956BC">
              <w:t>6</w:t>
            </w:r>
            <w:r>
              <w:t>,</w:t>
            </w:r>
            <w:r w:rsidR="006956BC">
              <w:t>278</w:t>
            </w:r>
            <w:r w:rsidRPr="00227EE0">
              <w:t>.00</w:t>
            </w:r>
          </w:p>
        </w:tc>
      </w:tr>
      <w:tr w:rsidR="00480EDA" w14:paraId="45B41000" w14:textId="77777777" w:rsidTr="001D083E">
        <w:trPr>
          <w:trHeight w:val="874"/>
          <w:tblHeader/>
          <w:jc w:val="center"/>
        </w:trPr>
        <w:tc>
          <w:tcPr>
            <w:tcW w:w="1269" w:type="dxa"/>
            <w:tcBorders>
              <w:right w:val="nil"/>
            </w:tcBorders>
          </w:tcPr>
          <w:p w14:paraId="32A62232" w14:textId="77777777" w:rsidR="00480EDA" w:rsidRDefault="00480EDA" w:rsidP="00480EDA">
            <w:r>
              <w:t>34(1)</w:t>
            </w:r>
          </w:p>
        </w:tc>
        <w:tc>
          <w:tcPr>
            <w:tcW w:w="5512" w:type="dxa"/>
            <w:tcBorders>
              <w:left w:val="nil"/>
              <w:right w:val="nil"/>
            </w:tcBorders>
          </w:tcPr>
          <w:p w14:paraId="2A7AA5B7" w14:textId="0683B773" w:rsidR="00480EDA" w:rsidRDefault="00480EDA" w:rsidP="00480EDA">
            <w:pPr>
              <w:pStyle w:val="Header"/>
              <w:tabs>
                <w:tab w:val="clear" w:pos="4153"/>
                <w:tab w:val="clear" w:pos="8306"/>
              </w:tabs>
            </w:pPr>
            <w:r>
              <w:t>Application to the Commission for a sports bookmaker’s agent licence</w:t>
            </w:r>
          </w:p>
          <w:p w14:paraId="3E34373F" w14:textId="77777777" w:rsidR="00480EDA" w:rsidRDefault="00480EDA" w:rsidP="00480EDA">
            <w:pPr>
              <w:pStyle w:val="Header"/>
              <w:tabs>
                <w:tab w:val="clear" w:pos="4153"/>
                <w:tab w:val="clear" w:pos="8306"/>
              </w:tabs>
            </w:pPr>
          </w:p>
        </w:tc>
        <w:tc>
          <w:tcPr>
            <w:tcW w:w="1384" w:type="dxa"/>
            <w:tcBorders>
              <w:left w:val="nil"/>
            </w:tcBorders>
          </w:tcPr>
          <w:p w14:paraId="74383696" w14:textId="01ED6DD7" w:rsidR="00480EDA" w:rsidRPr="004F1D13" w:rsidRDefault="00480EDA" w:rsidP="00480EDA">
            <w:r w:rsidRPr="00BA74E9">
              <w:t>2</w:t>
            </w:r>
            <w:r w:rsidR="006956BC">
              <w:t>43</w:t>
            </w:r>
            <w:r w:rsidRPr="00BA74E9">
              <w:t>.00</w:t>
            </w:r>
          </w:p>
        </w:tc>
        <w:tc>
          <w:tcPr>
            <w:tcW w:w="1384" w:type="dxa"/>
            <w:tcBorders>
              <w:left w:val="nil"/>
            </w:tcBorders>
          </w:tcPr>
          <w:p w14:paraId="2B931C5E" w14:textId="4750C1C0" w:rsidR="00480EDA" w:rsidRDefault="00480EDA" w:rsidP="00480EDA">
            <w:r>
              <w:t>24</w:t>
            </w:r>
            <w:r w:rsidR="006956BC">
              <w:t>7</w:t>
            </w:r>
            <w:r w:rsidRPr="00227EE0">
              <w:t>.00</w:t>
            </w:r>
          </w:p>
        </w:tc>
      </w:tr>
      <w:tr w:rsidR="00480EDA" w14:paraId="2CB3D933" w14:textId="77777777" w:rsidTr="001D083E">
        <w:trPr>
          <w:trHeight w:val="874"/>
          <w:tblHeader/>
          <w:jc w:val="center"/>
        </w:trPr>
        <w:tc>
          <w:tcPr>
            <w:tcW w:w="1269" w:type="dxa"/>
            <w:tcBorders>
              <w:right w:val="nil"/>
            </w:tcBorders>
          </w:tcPr>
          <w:p w14:paraId="27D69F47" w14:textId="77777777" w:rsidR="00480EDA" w:rsidRDefault="00480EDA" w:rsidP="00480EDA">
            <w:r>
              <w:t>35(1)</w:t>
            </w:r>
          </w:p>
        </w:tc>
        <w:tc>
          <w:tcPr>
            <w:tcW w:w="5512" w:type="dxa"/>
            <w:tcBorders>
              <w:left w:val="nil"/>
              <w:right w:val="nil"/>
            </w:tcBorders>
          </w:tcPr>
          <w:p w14:paraId="4386F65C" w14:textId="77777777" w:rsidR="00480EDA" w:rsidRDefault="00480EDA" w:rsidP="00480EDA">
            <w:pPr>
              <w:pStyle w:val="Header"/>
              <w:tabs>
                <w:tab w:val="clear" w:pos="4153"/>
                <w:tab w:val="clear" w:pos="8306"/>
              </w:tabs>
            </w:pPr>
            <w:r>
              <w:t>Annual fee payable for a sports bookmaker’s agent licence, commencing 1 July, or for any part of a year for which the licence is issued</w:t>
            </w:r>
          </w:p>
          <w:p w14:paraId="6FA92102" w14:textId="66ED9556" w:rsidR="00480EDA" w:rsidRDefault="00480EDA" w:rsidP="00480EDA">
            <w:pPr>
              <w:pStyle w:val="Header"/>
              <w:tabs>
                <w:tab w:val="clear" w:pos="4153"/>
                <w:tab w:val="clear" w:pos="8306"/>
              </w:tabs>
            </w:pPr>
          </w:p>
        </w:tc>
        <w:tc>
          <w:tcPr>
            <w:tcW w:w="1384" w:type="dxa"/>
            <w:tcBorders>
              <w:left w:val="nil"/>
            </w:tcBorders>
          </w:tcPr>
          <w:p w14:paraId="46644F19" w14:textId="264C98FF" w:rsidR="00480EDA" w:rsidRPr="004F1D13" w:rsidRDefault="00480EDA" w:rsidP="00480EDA">
            <w:r w:rsidRPr="00BA74E9">
              <w:t>36.00</w:t>
            </w:r>
          </w:p>
        </w:tc>
        <w:tc>
          <w:tcPr>
            <w:tcW w:w="1384" w:type="dxa"/>
            <w:tcBorders>
              <w:left w:val="nil"/>
            </w:tcBorders>
          </w:tcPr>
          <w:p w14:paraId="113B5836" w14:textId="300728ED" w:rsidR="00480EDA" w:rsidRDefault="00480EDA" w:rsidP="00480EDA">
            <w:r w:rsidRPr="00227EE0">
              <w:t>3</w:t>
            </w:r>
            <w:r w:rsidR="00815C4F">
              <w:t>7</w:t>
            </w:r>
            <w:r w:rsidRPr="00227EE0">
              <w:t>.00</w:t>
            </w:r>
          </w:p>
        </w:tc>
      </w:tr>
      <w:tr w:rsidR="00480EDA" w:rsidRPr="0036314F" w14:paraId="68460327" w14:textId="77777777" w:rsidTr="001D083E">
        <w:trPr>
          <w:trHeight w:val="874"/>
          <w:tblHeader/>
          <w:jc w:val="center"/>
        </w:trPr>
        <w:tc>
          <w:tcPr>
            <w:tcW w:w="1269" w:type="dxa"/>
            <w:tcBorders>
              <w:right w:val="nil"/>
            </w:tcBorders>
          </w:tcPr>
          <w:p w14:paraId="0AA03B3E" w14:textId="77777777" w:rsidR="00480EDA" w:rsidRPr="0036314F" w:rsidRDefault="00480EDA" w:rsidP="00480EDA">
            <w:r>
              <w:t>44(1)</w:t>
            </w:r>
          </w:p>
        </w:tc>
        <w:tc>
          <w:tcPr>
            <w:tcW w:w="5512" w:type="dxa"/>
            <w:tcBorders>
              <w:left w:val="nil"/>
              <w:right w:val="nil"/>
            </w:tcBorders>
          </w:tcPr>
          <w:p w14:paraId="400D7877" w14:textId="780F1CE1" w:rsidR="00480EDA" w:rsidRDefault="00480EDA" w:rsidP="00480EDA">
            <w:r>
              <w:t>Replacement of a licence</w:t>
            </w:r>
          </w:p>
          <w:p w14:paraId="5FD336E2" w14:textId="77777777" w:rsidR="00480EDA" w:rsidRPr="0036314F" w:rsidRDefault="00480EDA" w:rsidP="00480EDA"/>
        </w:tc>
        <w:tc>
          <w:tcPr>
            <w:tcW w:w="1384" w:type="dxa"/>
            <w:tcBorders>
              <w:left w:val="nil"/>
            </w:tcBorders>
          </w:tcPr>
          <w:p w14:paraId="44ED6B25" w14:textId="365B8EA6" w:rsidR="00480EDA" w:rsidRPr="004F1D13" w:rsidRDefault="00480EDA" w:rsidP="00480EDA">
            <w:r w:rsidRPr="00BA74E9">
              <w:t>36.00</w:t>
            </w:r>
          </w:p>
        </w:tc>
        <w:tc>
          <w:tcPr>
            <w:tcW w:w="1384" w:type="dxa"/>
            <w:tcBorders>
              <w:left w:val="nil"/>
            </w:tcBorders>
          </w:tcPr>
          <w:p w14:paraId="63344B9F" w14:textId="7F71FCF6" w:rsidR="00480EDA" w:rsidRDefault="00480EDA" w:rsidP="00480EDA">
            <w:r w:rsidRPr="00227EE0">
              <w:t>3</w:t>
            </w:r>
            <w:r w:rsidR="00815C4F">
              <w:t>7</w:t>
            </w:r>
            <w:r w:rsidRPr="00227EE0">
              <w:t>.00</w:t>
            </w:r>
          </w:p>
        </w:tc>
      </w:tr>
      <w:tr w:rsidR="00480EDA" w14:paraId="064C31DB" w14:textId="77777777" w:rsidTr="001D083E">
        <w:trPr>
          <w:trHeight w:val="874"/>
          <w:tblHeader/>
          <w:jc w:val="center"/>
        </w:trPr>
        <w:tc>
          <w:tcPr>
            <w:tcW w:w="1269" w:type="dxa"/>
            <w:tcBorders>
              <w:right w:val="nil"/>
            </w:tcBorders>
          </w:tcPr>
          <w:p w14:paraId="60F3DAB0" w14:textId="77777777" w:rsidR="00480EDA" w:rsidRPr="00A01B5F" w:rsidRDefault="00480EDA" w:rsidP="00480EDA">
            <w:pPr>
              <w:rPr>
                <w:szCs w:val="24"/>
              </w:rPr>
            </w:pPr>
            <w:r>
              <w:t>80(5)</w:t>
            </w:r>
          </w:p>
        </w:tc>
        <w:tc>
          <w:tcPr>
            <w:tcW w:w="5512" w:type="dxa"/>
            <w:tcBorders>
              <w:left w:val="nil"/>
              <w:right w:val="nil"/>
            </w:tcBorders>
          </w:tcPr>
          <w:p w14:paraId="061984E2" w14:textId="33843F54" w:rsidR="00480EDA" w:rsidRDefault="00480EDA" w:rsidP="00480EDA">
            <w:r>
              <w:t>The fee payable where an authorisation is required to make inquiries about from an incoming member of a syndicate or director of a corporation that holds a sports bookmaking licence</w:t>
            </w:r>
          </w:p>
          <w:p w14:paraId="1C0B77A5" w14:textId="77777777" w:rsidR="00480EDA" w:rsidRPr="00A01B5F" w:rsidRDefault="00480EDA" w:rsidP="00480EDA">
            <w:pPr>
              <w:rPr>
                <w:szCs w:val="24"/>
              </w:rPr>
            </w:pPr>
          </w:p>
        </w:tc>
        <w:tc>
          <w:tcPr>
            <w:tcW w:w="1384" w:type="dxa"/>
            <w:tcBorders>
              <w:left w:val="nil"/>
            </w:tcBorders>
          </w:tcPr>
          <w:p w14:paraId="7EF9A87D" w14:textId="46060672" w:rsidR="00480EDA" w:rsidRPr="004F1D13" w:rsidRDefault="00480EDA" w:rsidP="00480EDA">
            <w:pPr>
              <w:rPr>
                <w:szCs w:val="24"/>
              </w:rPr>
            </w:pPr>
            <w:r w:rsidRPr="00BA74E9">
              <w:rPr>
                <w:szCs w:val="24"/>
              </w:rPr>
              <w:t>2</w:t>
            </w:r>
            <w:r w:rsidR="006956BC">
              <w:rPr>
                <w:szCs w:val="24"/>
              </w:rPr>
              <w:t>43</w:t>
            </w:r>
            <w:r w:rsidRPr="00BA74E9">
              <w:rPr>
                <w:szCs w:val="24"/>
              </w:rPr>
              <w:t>.00</w:t>
            </w:r>
          </w:p>
        </w:tc>
        <w:tc>
          <w:tcPr>
            <w:tcW w:w="1384" w:type="dxa"/>
            <w:tcBorders>
              <w:left w:val="nil"/>
            </w:tcBorders>
          </w:tcPr>
          <w:p w14:paraId="4AC1C26A" w14:textId="4D683A7C" w:rsidR="00480EDA" w:rsidRDefault="00480EDA" w:rsidP="00480EDA">
            <w:pPr>
              <w:rPr>
                <w:szCs w:val="24"/>
              </w:rPr>
            </w:pPr>
            <w:r>
              <w:t>24</w:t>
            </w:r>
            <w:r w:rsidR="006956BC">
              <w:t>7</w:t>
            </w:r>
            <w:r w:rsidRPr="00227EE0">
              <w:t>.00</w:t>
            </w:r>
          </w:p>
        </w:tc>
      </w:tr>
      <w:tr w:rsidR="00480EDA" w14:paraId="04CC9DAC" w14:textId="77777777" w:rsidTr="001D083E">
        <w:trPr>
          <w:trHeight w:val="874"/>
          <w:tblHeader/>
          <w:jc w:val="center"/>
        </w:trPr>
        <w:tc>
          <w:tcPr>
            <w:tcW w:w="1269" w:type="dxa"/>
            <w:tcBorders>
              <w:right w:val="nil"/>
            </w:tcBorders>
          </w:tcPr>
          <w:p w14:paraId="34214DC4" w14:textId="77777777" w:rsidR="00480EDA" w:rsidRDefault="00480EDA" w:rsidP="00480EDA">
            <w:r>
              <w:t>80(6)</w:t>
            </w:r>
          </w:p>
        </w:tc>
        <w:tc>
          <w:tcPr>
            <w:tcW w:w="5512" w:type="dxa"/>
            <w:tcBorders>
              <w:left w:val="nil"/>
              <w:right w:val="nil"/>
            </w:tcBorders>
          </w:tcPr>
          <w:p w14:paraId="7CB11C4F" w14:textId="74EC9F95" w:rsidR="00480EDA" w:rsidRDefault="00480EDA" w:rsidP="00480EDA">
            <w:r>
              <w:t>The fee payable where an authorisation is required to make inquiries about an incoming individual who has become an influential shareholder of a corporation that holds a sports bookmaking licence</w:t>
            </w:r>
          </w:p>
          <w:p w14:paraId="3198072C" w14:textId="77777777" w:rsidR="00480EDA" w:rsidRDefault="00480EDA" w:rsidP="00480EDA"/>
        </w:tc>
        <w:tc>
          <w:tcPr>
            <w:tcW w:w="1384" w:type="dxa"/>
            <w:tcBorders>
              <w:left w:val="nil"/>
            </w:tcBorders>
          </w:tcPr>
          <w:p w14:paraId="30580238" w14:textId="20ECA4FA" w:rsidR="00480EDA" w:rsidRPr="004F1D13" w:rsidRDefault="00480EDA" w:rsidP="00480EDA">
            <w:pPr>
              <w:rPr>
                <w:szCs w:val="24"/>
              </w:rPr>
            </w:pPr>
            <w:r w:rsidRPr="00BA74E9">
              <w:rPr>
                <w:szCs w:val="24"/>
              </w:rPr>
              <w:t>2</w:t>
            </w:r>
            <w:r w:rsidR="006956BC">
              <w:rPr>
                <w:szCs w:val="24"/>
              </w:rPr>
              <w:t>43</w:t>
            </w:r>
            <w:r w:rsidRPr="00BA74E9">
              <w:rPr>
                <w:szCs w:val="24"/>
              </w:rPr>
              <w:t>.00</w:t>
            </w:r>
          </w:p>
        </w:tc>
        <w:tc>
          <w:tcPr>
            <w:tcW w:w="1384" w:type="dxa"/>
            <w:tcBorders>
              <w:left w:val="nil"/>
            </w:tcBorders>
          </w:tcPr>
          <w:p w14:paraId="3B59F303" w14:textId="5AEF69F3" w:rsidR="00480EDA" w:rsidRDefault="00480EDA" w:rsidP="00480EDA">
            <w:pPr>
              <w:rPr>
                <w:szCs w:val="24"/>
              </w:rPr>
            </w:pPr>
            <w:r>
              <w:t>24</w:t>
            </w:r>
            <w:r w:rsidR="006956BC">
              <w:t>7</w:t>
            </w:r>
            <w:r w:rsidRPr="00227EE0">
              <w:t>.00</w:t>
            </w:r>
          </w:p>
        </w:tc>
      </w:tr>
      <w:tr w:rsidR="00480EDA" w14:paraId="5F2E6E91" w14:textId="77777777" w:rsidTr="001D083E">
        <w:trPr>
          <w:trHeight w:val="874"/>
          <w:tblHeader/>
          <w:jc w:val="center"/>
        </w:trPr>
        <w:tc>
          <w:tcPr>
            <w:tcW w:w="1269" w:type="dxa"/>
            <w:tcBorders>
              <w:right w:val="nil"/>
            </w:tcBorders>
          </w:tcPr>
          <w:p w14:paraId="38C99252" w14:textId="77777777" w:rsidR="00480EDA" w:rsidRDefault="00480EDA" w:rsidP="00480EDA">
            <w:r>
              <w:t>80(7)</w:t>
            </w:r>
          </w:p>
        </w:tc>
        <w:tc>
          <w:tcPr>
            <w:tcW w:w="5512" w:type="dxa"/>
            <w:tcBorders>
              <w:left w:val="nil"/>
              <w:right w:val="nil"/>
            </w:tcBorders>
          </w:tcPr>
          <w:p w14:paraId="27FF2E87" w14:textId="07CA3C71" w:rsidR="00480EDA" w:rsidRDefault="00480EDA" w:rsidP="00480EDA">
            <w:r>
              <w:t>The fee payable where an authorisation is required to make inquiries about each director of an incoming corporation that has become an influential shareholder in relation to a corporation that holds a sports bookmaking licence</w:t>
            </w:r>
          </w:p>
          <w:p w14:paraId="03A8C99D" w14:textId="77777777" w:rsidR="00480EDA" w:rsidRDefault="00480EDA" w:rsidP="00480EDA"/>
        </w:tc>
        <w:tc>
          <w:tcPr>
            <w:tcW w:w="1384" w:type="dxa"/>
            <w:tcBorders>
              <w:left w:val="nil"/>
            </w:tcBorders>
          </w:tcPr>
          <w:p w14:paraId="7D4B33F8" w14:textId="0367F6D5" w:rsidR="00480EDA" w:rsidRPr="004F1D13" w:rsidRDefault="00480EDA" w:rsidP="00480EDA">
            <w:pPr>
              <w:rPr>
                <w:szCs w:val="24"/>
              </w:rPr>
            </w:pPr>
            <w:r w:rsidRPr="00BA74E9">
              <w:rPr>
                <w:szCs w:val="24"/>
              </w:rPr>
              <w:t>2</w:t>
            </w:r>
            <w:r w:rsidR="006956BC">
              <w:rPr>
                <w:szCs w:val="24"/>
              </w:rPr>
              <w:t>43</w:t>
            </w:r>
            <w:r w:rsidRPr="00BA74E9">
              <w:rPr>
                <w:szCs w:val="24"/>
              </w:rPr>
              <w:t>.00</w:t>
            </w:r>
          </w:p>
        </w:tc>
        <w:tc>
          <w:tcPr>
            <w:tcW w:w="1384" w:type="dxa"/>
            <w:tcBorders>
              <w:left w:val="nil"/>
            </w:tcBorders>
          </w:tcPr>
          <w:p w14:paraId="4915AA2D" w14:textId="0F82C157" w:rsidR="00480EDA" w:rsidRDefault="00480EDA" w:rsidP="00480EDA">
            <w:pPr>
              <w:rPr>
                <w:szCs w:val="24"/>
              </w:rPr>
            </w:pPr>
            <w:r>
              <w:t>24</w:t>
            </w:r>
            <w:r w:rsidR="006956BC">
              <w:t>7</w:t>
            </w:r>
            <w:r w:rsidRPr="00227EE0">
              <w:t>.00</w:t>
            </w:r>
          </w:p>
        </w:tc>
      </w:tr>
    </w:tbl>
    <w:p w14:paraId="135491F0" w14:textId="77777777" w:rsidR="00A62A15" w:rsidRDefault="00A62A15"/>
    <w:p w14:paraId="2E6F4ED3" w14:textId="77777777" w:rsidR="00A62A15" w:rsidRDefault="00A62A15">
      <w:pPr>
        <w:ind w:left="720" w:hanging="720"/>
      </w:pPr>
    </w:p>
    <w:sectPr w:rsidR="00A62A15" w:rsidSect="00313F17">
      <w:headerReference w:type="default" r:id="rId15"/>
      <w:pgSz w:w="11907" w:h="16840" w:code="9"/>
      <w:pgMar w:top="1843" w:right="1797" w:bottom="992" w:left="1797"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ACAE2" w14:textId="77777777" w:rsidR="002F5137" w:rsidRDefault="002F5137">
      <w:r>
        <w:separator/>
      </w:r>
    </w:p>
  </w:endnote>
  <w:endnote w:type="continuationSeparator" w:id="0">
    <w:p w14:paraId="0D228F25" w14:textId="77777777" w:rsidR="002F5137" w:rsidRDefault="002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4799B" w14:textId="77777777" w:rsidR="001D0774" w:rsidRDefault="001D0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D05A2" w14:textId="6763505A" w:rsidR="001D0774" w:rsidRPr="001D0774" w:rsidRDefault="001D0774" w:rsidP="001D0774">
    <w:pPr>
      <w:pStyle w:val="Footer"/>
      <w:jc w:val="center"/>
      <w:rPr>
        <w:rFonts w:ascii="Arial" w:hAnsi="Arial" w:cs="Arial"/>
        <w:sz w:val="14"/>
      </w:rPr>
    </w:pPr>
    <w:r w:rsidRPr="001D0774">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C1521" w14:textId="77777777" w:rsidR="001D0774" w:rsidRDefault="001D0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5E52E" w14:textId="77777777" w:rsidR="002F5137" w:rsidRDefault="002F5137">
      <w:r>
        <w:separator/>
      </w:r>
    </w:p>
  </w:footnote>
  <w:footnote w:type="continuationSeparator" w:id="0">
    <w:p w14:paraId="080ADFD2" w14:textId="77777777" w:rsidR="002F5137" w:rsidRDefault="002F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C75BC" w14:textId="77777777" w:rsidR="001D0774" w:rsidRDefault="001D0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61723" w14:textId="77777777" w:rsidR="001D0774" w:rsidRDefault="001D07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5FDCE" w14:textId="77777777" w:rsidR="001D0774" w:rsidRDefault="001D07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59B08" w14:textId="77777777" w:rsidR="00ED595D" w:rsidRDefault="00ED595D">
    <w:pPr>
      <w:pStyle w:val="Header"/>
      <w:jc w:val="center"/>
      <w:rPr>
        <w:b/>
        <w:bCs/>
        <w:sz w:val="22"/>
        <w:szCs w:val="22"/>
      </w:rPr>
    </w:pPr>
    <w:r w:rsidRPr="001221B5">
      <w:rPr>
        <w:b/>
        <w:bCs/>
        <w:sz w:val="22"/>
        <w:szCs w:val="22"/>
      </w:rPr>
      <w:t xml:space="preserve">This is page </w:t>
    </w:r>
    <w:r>
      <w:rPr>
        <w:rStyle w:val="PageNumber"/>
        <w:b/>
        <w:bCs/>
        <w:sz w:val="22"/>
        <w:szCs w:val="22"/>
      </w:rPr>
      <w:t>1 of 2</w:t>
    </w:r>
    <w:r w:rsidRPr="001221B5">
      <w:rPr>
        <w:rStyle w:val="PageNumber"/>
        <w:b/>
        <w:bCs/>
        <w:sz w:val="22"/>
        <w:szCs w:val="22"/>
      </w:rPr>
      <w:t xml:space="preserve"> pages of the </w:t>
    </w:r>
    <w:r w:rsidRPr="001221B5">
      <w:rPr>
        <w:b/>
        <w:bCs/>
        <w:sz w:val="22"/>
        <w:szCs w:val="22"/>
      </w:rPr>
      <w:t>Attachment to the Explanatory Stateme</w:t>
    </w:r>
    <w:r>
      <w:rPr>
        <w:b/>
        <w:bCs/>
        <w:sz w:val="22"/>
        <w:szCs w:val="22"/>
      </w:rPr>
      <w:t>nt to the</w:t>
    </w:r>
  </w:p>
  <w:p w14:paraId="23C97AEB" w14:textId="4A4CDFD7" w:rsidR="00ED595D" w:rsidRPr="001221B5" w:rsidRDefault="00ED595D">
    <w:pPr>
      <w:pStyle w:val="Header"/>
      <w:jc w:val="center"/>
      <w:rPr>
        <w:rStyle w:val="PageNumber"/>
        <w:b/>
        <w:bCs/>
        <w:sz w:val="22"/>
        <w:szCs w:val="22"/>
      </w:rPr>
    </w:pPr>
    <w:r w:rsidRPr="001221B5">
      <w:rPr>
        <w:b/>
        <w:bCs/>
        <w:i/>
        <w:iCs/>
        <w:sz w:val="22"/>
        <w:szCs w:val="22"/>
      </w:rPr>
      <w:t xml:space="preserve">Race and Sports Bookmaking (Fees) </w:t>
    </w:r>
    <w:r w:rsidRPr="009C04F7">
      <w:rPr>
        <w:b/>
        <w:bCs/>
        <w:i/>
        <w:iCs/>
        <w:sz w:val="22"/>
        <w:szCs w:val="22"/>
      </w:rPr>
      <w:t xml:space="preserve">Determination </w:t>
    </w:r>
    <w:r w:rsidR="00A9519E">
      <w:rPr>
        <w:b/>
        <w:bCs/>
        <w:i/>
        <w:iCs/>
        <w:sz w:val="22"/>
        <w:szCs w:val="22"/>
      </w:rPr>
      <w:t>20</w:t>
    </w:r>
    <w:r w:rsidR="000B7B06">
      <w:rPr>
        <w:b/>
        <w:bCs/>
        <w:i/>
        <w:iCs/>
        <w:sz w:val="22"/>
        <w:szCs w:val="22"/>
      </w:rPr>
      <w:t>2</w:t>
    </w:r>
    <w:r w:rsidR="00815C4F">
      <w:rPr>
        <w:b/>
        <w:bCs/>
        <w:i/>
        <w:iCs/>
        <w:sz w:val="22"/>
        <w:szCs w:val="22"/>
      </w:rPr>
      <w:t>1</w:t>
    </w:r>
  </w:p>
  <w:p w14:paraId="037D4A57" w14:textId="77777777" w:rsidR="00ED595D" w:rsidRDefault="00ED595D">
    <w:pPr>
      <w:pStyle w:val="Header"/>
      <w:jc w:val="center"/>
      <w:rPr>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FC93" w14:textId="77777777" w:rsidR="00ED595D" w:rsidRDefault="00ED595D">
    <w:pPr>
      <w:pStyle w:val="Header"/>
      <w:jc w:val="center"/>
      <w:rPr>
        <w:b/>
        <w:bCs/>
        <w:sz w:val="22"/>
        <w:szCs w:val="22"/>
      </w:rPr>
    </w:pPr>
    <w:r w:rsidRPr="001221B5">
      <w:rPr>
        <w:b/>
        <w:bCs/>
        <w:sz w:val="22"/>
        <w:szCs w:val="22"/>
      </w:rPr>
      <w:t xml:space="preserve">This is page </w:t>
    </w:r>
    <w:r>
      <w:rPr>
        <w:rStyle w:val="PageNumber"/>
        <w:b/>
        <w:bCs/>
        <w:sz w:val="22"/>
        <w:szCs w:val="22"/>
      </w:rPr>
      <w:t>2</w:t>
    </w:r>
    <w:r w:rsidRPr="001221B5">
      <w:rPr>
        <w:rStyle w:val="PageNumber"/>
        <w:b/>
        <w:bCs/>
        <w:sz w:val="22"/>
        <w:szCs w:val="22"/>
      </w:rPr>
      <w:t xml:space="preserve"> of </w:t>
    </w:r>
    <w:r>
      <w:rPr>
        <w:rStyle w:val="PageNumber"/>
        <w:b/>
        <w:bCs/>
        <w:sz w:val="22"/>
        <w:szCs w:val="22"/>
      </w:rPr>
      <w:t>2</w:t>
    </w:r>
    <w:r w:rsidRPr="001221B5">
      <w:rPr>
        <w:rStyle w:val="PageNumber"/>
        <w:b/>
        <w:bCs/>
        <w:sz w:val="22"/>
        <w:szCs w:val="22"/>
      </w:rPr>
      <w:t xml:space="preserve"> pages of the </w:t>
    </w:r>
    <w:r w:rsidRPr="001221B5">
      <w:rPr>
        <w:b/>
        <w:bCs/>
        <w:sz w:val="22"/>
        <w:szCs w:val="22"/>
      </w:rPr>
      <w:t>Attachment to t</w:t>
    </w:r>
    <w:r>
      <w:rPr>
        <w:b/>
        <w:bCs/>
        <w:sz w:val="22"/>
        <w:szCs w:val="22"/>
      </w:rPr>
      <w:t>he Explanatory Statement to the</w:t>
    </w:r>
  </w:p>
  <w:p w14:paraId="63AC5869" w14:textId="23E63026" w:rsidR="00ED595D" w:rsidRPr="001221B5" w:rsidRDefault="00ED595D">
    <w:pPr>
      <w:pStyle w:val="Header"/>
      <w:jc w:val="center"/>
      <w:rPr>
        <w:rStyle w:val="PageNumber"/>
        <w:b/>
        <w:bCs/>
        <w:sz w:val="22"/>
        <w:szCs w:val="22"/>
      </w:rPr>
    </w:pPr>
    <w:r w:rsidRPr="001221B5">
      <w:rPr>
        <w:b/>
        <w:bCs/>
        <w:i/>
        <w:iCs/>
        <w:sz w:val="22"/>
        <w:szCs w:val="22"/>
      </w:rPr>
      <w:t xml:space="preserve">Race and Sports Bookmaking (Fees) Determination </w:t>
    </w:r>
    <w:r w:rsidR="00A9519E">
      <w:rPr>
        <w:b/>
        <w:bCs/>
        <w:i/>
        <w:iCs/>
        <w:sz w:val="22"/>
        <w:szCs w:val="22"/>
      </w:rPr>
      <w:t>20</w:t>
    </w:r>
    <w:r w:rsidR="000B7B06">
      <w:rPr>
        <w:b/>
        <w:bCs/>
        <w:i/>
        <w:iCs/>
        <w:sz w:val="22"/>
        <w:szCs w:val="22"/>
      </w:rPr>
      <w:t>2</w:t>
    </w:r>
    <w:r w:rsidR="00815C4F">
      <w:rPr>
        <w:b/>
        <w:bCs/>
        <w:i/>
        <w:iCs/>
        <w:sz w:val="22"/>
        <w:szCs w:val="22"/>
      </w:rPr>
      <w:t>1</w:t>
    </w:r>
  </w:p>
  <w:p w14:paraId="65C89925" w14:textId="77777777" w:rsidR="00ED595D" w:rsidRDefault="00ED595D">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D1856"/>
    <w:multiLevelType w:val="hybridMultilevel"/>
    <w:tmpl w:val="9A206140"/>
    <w:lvl w:ilvl="0" w:tplc="55E81170">
      <w:start w:val="1"/>
      <w:numFmt w:val="bullet"/>
      <w:lvlText w:val=""/>
      <w:lvlJc w:val="left"/>
      <w:pPr>
        <w:tabs>
          <w:tab w:val="num" w:pos="927"/>
        </w:tabs>
        <w:ind w:left="851" w:hanging="284"/>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D44227"/>
    <w:multiLevelType w:val="singleLevel"/>
    <w:tmpl w:val="06CE4688"/>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567478D1"/>
    <w:multiLevelType w:val="hybridMultilevel"/>
    <w:tmpl w:val="80EC864E"/>
    <w:lvl w:ilvl="0" w:tplc="04090001">
      <w:start w:val="27"/>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7533DA"/>
    <w:multiLevelType w:val="hybridMultilevel"/>
    <w:tmpl w:val="FB9E77B0"/>
    <w:lvl w:ilvl="0" w:tplc="01E04D42">
      <w:start w:val="1"/>
      <w:numFmt w:val="decimal"/>
      <w:lvlText w:val="%1"/>
      <w:lvlJc w:val="left"/>
      <w:pPr>
        <w:tabs>
          <w:tab w:val="num" w:pos="1080"/>
        </w:tabs>
        <w:ind w:left="1080" w:hanging="10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5E576B0B"/>
    <w:multiLevelType w:val="hybridMultilevel"/>
    <w:tmpl w:val="5282A6D6"/>
    <w:lvl w:ilvl="0" w:tplc="347A84E8">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0700D9"/>
    <w:multiLevelType w:val="singleLevel"/>
    <w:tmpl w:val="89D67AB6"/>
    <w:lvl w:ilvl="0">
      <w:start w:val="1"/>
      <w:numFmt w:val="lowerLetter"/>
      <w:lvlText w:val="%1)"/>
      <w:lvlJc w:val="left"/>
      <w:pPr>
        <w:tabs>
          <w:tab w:val="num" w:pos="1440"/>
        </w:tabs>
        <w:ind w:left="1440" w:hanging="720"/>
      </w:pPr>
      <w:rPr>
        <w:rFonts w:cs="Times New Roman" w:hint="default"/>
      </w:rPr>
    </w:lvl>
  </w:abstractNum>
  <w:abstractNum w:abstractNumId="6" w15:restartNumberingAfterBreak="0">
    <w:nsid w:val="6A824099"/>
    <w:multiLevelType w:val="hybridMultilevel"/>
    <w:tmpl w:val="DF567CD8"/>
    <w:lvl w:ilvl="0" w:tplc="01E04D42">
      <w:start w:val="1"/>
      <w:numFmt w:val="decimal"/>
      <w:lvlText w:val="%1"/>
      <w:lvlJc w:val="left"/>
      <w:pPr>
        <w:tabs>
          <w:tab w:val="num" w:pos="1080"/>
        </w:tabs>
        <w:ind w:left="1080" w:hanging="10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FC409C2"/>
    <w:multiLevelType w:val="hybridMultilevel"/>
    <w:tmpl w:val="EC4CACB4"/>
    <w:lvl w:ilvl="0" w:tplc="01E04D42">
      <w:start w:val="1"/>
      <w:numFmt w:val="decimal"/>
      <w:lvlText w:val="%1"/>
      <w:lvlJc w:val="left"/>
      <w:pPr>
        <w:tabs>
          <w:tab w:val="num" w:pos="1080"/>
        </w:tabs>
        <w:ind w:left="1080" w:hanging="10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052431B"/>
    <w:multiLevelType w:val="multilevel"/>
    <w:tmpl w:val="669039EC"/>
    <w:lvl w:ilvl="0">
      <w:start w:val="20"/>
      <w:numFmt w:val="decimal"/>
      <w:lvlText w:val="%1.0"/>
      <w:lvlJc w:val="left"/>
      <w:pPr>
        <w:tabs>
          <w:tab w:val="num" w:pos="360"/>
        </w:tabs>
        <w:ind w:left="360" w:hanging="360"/>
      </w:pPr>
      <w:rPr>
        <w:rFonts w:cs="Times New Roman" w:hint="default"/>
      </w:rPr>
    </w:lvl>
    <w:lvl w:ilvl="1">
      <w:start w:val="1"/>
      <w:numFmt w:val="decimalZero"/>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3"/>
  </w:num>
  <w:num w:numId="2">
    <w:abstractNumId w:val="6"/>
  </w:num>
  <w:num w:numId="3">
    <w:abstractNumId w:val="7"/>
  </w:num>
  <w:num w:numId="4">
    <w:abstractNumId w:val="4"/>
  </w:num>
  <w:num w:numId="5">
    <w:abstractNumId w:val="0"/>
  </w:num>
  <w:num w:numId="6">
    <w:abstractNumId w:val="8"/>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20"/>
    <w:rsid w:val="000002CE"/>
    <w:rsid w:val="0001088F"/>
    <w:rsid w:val="00015A4E"/>
    <w:rsid w:val="000305D3"/>
    <w:rsid w:val="00034798"/>
    <w:rsid w:val="000604A6"/>
    <w:rsid w:val="00072709"/>
    <w:rsid w:val="000743D0"/>
    <w:rsid w:val="000865A2"/>
    <w:rsid w:val="000929C5"/>
    <w:rsid w:val="000B3F55"/>
    <w:rsid w:val="000B5AC6"/>
    <w:rsid w:val="000B7B06"/>
    <w:rsid w:val="000D4147"/>
    <w:rsid w:val="000F15D7"/>
    <w:rsid w:val="00107A84"/>
    <w:rsid w:val="00107E80"/>
    <w:rsid w:val="001146E2"/>
    <w:rsid w:val="001221B5"/>
    <w:rsid w:val="00130E82"/>
    <w:rsid w:val="00141100"/>
    <w:rsid w:val="00141A3D"/>
    <w:rsid w:val="00142D06"/>
    <w:rsid w:val="0015609E"/>
    <w:rsid w:val="00165F59"/>
    <w:rsid w:val="00170F91"/>
    <w:rsid w:val="0018486E"/>
    <w:rsid w:val="00185B09"/>
    <w:rsid w:val="00187F73"/>
    <w:rsid w:val="00190165"/>
    <w:rsid w:val="00190523"/>
    <w:rsid w:val="001B2ADB"/>
    <w:rsid w:val="001B39F6"/>
    <w:rsid w:val="001B5080"/>
    <w:rsid w:val="001B759F"/>
    <w:rsid w:val="001C6426"/>
    <w:rsid w:val="001C645D"/>
    <w:rsid w:val="001D0774"/>
    <w:rsid w:val="001D083E"/>
    <w:rsid w:val="001D541F"/>
    <w:rsid w:val="001F6AA4"/>
    <w:rsid w:val="002038F8"/>
    <w:rsid w:val="00212CC5"/>
    <w:rsid w:val="002206B8"/>
    <w:rsid w:val="00224B6B"/>
    <w:rsid w:val="00262A41"/>
    <w:rsid w:val="0027719B"/>
    <w:rsid w:val="00285411"/>
    <w:rsid w:val="00293A8E"/>
    <w:rsid w:val="002A1855"/>
    <w:rsid w:val="002A7CF4"/>
    <w:rsid w:val="002D79E4"/>
    <w:rsid w:val="002E523C"/>
    <w:rsid w:val="002F5137"/>
    <w:rsid w:val="00313F17"/>
    <w:rsid w:val="00345FD8"/>
    <w:rsid w:val="00362798"/>
    <w:rsid w:val="0036314F"/>
    <w:rsid w:val="003661F0"/>
    <w:rsid w:val="0038230E"/>
    <w:rsid w:val="003B0E56"/>
    <w:rsid w:val="003C54B1"/>
    <w:rsid w:val="003C6D15"/>
    <w:rsid w:val="003D484F"/>
    <w:rsid w:val="003D5C06"/>
    <w:rsid w:val="003E3E29"/>
    <w:rsid w:val="003E5425"/>
    <w:rsid w:val="003F041D"/>
    <w:rsid w:val="00412047"/>
    <w:rsid w:val="00415E83"/>
    <w:rsid w:val="0042083A"/>
    <w:rsid w:val="00434BE2"/>
    <w:rsid w:val="0045163C"/>
    <w:rsid w:val="0046455E"/>
    <w:rsid w:val="00480EDA"/>
    <w:rsid w:val="004D5A16"/>
    <w:rsid w:val="004E2306"/>
    <w:rsid w:val="004E6657"/>
    <w:rsid w:val="004F1D13"/>
    <w:rsid w:val="004F4F05"/>
    <w:rsid w:val="00505523"/>
    <w:rsid w:val="005102C1"/>
    <w:rsid w:val="0051078B"/>
    <w:rsid w:val="0051164A"/>
    <w:rsid w:val="00516024"/>
    <w:rsid w:val="00520639"/>
    <w:rsid w:val="0055166A"/>
    <w:rsid w:val="00564640"/>
    <w:rsid w:val="00581BC9"/>
    <w:rsid w:val="005B66EB"/>
    <w:rsid w:val="00610964"/>
    <w:rsid w:val="0061271B"/>
    <w:rsid w:val="00614269"/>
    <w:rsid w:val="00615331"/>
    <w:rsid w:val="006308C5"/>
    <w:rsid w:val="00647D4B"/>
    <w:rsid w:val="00652B7F"/>
    <w:rsid w:val="0069241A"/>
    <w:rsid w:val="006956BC"/>
    <w:rsid w:val="006A2855"/>
    <w:rsid w:val="006A7A36"/>
    <w:rsid w:val="006A7BE7"/>
    <w:rsid w:val="006C166B"/>
    <w:rsid w:val="006E22B3"/>
    <w:rsid w:val="006E3024"/>
    <w:rsid w:val="006E66D2"/>
    <w:rsid w:val="00722820"/>
    <w:rsid w:val="007348D0"/>
    <w:rsid w:val="007531C2"/>
    <w:rsid w:val="00762D6D"/>
    <w:rsid w:val="0076477C"/>
    <w:rsid w:val="007A0172"/>
    <w:rsid w:val="007B2BB0"/>
    <w:rsid w:val="007B703C"/>
    <w:rsid w:val="007C0E2A"/>
    <w:rsid w:val="007C1275"/>
    <w:rsid w:val="007C1547"/>
    <w:rsid w:val="007C2C30"/>
    <w:rsid w:val="007C41F4"/>
    <w:rsid w:val="007C6147"/>
    <w:rsid w:val="007D231A"/>
    <w:rsid w:val="007D254B"/>
    <w:rsid w:val="007E1438"/>
    <w:rsid w:val="007F091C"/>
    <w:rsid w:val="007F4394"/>
    <w:rsid w:val="008076CF"/>
    <w:rsid w:val="008142BD"/>
    <w:rsid w:val="00815C4F"/>
    <w:rsid w:val="0085733D"/>
    <w:rsid w:val="008727FF"/>
    <w:rsid w:val="00897823"/>
    <w:rsid w:val="008E33D2"/>
    <w:rsid w:val="008E3487"/>
    <w:rsid w:val="008E700A"/>
    <w:rsid w:val="00905A03"/>
    <w:rsid w:val="00905E01"/>
    <w:rsid w:val="009562D3"/>
    <w:rsid w:val="00960B02"/>
    <w:rsid w:val="009720F1"/>
    <w:rsid w:val="00976D69"/>
    <w:rsid w:val="00983038"/>
    <w:rsid w:val="00991C0B"/>
    <w:rsid w:val="009949F6"/>
    <w:rsid w:val="009C04F7"/>
    <w:rsid w:val="009E4CC6"/>
    <w:rsid w:val="009F4D22"/>
    <w:rsid w:val="00A01B5F"/>
    <w:rsid w:val="00A209DF"/>
    <w:rsid w:val="00A35A77"/>
    <w:rsid w:val="00A565DC"/>
    <w:rsid w:val="00A62A15"/>
    <w:rsid w:val="00A9519E"/>
    <w:rsid w:val="00AA16FD"/>
    <w:rsid w:val="00AB5328"/>
    <w:rsid w:val="00AC4025"/>
    <w:rsid w:val="00AD15B7"/>
    <w:rsid w:val="00AE0CFE"/>
    <w:rsid w:val="00B13CEE"/>
    <w:rsid w:val="00B249DC"/>
    <w:rsid w:val="00B34741"/>
    <w:rsid w:val="00B51011"/>
    <w:rsid w:val="00B81B59"/>
    <w:rsid w:val="00BA74E9"/>
    <w:rsid w:val="00BB07C4"/>
    <w:rsid w:val="00BE0254"/>
    <w:rsid w:val="00BE19AC"/>
    <w:rsid w:val="00BE578B"/>
    <w:rsid w:val="00BE600D"/>
    <w:rsid w:val="00BF606B"/>
    <w:rsid w:val="00C02682"/>
    <w:rsid w:val="00C0355D"/>
    <w:rsid w:val="00C03AC8"/>
    <w:rsid w:val="00C25A38"/>
    <w:rsid w:val="00C36EE0"/>
    <w:rsid w:val="00C4225D"/>
    <w:rsid w:val="00C445D9"/>
    <w:rsid w:val="00C605EC"/>
    <w:rsid w:val="00C90206"/>
    <w:rsid w:val="00CA06D6"/>
    <w:rsid w:val="00CA1315"/>
    <w:rsid w:val="00CA6A62"/>
    <w:rsid w:val="00CB05E7"/>
    <w:rsid w:val="00CB07F0"/>
    <w:rsid w:val="00CB50E0"/>
    <w:rsid w:val="00CC3F79"/>
    <w:rsid w:val="00CD2321"/>
    <w:rsid w:val="00CD33A4"/>
    <w:rsid w:val="00D16016"/>
    <w:rsid w:val="00D21B09"/>
    <w:rsid w:val="00D430D1"/>
    <w:rsid w:val="00D46B6B"/>
    <w:rsid w:val="00D50583"/>
    <w:rsid w:val="00D67990"/>
    <w:rsid w:val="00D77F48"/>
    <w:rsid w:val="00D866B6"/>
    <w:rsid w:val="00DA0560"/>
    <w:rsid w:val="00DA46F6"/>
    <w:rsid w:val="00DB2C4F"/>
    <w:rsid w:val="00DB47DD"/>
    <w:rsid w:val="00DC28CD"/>
    <w:rsid w:val="00DD1C04"/>
    <w:rsid w:val="00DE08F1"/>
    <w:rsid w:val="00DF2538"/>
    <w:rsid w:val="00E01D7B"/>
    <w:rsid w:val="00E048E5"/>
    <w:rsid w:val="00E077E8"/>
    <w:rsid w:val="00E20D23"/>
    <w:rsid w:val="00E24AB1"/>
    <w:rsid w:val="00E34DDB"/>
    <w:rsid w:val="00E4289D"/>
    <w:rsid w:val="00E4778F"/>
    <w:rsid w:val="00E654A3"/>
    <w:rsid w:val="00E73800"/>
    <w:rsid w:val="00E93E6F"/>
    <w:rsid w:val="00E9504E"/>
    <w:rsid w:val="00E95B58"/>
    <w:rsid w:val="00E972F6"/>
    <w:rsid w:val="00EB7ACB"/>
    <w:rsid w:val="00EC0047"/>
    <w:rsid w:val="00ED3F84"/>
    <w:rsid w:val="00ED595D"/>
    <w:rsid w:val="00F25D52"/>
    <w:rsid w:val="00F360C6"/>
    <w:rsid w:val="00F45447"/>
    <w:rsid w:val="00F4553A"/>
    <w:rsid w:val="00F63B23"/>
    <w:rsid w:val="00F707C8"/>
    <w:rsid w:val="00FA7D9C"/>
    <w:rsid w:val="00FC2CA6"/>
    <w:rsid w:val="00FE4634"/>
    <w:rsid w:val="00FE6169"/>
    <w:rsid w:val="00FF5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34DF76A"/>
  <w14:defaultImageDpi w14:val="0"/>
  <w15:docId w15:val="{58E07EF0-4E27-4F83-B5FD-064B16BA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macro" w:semiHidden="1" w:unhideWhenUsed="1"/>
    <w:lsdException w:name="List Bullet" w:semiHidden="1" w:unhideWhenUsed="1"/>
    <w:lsdException w:name="Titl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CC5"/>
    <w:rPr>
      <w:sz w:val="24"/>
      <w:lang w:eastAsia="en-US"/>
    </w:rPr>
  </w:style>
  <w:style w:type="paragraph" w:styleId="Heading1">
    <w:name w:val="heading 1"/>
    <w:basedOn w:val="Normal"/>
    <w:next w:val="Normal"/>
    <w:link w:val="Heading1Char"/>
    <w:uiPriority w:val="9"/>
    <w:qFormat/>
    <w:rsid w:val="00212CC5"/>
    <w:pPr>
      <w:keepNext/>
      <w:spacing w:before="60" w:after="60"/>
      <w:ind w:left="720" w:hanging="720"/>
      <w:outlineLvl w:val="0"/>
    </w:pPr>
    <w:rPr>
      <w:rFonts w:ascii="Arial" w:hAnsi="Arial" w:cs="Arial"/>
      <w:b/>
      <w:bCs/>
    </w:rPr>
  </w:style>
  <w:style w:type="paragraph" w:styleId="Heading2">
    <w:name w:val="heading 2"/>
    <w:basedOn w:val="Normal"/>
    <w:next w:val="Normal"/>
    <w:link w:val="Heading2Char"/>
    <w:uiPriority w:val="9"/>
    <w:qFormat/>
    <w:rsid w:val="00212CC5"/>
    <w:pPr>
      <w:keepNext/>
      <w:jc w:val="center"/>
      <w:outlineLvl w:val="1"/>
    </w:pPr>
    <w:rPr>
      <w:b/>
      <w:bCs/>
    </w:rPr>
  </w:style>
  <w:style w:type="paragraph" w:styleId="Heading3">
    <w:name w:val="heading 3"/>
    <w:basedOn w:val="Normal"/>
    <w:next w:val="Normal"/>
    <w:link w:val="Heading3Char"/>
    <w:uiPriority w:val="9"/>
    <w:qFormat/>
    <w:rsid w:val="00212CC5"/>
    <w:pPr>
      <w:keepNext/>
      <w:outlineLvl w:val="2"/>
    </w:pPr>
    <w:rPr>
      <w:rFonts w:ascii="Arial" w:hAnsi="Arial" w:cs="Arial"/>
      <w:b/>
      <w:bCs/>
      <w:sz w:val="28"/>
    </w:rPr>
  </w:style>
  <w:style w:type="paragraph" w:styleId="Heading4">
    <w:name w:val="heading 4"/>
    <w:basedOn w:val="Normal"/>
    <w:next w:val="Normal"/>
    <w:link w:val="Heading4Char"/>
    <w:uiPriority w:val="9"/>
    <w:qFormat/>
    <w:rsid w:val="00212CC5"/>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12CC5"/>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212CC5"/>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212CC5"/>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212CC5"/>
    <w:rPr>
      <w:rFonts w:asciiTheme="minorHAnsi" w:eastAsiaTheme="minorEastAsia" w:hAnsiTheme="minorHAnsi" w:cs="Times New Roman"/>
      <w:b/>
      <w:bCs/>
      <w:sz w:val="28"/>
      <w:szCs w:val="28"/>
      <w:lang w:val="x-none" w:eastAsia="en-US"/>
    </w:rPr>
  </w:style>
  <w:style w:type="paragraph" w:customStyle="1" w:styleId="Billname">
    <w:name w:val="Billname"/>
    <w:basedOn w:val="Normal"/>
    <w:rsid w:val="00212CC5"/>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212CC5"/>
    <w:pPr>
      <w:pBdr>
        <w:bottom w:val="single" w:sz="12" w:space="1" w:color="auto"/>
      </w:pBdr>
      <w:jc w:val="both"/>
    </w:pPr>
  </w:style>
  <w:style w:type="paragraph" w:customStyle="1" w:styleId="madeunder">
    <w:name w:val="made under"/>
    <w:basedOn w:val="Normal"/>
    <w:rsid w:val="00212CC5"/>
    <w:pPr>
      <w:spacing w:before="180" w:after="60"/>
      <w:jc w:val="both"/>
    </w:pPr>
  </w:style>
  <w:style w:type="paragraph" w:customStyle="1" w:styleId="CoverActName">
    <w:name w:val="CoverActName"/>
    <w:basedOn w:val="Normal"/>
    <w:rsid w:val="00212CC5"/>
    <w:pPr>
      <w:tabs>
        <w:tab w:val="left" w:pos="2600"/>
      </w:tabs>
      <w:spacing w:before="200" w:after="60"/>
      <w:jc w:val="both"/>
    </w:pPr>
    <w:rPr>
      <w:rFonts w:ascii="Arial" w:hAnsi="Arial"/>
      <w:b/>
    </w:rPr>
  </w:style>
  <w:style w:type="paragraph" w:styleId="BodyTextIndent">
    <w:name w:val="Body Text Indent"/>
    <w:basedOn w:val="Normal"/>
    <w:link w:val="BodyTextIndentChar"/>
    <w:uiPriority w:val="99"/>
    <w:rsid w:val="00212CC5"/>
    <w:pPr>
      <w:ind w:left="567"/>
    </w:pPr>
    <w:rPr>
      <w:rFonts w:ascii="CG Times (WN)" w:hAnsi="CG Times (WN)"/>
      <w:szCs w:val="24"/>
      <w:lang w:val="en-GB"/>
    </w:rPr>
  </w:style>
  <w:style w:type="character" w:customStyle="1" w:styleId="BodyTextIndentChar">
    <w:name w:val="Body Text Indent Char"/>
    <w:basedOn w:val="DefaultParagraphFont"/>
    <w:link w:val="BodyTextIndent"/>
    <w:uiPriority w:val="99"/>
    <w:semiHidden/>
    <w:locked/>
    <w:rsid w:val="00212CC5"/>
    <w:rPr>
      <w:rFonts w:cs="Times New Roman"/>
      <w:sz w:val="24"/>
      <w:lang w:val="x-none" w:eastAsia="en-US"/>
    </w:rPr>
  </w:style>
  <w:style w:type="paragraph" w:customStyle="1" w:styleId="Amain">
    <w:name w:val="A main"/>
    <w:basedOn w:val="Normal"/>
    <w:rsid w:val="00212CC5"/>
    <w:pPr>
      <w:tabs>
        <w:tab w:val="right" w:pos="500"/>
        <w:tab w:val="left" w:pos="700"/>
      </w:tabs>
      <w:spacing w:before="80" w:after="60"/>
      <w:ind w:left="700" w:hanging="700"/>
      <w:jc w:val="both"/>
      <w:outlineLvl w:val="5"/>
    </w:pPr>
    <w:rPr>
      <w:szCs w:val="24"/>
    </w:rPr>
  </w:style>
  <w:style w:type="paragraph" w:styleId="Header">
    <w:name w:val="header"/>
    <w:basedOn w:val="Normal"/>
    <w:link w:val="HeaderChar"/>
    <w:uiPriority w:val="99"/>
    <w:rsid w:val="00212CC5"/>
    <w:pPr>
      <w:tabs>
        <w:tab w:val="center" w:pos="4153"/>
        <w:tab w:val="right" w:pos="8306"/>
      </w:tabs>
    </w:pPr>
  </w:style>
  <w:style w:type="character" w:customStyle="1" w:styleId="HeaderChar">
    <w:name w:val="Header Char"/>
    <w:basedOn w:val="DefaultParagraphFont"/>
    <w:link w:val="Header"/>
    <w:uiPriority w:val="99"/>
    <w:semiHidden/>
    <w:locked/>
    <w:rsid w:val="00212CC5"/>
    <w:rPr>
      <w:rFonts w:cs="Times New Roman"/>
      <w:sz w:val="24"/>
      <w:lang w:val="x-none" w:eastAsia="en-US"/>
    </w:rPr>
  </w:style>
  <w:style w:type="paragraph" w:styleId="Footer">
    <w:name w:val="footer"/>
    <w:basedOn w:val="Normal"/>
    <w:link w:val="FooterChar"/>
    <w:uiPriority w:val="99"/>
    <w:rsid w:val="00212CC5"/>
    <w:pPr>
      <w:tabs>
        <w:tab w:val="center" w:pos="4153"/>
        <w:tab w:val="right" w:pos="8306"/>
      </w:tabs>
    </w:pPr>
  </w:style>
  <w:style w:type="character" w:customStyle="1" w:styleId="FooterChar">
    <w:name w:val="Footer Char"/>
    <w:basedOn w:val="DefaultParagraphFont"/>
    <w:link w:val="Footer"/>
    <w:uiPriority w:val="99"/>
    <w:semiHidden/>
    <w:locked/>
    <w:rsid w:val="00212CC5"/>
    <w:rPr>
      <w:rFonts w:cs="Times New Roman"/>
      <w:sz w:val="24"/>
      <w:lang w:val="x-none" w:eastAsia="en-US"/>
    </w:rPr>
  </w:style>
  <w:style w:type="character" w:styleId="PageNumber">
    <w:name w:val="page number"/>
    <w:basedOn w:val="DefaultParagraphFont"/>
    <w:uiPriority w:val="99"/>
    <w:rsid w:val="00212CC5"/>
    <w:rPr>
      <w:rFonts w:cs="Times New Roman"/>
    </w:rPr>
  </w:style>
  <w:style w:type="character" w:styleId="Hyperlink">
    <w:name w:val="Hyperlink"/>
    <w:basedOn w:val="DefaultParagraphFont"/>
    <w:uiPriority w:val="99"/>
    <w:rsid w:val="00212CC5"/>
    <w:rPr>
      <w:rFonts w:cs="Times New Roman"/>
      <w:color w:val="0000FF"/>
      <w:u w:val="single"/>
    </w:rPr>
  </w:style>
  <w:style w:type="paragraph" w:styleId="BodyText">
    <w:name w:val="Body Text"/>
    <w:basedOn w:val="Normal"/>
    <w:link w:val="BodyTextChar"/>
    <w:uiPriority w:val="99"/>
    <w:rsid w:val="00212CC5"/>
    <w:pPr>
      <w:jc w:val="center"/>
    </w:pPr>
  </w:style>
  <w:style w:type="character" w:customStyle="1" w:styleId="BodyTextChar">
    <w:name w:val="Body Text Char"/>
    <w:basedOn w:val="DefaultParagraphFont"/>
    <w:link w:val="BodyText"/>
    <w:uiPriority w:val="99"/>
    <w:semiHidden/>
    <w:locked/>
    <w:rsid w:val="00212CC5"/>
    <w:rPr>
      <w:rFonts w:cs="Times New Roman"/>
      <w:sz w:val="24"/>
      <w:lang w:val="x-none" w:eastAsia="en-US"/>
    </w:rPr>
  </w:style>
  <w:style w:type="paragraph" w:styleId="BalloonText">
    <w:name w:val="Balloon Text"/>
    <w:basedOn w:val="Normal"/>
    <w:link w:val="BalloonTextChar"/>
    <w:uiPriority w:val="99"/>
    <w:semiHidden/>
    <w:rsid w:val="008076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2CC5"/>
    <w:rPr>
      <w:rFonts w:ascii="Tahoma" w:hAnsi="Tahoma" w:cs="Tahoma"/>
      <w:sz w:val="16"/>
      <w:szCs w:val="16"/>
      <w:lang w:val="x-none" w:eastAsia="en-US"/>
    </w:rPr>
  </w:style>
  <w:style w:type="character" w:styleId="CommentReference">
    <w:name w:val="annotation reference"/>
    <w:basedOn w:val="DefaultParagraphFont"/>
    <w:uiPriority w:val="99"/>
    <w:rsid w:val="006E66D2"/>
    <w:rPr>
      <w:rFonts w:cs="Times New Roman"/>
      <w:sz w:val="16"/>
      <w:szCs w:val="16"/>
    </w:rPr>
  </w:style>
  <w:style w:type="paragraph" w:styleId="CommentText">
    <w:name w:val="annotation text"/>
    <w:basedOn w:val="Normal"/>
    <w:link w:val="CommentTextChar"/>
    <w:uiPriority w:val="99"/>
    <w:rsid w:val="006E66D2"/>
    <w:rPr>
      <w:sz w:val="20"/>
    </w:rPr>
  </w:style>
  <w:style w:type="character" w:customStyle="1" w:styleId="CommentTextChar">
    <w:name w:val="Comment Text Char"/>
    <w:basedOn w:val="DefaultParagraphFont"/>
    <w:link w:val="CommentText"/>
    <w:uiPriority w:val="99"/>
    <w:locked/>
    <w:rsid w:val="006E66D2"/>
    <w:rPr>
      <w:rFonts w:cs="Times New Roman"/>
      <w:lang w:val="x-none" w:eastAsia="en-US"/>
    </w:rPr>
  </w:style>
  <w:style w:type="paragraph" w:styleId="CommentSubject">
    <w:name w:val="annotation subject"/>
    <w:basedOn w:val="CommentText"/>
    <w:next w:val="CommentText"/>
    <w:link w:val="CommentSubjectChar"/>
    <w:uiPriority w:val="99"/>
    <w:rsid w:val="006E66D2"/>
    <w:rPr>
      <w:b/>
      <w:bCs/>
    </w:rPr>
  </w:style>
  <w:style w:type="character" w:customStyle="1" w:styleId="CommentSubjectChar">
    <w:name w:val="Comment Subject Char"/>
    <w:basedOn w:val="CommentTextChar"/>
    <w:link w:val="CommentSubject"/>
    <w:uiPriority w:val="99"/>
    <w:locked/>
    <w:rsid w:val="006E66D2"/>
    <w:rPr>
      <w:rFonts w:cs="Times New Roman"/>
      <w:b/>
      <w:bCs/>
      <w:lang w:val="x-none" w:eastAsia="en-US"/>
    </w:rPr>
  </w:style>
  <w:style w:type="paragraph" w:styleId="FootnoteText">
    <w:name w:val="footnote text"/>
    <w:basedOn w:val="Normal"/>
    <w:link w:val="FootnoteTextChar"/>
    <w:rsid w:val="008E33D2"/>
    <w:rPr>
      <w:sz w:val="20"/>
    </w:rPr>
  </w:style>
  <w:style w:type="character" w:customStyle="1" w:styleId="FootnoteTextChar">
    <w:name w:val="Footnote Text Char"/>
    <w:basedOn w:val="DefaultParagraphFont"/>
    <w:link w:val="FootnoteText"/>
    <w:rsid w:val="008E33D2"/>
    <w:rPr>
      <w:lang w:eastAsia="en-US"/>
    </w:rPr>
  </w:style>
  <w:style w:type="character" w:styleId="FootnoteReference">
    <w:name w:val="footnote reference"/>
    <w:basedOn w:val="DefaultParagraphFont"/>
    <w:rsid w:val="008E33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448305">
      <w:bodyDiv w:val="1"/>
      <w:marLeft w:val="0"/>
      <w:marRight w:val="0"/>
      <w:marTop w:val="0"/>
      <w:marBottom w:val="0"/>
      <w:divBdr>
        <w:top w:val="none" w:sz="0" w:space="0" w:color="auto"/>
        <w:left w:val="none" w:sz="0" w:space="0" w:color="auto"/>
        <w:bottom w:val="none" w:sz="0" w:space="0" w:color="auto"/>
        <w:right w:val="none" w:sz="0" w:space="0" w:color="auto"/>
      </w:divBdr>
    </w:div>
    <w:div w:id="1378167596">
      <w:marLeft w:val="0"/>
      <w:marRight w:val="0"/>
      <w:marTop w:val="0"/>
      <w:marBottom w:val="0"/>
      <w:divBdr>
        <w:top w:val="none" w:sz="0" w:space="0" w:color="auto"/>
        <w:left w:val="none" w:sz="0" w:space="0" w:color="auto"/>
        <w:bottom w:val="none" w:sz="0" w:space="0" w:color="auto"/>
        <w:right w:val="none" w:sz="0" w:space="0" w:color="auto"/>
      </w:divBdr>
    </w:div>
    <w:div w:id="20048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197DF-E459-4A48-9355-FEF548F2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5520</Characters>
  <Application>Microsoft Office Word</Application>
  <DocSecurity>0</DocSecurity>
  <Lines>248</Lines>
  <Paragraphs>115</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Moxon, KarenL</cp:lastModifiedBy>
  <cp:revision>4</cp:revision>
  <cp:lastPrinted>2018-05-21T01:46:00Z</cp:lastPrinted>
  <dcterms:created xsi:type="dcterms:W3CDTF">2021-06-30T11:02:00Z</dcterms:created>
  <dcterms:modified xsi:type="dcterms:W3CDTF">2021-06-30T11:02:00Z</dcterms:modified>
</cp:coreProperties>
</file>