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37F99" w14:textId="77777777" w:rsidR="005C3C34" w:rsidRDefault="005C3C34" w:rsidP="005C3C34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362C7F4" w14:textId="77777777" w:rsidR="006737BC" w:rsidRPr="00FB7412" w:rsidRDefault="006737BC" w:rsidP="005D301F">
      <w:pPr>
        <w:pStyle w:val="Heading1"/>
        <w:jc w:val="both"/>
      </w:pPr>
      <w:r>
        <w:t>Utilities (Technical Regulation)</w:t>
      </w:r>
      <w:r w:rsidRPr="00FB7412">
        <w:t xml:space="preserve"> (</w:t>
      </w:r>
      <w:r>
        <w:t xml:space="preserve">Light Rail Regulated Utility </w:t>
      </w:r>
      <w:r w:rsidR="001431AD">
        <w:t xml:space="preserve">(Electrical) </w:t>
      </w:r>
      <w:r>
        <w:t xml:space="preserve">Network </w:t>
      </w:r>
      <w:r w:rsidR="00F64EF2">
        <w:t xml:space="preserve">Boundary </w:t>
      </w:r>
      <w:r>
        <w:t>Code</w:t>
      </w:r>
      <w:r w:rsidRPr="00FB7412">
        <w:t>)</w:t>
      </w:r>
      <w:r>
        <w:t xml:space="preserve"> </w:t>
      </w:r>
      <w:r w:rsidR="008236B9">
        <w:t>Approval</w:t>
      </w:r>
      <w:r w:rsidRPr="00FB7412">
        <w:t xml:space="preserve"> </w:t>
      </w:r>
      <w:r>
        <w:t>20</w:t>
      </w:r>
      <w:r w:rsidR="005D301F">
        <w:t>2</w:t>
      </w:r>
      <w:r w:rsidR="00A912D9">
        <w:t>1</w:t>
      </w:r>
    </w:p>
    <w:p w14:paraId="0F9DBE66" w14:textId="77777777" w:rsidR="005C3C34" w:rsidRDefault="005C3C34" w:rsidP="005C3C34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5D301F">
        <w:rPr>
          <w:rFonts w:ascii="Arial" w:hAnsi="Arial" w:cs="Arial"/>
          <w:b/>
          <w:bCs/>
        </w:rPr>
        <w:t>DI</w:t>
      </w:r>
      <w:r w:rsidR="005D301F">
        <w:rPr>
          <w:rFonts w:ascii="Arial" w:hAnsi="Arial" w:cs="Arial"/>
          <w:b/>
          <w:bCs/>
          <w:iCs/>
        </w:rPr>
        <w:t>20</w:t>
      </w:r>
      <w:r w:rsidR="005D301F" w:rsidRPr="00F4666D">
        <w:rPr>
          <w:rFonts w:ascii="Arial" w:hAnsi="Arial" w:cs="Arial"/>
          <w:b/>
          <w:bCs/>
          <w:iCs/>
        </w:rPr>
        <w:t>2</w:t>
      </w:r>
      <w:r w:rsidR="00A912D9">
        <w:rPr>
          <w:rFonts w:ascii="Arial" w:hAnsi="Arial" w:cs="Arial"/>
          <w:b/>
          <w:bCs/>
          <w:iCs/>
        </w:rPr>
        <w:t>1</w:t>
      </w:r>
      <w:r w:rsidR="00E05E89">
        <w:rPr>
          <w:rFonts w:ascii="Arial" w:hAnsi="Arial" w:cs="Arial"/>
          <w:b/>
          <w:bCs/>
          <w:iCs/>
        </w:rPr>
        <w:t>-</w:t>
      </w:r>
      <w:r w:rsidR="00C35029">
        <w:rPr>
          <w:rFonts w:ascii="Arial" w:hAnsi="Arial" w:cs="Arial"/>
          <w:b/>
          <w:bCs/>
          <w:iCs/>
        </w:rPr>
        <w:t>211</w:t>
      </w:r>
    </w:p>
    <w:p w14:paraId="319E11F8" w14:textId="77777777" w:rsidR="005C3C34" w:rsidRDefault="005C3C34" w:rsidP="005C3C34">
      <w:pPr>
        <w:pStyle w:val="madeunder"/>
        <w:spacing w:before="240" w:after="120"/>
      </w:pPr>
      <w:r>
        <w:t xml:space="preserve">made under the  </w:t>
      </w:r>
    </w:p>
    <w:p w14:paraId="18241271" w14:textId="77777777" w:rsidR="006737BC" w:rsidRDefault="006737BC" w:rsidP="006737BC">
      <w:pPr>
        <w:pStyle w:val="CoverActName"/>
      </w:pPr>
      <w:r w:rsidRPr="002A4D55">
        <w:rPr>
          <w:rFonts w:cs="Arial"/>
          <w:i/>
          <w:sz w:val="20"/>
        </w:rPr>
        <w:t>Utilities (Technical Regulation) Act 2014</w:t>
      </w:r>
      <w:r>
        <w:rPr>
          <w:rFonts w:cs="Arial"/>
          <w:sz w:val="20"/>
        </w:rPr>
        <w:t>, section 14 (Technical codes––approval)</w:t>
      </w:r>
    </w:p>
    <w:p w14:paraId="3AE42722" w14:textId="77777777" w:rsidR="005C3C34" w:rsidRDefault="005C3C34" w:rsidP="005C3C34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5DBE1206" w14:textId="77777777" w:rsidR="005C3C34" w:rsidRDefault="005C3C34" w:rsidP="005C3C34">
      <w:pPr>
        <w:pStyle w:val="N-line3"/>
        <w:pBdr>
          <w:top w:val="single" w:sz="12" w:space="1" w:color="auto"/>
          <w:bottom w:val="none" w:sz="0" w:space="0" w:color="auto"/>
        </w:pBdr>
      </w:pPr>
    </w:p>
    <w:p w14:paraId="5FC665BE" w14:textId="77777777" w:rsidR="00A912D9" w:rsidRPr="000B1F50" w:rsidRDefault="005D301F" w:rsidP="005D301F">
      <w:pPr>
        <w:pStyle w:val="ESText"/>
        <w:spacing w:before="0" w:beforeAutospacing="0" w:after="0" w:afterAutospacing="0"/>
        <w:jc w:val="both"/>
        <w:rPr>
          <w:snapToGrid w:val="0"/>
        </w:rPr>
      </w:pPr>
      <w:bookmarkStart w:id="1" w:name="_Hlk66627381"/>
      <w:bookmarkEnd w:id="0"/>
      <w:r w:rsidRPr="000B1F50">
        <w:rPr>
          <w:snapToGrid w:val="0"/>
        </w:rPr>
        <w:t xml:space="preserve">This explanatory statement relates to the </w:t>
      </w:r>
      <w:r w:rsidR="00A912D9" w:rsidRPr="000B1F50">
        <w:rPr>
          <w:i/>
          <w:iCs/>
          <w:snapToGrid w:val="0"/>
        </w:rPr>
        <w:t>Utilities (Technical Regulation) (Light Rail Regulated Utility (Electrical) Network Boundary Code) Approval 2021</w:t>
      </w:r>
      <w:r w:rsidR="00A912D9" w:rsidRPr="000B1F50">
        <w:t xml:space="preserve"> as presented to the Legislative </w:t>
      </w:r>
      <w:r w:rsidR="00152441" w:rsidRPr="000B1F50">
        <w:t>Assembly.</w:t>
      </w:r>
      <w:r w:rsidRPr="000B1F50">
        <w:rPr>
          <w:snapToGrid w:val="0"/>
        </w:rPr>
        <w:t xml:space="preserve"> It has been prepared to assist the reader of the</w:t>
      </w:r>
      <w:r w:rsidR="00A912D9" w:rsidRPr="000B1F50">
        <w:rPr>
          <w:snapToGrid w:val="0"/>
        </w:rPr>
        <w:t xml:space="preserve"> disallowable</w:t>
      </w:r>
      <w:r w:rsidRPr="000B1F50">
        <w:rPr>
          <w:snapToGrid w:val="0"/>
        </w:rPr>
        <w:t xml:space="preserve"> instrument. It does not form part of the instrument</w:t>
      </w:r>
      <w:r w:rsidR="00A912D9" w:rsidRPr="000B1F50">
        <w:rPr>
          <w:snapToGrid w:val="0"/>
        </w:rPr>
        <w:t xml:space="preserve"> and has not been endorsed by the Assembly</w:t>
      </w:r>
      <w:r w:rsidRPr="000B1F50">
        <w:rPr>
          <w:snapToGrid w:val="0"/>
        </w:rPr>
        <w:t xml:space="preserve">. </w:t>
      </w:r>
    </w:p>
    <w:p w14:paraId="593A03A3" w14:textId="77777777" w:rsidR="00A912D9" w:rsidRPr="000B1F50" w:rsidRDefault="00A912D9" w:rsidP="005D301F">
      <w:pPr>
        <w:pStyle w:val="ESText"/>
        <w:spacing w:before="0" w:beforeAutospacing="0" w:after="0" w:afterAutospacing="0"/>
        <w:jc w:val="both"/>
        <w:rPr>
          <w:snapToGrid w:val="0"/>
        </w:rPr>
      </w:pPr>
    </w:p>
    <w:p w14:paraId="21AA6759" w14:textId="77777777" w:rsidR="005D301F" w:rsidRPr="000B1F50" w:rsidRDefault="005D301F" w:rsidP="005D301F">
      <w:pPr>
        <w:pStyle w:val="ESText"/>
        <w:spacing w:before="0" w:beforeAutospacing="0" w:after="0" w:afterAutospacing="0"/>
        <w:jc w:val="both"/>
        <w:rPr>
          <w:snapToGrid w:val="0"/>
        </w:rPr>
      </w:pPr>
      <w:r w:rsidRPr="000B1F50">
        <w:rPr>
          <w:snapToGrid w:val="0"/>
        </w:rPr>
        <w:t>This explanatory statement must be read in conjunction with the instrument. It is not, and is not meant to be, a comprehensive description of the instrument. What is said about a provision is not to be taken as an authoritative guide to the meaning of a provision, this being a task for the courts.</w:t>
      </w:r>
    </w:p>
    <w:p w14:paraId="214B80B9" w14:textId="77777777" w:rsidR="005D301F" w:rsidRPr="000B1F50" w:rsidRDefault="005D301F" w:rsidP="005D301F">
      <w:pPr>
        <w:pStyle w:val="ESText"/>
        <w:spacing w:before="0" w:beforeAutospacing="0" w:after="0" w:afterAutospacing="0"/>
        <w:rPr>
          <w:snapToGrid w:val="0"/>
        </w:rPr>
      </w:pPr>
    </w:p>
    <w:p w14:paraId="6896064E" w14:textId="77777777" w:rsidR="005D301F" w:rsidRPr="000B1F50" w:rsidRDefault="005D301F" w:rsidP="005D301F">
      <w:pPr>
        <w:pStyle w:val="NoSpacing"/>
        <w:spacing w:after="200"/>
        <w:rPr>
          <w:rFonts w:ascii="Times New Roman" w:hAnsi="Times New Roman"/>
          <w:b/>
          <w:sz w:val="28"/>
          <w:szCs w:val="28"/>
        </w:rPr>
      </w:pPr>
      <w:r w:rsidRPr="000B1F50">
        <w:rPr>
          <w:rFonts w:ascii="Times New Roman" w:hAnsi="Times New Roman"/>
          <w:b/>
          <w:sz w:val="28"/>
          <w:szCs w:val="28"/>
        </w:rPr>
        <w:t>Background</w:t>
      </w:r>
    </w:p>
    <w:p w14:paraId="5E7CDB04" w14:textId="77777777" w:rsidR="005D301F" w:rsidRPr="000B1F50" w:rsidRDefault="005D301F" w:rsidP="005D301F">
      <w:pPr>
        <w:pStyle w:val="ESText"/>
        <w:spacing w:before="0" w:beforeAutospacing="0" w:after="0" w:afterAutospacing="0"/>
        <w:jc w:val="both"/>
        <w:rPr>
          <w:snapToGrid w:val="0"/>
        </w:rPr>
      </w:pPr>
      <w:r w:rsidRPr="000B1F50">
        <w:rPr>
          <w:snapToGrid w:val="0"/>
        </w:rPr>
        <w:t>This disallowable instrument</w:t>
      </w:r>
      <w:r w:rsidR="00A912D9" w:rsidRPr="000B1F50">
        <w:rPr>
          <w:snapToGrid w:val="0"/>
        </w:rPr>
        <w:t xml:space="preserve"> is made</w:t>
      </w:r>
      <w:r w:rsidRPr="000B1F50">
        <w:rPr>
          <w:snapToGrid w:val="0"/>
        </w:rPr>
        <w:t xml:space="preserve"> under the </w:t>
      </w:r>
      <w:r w:rsidRPr="000B1F50">
        <w:rPr>
          <w:i/>
          <w:iCs/>
          <w:snapToGrid w:val="0"/>
        </w:rPr>
        <w:t>Utilities (Technical Regulation) Act 2014</w:t>
      </w:r>
      <w:r w:rsidRPr="000B1F50">
        <w:rPr>
          <w:snapToGrid w:val="0"/>
        </w:rPr>
        <w:t xml:space="preserve"> (the Act). The Act provides a technical regulatory framework for regulated utilities in the Australian Capital Territory. Section 14 of the Act authorises </w:t>
      </w:r>
      <w:r w:rsidR="00A912D9" w:rsidRPr="000B1F50">
        <w:rPr>
          <w:snapToGrid w:val="0"/>
        </w:rPr>
        <w:t>t</w:t>
      </w:r>
      <w:r w:rsidRPr="000B1F50">
        <w:rPr>
          <w:snapToGrid w:val="0"/>
        </w:rPr>
        <w:t>he Minister to approve a technical code as recommended by the technical regulator.</w:t>
      </w:r>
    </w:p>
    <w:p w14:paraId="76EB0BE1" w14:textId="77777777" w:rsidR="005D301F" w:rsidRPr="000B1F50" w:rsidRDefault="005D301F" w:rsidP="005D301F">
      <w:pPr>
        <w:pStyle w:val="ESText"/>
        <w:spacing w:before="0" w:beforeAutospacing="0" w:after="0" w:afterAutospacing="0"/>
        <w:rPr>
          <w:b/>
        </w:rPr>
      </w:pPr>
    </w:p>
    <w:p w14:paraId="3233B85E" w14:textId="77777777" w:rsidR="005D301F" w:rsidRPr="000B1F50" w:rsidRDefault="005D301F" w:rsidP="005D301F">
      <w:pPr>
        <w:pStyle w:val="ESText"/>
        <w:spacing w:after="0"/>
        <w:jc w:val="both"/>
        <w:rPr>
          <w:snapToGrid w:val="0"/>
        </w:rPr>
      </w:pPr>
      <w:r w:rsidRPr="000B1F50">
        <w:rPr>
          <w:snapToGrid w:val="0"/>
        </w:rPr>
        <w:t xml:space="preserve">This disallowable instrument is the </w:t>
      </w:r>
      <w:bookmarkStart w:id="2" w:name="_Hlk74742318"/>
      <w:r w:rsidRPr="000B1F50">
        <w:rPr>
          <w:i/>
          <w:iCs/>
          <w:snapToGrid w:val="0"/>
        </w:rPr>
        <w:t>Utilities (Technical Regulation) (Light Rail Regulated Utility (Electrical) Network Boundary Code) Approval 202</w:t>
      </w:r>
      <w:r w:rsidR="00A912D9" w:rsidRPr="000B1F50">
        <w:rPr>
          <w:i/>
          <w:iCs/>
          <w:snapToGrid w:val="0"/>
        </w:rPr>
        <w:t>1</w:t>
      </w:r>
      <w:r w:rsidRPr="000B1F50">
        <w:rPr>
          <w:snapToGrid w:val="0"/>
        </w:rPr>
        <w:t xml:space="preserve"> </w:t>
      </w:r>
      <w:bookmarkEnd w:id="2"/>
      <w:r w:rsidRPr="000B1F50">
        <w:rPr>
          <w:snapToGrid w:val="0"/>
        </w:rPr>
        <w:t>(the instrument)</w:t>
      </w:r>
      <w:r w:rsidR="00A912D9" w:rsidRPr="000B1F50">
        <w:rPr>
          <w:snapToGrid w:val="0"/>
        </w:rPr>
        <w:t>.</w:t>
      </w:r>
      <w:r w:rsidRPr="000B1F50">
        <w:rPr>
          <w:snapToGrid w:val="0"/>
        </w:rPr>
        <w:t xml:space="preserve"> </w:t>
      </w:r>
      <w:r w:rsidR="00A912D9" w:rsidRPr="000B1F50">
        <w:rPr>
          <w:snapToGrid w:val="0"/>
        </w:rPr>
        <w:t>I</w:t>
      </w:r>
      <w:r w:rsidR="00B123EB" w:rsidRPr="000B1F50">
        <w:rPr>
          <w:snapToGrid w:val="0"/>
        </w:rPr>
        <w:t xml:space="preserve">t </w:t>
      </w:r>
      <w:r w:rsidRPr="000B1F50">
        <w:t xml:space="preserve">defines </w:t>
      </w:r>
      <w:r w:rsidR="004E1A78" w:rsidRPr="000B1F50">
        <w:t>boundaries</w:t>
      </w:r>
      <w:r w:rsidRPr="000B1F50">
        <w:t xml:space="preserve"> between a light rail regulated utility (electrical) network and </w:t>
      </w:r>
      <w:r w:rsidR="004E1A78" w:rsidRPr="000B1F50">
        <w:t>other networks</w:t>
      </w:r>
      <w:r w:rsidRPr="000B1F50">
        <w:rPr>
          <w:snapToGrid w:val="0"/>
        </w:rPr>
        <w:t xml:space="preserve">. This instrument revokes the </w:t>
      </w:r>
      <w:r w:rsidRPr="000B1F50">
        <w:rPr>
          <w:i/>
          <w:iCs/>
          <w:snapToGrid w:val="0"/>
        </w:rPr>
        <w:t>Utilities (Technical Regulation) (Light Rail Regulated Utility (Electrical) Network Boundary Code) Approval 2016</w:t>
      </w:r>
      <w:r w:rsidR="00A912D9" w:rsidRPr="000B1F50">
        <w:rPr>
          <w:i/>
          <w:iCs/>
          <w:snapToGrid w:val="0"/>
        </w:rPr>
        <w:t xml:space="preserve"> </w:t>
      </w:r>
      <w:r w:rsidR="00A912D9" w:rsidRPr="000B1F50">
        <w:rPr>
          <w:snapToGrid w:val="0"/>
        </w:rPr>
        <w:t>(DI2016-19)</w:t>
      </w:r>
      <w:r w:rsidRPr="000B1F50">
        <w:rPr>
          <w:snapToGrid w:val="0"/>
        </w:rPr>
        <w:t>.</w:t>
      </w:r>
    </w:p>
    <w:bookmarkEnd w:id="1"/>
    <w:p w14:paraId="0534AAEB" w14:textId="77777777" w:rsidR="008236B9" w:rsidRPr="000B1F50" w:rsidRDefault="008236B9" w:rsidP="008236B9">
      <w:pPr>
        <w:pStyle w:val="NoSpacing"/>
        <w:spacing w:after="200"/>
        <w:rPr>
          <w:rFonts w:ascii="Times New Roman" w:hAnsi="Times New Roman"/>
          <w:b/>
          <w:sz w:val="24"/>
          <w:szCs w:val="24"/>
        </w:rPr>
      </w:pPr>
      <w:r w:rsidRPr="000B1F50">
        <w:rPr>
          <w:rFonts w:ascii="Times New Roman" w:hAnsi="Times New Roman"/>
          <w:b/>
          <w:sz w:val="24"/>
          <w:szCs w:val="24"/>
        </w:rPr>
        <w:t>Overview</w:t>
      </w:r>
    </w:p>
    <w:p w14:paraId="508DB8C2" w14:textId="77777777" w:rsidR="00252947" w:rsidRPr="000B1F50" w:rsidRDefault="00252947" w:rsidP="004E1A78">
      <w:pPr>
        <w:pStyle w:val="ESText"/>
        <w:spacing w:before="0" w:beforeAutospacing="0" w:after="0" w:afterAutospacing="0"/>
        <w:jc w:val="both"/>
      </w:pPr>
      <w:bookmarkStart w:id="3" w:name="_Hlk66627490"/>
      <w:r w:rsidRPr="000B1F50">
        <w:t>Under the Utilities (Technical Regulation) (Light Rail––Regulated Utility Service) Regulation 2016, the supply of electricity from a light rail network is a light rail regulated service.</w:t>
      </w:r>
    </w:p>
    <w:p w14:paraId="67F5DDF0" w14:textId="77777777" w:rsidR="00A12B68" w:rsidRPr="000B1F50" w:rsidRDefault="00A12B68" w:rsidP="004E1A78">
      <w:pPr>
        <w:pStyle w:val="ESText"/>
        <w:spacing w:before="0" w:beforeAutospacing="0" w:after="0" w:afterAutospacing="0"/>
        <w:jc w:val="both"/>
      </w:pPr>
    </w:p>
    <w:bookmarkEnd w:id="3"/>
    <w:p w14:paraId="5E503CDE" w14:textId="77777777" w:rsidR="004E1A78" w:rsidRPr="000B1F50" w:rsidRDefault="00E05E89" w:rsidP="004E1A78">
      <w:pPr>
        <w:pStyle w:val="ESText"/>
        <w:spacing w:before="0" w:beforeAutospacing="0" w:after="0" w:afterAutospacing="0"/>
        <w:jc w:val="both"/>
      </w:pPr>
      <w:r>
        <w:lastRenderedPageBreak/>
        <w:t xml:space="preserve">The </w:t>
      </w:r>
      <w:r w:rsidR="004E1A78" w:rsidRPr="000B1F50">
        <w:t>Light Rail Regulated Utility (Electrical) Network Boundary Code (this Code) is a technical code under part 3 of the Act. This Code applies to a light rail regulated utility that provides a light rail regulated utility service.</w:t>
      </w:r>
    </w:p>
    <w:p w14:paraId="473BF414" w14:textId="77777777" w:rsidR="00D07174" w:rsidRPr="000B1F50" w:rsidRDefault="00D07174" w:rsidP="00252947">
      <w:pPr>
        <w:pStyle w:val="BodyText1"/>
        <w:spacing w:before="0" w:after="200"/>
        <w:ind w:left="0"/>
        <w:rPr>
          <w:rFonts w:ascii="Times New Roman" w:hAnsi="Times New Roman"/>
          <w:sz w:val="24"/>
          <w:szCs w:val="24"/>
        </w:rPr>
      </w:pPr>
    </w:p>
    <w:p w14:paraId="620F7E87" w14:textId="77777777" w:rsidR="004E1A78" w:rsidRPr="000B1F50" w:rsidRDefault="00252947" w:rsidP="00252947">
      <w:pPr>
        <w:pStyle w:val="BodyText1"/>
        <w:spacing w:before="0" w:after="200"/>
        <w:ind w:left="0"/>
        <w:rPr>
          <w:rFonts w:ascii="Times New Roman" w:hAnsi="Times New Roman"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 xml:space="preserve">The purpose of </w:t>
      </w:r>
      <w:r w:rsidRPr="000B1F50">
        <w:rPr>
          <w:rFonts w:ascii="Times New Roman" w:hAnsi="Times New Roman"/>
          <w:iCs/>
          <w:sz w:val="24"/>
          <w:szCs w:val="24"/>
        </w:rPr>
        <w:t>this</w:t>
      </w:r>
      <w:r w:rsidRPr="000B1F50">
        <w:rPr>
          <w:rFonts w:ascii="Times New Roman" w:hAnsi="Times New Roman"/>
          <w:sz w:val="24"/>
          <w:szCs w:val="24"/>
        </w:rPr>
        <w:t xml:space="preserve"> Code is to </w:t>
      </w:r>
      <w:r w:rsidR="000E6D4A" w:rsidRPr="000B1F50">
        <w:rPr>
          <w:rFonts w:ascii="Times New Roman" w:hAnsi="Times New Roman"/>
          <w:sz w:val="24"/>
          <w:szCs w:val="24"/>
        </w:rPr>
        <w:t xml:space="preserve">define the boundary </w:t>
      </w:r>
      <w:r w:rsidR="00CA7C95" w:rsidRPr="000B1F50">
        <w:rPr>
          <w:rFonts w:ascii="Times New Roman" w:hAnsi="Times New Roman"/>
          <w:sz w:val="24"/>
          <w:szCs w:val="24"/>
        </w:rPr>
        <w:t>between</w:t>
      </w:r>
      <w:r w:rsidR="004E1A78" w:rsidRPr="000B1F50">
        <w:rPr>
          <w:rFonts w:ascii="Times New Roman" w:hAnsi="Times New Roman"/>
          <w:sz w:val="24"/>
          <w:szCs w:val="24"/>
        </w:rPr>
        <w:t>:</w:t>
      </w:r>
    </w:p>
    <w:p w14:paraId="0775E407" w14:textId="77777777" w:rsidR="004E1A78" w:rsidRPr="000B1F50" w:rsidRDefault="004E1A78" w:rsidP="000B1F50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0B1F50">
        <w:rPr>
          <w:szCs w:val="24"/>
        </w:rPr>
        <w:t xml:space="preserve">a </w:t>
      </w:r>
      <w:r w:rsidR="00CA7C95" w:rsidRPr="000B1F50">
        <w:rPr>
          <w:szCs w:val="24"/>
        </w:rPr>
        <w:t xml:space="preserve">light rail </w:t>
      </w:r>
      <w:r w:rsidR="001431AD" w:rsidRPr="000B1F50">
        <w:rPr>
          <w:szCs w:val="24"/>
        </w:rPr>
        <w:t xml:space="preserve">regulated </w:t>
      </w:r>
      <w:r w:rsidR="00CA7C95" w:rsidRPr="000B1F50">
        <w:rPr>
          <w:szCs w:val="24"/>
        </w:rPr>
        <w:t>utility network and an electricity distribution network</w:t>
      </w:r>
      <w:r w:rsidRPr="000B1F50">
        <w:rPr>
          <w:szCs w:val="24"/>
        </w:rPr>
        <w:t>;</w:t>
      </w:r>
      <w:r w:rsidR="00CA7C95" w:rsidRPr="000B1F50">
        <w:rPr>
          <w:szCs w:val="24"/>
        </w:rPr>
        <w:t xml:space="preserve"> </w:t>
      </w:r>
      <w:r w:rsidR="00022342" w:rsidRPr="000B1F50">
        <w:rPr>
          <w:szCs w:val="24"/>
        </w:rPr>
        <w:t>and</w:t>
      </w:r>
    </w:p>
    <w:p w14:paraId="50B991FF" w14:textId="77777777" w:rsidR="004E1A78" w:rsidRPr="000B1F50" w:rsidRDefault="004E1A78" w:rsidP="000B1F50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0B1F50">
        <w:rPr>
          <w:szCs w:val="24"/>
        </w:rPr>
        <w:t xml:space="preserve">a light rail regulated utility network of one person and the light rail regulated utility network of any other persons, where </w:t>
      </w:r>
      <w:r w:rsidR="00152441" w:rsidRPr="000B1F50">
        <w:rPr>
          <w:szCs w:val="24"/>
        </w:rPr>
        <w:t>that light rail</w:t>
      </w:r>
      <w:r w:rsidRPr="000B1F50">
        <w:rPr>
          <w:szCs w:val="24"/>
        </w:rPr>
        <w:t xml:space="preserve"> regulated utility networks are, or are to be, connected.</w:t>
      </w:r>
    </w:p>
    <w:p w14:paraId="7A22B8FA" w14:textId="77777777" w:rsidR="00D07174" w:rsidRPr="000B1F50" w:rsidRDefault="00D07174" w:rsidP="009C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1F4AC1" w14:textId="77777777" w:rsidR="00EA4E1B" w:rsidRPr="000B1F50" w:rsidRDefault="004C1416" w:rsidP="009C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>Additionally, t</w:t>
      </w:r>
      <w:r w:rsidR="00797EF7" w:rsidRPr="000B1F50">
        <w:rPr>
          <w:rFonts w:ascii="Times New Roman" w:hAnsi="Times New Roman"/>
          <w:sz w:val="24"/>
          <w:szCs w:val="24"/>
        </w:rPr>
        <w:t>he Code</w:t>
      </w:r>
      <w:r w:rsidRPr="000B1F50">
        <w:rPr>
          <w:rFonts w:ascii="Times New Roman" w:hAnsi="Times New Roman"/>
          <w:sz w:val="24"/>
          <w:szCs w:val="24"/>
        </w:rPr>
        <w:t xml:space="preserve"> provide</w:t>
      </w:r>
      <w:r w:rsidR="00C738DF" w:rsidRPr="000B1F50">
        <w:rPr>
          <w:rFonts w:ascii="Times New Roman" w:hAnsi="Times New Roman"/>
          <w:sz w:val="24"/>
          <w:szCs w:val="24"/>
        </w:rPr>
        <w:t>s</w:t>
      </w:r>
      <w:r w:rsidRPr="000B1F50">
        <w:rPr>
          <w:rFonts w:ascii="Times New Roman" w:hAnsi="Times New Roman"/>
          <w:sz w:val="24"/>
          <w:szCs w:val="24"/>
        </w:rPr>
        <w:t xml:space="preserve"> </w:t>
      </w:r>
      <w:r w:rsidR="00C738DF" w:rsidRPr="000B1F50">
        <w:rPr>
          <w:rFonts w:ascii="Times New Roman" w:hAnsi="Times New Roman"/>
          <w:sz w:val="24"/>
          <w:szCs w:val="24"/>
        </w:rPr>
        <w:t xml:space="preserve">opportunity </w:t>
      </w:r>
      <w:r w:rsidRPr="000B1F50">
        <w:rPr>
          <w:rFonts w:ascii="Times New Roman" w:hAnsi="Times New Roman"/>
          <w:sz w:val="24"/>
          <w:szCs w:val="24"/>
        </w:rPr>
        <w:t xml:space="preserve">to the </w:t>
      </w:r>
      <w:r w:rsidR="00797EF7" w:rsidRPr="000B1F50">
        <w:rPr>
          <w:rFonts w:ascii="Times New Roman" w:hAnsi="Times New Roman"/>
          <w:sz w:val="24"/>
          <w:szCs w:val="24"/>
        </w:rPr>
        <w:t xml:space="preserve">light rail utilities and the electricity distributor </w:t>
      </w:r>
      <w:r w:rsidRPr="000B1F50">
        <w:rPr>
          <w:rFonts w:ascii="Times New Roman" w:hAnsi="Times New Roman"/>
          <w:sz w:val="24"/>
          <w:szCs w:val="24"/>
        </w:rPr>
        <w:t xml:space="preserve">for </w:t>
      </w:r>
      <w:r w:rsidR="00797EF7" w:rsidRPr="000B1F50">
        <w:rPr>
          <w:rFonts w:ascii="Times New Roman" w:hAnsi="Times New Roman"/>
          <w:sz w:val="24"/>
          <w:szCs w:val="24"/>
        </w:rPr>
        <w:t>determin</w:t>
      </w:r>
      <w:r w:rsidRPr="000B1F50">
        <w:rPr>
          <w:rFonts w:ascii="Times New Roman" w:hAnsi="Times New Roman"/>
          <w:sz w:val="24"/>
          <w:szCs w:val="24"/>
        </w:rPr>
        <w:t xml:space="preserve">ing </w:t>
      </w:r>
      <w:r w:rsidR="00797EF7" w:rsidRPr="000B1F50">
        <w:rPr>
          <w:rFonts w:ascii="Times New Roman" w:hAnsi="Times New Roman"/>
          <w:sz w:val="24"/>
          <w:szCs w:val="24"/>
        </w:rPr>
        <w:t>an alternative boundary between their respective networks</w:t>
      </w:r>
      <w:r w:rsidR="00C738DF" w:rsidRPr="000B1F50">
        <w:rPr>
          <w:rFonts w:ascii="Times New Roman" w:hAnsi="Times New Roman"/>
          <w:sz w:val="24"/>
          <w:szCs w:val="24"/>
        </w:rPr>
        <w:t xml:space="preserve"> if they intend to do so</w:t>
      </w:r>
      <w:r w:rsidR="00797EF7" w:rsidRPr="000B1F50">
        <w:rPr>
          <w:rFonts w:ascii="Times New Roman" w:hAnsi="Times New Roman"/>
          <w:sz w:val="24"/>
          <w:szCs w:val="24"/>
        </w:rPr>
        <w:t>.</w:t>
      </w:r>
      <w:r w:rsidR="00A96960" w:rsidRPr="000B1F50">
        <w:rPr>
          <w:rFonts w:ascii="Times New Roman" w:hAnsi="Times New Roman"/>
          <w:sz w:val="24"/>
          <w:szCs w:val="24"/>
        </w:rPr>
        <w:t xml:space="preserve"> </w:t>
      </w:r>
      <w:r w:rsidR="00E83C92" w:rsidRPr="000B1F50">
        <w:rPr>
          <w:rFonts w:ascii="Times New Roman" w:hAnsi="Times New Roman"/>
          <w:sz w:val="24"/>
          <w:szCs w:val="24"/>
        </w:rPr>
        <w:t>This Code also</w:t>
      </w:r>
      <w:r w:rsidR="002D14B2" w:rsidRPr="000B1F50">
        <w:rPr>
          <w:rFonts w:ascii="Times New Roman" w:hAnsi="Times New Roman"/>
          <w:sz w:val="24"/>
          <w:szCs w:val="24"/>
        </w:rPr>
        <w:t xml:space="preserve"> defines the process for determination of </w:t>
      </w:r>
      <w:r w:rsidR="00E83C92" w:rsidRPr="000B1F50">
        <w:rPr>
          <w:rFonts w:ascii="Times New Roman" w:hAnsi="Times New Roman"/>
          <w:sz w:val="24"/>
          <w:szCs w:val="24"/>
        </w:rPr>
        <w:t xml:space="preserve">an alternative boundary between light rail regulated utility network and </w:t>
      </w:r>
      <w:r w:rsidR="00A12B68" w:rsidRPr="000B1F50">
        <w:rPr>
          <w:rFonts w:ascii="Times New Roman" w:hAnsi="Times New Roman"/>
          <w:sz w:val="24"/>
          <w:szCs w:val="24"/>
        </w:rPr>
        <w:t xml:space="preserve">the electricity distributor network and/or other light rail utilities’ networks, </w:t>
      </w:r>
      <w:r w:rsidR="00E83C92" w:rsidRPr="000B1F50">
        <w:rPr>
          <w:rFonts w:ascii="Times New Roman" w:hAnsi="Times New Roman"/>
          <w:sz w:val="24"/>
          <w:szCs w:val="24"/>
        </w:rPr>
        <w:t xml:space="preserve">including process of boundary determination in case parties are unable to </w:t>
      </w:r>
      <w:r w:rsidR="0043304D" w:rsidRPr="000B1F50">
        <w:rPr>
          <w:rFonts w:ascii="Times New Roman" w:hAnsi="Times New Roman"/>
          <w:sz w:val="24"/>
          <w:szCs w:val="24"/>
        </w:rPr>
        <w:t>reach common agreement</w:t>
      </w:r>
      <w:r w:rsidR="00E83C92" w:rsidRPr="000B1F50">
        <w:rPr>
          <w:rFonts w:ascii="Times New Roman" w:hAnsi="Times New Roman"/>
          <w:sz w:val="24"/>
          <w:szCs w:val="24"/>
        </w:rPr>
        <w:t>.</w:t>
      </w:r>
    </w:p>
    <w:p w14:paraId="4883925F" w14:textId="77777777" w:rsidR="009C248A" w:rsidRPr="000B1F50" w:rsidRDefault="009C248A" w:rsidP="009C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93328E" w14:textId="77777777" w:rsidR="004537F5" w:rsidRPr="000B1F50" w:rsidRDefault="004537F5" w:rsidP="00EA4E1B">
      <w:pPr>
        <w:pStyle w:val="NoSpacing"/>
        <w:spacing w:after="200"/>
        <w:rPr>
          <w:rFonts w:ascii="Times New Roman" w:hAnsi="Times New Roman"/>
          <w:b/>
          <w:sz w:val="24"/>
          <w:szCs w:val="24"/>
        </w:rPr>
      </w:pPr>
      <w:bookmarkStart w:id="4" w:name="_Hlk66633765"/>
      <w:r w:rsidRPr="000B1F50">
        <w:rPr>
          <w:rFonts w:ascii="Times New Roman" w:hAnsi="Times New Roman"/>
          <w:b/>
          <w:sz w:val="24"/>
          <w:szCs w:val="24"/>
        </w:rPr>
        <w:t xml:space="preserve">Consultation </w:t>
      </w:r>
    </w:p>
    <w:p w14:paraId="7C076EF0" w14:textId="77777777" w:rsidR="002613A1" w:rsidRPr="000B1F50" w:rsidRDefault="00152441" w:rsidP="00C95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4512D" w:rsidRPr="0004206C">
        <w:rPr>
          <w:rFonts w:ascii="Times New Roman" w:hAnsi="Times New Roman"/>
          <w:sz w:val="24"/>
          <w:szCs w:val="24"/>
        </w:rPr>
        <w:t>n accordance with section 13 of the Act, the technical regulator consulted the</w:t>
      </w:r>
      <w:r w:rsidR="0004512D">
        <w:rPr>
          <w:rFonts w:ascii="Times New Roman" w:hAnsi="Times New Roman"/>
          <w:sz w:val="24"/>
          <w:szCs w:val="24"/>
        </w:rPr>
        <w:t xml:space="preserve"> </w:t>
      </w:r>
      <w:r w:rsidR="0004512D" w:rsidRPr="0004206C">
        <w:rPr>
          <w:rFonts w:ascii="Times New Roman" w:hAnsi="Times New Roman"/>
          <w:sz w:val="24"/>
          <w:szCs w:val="24"/>
        </w:rPr>
        <w:t>Transport Canberra and City Services, Major Projects Canberra</w:t>
      </w:r>
      <w:r w:rsidR="0004512D">
        <w:rPr>
          <w:rFonts w:ascii="Times New Roman" w:hAnsi="Times New Roman"/>
          <w:sz w:val="24"/>
          <w:szCs w:val="24"/>
        </w:rPr>
        <w:t xml:space="preserve">, ActewAGL, Canberra Metro Operations, TransGrid, Telstra, </w:t>
      </w:r>
      <w:r w:rsidR="0004512D" w:rsidRPr="00F36FF3">
        <w:rPr>
          <w:rFonts w:ascii="Times New Roman" w:hAnsi="Times New Roman"/>
          <w:sz w:val="24"/>
          <w:szCs w:val="24"/>
        </w:rPr>
        <w:t>Office of the National Rail Safety Regulato</w:t>
      </w:r>
      <w:r w:rsidR="0004512D">
        <w:rPr>
          <w:rFonts w:ascii="Times New Roman" w:hAnsi="Times New Roman"/>
          <w:sz w:val="24"/>
          <w:szCs w:val="24"/>
        </w:rPr>
        <w:t xml:space="preserve">r, </w:t>
      </w:r>
      <w:r w:rsidR="0004512D" w:rsidRPr="0004206C">
        <w:rPr>
          <w:rFonts w:ascii="Times New Roman" w:hAnsi="Times New Roman"/>
          <w:sz w:val="24"/>
          <w:szCs w:val="24"/>
        </w:rPr>
        <w:t>APA</w:t>
      </w:r>
      <w:r w:rsidR="0004512D" w:rsidRPr="00F36FF3">
        <w:rPr>
          <w:rFonts w:ascii="Times New Roman" w:hAnsi="Times New Roman"/>
          <w:sz w:val="24"/>
          <w:szCs w:val="24"/>
        </w:rPr>
        <w:t xml:space="preserve"> Group</w:t>
      </w:r>
      <w:r w:rsidR="0004512D">
        <w:rPr>
          <w:rFonts w:ascii="Times New Roman" w:hAnsi="Times New Roman"/>
          <w:sz w:val="24"/>
          <w:szCs w:val="24"/>
        </w:rPr>
        <w:t xml:space="preserve">, </w:t>
      </w:r>
      <w:r w:rsidR="0004512D" w:rsidRPr="007460DC">
        <w:rPr>
          <w:rFonts w:ascii="Times New Roman" w:hAnsi="Times New Roman"/>
          <w:sz w:val="24"/>
          <w:szCs w:val="24"/>
        </w:rPr>
        <w:t>Independent Competition and Regulatory Commission (ICRC)</w:t>
      </w:r>
      <w:r w:rsidR="0004512D">
        <w:rPr>
          <w:rFonts w:ascii="Times New Roman" w:hAnsi="Times New Roman"/>
          <w:sz w:val="24"/>
          <w:szCs w:val="24"/>
        </w:rPr>
        <w:t xml:space="preserve"> </w:t>
      </w:r>
      <w:r w:rsidR="0004512D" w:rsidRPr="0004206C">
        <w:rPr>
          <w:rFonts w:ascii="Times New Roman" w:hAnsi="Times New Roman"/>
          <w:sz w:val="24"/>
          <w:szCs w:val="24"/>
        </w:rPr>
        <w:t xml:space="preserve">and </w:t>
      </w:r>
      <w:r w:rsidR="0004512D" w:rsidRPr="00F36FF3">
        <w:rPr>
          <w:rFonts w:ascii="Times New Roman" w:hAnsi="Times New Roman"/>
          <w:sz w:val="24"/>
          <w:szCs w:val="24"/>
        </w:rPr>
        <w:t>Electrical Trades Union</w:t>
      </w:r>
      <w:r w:rsidR="0004512D" w:rsidRPr="0004206C">
        <w:rPr>
          <w:rFonts w:ascii="Times New Roman" w:hAnsi="Times New Roman"/>
          <w:sz w:val="24"/>
          <w:szCs w:val="24"/>
        </w:rPr>
        <w:t>.</w:t>
      </w:r>
    </w:p>
    <w:p w14:paraId="4437E90B" w14:textId="77777777" w:rsidR="009C248A" w:rsidRPr="000B1F50" w:rsidRDefault="009C248A" w:rsidP="00C95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42E94" w14:textId="77777777" w:rsidR="009C248A" w:rsidRPr="000B1F50" w:rsidRDefault="000B1F50" w:rsidP="009C248A">
      <w:pPr>
        <w:pStyle w:val="NoSpacing"/>
        <w:spacing w:after="200"/>
        <w:rPr>
          <w:rFonts w:ascii="Times New Roman" w:hAnsi="Times New Roman"/>
          <w:b/>
          <w:sz w:val="24"/>
          <w:szCs w:val="24"/>
        </w:rPr>
      </w:pPr>
      <w:bookmarkStart w:id="5" w:name="_Hlk74823715"/>
      <w:r w:rsidRPr="000B1F50">
        <w:rPr>
          <w:rFonts w:ascii="Times New Roman" w:hAnsi="Times New Roman"/>
          <w:b/>
          <w:sz w:val="24"/>
          <w:szCs w:val="24"/>
        </w:rPr>
        <w:t>Human rights and Standing Committee on Justice and Community Safety (Legislative Scrutiny Role) Terms of Reference</w:t>
      </w:r>
      <w:bookmarkEnd w:id="5"/>
    </w:p>
    <w:p w14:paraId="45ABA69A" w14:textId="77777777" w:rsidR="000B1F50" w:rsidRPr="000B1F50" w:rsidRDefault="000B1F50" w:rsidP="009C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>This instrument does not engage or limit any person’s human rights.</w:t>
      </w:r>
    </w:p>
    <w:p w14:paraId="65233CAE" w14:textId="77777777" w:rsidR="009C248A" w:rsidRPr="000B1F50" w:rsidRDefault="009C248A" w:rsidP="009C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 xml:space="preserve">This instrument is consistent with the </w:t>
      </w:r>
      <w:bookmarkStart w:id="6" w:name="_Hlk74823749"/>
      <w:r w:rsidR="000B1F50" w:rsidRPr="000B1F50">
        <w:rPr>
          <w:rFonts w:ascii="Times New Roman" w:hAnsi="Times New Roman"/>
          <w:sz w:val="24"/>
          <w:szCs w:val="24"/>
        </w:rPr>
        <w:t xml:space="preserve">Terms of Reference for the </w:t>
      </w:r>
      <w:r w:rsidRPr="000B1F50">
        <w:rPr>
          <w:rFonts w:ascii="Times New Roman" w:hAnsi="Times New Roman"/>
          <w:sz w:val="24"/>
          <w:szCs w:val="24"/>
        </w:rPr>
        <w:t xml:space="preserve">Legislative Assembly’s </w:t>
      </w:r>
      <w:r w:rsidR="000B1F50" w:rsidRPr="000B1F50">
        <w:rPr>
          <w:rFonts w:ascii="Times New Roman" w:hAnsi="Times New Roman"/>
          <w:bCs/>
          <w:sz w:val="24"/>
          <w:szCs w:val="24"/>
        </w:rPr>
        <w:t>Standing Committee on Justice and Community Safety (Legislative Scrutiny Role)</w:t>
      </w:r>
      <w:bookmarkEnd w:id="6"/>
      <w:r w:rsidRPr="000B1F50">
        <w:rPr>
          <w:rFonts w:ascii="Times New Roman" w:hAnsi="Times New Roman"/>
          <w:sz w:val="24"/>
          <w:szCs w:val="24"/>
        </w:rPr>
        <w:t>. In particular, the instrument:</w:t>
      </w:r>
    </w:p>
    <w:p w14:paraId="13DBDE24" w14:textId="77777777" w:rsidR="009C248A" w:rsidRPr="000B1F50" w:rsidRDefault="009C248A" w:rsidP="009C248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</w:rPr>
      </w:pPr>
      <w:r w:rsidRPr="000B1F50">
        <w:rPr>
          <w:szCs w:val="24"/>
        </w:rPr>
        <w:t>is made under a ministerial power found in the Act.</w:t>
      </w:r>
    </w:p>
    <w:p w14:paraId="74E5D960" w14:textId="77777777" w:rsidR="009C248A" w:rsidRPr="000B1F50" w:rsidRDefault="009C248A" w:rsidP="009C248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</w:rPr>
      </w:pPr>
      <w:r w:rsidRPr="000B1F50">
        <w:rPr>
          <w:szCs w:val="24"/>
        </w:rPr>
        <w:t>is in accordance with the general objects of the Act under which the instrument is made.</w:t>
      </w:r>
    </w:p>
    <w:p w14:paraId="30D130F6" w14:textId="77777777" w:rsidR="009C248A" w:rsidRPr="000B1F50" w:rsidRDefault="009C248A" w:rsidP="009C248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</w:rPr>
      </w:pPr>
      <w:r w:rsidRPr="000B1F50">
        <w:rPr>
          <w:szCs w:val="24"/>
        </w:rPr>
        <w:t>does not unduly trespass on rights previously established by law; and</w:t>
      </w:r>
    </w:p>
    <w:p w14:paraId="64501539" w14:textId="77777777" w:rsidR="009C248A" w:rsidRPr="000B1F50" w:rsidRDefault="009C248A" w:rsidP="009C248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</w:rPr>
      </w:pPr>
      <w:r w:rsidRPr="000B1F50">
        <w:rPr>
          <w:szCs w:val="24"/>
        </w:rPr>
        <w:t xml:space="preserve">does not make rights, liberties and/or obligations unduly dependent upon non-reviewable decisions.   </w:t>
      </w:r>
    </w:p>
    <w:p w14:paraId="6F4B0CF6" w14:textId="77777777" w:rsidR="004537F5" w:rsidRPr="000B1F50" w:rsidRDefault="004537F5" w:rsidP="00453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D3D30BB" w14:textId="77777777" w:rsidR="00871E64" w:rsidRPr="000B1F50" w:rsidRDefault="004537F5" w:rsidP="004537F5">
      <w:pPr>
        <w:pStyle w:val="NoSpacing"/>
        <w:spacing w:after="200"/>
        <w:rPr>
          <w:rFonts w:ascii="Times New Roman" w:hAnsi="Times New Roman"/>
          <w:b/>
          <w:sz w:val="24"/>
          <w:szCs w:val="24"/>
        </w:rPr>
      </w:pPr>
      <w:r w:rsidRPr="000B1F50">
        <w:rPr>
          <w:rFonts w:ascii="Times New Roman" w:hAnsi="Times New Roman"/>
          <w:b/>
          <w:sz w:val="24"/>
          <w:szCs w:val="24"/>
        </w:rPr>
        <w:t>Regulatory Impact Statement</w:t>
      </w:r>
    </w:p>
    <w:p w14:paraId="1F83370C" w14:textId="77777777" w:rsidR="008236B9" w:rsidRPr="000B1F50" w:rsidRDefault="00871E64" w:rsidP="00CA6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 xml:space="preserve">A Regulatory Impact Statement for the instrument is not required in accordance with section 34(1) of the </w:t>
      </w:r>
      <w:r w:rsidRPr="000B1F50">
        <w:rPr>
          <w:rFonts w:ascii="Times New Roman" w:hAnsi="Times New Roman"/>
          <w:i/>
          <w:sz w:val="24"/>
          <w:szCs w:val="24"/>
        </w:rPr>
        <w:t xml:space="preserve">Legislation Act 2001, </w:t>
      </w:r>
      <w:r w:rsidRPr="000B1F50">
        <w:rPr>
          <w:rFonts w:ascii="Times New Roman" w:hAnsi="Times New Roman"/>
          <w:sz w:val="24"/>
          <w:szCs w:val="24"/>
        </w:rPr>
        <w:t xml:space="preserve">as it is not likely to impose appreciable costs on the community, or part of the community. Further, a Regulatory Impact Statement is unnecessary in accordance with section 36(1)(b) of the </w:t>
      </w:r>
      <w:r w:rsidRPr="000B1F50">
        <w:rPr>
          <w:rFonts w:ascii="Times New Roman" w:hAnsi="Times New Roman"/>
          <w:i/>
          <w:sz w:val="24"/>
          <w:szCs w:val="24"/>
        </w:rPr>
        <w:t>Legislation Act 2001</w:t>
      </w:r>
      <w:r w:rsidRPr="000B1F50">
        <w:rPr>
          <w:rFonts w:ascii="Times New Roman" w:hAnsi="Times New Roman"/>
          <w:sz w:val="24"/>
          <w:szCs w:val="24"/>
        </w:rPr>
        <w:t>.</w:t>
      </w:r>
      <w:bookmarkEnd w:id="4"/>
    </w:p>
    <w:p w14:paraId="07E39B48" w14:textId="77777777" w:rsidR="008236B9" w:rsidRPr="000B1F50" w:rsidRDefault="008236B9" w:rsidP="000223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C8DD6B" w14:textId="77777777" w:rsidR="00A55465" w:rsidRDefault="00A55465">
      <w:pPr>
        <w:rPr>
          <w:rFonts w:ascii="Times New Roman" w:hAnsi="Times New Roman"/>
          <w:b/>
          <w:sz w:val="28"/>
          <w:szCs w:val="28"/>
          <w:lang w:eastAsia="en-A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1E3178E" w14:textId="77777777" w:rsidR="000B1F50" w:rsidRPr="000B1F50" w:rsidRDefault="000B1F50" w:rsidP="000B1F50">
      <w:pPr>
        <w:pStyle w:val="paraplain"/>
        <w:spacing w:after="200"/>
        <w:ind w:left="0"/>
        <w:rPr>
          <w:rFonts w:ascii="Times New Roman" w:hAnsi="Times New Roman"/>
          <w:b/>
          <w:sz w:val="28"/>
          <w:szCs w:val="28"/>
        </w:rPr>
      </w:pPr>
      <w:r w:rsidRPr="000B1F50">
        <w:rPr>
          <w:rFonts w:ascii="Times New Roman" w:hAnsi="Times New Roman"/>
          <w:b/>
          <w:sz w:val="28"/>
          <w:szCs w:val="28"/>
        </w:rPr>
        <w:lastRenderedPageBreak/>
        <w:t>Outline of the provisions</w:t>
      </w:r>
    </w:p>
    <w:p w14:paraId="100B7995" w14:textId="77777777" w:rsidR="000B1F50" w:rsidRPr="000B1F50" w:rsidRDefault="000B1F50" w:rsidP="000B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>Section 1 Name of instrument</w:t>
      </w:r>
    </w:p>
    <w:p w14:paraId="2343F830" w14:textId="77777777" w:rsidR="000B1F50" w:rsidRPr="000B1F50" w:rsidRDefault="000B1F50" w:rsidP="000B1F50">
      <w:pPr>
        <w:pStyle w:val="paraplain"/>
        <w:spacing w:after="20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 xml:space="preserve">This section names the instrument as the Utilities (Technical Regulation) (Light Rail Regulated Utility (Electrical) </w:t>
      </w:r>
      <w:r w:rsidRPr="000B1F50">
        <w:rPr>
          <w:rFonts w:ascii="Times New Roman" w:hAnsi="Times New Roman"/>
          <w:iCs/>
          <w:sz w:val="24"/>
          <w:szCs w:val="24"/>
        </w:rPr>
        <w:t>Network Boundary Code) Approval 2021.</w:t>
      </w:r>
    </w:p>
    <w:p w14:paraId="0194FF9D" w14:textId="77777777" w:rsidR="000B1F50" w:rsidRPr="000B1F50" w:rsidRDefault="000B1F50" w:rsidP="000B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>Section 2 Commencement</w:t>
      </w:r>
    </w:p>
    <w:p w14:paraId="4C1EEA06" w14:textId="77777777" w:rsidR="000B1F50" w:rsidRPr="000B1F50" w:rsidRDefault="000B1F50" w:rsidP="000B1F50">
      <w:pPr>
        <w:pStyle w:val="paraplain"/>
        <w:spacing w:after="20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 xml:space="preserve">This section provides for the commencement of the instrument on the day after it is </w:t>
      </w:r>
      <w:r w:rsidRPr="000B1F50">
        <w:rPr>
          <w:rFonts w:ascii="Times New Roman" w:hAnsi="Times New Roman"/>
          <w:iCs/>
          <w:sz w:val="24"/>
          <w:szCs w:val="24"/>
        </w:rPr>
        <w:t>notified.</w:t>
      </w:r>
    </w:p>
    <w:p w14:paraId="5904C6AA" w14:textId="77777777" w:rsidR="000B1F50" w:rsidRPr="000B1F50" w:rsidRDefault="000B1F50" w:rsidP="000B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>Section 3 Approval</w:t>
      </w:r>
    </w:p>
    <w:p w14:paraId="27464EF0" w14:textId="77777777" w:rsidR="000B1F50" w:rsidRPr="000B1F50" w:rsidRDefault="000B1F50" w:rsidP="000B1F50">
      <w:pPr>
        <w:pStyle w:val="paraplain"/>
        <w:spacing w:after="20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0B1F50">
        <w:rPr>
          <w:rFonts w:ascii="Times New Roman" w:hAnsi="Times New Roman"/>
          <w:iCs/>
          <w:sz w:val="24"/>
          <w:szCs w:val="24"/>
        </w:rPr>
        <w:t>This section provides the Minister’s approval of this Code as set out in the schedule to the instrument.</w:t>
      </w:r>
    </w:p>
    <w:p w14:paraId="4F4F053C" w14:textId="77777777" w:rsidR="000B1F50" w:rsidRPr="000B1F50" w:rsidRDefault="000B1F50" w:rsidP="000B1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>Section 4 Public Access</w:t>
      </w:r>
    </w:p>
    <w:p w14:paraId="2588A38B" w14:textId="77777777" w:rsidR="000B1F50" w:rsidRPr="000B1F50" w:rsidRDefault="000B1F50" w:rsidP="000B1F5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 xml:space="preserve">This section provides details of public access to this Code as required under section 15 of the Act. </w:t>
      </w:r>
    </w:p>
    <w:p w14:paraId="05F6CFAF" w14:textId="77777777" w:rsidR="000B1F50" w:rsidRPr="000B1F50" w:rsidRDefault="000B1F50" w:rsidP="000B1F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7" w:name="_Hlk74823840"/>
      <w:r w:rsidRPr="000B1F50">
        <w:rPr>
          <w:rFonts w:ascii="Times New Roman" w:hAnsi="Times New Roman"/>
          <w:sz w:val="24"/>
          <w:szCs w:val="24"/>
        </w:rPr>
        <w:t>Section 5 Revocation</w:t>
      </w:r>
    </w:p>
    <w:p w14:paraId="688A2B49" w14:textId="77777777" w:rsidR="000B1F50" w:rsidRPr="000B1F50" w:rsidRDefault="000B1F50" w:rsidP="000B1F5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1F50">
        <w:rPr>
          <w:rFonts w:ascii="Times New Roman" w:hAnsi="Times New Roman"/>
          <w:sz w:val="24"/>
          <w:szCs w:val="24"/>
        </w:rPr>
        <w:t xml:space="preserve">This section revokes the existing technical code – the </w:t>
      </w:r>
      <w:r w:rsidRPr="000B1F50">
        <w:rPr>
          <w:rFonts w:ascii="Times New Roman" w:hAnsi="Times New Roman"/>
          <w:i/>
          <w:iCs/>
          <w:snapToGrid w:val="0"/>
          <w:sz w:val="24"/>
          <w:szCs w:val="24"/>
        </w:rPr>
        <w:t>Utilities (Technical Regulation) (Light Rail Regulated Utility (Electrical) Network Boundary Code) Approval 2016</w:t>
      </w:r>
      <w:r w:rsidRPr="000B1F50">
        <w:rPr>
          <w:rFonts w:ascii="Times New Roman" w:hAnsi="Times New Roman"/>
          <w:snapToGrid w:val="0"/>
          <w:sz w:val="24"/>
          <w:szCs w:val="24"/>
        </w:rPr>
        <w:t xml:space="preserve"> (DI2016-19).</w:t>
      </w:r>
    </w:p>
    <w:bookmarkEnd w:id="7"/>
    <w:p w14:paraId="17AB9100" w14:textId="77777777" w:rsidR="000B1F50" w:rsidRDefault="000B1F50" w:rsidP="000223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0B1F50" w:rsidSect="0064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450AF" w14:textId="77777777" w:rsidR="00B60D67" w:rsidRDefault="00B60D67" w:rsidP="001431AD">
      <w:pPr>
        <w:spacing w:after="0" w:line="240" w:lineRule="auto"/>
      </w:pPr>
      <w:r>
        <w:separator/>
      </w:r>
    </w:p>
  </w:endnote>
  <w:endnote w:type="continuationSeparator" w:id="0">
    <w:p w14:paraId="35E78A46" w14:textId="77777777" w:rsidR="00B60D67" w:rsidRDefault="00B60D67" w:rsidP="0014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68590" w14:textId="77777777" w:rsidR="00A55465" w:rsidRDefault="00A55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F26C3" w14:textId="77777777" w:rsidR="00A55465" w:rsidRDefault="00A554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93EDE5C" w14:textId="77777777" w:rsidR="00A55465" w:rsidRPr="00E61FEF" w:rsidRDefault="00E61FEF" w:rsidP="00E61FEF">
    <w:pPr>
      <w:pStyle w:val="Footer"/>
      <w:jc w:val="center"/>
      <w:rPr>
        <w:rFonts w:ascii="Arial" w:hAnsi="Arial" w:cs="Arial"/>
        <w:sz w:val="14"/>
      </w:rPr>
    </w:pPr>
    <w:r w:rsidRPr="00E61FE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AA4F" w14:textId="77777777" w:rsidR="00A55465" w:rsidRDefault="00A55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65BAF" w14:textId="77777777" w:rsidR="00B60D67" w:rsidRDefault="00B60D67" w:rsidP="001431AD">
      <w:pPr>
        <w:spacing w:after="0" w:line="240" w:lineRule="auto"/>
      </w:pPr>
      <w:r>
        <w:separator/>
      </w:r>
    </w:p>
  </w:footnote>
  <w:footnote w:type="continuationSeparator" w:id="0">
    <w:p w14:paraId="2E5BE5A9" w14:textId="77777777" w:rsidR="00B60D67" w:rsidRDefault="00B60D67" w:rsidP="0014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4EE18" w14:textId="77777777" w:rsidR="00A55465" w:rsidRDefault="00A55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E6A7C" w14:textId="77777777" w:rsidR="00A55465" w:rsidRDefault="00A55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E98E1" w14:textId="77777777" w:rsidR="00A55465" w:rsidRDefault="00A55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9016E"/>
    <w:multiLevelType w:val="hybridMultilevel"/>
    <w:tmpl w:val="300A6EF4"/>
    <w:lvl w:ilvl="0" w:tplc="0C09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38335B1"/>
    <w:multiLevelType w:val="hybridMultilevel"/>
    <w:tmpl w:val="6CAA22F4"/>
    <w:lvl w:ilvl="0" w:tplc="D990E77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312028"/>
    <w:multiLevelType w:val="hybridMultilevel"/>
    <w:tmpl w:val="B81A6A02"/>
    <w:lvl w:ilvl="0" w:tplc="F7CC1A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892659"/>
    <w:multiLevelType w:val="hybridMultilevel"/>
    <w:tmpl w:val="242E6C60"/>
    <w:lvl w:ilvl="0" w:tplc="35BCF95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CD77580"/>
    <w:multiLevelType w:val="hybridMultilevel"/>
    <w:tmpl w:val="BCF230F6"/>
    <w:lvl w:ilvl="0" w:tplc="0C0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BF15A3"/>
    <w:multiLevelType w:val="hybridMultilevel"/>
    <w:tmpl w:val="95B4B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B331E"/>
    <w:multiLevelType w:val="hybridMultilevel"/>
    <w:tmpl w:val="87820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73032"/>
    <w:multiLevelType w:val="hybridMultilevel"/>
    <w:tmpl w:val="CC9CF396"/>
    <w:lvl w:ilvl="0" w:tplc="590EE292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E7A0452"/>
    <w:multiLevelType w:val="hybridMultilevel"/>
    <w:tmpl w:val="CC763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545D3"/>
    <w:multiLevelType w:val="hybridMultilevel"/>
    <w:tmpl w:val="CB86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A00FF"/>
    <w:multiLevelType w:val="hybridMultilevel"/>
    <w:tmpl w:val="FF7492A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A525C3"/>
    <w:multiLevelType w:val="hybridMultilevel"/>
    <w:tmpl w:val="241242DE"/>
    <w:lvl w:ilvl="0" w:tplc="AD10F180">
      <w:start w:val="1"/>
      <w:numFmt w:val="decimal"/>
      <w:lvlText w:val="(%1)"/>
      <w:lvlJc w:val="left"/>
      <w:pPr>
        <w:ind w:left="1200" w:hanging="420"/>
      </w:pPr>
      <w:rPr>
        <w:rFonts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2926"/>
    <w:rsid w:val="000010AC"/>
    <w:rsid w:val="00005EBE"/>
    <w:rsid w:val="0000623D"/>
    <w:rsid w:val="0001160A"/>
    <w:rsid w:val="00015FFC"/>
    <w:rsid w:val="00022342"/>
    <w:rsid w:val="0004206C"/>
    <w:rsid w:val="0004512D"/>
    <w:rsid w:val="0005008B"/>
    <w:rsid w:val="00054D82"/>
    <w:rsid w:val="00057040"/>
    <w:rsid w:val="00061DE9"/>
    <w:rsid w:val="00062926"/>
    <w:rsid w:val="00072442"/>
    <w:rsid w:val="00074A63"/>
    <w:rsid w:val="000820B1"/>
    <w:rsid w:val="0008417B"/>
    <w:rsid w:val="0008442C"/>
    <w:rsid w:val="00093A87"/>
    <w:rsid w:val="000A08E3"/>
    <w:rsid w:val="000A1FB3"/>
    <w:rsid w:val="000A609A"/>
    <w:rsid w:val="000B1F50"/>
    <w:rsid w:val="000B228B"/>
    <w:rsid w:val="000E0658"/>
    <w:rsid w:val="000E6D4A"/>
    <w:rsid w:val="000F2E9E"/>
    <w:rsid w:val="00112BCF"/>
    <w:rsid w:val="00113A7C"/>
    <w:rsid w:val="001203E3"/>
    <w:rsid w:val="0014179C"/>
    <w:rsid w:val="001431AD"/>
    <w:rsid w:val="001462F6"/>
    <w:rsid w:val="001506C6"/>
    <w:rsid w:val="00152441"/>
    <w:rsid w:val="001933F0"/>
    <w:rsid w:val="001A1F22"/>
    <w:rsid w:val="001A2C26"/>
    <w:rsid w:val="001A7F7D"/>
    <w:rsid w:val="001C2D28"/>
    <w:rsid w:val="001E1A1E"/>
    <w:rsid w:val="001F7A9E"/>
    <w:rsid w:val="0024548B"/>
    <w:rsid w:val="00252947"/>
    <w:rsid w:val="002613A1"/>
    <w:rsid w:val="002A4D55"/>
    <w:rsid w:val="002B49DE"/>
    <w:rsid w:val="002D14B2"/>
    <w:rsid w:val="002D1F3A"/>
    <w:rsid w:val="002E52D4"/>
    <w:rsid w:val="00322427"/>
    <w:rsid w:val="00324694"/>
    <w:rsid w:val="00327451"/>
    <w:rsid w:val="00340D5B"/>
    <w:rsid w:val="003449DF"/>
    <w:rsid w:val="00346921"/>
    <w:rsid w:val="00346F6E"/>
    <w:rsid w:val="0034725B"/>
    <w:rsid w:val="00357693"/>
    <w:rsid w:val="0037468F"/>
    <w:rsid w:val="00381600"/>
    <w:rsid w:val="003A474A"/>
    <w:rsid w:val="003A6602"/>
    <w:rsid w:val="003B2B78"/>
    <w:rsid w:val="003B6699"/>
    <w:rsid w:val="003D6F11"/>
    <w:rsid w:val="003E7821"/>
    <w:rsid w:val="00406DAB"/>
    <w:rsid w:val="004105A6"/>
    <w:rsid w:val="0041093A"/>
    <w:rsid w:val="004151A7"/>
    <w:rsid w:val="004215C5"/>
    <w:rsid w:val="00431073"/>
    <w:rsid w:val="0043304D"/>
    <w:rsid w:val="00441631"/>
    <w:rsid w:val="004537F5"/>
    <w:rsid w:val="0045392F"/>
    <w:rsid w:val="004605CD"/>
    <w:rsid w:val="00474004"/>
    <w:rsid w:val="00494257"/>
    <w:rsid w:val="004B0B61"/>
    <w:rsid w:val="004B71C7"/>
    <w:rsid w:val="004C1416"/>
    <w:rsid w:val="004D71F6"/>
    <w:rsid w:val="004E1A78"/>
    <w:rsid w:val="004E4A2D"/>
    <w:rsid w:val="004F3FEE"/>
    <w:rsid w:val="005219DF"/>
    <w:rsid w:val="00527AAF"/>
    <w:rsid w:val="005828D8"/>
    <w:rsid w:val="0058625C"/>
    <w:rsid w:val="00591501"/>
    <w:rsid w:val="00597893"/>
    <w:rsid w:val="005C3C34"/>
    <w:rsid w:val="005D301F"/>
    <w:rsid w:val="005D7A1A"/>
    <w:rsid w:val="00600D8B"/>
    <w:rsid w:val="006431B5"/>
    <w:rsid w:val="00661719"/>
    <w:rsid w:val="006715D4"/>
    <w:rsid w:val="006737BC"/>
    <w:rsid w:val="006759BA"/>
    <w:rsid w:val="00687AD2"/>
    <w:rsid w:val="006A5105"/>
    <w:rsid w:val="006B2B86"/>
    <w:rsid w:val="006C5C87"/>
    <w:rsid w:val="00706B76"/>
    <w:rsid w:val="00717AD4"/>
    <w:rsid w:val="00731FF5"/>
    <w:rsid w:val="007460DC"/>
    <w:rsid w:val="00747334"/>
    <w:rsid w:val="0075065E"/>
    <w:rsid w:val="00786AB5"/>
    <w:rsid w:val="00797EF7"/>
    <w:rsid w:val="007E7AC1"/>
    <w:rsid w:val="007F0DBA"/>
    <w:rsid w:val="00811643"/>
    <w:rsid w:val="008236B9"/>
    <w:rsid w:val="008264FE"/>
    <w:rsid w:val="00837590"/>
    <w:rsid w:val="00852EBB"/>
    <w:rsid w:val="00871E64"/>
    <w:rsid w:val="008859C0"/>
    <w:rsid w:val="008D1E6D"/>
    <w:rsid w:val="009555D6"/>
    <w:rsid w:val="0096278E"/>
    <w:rsid w:val="00971868"/>
    <w:rsid w:val="0097211A"/>
    <w:rsid w:val="009963CA"/>
    <w:rsid w:val="009A26B7"/>
    <w:rsid w:val="009C248A"/>
    <w:rsid w:val="009C5C0E"/>
    <w:rsid w:val="009E5581"/>
    <w:rsid w:val="009F617D"/>
    <w:rsid w:val="009F6BC2"/>
    <w:rsid w:val="00A10B19"/>
    <w:rsid w:val="00A12B68"/>
    <w:rsid w:val="00A172C6"/>
    <w:rsid w:val="00A24A0D"/>
    <w:rsid w:val="00A55465"/>
    <w:rsid w:val="00A74E55"/>
    <w:rsid w:val="00A81791"/>
    <w:rsid w:val="00A84184"/>
    <w:rsid w:val="00A84EF6"/>
    <w:rsid w:val="00A86901"/>
    <w:rsid w:val="00A912D9"/>
    <w:rsid w:val="00A96960"/>
    <w:rsid w:val="00AB0874"/>
    <w:rsid w:val="00AD1E54"/>
    <w:rsid w:val="00AF4272"/>
    <w:rsid w:val="00AF74D5"/>
    <w:rsid w:val="00B039E7"/>
    <w:rsid w:val="00B123EB"/>
    <w:rsid w:val="00B231EA"/>
    <w:rsid w:val="00B327BD"/>
    <w:rsid w:val="00B42517"/>
    <w:rsid w:val="00B60D67"/>
    <w:rsid w:val="00B721D5"/>
    <w:rsid w:val="00B83B85"/>
    <w:rsid w:val="00BA1558"/>
    <w:rsid w:val="00BA4E17"/>
    <w:rsid w:val="00BD1C6D"/>
    <w:rsid w:val="00BD73B2"/>
    <w:rsid w:val="00BF3AB8"/>
    <w:rsid w:val="00BF78D4"/>
    <w:rsid w:val="00C307C1"/>
    <w:rsid w:val="00C35029"/>
    <w:rsid w:val="00C377DC"/>
    <w:rsid w:val="00C45E00"/>
    <w:rsid w:val="00C738DF"/>
    <w:rsid w:val="00C843FC"/>
    <w:rsid w:val="00C86985"/>
    <w:rsid w:val="00C95A79"/>
    <w:rsid w:val="00CA4749"/>
    <w:rsid w:val="00CA6406"/>
    <w:rsid w:val="00CA7C95"/>
    <w:rsid w:val="00CC2D09"/>
    <w:rsid w:val="00CD5353"/>
    <w:rsid w:val="00D04699"/>
    <w:rsid w:val="00D07174"/>
    <w:rsid w:val="00D15861"/>
    <w:rsid w:val="00D20F44"/>
    <w:rsid w:val="00D479C9"/>
    <w:rsid w:val="00D57FCE"/>
    <w:rsid w:val="00D63603"/>
    <w:rsid w:val="00DC3B94"/>
    <w:rsid w:val="00DC5701"/>
    <w:rsid w:val="00DD088D"/>
    <w:rsid w:val="00DE63D2"/>
    <w:rsid w:val="00DF2AC1"/>
    <w:rsid w:val="00E0102B"/>
    <w:rsid w:val="00E05E89"/>
    <w:rsid w:val="00E10FEA"/>
    <w:rsid w:val="00E538E9"/>
    <w:rsid w:val="00E61FEF"/>
    <w:rsid w:val="00E81C3C"/>
    <w:rsid w:val="00E83C92"/>
    <w:rsid w:val="00EA4E1B"/>
    <w:rsid w:val="00EA57CA"/>
    <w:rsid w:val="00EB3352"/>
    <w:rsid w:val="00EC33F6"/>
    <w:rsid w:val="00ED7423"/>
    <w:rsid w:val="00EE3082"/>
    <w:rsid w:val="00EF3D6F"/>
    <w:rsid w:val="00F3121C"/>
    <w:rsid w:val="00F36FF3"/>
    <w:rsid w:val="00F4666D"/>
    <w:rsid w:val="00F64EF2"/>
    <w:rsid w:val="00F7553C"/>
    <w:rsid w:val="00F822EF"/>
    <w:rsid w:val="00F83843"/>
    <w:rsid w:val="00F84218"/>
    <w:rsid w:val="00F90A01"/>
    <w:rsid w:val="00FB4955"/>
    <w:rsid w:val="00FB7412"/>
    <w:rsid w:val="00FC3564"/>
    <w:rsid w:val="00FD2437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D7804"/>
  <w14:defaultImageDpi w14:val="0"/>
  <w15:docId w15:val="{1F3BBC86-CD34-4640-ADC7-910B62B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61"/>
    <w:rPr>
      <w:rFonts w:cs="Times New Roman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6737BC"/>
    <w:pPr>
      <w:spacing w:before="7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737BC"/>
    <w:rPr>
      <w:rFonts w:ascii="Arial" w:hAnsi="Arial" w:cs="Times New Roman"/>
      <w:b/>
      <w:sz w:val="20"/>
      <w:szCs w:val="20"/>
    </w:rPr>
  </w:style>
  <w:style w:type="paragraph" w:styleId="NoSpacing">
    <w:name w:val="No Spacing"/>
    <w:uiPriority w:val="1"/>
    <w:qFormat/>
    <w:rsid w:val="001506C6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81791"/>
    <w:pPr>
      <w:spacing w:after="0" w:line="240" w:lineRule="auto"/>
      <w:ind w:left="720"/>
    </w:pPr>
    <w:rPr>
      <w:rFonts w:ascii="Times New Roman" w:hAnsi="Times New Roman"/>
      <w:sz w:val="24"/>
      <w:szCs w:val="20"/>
      <w:lang w:eastAsia="en-AU"/>
    </w:rPr>
  </w:style>
  <w:style w:type="paragraph" w:customStyle="1" w:styleId="paraplain">
    <w:name w:val="para_plain"/>
    <w:basedOn w:val="Normal"/>
    <w:rsid w:val="000A1FB3"/>
    <w:pPr>
      <w:tabs>
        <w:tab w:val="left" w:pos="990"/>
      </w:tabs>
      <w:spacing w:after="240" w:line="240" w:lineRule="auto"/>
      <w:ind w:left="540"/>
    </w:pPr>
    <w:rPr>
      <w:rFonts w:ascii="Arial" w:hAnsi="Arial"/>
      <w:szCs w:val="20"/>
      <w:lang w:eastAsia="en-AU"/>
    </w:rPr>
  </w:style>
  <w:style w:type="character" w:customStyle="1" w:styleId="Boldwordformat">
    <w:name w:val="Bold word format"/>
    <w:basedOn w:val="DefaultParagraphFont"/>
    <w:rsid w:val="000A1FB3"/>
    <w:rPr>
      <w:rFonts w:cs="Times New Roman"/>
      <w:b/>
    </w:rPr>
  </w:style>
  <w:style w:type="paragraph" w:customStyle="1" w:styleId="Billname">
    <w:name w:val="Billname"/>
    <w:basedOn w:val="Normal"/>
    <w:rsid w:val="00786AB5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786AB5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786AB5"/>
    <w:pPr>
      <w:spacing w:before="18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786AB5"/>
    <w:pPr>
      <w:tabs>
        <w:tab w:val="left" w:pos="2600"/>
      </w:tabs>
      <w:spacing w:before="200" w:after="60" w:line="240" w:lineRule="auto"/>
      <w:jc w:val="both"/>
    </w:pPr>
    <w:rPr>
      <w:rFonts w:ascii="Arial" w:hAnsi="Arial"/>
      <w:b/>
      <w:sz w:val="24"/>
      <w:szCs w:val="20"/>
    </w:rPr>
  </w:style>
  <w:style w:type="paragraph" w:customStyle="1" w:styleId="ESText">
    <w:name w:val="ES Text"/>
    <w:basedOn w:val="Normal"/>
    <w:qFormat/>
    <w:rsid w:val="009F617D"/>
    <w:pPr>
      <w:spacing w:before="100" w:beforeAutospacing="1" w:after="100" w:afterAutospacing="1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BodyText1">
    <w:name w:val="Body Text 1"/>
    <w:basedOn w:val="Normal"/>
    <w:uiPriority w:val="99"/>
    <w:rsid w:val="00CA7C95"/>
    <w:pPr>
      <w:widowControl w:val="0"/>
      <w:spacing w:before="240" w:after="0" w:line="240" w:lineRule="auto"/>
      <w:ind w:left="709"/>
      <w:jc w:val="both"/>
    </w:pPr>
    <w:rPr>
      <w:rFonts w:ascii="Arial" w:eastAsia="MS Mincho" w:hAnsi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4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31A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43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31AD"/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8236B9"/>
    <w:rPr>
      <w:rFonts w:ascii="Times New Roman" w:hAnsi="Times New Roman"/>
      <w:sz w:val="20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E7EB-087B-4599-90D3-6132FC81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4454</Characters>
  <Application>Microsoft Office Word</Application>
  <DocSecurity>0</DocSecurity>
  <Lines>101</Lines>
  <Paragraphs>44</Paragraphs>
  <ScaleCrop>false</ScaleCrop>
  <Company>InTACT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2016-02-22T01:53:00Z</cp:lastPrinted>
  <dcterms:created xsi:type="dcterms:W3CDTF">2021-08-25T05:28:00Z</dcterms:created>
  <dcterms:modified xsi:type="dcterms:W3CDTF">2021-08-25T05:28:00Z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A11549541</vt:lpwstr>
  </property>
  <property fmtid="{D5CDD505-2E9C-101B-9397-08002B2CF9AE}" pid="4" name="Objective-Title">
    <vt:lpwstr>20160112 (Attachment B3) Explanatory Statement - Light Rail Regulated Utility Network Boudnary Code</vt:lpwstr>
  </property>
  <property fmtid="{D5CDD505-2E9C-101B-9397-08002B2CF9AE}" pid="5" name="Objective-Comment">
    <vt:lpwstr/>
  </property>
  <property fmtid="{D5CDD505-2E9C-101B-9397-08002B2CF9AE}" pid="6" name="Objective-CreationStamp">
    <vt:filetime>2015-11-27T14:00:00Z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2016-02-08T14:00:00Z</vt:filetime>
  </property>
  <property fmtid="{D5CDD505-2E9C-101B-9397-08002B2CF9AE}" pid="10" name="Objective-ModificationStamp">
    <vt:filetime>2016-02-08T14:00:00Z</vt:filetime>
  </property>
  <property fmtid="{D5CDD505-2E9C-101B-9397-08002B2CF9AE}" pid="11" name="Objective-Owner">
    <vt:lpwstr>Sachie Terasaki</vt:lpwstr>
  </property>
  <property fmtid="{D5CDD505-2E9C-101B-9397-08002B2CF9AE}" pid="12" name="Objective-Path">
    <vt:lpwstr>Whole of ACT Government:EPD - Environment and Planning Directorate:07. Ministerial, Cabinet and Government Relations:07. Executive Correspondence:Director-General:2015 - Director-General Correspondence:Finance and Operational Support:Construction and Clie</vt:lpwstr>
  </property>
  <property fmtid="{D5CDD505-2E9C-101B-9397-08002B2CF9AE}" pid="13" name="Objective-Parent">
    <vt:lpwstr>15/16451 - Light Rail Regulated Utility Network Code, Light Rail Regulated Utility Network Boundary Code and Regulated Utility Coordination Code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1-2015/16451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</Properties>
</file>