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A07B1" w14:textId="77777777" w:rsidR="00A65144" w:rsidRDefault="00A65144">
      <w:pPr>
        <w:spacing w:before="120"/>
        <w:rPr>
          <w:rFonts w:ascii="Arial" w:hAnsi="Arial" w:cs="Arial"/>
        </w:rPr>
      </w:pPr>
      <w:bookmarkStart w:id="0" w:name="_Hlk83372023"/>
      <w:bookmarkStart w:id="1" w:name="_Toc44738651"/>
      <w:r>
        <w:rPr>
          <w:rFonts w:ascii="Arial" w:hAnsi="Arial" w:cs="Arial"/>
        </w:rPr>
        <w:t>Australian Capital Territory</w:t>
      </w:r>
    </w:p>
    <w:p w14:paraId="4C16018B" w14:textId="77777777" w:rsidR="00A65144" w:rsidRDefault="00A65144">
      <w:pPr>
        <w:pStyle w:val="Billname"/>
        <w:spacing w:before="700"/>
      </w:pPr>
      <w:r>
        <w:t>Independent Competition and Regulatory Commission (Disclosure Guidelines) Determination 20</w:t>
      </w:r>
      <w:r w:rsidR="003955A8">
        <w:t>21</w:t>
      </w:r>
    </w:p>
    <w:p w14:paraId="03460F3C" w14:textId="77777777" w:rsidR="00A65144" w:rsidRDefault="00A65144">
      <w:pPr>
        <w:spacing w:before="240" w:after="60"/>
        <w:rPr>
          <w:rFonts w:ascii="Arial" w:hAnsi="Arial" w:cs="Arial"/>
          <w:b/>
          <w:bCs/>
          <w:vertAlign w:val="superscript"/>
        </w:rPr>
      </w:pPr>
      <w:r>
        <w:rPr>
          <w:rFonts w:ascii="Arial" w:hAnsi="Arial" w:cs="Arial"/>
          <w:b/>
          <w:bCs/>
        </w:rPr>
        <w:t>Disallowable instrument DI20</w:t>
      </w:r>
      <w:r w:rsidR="003955A8">
        <w:rPr>
          <w:rFonts w:ascii="Arial" w:hAnsi="Arial" w:cs="Arial"/>
          <w:b/>
          <w:bCs/>
        </w:rPr>
        <w:t>21</w:t>
      </w:r>
      <w:r>
        <w:rPr>
          <w:rFonts w:ascii="Arial" w:hAnsi="Arial" w:cs="Arial"/>
          <w:b/>
          <w:bCs/>
        </w:rPr>
        <w:t>–</w:t>
      </w:r>
      <w:r w:rsidR="009A1E82">
        <w:rPr>
          <w:rFonts w:ascii="Arial" w:hAnsi="Arial" w:cs="Arial"/>
          <w:b/>
          <w:bCs/>
        </w:rPr>
        <w:t>238</w:t>
      </w:r>
    </w:p>
    <w:p w14:paraId="31C32D31" w14:textId="77777777" w:rsidR="00A65144" w:rsidRDefault="00A65144">
      <w:pPr>
        <w:pStyle w:val="madeunder"/>
        <w:spacing w:before="240" w:after="120"/>
      </w:pPr>
      <w:r>
        <w:t xml:space="preserve">made under the  </w:t>
      </w:r>
    </w:p>
    <w:p w14:paraId="27A973B7" w14:textId="77777777" w:rsidR="00A65144" w:rsidRDefault="00A65144">
      <w:pPr>
        <w:pStyle w:val="CoverActName"/>
      </w:pPr>
      <w:r>
        <w:rPr>
          <w:sz w:val="20"/>
          <w:szCs w:val="20"/>
        </w:rPr>
        <w:t xml:space="preserve">Independent Competition and Regulatory Commission Act 1997, section 46 </w:t>
      </w:r>
    </w:p>
    <w:bookmarkEnd w:id="0"/>
    <w:p w14:paraId="2AC905D4" w14:textId="77777777" w:rsidR="00A65144" w:rsidRDefault="00A65144">
      <w:pPr>
        <w:spacing w:before="360"/>
        <w:ind w:right="565"/>
        <w:rPr>
          <w:rFonts w:ascii="Arial" w:hAnsi="Arial" w:cs="Arial"/>
          <w:b/>
          <w:bCs/>
          <w:sz w:val="28"/>
          <w:szCs w:val="28"/>
        </w:rPr>
      </w:pPr>
      <w:r>
        <w:rPr>
          <w:rFonts w:ascii="Arial" w:hAnsi="Arial" w:cs="Arial"/>
          <w:b/>
          <w:bCs/>
          <w:sz w:val="28"/>
          <w:szCs w:val="28"/>
        </w:rPr>
        <w:t>EXPLANATORY STATEMENT</w:t>
      </w:r>
    </w:p>
    <w:p w14:paraId="7CF16164" w14:textId="77777777" w:rsidR="00A65144" w:rsidRDefault="00A65144">
      <w:pPr>
        <w:pStyle w:val="N-line3"/>
        <w:pBdr>
          <w:bottom w:val="none" w:sz="0" w:space="0" w:color="auto"/>
        </w:pBdr>
      </w:pPr>
    </w:p>
    <w:p w14:paraId="53322F31" w14:textId="77777777" w:rsidR="00A65144" w:rsidRDefault="00A65144">
      <w:pPr>
        <w:pStyle w:val="N-line3"/>
        <w:pBdr>
          <w:top w:val="single" w:sz="12" w:space="1" w:color="auto"/>
          <w:bottom w:val="none" w:sz="0" w:space="0" w:color="auto"/>
        </w:pBdr>
      </w:pPr>
    </w:p>
    <w:bookmarkEnd w:id="1"/>
    <w:p w14:paraId="47493A00" w14:textId="77777777" w:rsidR="00A65144" w:rsidRDefault="00A65144">
      <w:r>
        <w:t xml:space="preserve">The Independent Competition and Regulatory Commission has determined disclosure guidelines for the purposes of section 46(1)(a) of the </w:t>
      </w:r>
      <w:r>
        <w:rPr>
          <w:i/>
          <w:iCs/>
        </w:rPr>
        <w:t>Independent Competition and Regulatory Commission Act 1997</w:t>
      </w:r>
      <w:r>
        <w:t xml:space="preserve"> (ACT), under section 46(4) of that Act.</w:t>
      </w:r>
    </w:p>
    <w:p w14:paraId="5F42EB9D" w14:textId="77777777" w:rsidR="00A65144" w:rsidRDefault="00A65144"/>
    <w:p w14:paraId="2555C92B" w14:textId="77777777" w:rsidR="00A65144" w:rsidRDefault="00A65144">
      <w:r>
        <w:t xml:space="preserve">The Commission’s disclosure guidelines set out the approach that will be taken by the Commission to the general disclosure of confidential information under section 46 of the Act.  The guidelines also set out the matters that the Commission will consider in assessing a claim that confidential information that has been provided to the Commission should not be disclosed.  </w:t>
      </w:r>
    </w:p>
    <w:p w14:paraId="67133602" w14:textId="77777777" w:rsidR="00A65144" w:rsidRDefault="00A65144"/>
    <w:p w14:paraId="670BDE30" w14:textId="77777777" w:rsidR="00A65144" w:rsidRDefault="00A65144">
      <w:r>
        <w:t>The disclosure guidelines apply only to the disclosure of confidential information by the Commission under section 46 of the Act, and do not apply to other disclosures that are specifically provided for under the ICRC Act.</w:t>
      </w:r>
    </w:p>
    <w:sectPr w:rsidR="00A65144">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6CD40" w14:textId="77777777" w:rsidR="00D2413E" w:rsidRDefault="00D2413E">
      <w:r>
        <w:separator/>
      </w:r>
    </w:p>
  </w:endnote>
  <w:endnote w:type="continuationSeparator" w:id="0">
    <w:p w14:paraId="38011001" w14:textId="77777777" w:rsidR="00D2413E" w:rsidRDefault="00D2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61A46" w14:textId="77777777" w:rsidR="000A238D" w:rsidRDefault="000A2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A6A0C" w14:textId="77777777" w:rsidR="000A238D" w:rsidRPr="000A238D" w:rsidRDefault="000A238D" w:rsidP="000A238D">
    <w:pPr>
      <w:pStyle w:val="Footer"/>
      <w:jc w:val="center"/>
      <w:rPr>
        <w:sz w:val="14"/>
      </w:rPr>
    </w:pPr>
    <w:r w:rsidRPr="000A238D">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EC03A" w14:textId="77777777" w:rsidR="000A238D" w:rsidRDefault="000A2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7D41E" w14:textId="77777777" w:rsidR="00D2413E" w:rsidRDefault="00D2413E">
      <w:r>
        <w:separator/>
      </w:r>
    </w:p>
  </w:footnote>
  <w:footnote w:type="continuationSeparator" w:id="0">
    <w:p w14:paraId="426F7FC7" w14:textId="77777777" w:rsidR="00D2413E" w:rsidRDefault="00D24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19212" w14:textId="77777777" w:rsidR="000A238D" w:rsidRDefault="000A2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E11D1" w14:textId="77777777" w:rsidR="000A238D" w:rsidRDefault="000A23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AA617" w14:textId="77777777" w:rsidR="000A238D" w:rsidRDefault="000A2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b/>
        <w:bCs/>
        <w:i w:val="0"/>
        <w:iCs w:val="0"/>
      </w:rPr>
    </w:lvl>
    <w:lvl w:ilvl="5">
      <w:start w:val="1"/>
      <w:numFmt w:val="decimal"/>
      <w:lvlText w:val="(%6)"/>
      <w:lvlJc w:val="right"/>
      <w:pPr>
        <w:tabs>
          <w:tab w:val="num" w:pos="700"/>
        </w:tabs>
        <w:ind w:left="700" w:hanging="200"/>
      </w:pPr>
      <w:rPr>
        <w:rFonts w:cs="Times New Roman"/>
        <w:b w:val="0"/>
        <w:bCs w:val="0"/>
      </w:rPr>
    </w:lvl>
    <w:lvl w:ilvl="6">
      <w:start w:val="1"/>
      <w:numFmt w:val="lowerLetter"/>
      <w:lvlText w:val="(%7)"/>
      <w:lvlJc w:val="right"/>
      <w:pPr>
        <w:tabs>
          <w:tab w:val="num" w:pos="1200"/>
        </w:tabs>
        <w:ind w:left="1200" w:hanging="200"/>
      </w:pPr>
      <w:rPr>
        <w:rFonts w:cs="Times New Roman"/>
        <w:b w:val="0"/>
        <w:bCs w:val="0"/>
        <w:i w:val="0"/>
        <w:iCs w:val="0"/>
      </w:rPr>
    </w:lvl>
    <w:lvl w:ilvl="7">
      <w:start w:val="1"/>
      <w:numFmt w:val="lowerRoman"/>
      <w:lvlText w:val="(%8)"/>
      <w:lvlJc w:val="right"/>
      <w:pPr>
        <w:tabs>
          <w:tab w:val="num" w:pos="1740"/>
        </w:tabs>
        <w:ind w:left="1740" w:hanging="200"/>
      </w:pPr>
      <w:rPr>
        <w:rFonts w:cs="Times New Roman"/>
        <w:b w:val="0"/>
        <w:bCs w:val="0"/>
        <w:i w:val="0"/>
        <w:iCs w:val="0"/>
      </w:rPr>
    </w:lvl>
    <w:lvl w:ilvl="8">
      <w:start w:val="1"/>
      <w:numFmt w:val="upperLetter"/>
      <w:lvlText w:val="(%9)"/>
      <w:lvlJc w:val="right"/>
      <w:pPr>
        <w:tabs>
          <w:tab w:val="num" w:pos="2260"/>
        </w:tabs>
        <w:ind w:left="2260" w:hanging="200"/>
      </w:pPr>
      <w:rPr>
        <w:rFonts w:cs="Times New Roman"/>
        <w:b w:val="0"/>
        <w:bCs w:val="0"/>
        <w:i w:val="0"/>
        <w:iCs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3C606EE4"/>
    <w:multiLevelType w:val="hybridMultilevel"/>
    <w:tmpl w:val="BE02DA70"/>
    <w:lvl w:ilvl="0" w:tplc="76AAB80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15:restartNumberingAfterBreak="0">
    <w:nsid w:val="62AB11EF"/>
    <w:multiLevelType w:val="hybridMultilevel"/>
    <w:tmpl w:val="5A6081F6"/>
    <w:lvl w:ilvl="0" w:tplc="D7AA2B18">
      <w:start w:val="1"/>
      <w:numFmt w:val="bullet"/>
      <w:pStyle w:val="Bullet"/>
      <w:lvlText w:val="•"/>
      <w:lvlJc w:val="left"/>
      <w:pPr>
        <w:tabs>
          <w:tab w:val="num" w:pos="360"/>
        </w:tabs>
        <w:ind w:left="360" w:hanging="360"/>
      </w:pPr>
      <w:rPr>
        <w:rFonts w:ascii="Verdana" w:hAnsi="Verdana" w:hint="default"/>
        <w:b w:val="0"/>
        <w:i w:val="0"/>
        <w:color w:val="auto"/>
        <w:sz w:val="22"/>
      </w:rPr>
    </w:lvl>
    <w:lvl w:ilvl="1" w:tplc="B5843CA0">
      <w:start w:val="1"/>
      <w:numFmt w:val="lowerLetter"/>
      <w:lvlText w:val="(%2)"/>
      <w:lvlJc w:val="left"/>
      <w:pPr>
        <w:tabs>
          <w:tab w:val="num" w:pos="1440"/>
        </w:tabs>
        <w:ind w:left="1440" w:hanging="360"/>
      </w:pPr>
      <w:rPr>
        <w:rFonts w:cs="Times New Roman" w:hint="default"/>
      </w:rPr>
    </w:lvl>
    <w:lvl w:ilvl="2" w:tplc="D356395C">
      <w:start w:val="1"/>
      <w:numFmt w:val="lowerRoman"/>
      <w:lvlText w:val="(%3)"/>
      <w:lvlJc w:val="right"/>
      <w:pPr>
        <w:tabs>
          <w:tab w:val="num" w:pos="2160"/>
        </w:tabs>
        <w:ind w:left="2160" w:hanging="360"/>
      </w:pPr>
      <w:rPr>
        <w:rFonts w:cs="Times New Roman" w:hint="default"/>
      </w:rPr>
    </w:lvl>
    <w:lvl w:ilvl="3" w:tplc="57B2D8DE">
      <w:start w:val="3"/>
      <w:numFmt w:val="lowerLetter"/>
      <w:lvlText w:val="(%4)"/>
      <w:lvlJc w:val="left"/>
      <w:pPr>
        <w:tabs>
          <w:tab w:val="num" w:pos="2880"/>
        </w:tabs>
        <w:ind w:left="2880" w:hanging="360"/>
      </w:pPr>
      <w:rPr>
        <w:rFonts w:cs="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15:restartNumberingAfterBreak="0">
    <w:nsid w:val="78E53A57"/>
    <w:multiLevelType w:val="hybridMultilevel"/>
    <w:tmpl w:val="D7D46560"/>
    <w:lvl w:ilvl="0" w:tplc="76AAB80C">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6"/>
  </w:num>
  <w:num w:numId="5">
    <w:abstractNumId w:val="9"/>
  </w:num>
  <w:num w:numId="6">
    <w:abstractNumId w:val="1"/>
  </w:num>
  <w:num w:numId="7">
    <w:abstractNumId w:val="4"/>
  </w:num>
  <w:num w:numId="8">
    <w:abstractNumId w:val="5"/>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955A8"/>
    <w:rsid w:val="000A238D"/>
    <w:rsid w:val="00110EE5"/>
    <w:rsid w:val="002405E3"/>
    <w:rsid w:val="003955A8"/>
    <w:rsid w:val="003B6B6D"/>
    <w:rsid w:val="004C208D"/>
    <w:rsid w:val="0053151B"/>
    <w:rsid w:val="00860A93"/>
    <w:rsid w:val="009A1E82"/>
    <w:rsid w:val="009D4DD5"/>
    <w:rsid w:val="009E46EA"/>
    <w:rsid w:val="00A65144"/>
    <w:rsid w:val="00BD5B76"/>
    <w:rsid w:val="00D2413E"/>
    <w:rsid w:val="00E41C90"/>
    <w:rsid w:val="00F02DEB"/>
    <w:rsid w:val="00FA40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EA527C"/>
  <w14:defaultImageDpi w14:val="0"/>
  <w15:docId w15:val="{7AB48C2B-A62E-447F-A319-64EA53C4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sz w:val="24"/>
      <w:szCs w:val="24"/>
      <w:lang w:eastAsia="en-US"/>
    </w:rPr>
  </w:style>
  <w:style w:type="paragraph" w:styleId="Heading1">
    <w:name w:val="heading 1"/>
    <w:basedOn w:val="Normal"/>
    <w:next w:val="Normal"/>
    <w:link w:val="Heading1Char"/>
    <w:uiPriority w:val="99"/>
    <w:qFormat/>
    <w:pPr>
      <w:keepNext/>
      <w:pageBreakBefore/>
      <w:pBdr>
        <w:bottom w:val="single" w:sz="8" w:space="1" w:color="auto"/>
      </w:pBdr>
      <w:tabs>
        <w:tab w:val="left" w:pos="2880"/>
      </w:tabs>
      <w:spacing w:before="480" w:after="120"/>
      <w:outlineLvl w:val="0"/>
    </w:pPr>
    <w:rPr>
      <w:rFonts w:ascii="Arial" w:hAnsi="Arial" w:cs="Arial"/>
      <w:b/>
      <w:bCs/>
      <w:kern w:val="28"/>
      <w:sz w:val="36"/>
      <w:szCs w:val="36"/>
    </w:rPr>
  </w:style>
  <w:style w:type="paragraph" w:styleId="Heading2">
    <w:name w:val="heading 2"/>
    <w:basedOn w:val="Normal"/>
    <w:next w:val="Normal"/>
    <w:link w:val="Heading2Char"/>
    <w:uiPriority w:val="99"/>
    <w:qFormat/>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9"/>
    <w:qFormat/>
    <w:pPr>
      <w:keepNext/>
      <w:pBdr>
        <w:right w:val="single" w:sz="4" w:space="4" w:color="auto"/>
      </w:pBdr>
      <w:outlineLvl w:val="2"/>
    </w:pPr>
    <w:rPr>
      <w:i/>
      <w:iCs/>
      <w:sz w:val="22"/>
      <w:szCs w:val="22"/>
    </w:rPr>
  </w:style>
  <w:style w:type="paragraph" w:styleId="Heading4">
    <w:name w:val="heading 4"/>
    <w:basedOn w:val="Normal"/>
    <w:next w:val="Normal"/>
    <w:link w:val="Heading4Char"/>
    <w:uiPriority w:val="99"/>
    <w:qFormat/>
    <w:pPr>
      <w:keepNext/>
      <w:pBdr>
        <w:right w:val="single" w:sz="4" w:space="4" w:color="auto"/>
      </w:pBdr>
      <w:ind w:left="743" w:hanging="709"/>
      <w:outlineLvl w:val="3"/>
    </w:pPr>
    <w:rPr>
      <w:i/>
      <w:iCs/>
      <w:sz w:val="22"/>
      <w:szCs w:val="22"/>
    </w:rPr>
  </w:style>
  <w:style w:type="paragraph" w:styleId="Heading5">
    <w:name w:val="heading 5"/>
    <w:basedOn w:val="Normal"/>
    <w:next w:val="Normal"/>
    <w:link w:val="Heading5Char"/>
    <w:uiPriority w:val="99"/>
    <w:qFormat/>
    <w:pPr>
      <w:keepNext/>
      <w:outlineLvl w:val="4"/>
    </w:pPr>
    <w:rPr>
      <w:b/>
      <w:b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cs="Times New Roman"/>
      <w:b/>
      <w:bCs/>
      <w:i/>
      <w:iCs/>
      <w:sz w:val="26"/>
      <w:szCs w:val="26"/>
      <w:lang w:val="x-none" w:eastAsia="en-US"/>
    </w:rPr>
  </w:style>
  <w:style w:type="paragraph" w:styleId="Title">
    <w:name w:val="Title"/>
    <w:basedOn w:val="Normal"/>
    <w:link w:val="TitleChar"/>
    <w:uiPriority w:val="99"/>
    <w:qFormat/>
    <w:pPr>
      <w:pBdr>
        <w:top w:val="single" w:sz="4" w:space="1" w:color="auto"/>
        <w:bottom w:val="single" w:sz="4" w:space="1" w:color="auto"/>
      </w:pBdr>
      <w:spacing w:before="240" w:after="240"/>
    </w:pPr>
    <w:rPr>
      <w:rFonts w:ascii="Arial" w:hAnsi="Arial" w:cs="Arial"/>
      <w:b/>
      <w:bCs/>
      <w:kern w:val="28"/>
      <w:sz w:val="40"/>
      <w:szCs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pPr>
      <w:tabs>
        <w:tab w:val="left" w:pos="2880"/>
      </w:tabs>
      <w:spacing w:before="120" w:after="60" w:line="240" w:lineRule="exact"/>
    </w:pPr>
    <w:rPr>
      <w:rFonts w:ascii="Arial" w:hAnsi="Arial" w:cs="Arial"/>
      <w:sz w:val="18"/>
      <w:szCs w:val="18"/>
    </w:r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x-none" w:eastAsia="en-US"/>
    </w:rPr>
  </w:style>
  <w:style w:type="paragraph" w:customStyle="1" w:styleId="Billname">
    <w:name w:val="Billname"/>
    <w:basedOn w:val="Normal"/>
    <w:uiPriority w:val="99"/>
    <w:pPr>
      <w:tabs>
        <w:tab w:val="left" w:pos="2400"/>
        <w:tab w:val="left" w:pos="2880"/>
      </w:tabs>
      <w:spacing w:before="1220" w:after="100"/>
    </w:pPr>
    <w:rPr>
      <w:rFonts w:ascii="Arial" w:hAnsi="Arial" w:cs="Arial"/>
      <w:b/>
      <w:bCs/>
      <w:sz w:val="40"/>
      <w:szCs w:val="40"/>
    </w:rPr>
  </w:style>
  <w:style w:type="paragraph" w:customStyle="1" w:styleId="Amain">
    <w:name w:val="A main"/>
    <w:basedOn w:val="Normal"/>
    <w:uiPriority w:val="99"/>
    <w:pPr>
      <w:tabs>
        <w:tab w:val="right" w:pos="500"/>
        <w:tab w:val="left" w:pos="700"/>
      </w:tabs>
      <w:spacing w:before="80" w:after="60"/>
      <w:ind w:left="700" w:hanging="700"/>
      <w:jc w:val="both"/>
      <w:outlineLvl w:val="5"/>
    </w:pPr>
  </w:style>
  <w:style w:type="paragraph" w:customStyle="1" w:styleId="N-line3">
    <w:name w:val="N-line3"/>
    <w:basedOn w:val="Normal"/>
    <w:next w:val="Normal"/>
    <w:uiPriority w:val="99"/>
    <w:pPr>
      <w:pBdr>
        <w:bottom w:val="single" w:sz="12" w:space="1" w:color="auto"/>
      </w:pBdr>
      <w:jc w:val="both"/>
    </w:pPr>
  </w:style>
  <w:style w:type="paragraph" w:customStyle="1" w:styleId="madeunder">
    <w:name w:val="made under"/>
    <w:basedOn w:val="Normal"/>
    <w:uiPriority w:val="99"/>
    <w:pPr>
      <w:spacing w:before="180" w:after="60"/>
      <w:jc w:val="both"/>
    </w:pPr>
  </w:style>
  <w:style w:type="paragraph" w:customStyle="1" w:styleId="CoverActName">
    <w:name w:val="CoverActName"/>
    <w:basedOn w:val="Normal"/>
    <w:uiPriority w:val="99"/>
    <w:pPr>
      <w:tabs>
        <w:tab w:val="left" w:pos="2600"/>
      </w:tabs>
      <w:spacing w:before="200" w:after="60"/>
      <w:jc w:val="both"/>
    </w:pPr>
    <w:rPr>
      <w:rFonts w:ascii="Arial" w:hAnsi="Arial" w:cs="Arial"/>
      <w:b/>
      <w:bCs/>
    </w:rPr>
  </w:style>
  <w:style w:type="paragraph" w:customStyle="1" w:styleId="06Copyright">
    <w:name w:val="06Copyright"/>
    <w:basedOn w:val="Normal"/>
    <w:uiPriority w:val="99"/>
    <w:pPr>
      <w:tabs>
        <w:tab w:val="left" w:pos="2880"/>
      </w:tabs>
    </w:pPr>
  </w:style>
  <w:style w:type="paragraph" w:customStyle="1" w:styleId="Apara">
    <w:name w:val="A para"/>
    <w:basedOn w:val="Normal"/>
    <w:uiPriority w:val="99"/>
    <w:pPr>
      <w:numPr>
        <w:ilvl w:val="6"/>
        <w:numId w:val="227"/>
      </w:numPr>
      <w:spacing w:before="80" w:after="60"/>
      <w:jc w:val="both"/>
      <w:outlineLvl w:val="6"/>
    </w:pPr>
  </w:style>
  <w:style w:type="paragraph" w:customStyle="1" w:styleId="Asubpara">
    <w:name w:val="A subpara"/>
    <w:basedOn w:val="Normal"/>
    <w:uiPriority w:val="99"/>
    <w:pPr>
      <w:numPr>
        <w:ilvl w:val="7"/>
        <w:numId w:val="227"/>
      </w:numPr>
      <w:spacing w:before="80" w:after="60"/>
      <w:jc w:val="both"/>
      <w:outlineLvl w:val="7"/>
    </w:pPr>
  </w:style>
  <w:style w:type="paragraph" w:customStyle="1" w:styleId="Asubsubpara">
    <w:name w:val="A subsubpara"/>
    <w:basedOn w:val="Normal"/>
    <w:uiPriority w:val="99"/>
    <w:pPr>
      <w:numPr>
        <w:ilvl w:val="8"/>
        <w:numId w:val="227"/>
      </w:numPr>
      <w:spacing w:before="80" w:after="60"/>
      <w:jc w:val="both"/>
      <w:outlineLvl w:val="8"/>
    </w:pPr>
  </w:style>
  <w:style w:type="paragraph" w:customStyle="1" w:styleId="AH5Sec">
    <w:name w:val="A H5 Sec"/>
    <w:basedOn w:val="Normal"/>
    <w:next w:val="Amain"/>
    <w:uiPriority w:val="99"/>
    <w:pPr>
      <w:keepNext/>
      <w:numPr>
        <w:ilvl w:val="4"/>
        <w:numId w:val="1"/>
      </w:numPr>
      <w:spacing w:before="180" w:after="60"/>
      <w:outlineLvl w:val="4"/>
    </w:pPr>
    <w:rPr>
      <w:rFonts w:ascii="Arial" w:hAnsi="Arial" w:cs="Arial"/>
      <w:b/>
      <w:bCs/>
    </w:rPr>
  </w:style>
  <w:style w:type="paragraph" w:styleId="Header">
    <w:name w:val="header"/>
    <w:basedOn w:val="Normal"/>
    <w:link w:val="HeaderChar"/>
    <w:uiPriority w:val="99"/>
    <w:pPr>
      <w:tabs>
        <w:tab w:val="left" w:pos="2880"/>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x-none" w:eastAsia="en-US"/>
    </w:rPr>
  </w:style>
  <w:style w:type="paragraph" w:customStyle="1" w:styleId="ref">
    <w:name w:val="ref"/>
    <w:basedOn w:val="Normal"/>
    <w:next w:val="Normal"/>
    <w:uiPriority w:val="99"/>
    <w:pPr>
      <w:spacing w:after="60"/>
      <w:jc w:val="both"/>
    </w:pPr>
    <w:rPr>
      <w:sz w:val="18"/>
      <w:szCs w:val="18"/>
    </w:rPr>
  </w:style>
  <w:style w:type="character" w:customStyle="1" w:styleId="CharDivText">
    <w:name w:val="CharDivText"/>
    <w:basedOn w:val="DefaultParagraphFont"/>
    <w:uiPriority w:val="99"/>
    <w:rPr>
      <w:rFonts w:cs="Times New Roman"/>
    </w:rPr>
  </w:style>
  <w:style w:type="paragraph" w:customStyle="1" w:styleId="CoverInForce">
    <w:name w:val="CoverInForce"/>
    <w:basedOn w:val="Normal"/>
    <w:uiPriority w:val="99"/>
    <w:pPr>
      <w:tabs>
        <w:tab w:val="left" w:pos="2600"/>
      </w:tabs>
      <w:spacing w:before="200" w:after="60"/>
      <w:jc w:val="both"/>
    </w:pPr>
    <w:rPr>
      <w:rFonts w:ascii="Arial" w:hAnsi="Arial" w:cs="Arial"/>
    </w:rPr>
  </w:style>
  <w:style w:type="paragraph" w:customStyle="1" w:styleId="AFHdg">
    <w:name w:val="AFHdg"/>
    <w:basedOn w:val="Normal"/>
    <w:uiPriority w:val="99"/>
    <w:pPr>
      <w:tabs>
        <w:tab w:val="left" w:pos="2600"/>
      </w:tabs>
      <w:spacing w:before="80" w:after="60"/>
      <w:jc w:val="both"/>
    </w:pPr>
    <w:rPr>
      <w:rFonts w:ascii="Arial" w:hAnsi="Arial" w:cs="Arial"/>
      <w:b/>
      <w:bCs/>
      <w:sz w:val="32"/>
      <w:szCs w:val="32"/>
    </w:rPr>
  </w:style>
  <w:style w:type="paragraph" w:customStyle="1" w:styleId="ApprFormHd">
    <w:name w:val="ApprFormHd"/>
    <w:basedOn w:val="Normal"/>
    <w:uiPriority w:val="99"/>
    <w:pPr>
      <w:keepNext/>
      <w:tabs>
        <w:tab w:val="left" w:pos="2600"/>
      </w:tabs>
      <w:spacing w:before="320" w:after="60"/>
      <w:outlineLvl w:val="0"/>
    </w:pPr>
    <w:rPr>
      <w:rFonts w:ascii="Arial" w:hAnsi="Arial" w:cs="Arial"/>
      <w:b/>
      <w:bCs/>
      <w:sz w:val="34"/>
      <w:szCs w:val="34"/>
    </w:rPr>
  </w:style>
  <w:style w:type="character" w:styleId="PageNumber">
    <w:name w:val="page number"/>
    <w:basedOn w:val="DefaultParagraphFont"/>
    <w:uiPriority w:val="99"/>
    <w:rPr>
      <w:rFonts w:cs="Times New Roman"/>
    </w:rPr>
  </w:style>
  <w:style w:type="paragraph" w:customStyle="1" w:styleId="Aparabullet">
    <w:name w:val="A para bullet"/>
    <w:basedOn w:val="Normal"/>
    <w:uiPriority w:val="99"/>
    <w:pPr>
      <w:numPr>
        <w:numId w:val="4"/>
      </w:numPr>
    </w:p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pPr>
      <w:spacing w:before="120" w:after="60"/>
      <w:ind w:left="709"/>
    </w:pPr>
  </w:style>
  <w:style w:type="character" w:customStyle="1" w:styleId="BodyText2Char">
    <w:name w:val="Body Text 2 Char"/>
    <w:basedOn w:val="DefaultParagraphFont"/>
    <w:link w:val="BodyText2"/>
    <w:uiPriority w:val="99"/>
    <w:semiHidden/>
    <w:locked/>
    <w:rPr>
      <w:rFonts w:ascii="Times New Roman" w:hAnsi="Times New Roman" w:cs="Times New Roman"/>
      <w:sz w:val="24"/>
      <w:szCs w:val="24"/>
      <w:lang w:val="x-none" w:eastAsia="en-US"/>
    </w:rPr>
  </w:style>
  <w:style w:type="paragraph" w:customStyle="1" w:styleId="Minister">
    <w:name w:val="Minister"/>
    <w:basedOn w:val="Normal"/>
    <w:uiPriority w:val="99"/>
    <w:pPr>
      <w:spacing w:before="880" w:after="60"/>
      <w:jc w:val="right"/>
    </w:pPr>
    <w:rPr>
      <w:caps/>
    </w:rPr>
  </w:style>
  <w:style w:type="paragraph" w:customStyle="1" w:styleId="DateLine">
    <w:name w:val="DateLine"/>
    <w:basedOn w:val="Normal"/>
    <w:uiPriority w:val="99"/>
    <w:pPr>
      <w:tabs>
        <w:tab w:val="left" w:pos="4320"/>
      </w:tabs>
      <w:spacing w:before="80" w:after="60"/>
      <w:jc w:val="both"/>
    </w:pPr>
  </w:style>
  <w:style w:type="paragraph" w:customStyle="1" w:styleId="MinisterWord">
    <w:name w:val="MinisterWord"/>
    <w:basedOn w:val="Normal"/>
    <w:uiPriority w:val="99"/>
    <w:pPr>
      <w:tabs>
        <w:tab w:val="left" w:pos="2880"/>
      </w:tabs>
      <w:jc w:val="right"/>
    </w:pPr>
  </w:style>
  <w:style w:type="character" w:styleId="FollowedHyperlink">
    <w:name w:val="FollowedHyperlink"/>
    <w:basedOn w:val="DefaultParagraphFont"/>
    <w:uiPriority w:val="99"/>
    <w:rPr>
      <w:rFonts w:cs="Times New Roman"/>
      <w:color w:val="800080"/>
      <w:u w:val="single"/>
    </w:rPr>
  </w:style>
  <w:style w:type="character" w:styleId="FootnoteReference">
    <w:name w:val="footnote reference"/>
    <w:basedOn w:val="DefaultParagraphFont"/>
    <w:uiPriority w:val="99"/>
    <w:rPr>
      <w:rFonts w:ascii="Times New Roman" w:hAnsi="Times New Roman" w:cs="Times New Roman"/>
      <w:sz w:val="24"/>
      <w:szCs w:val="24"/>
      <w:vertAlign w:val="superscript"/>
    </w:rPr>
  </w:style>
  <w:style w:type="paragraph" w:styleId="FootnoteText">
    <w:name w:val="footnote text"/>
    <w:basedOn w:val="Normal"/>
    <w:link w:val="FootnoteTextChar"/>
    <w:uiPriority w:val="99"/>
    <w:pPr>
      <w:spacing w:before="80" w:after="60"/>
      <w:jc w:val="both"/>
    </w:p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lang w:val="x-none" w:eastAsia="en-US"/>
    </w:rPr>
  </w:style>
  <w:style w:type="paragraph" w:customStyle="1" w:styleId="ShadedSchClause">
    <w:name w:val="Shaded Sch Clause"/>
    <w:basedOn w:val="Normal"/>
    <w:next w:val="Normal"/>
    <w:uiPriority w:val="99"/>
    <w:pPr>
      <w:keepNext/>
      <w:shd w:val="pct25" w:color="auto" w:fill="auto"/>
      <w:tabs>
        <w:tab w:val="left" w:pos="700"/>
      </w:tabs>
      <w:spacing w:before="160"/>
      <w:ind w:left="700" w:hanging="700"/>
      <w:outlineLvl w:val="3"/>
    </w:pPr>
    <w:rPr>
      <w:rFonts w:ascii="Arial" w:hAnsi="Arial" w:cs="Arial"/>
      <w:b/>
      <w:bCs/>
    </w:rPr>
  </w:style>
  <w:style w:type="character" w:customStyle="1" w:styleId="CharSectNo">
    <w:name w:val="CharSectNo"/>
    <w:basedOn w:val="DefaultParagraphFont"/>
    <w:uiPriority w:val="99"/>
    <w:rPr>
      <w:rFonts w:cs="Times New Roman"/>
    </w:rPr>
  </w:style>
  <w:style w:type="paragraph" w:customStyle="1" w:styleId="Bullet">
    <w:name w:val="Bullet"/>
    <w:basedOn w:val="Normal"/>
    <w:uiPriority w:val="99"/>
    <w:pPr>
      <w:numPr>
        <w:numId w:val="9"/>
      </w:numPr>
      <w:spacing w:after="220" w:line="280" w:lineRule="atLeast"/>
    </w:pPr>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956</Characters>
  <Application>Microsoft Office Word</Application>
  <DocSecurity>0</DocSecurity>
  <Lines>53</Lines>
  <Paragraphs>26</Paragraphs>
  <ScaleCrop>false</ScaleCrop>
  <Company>ICRC</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ICRC (Disclosure Guidelines) Determination (No 1 of 2005).</dc:title>
  <dc:subject/>
  <dc:creator>Lynley Jorgensen</dc:creator>
  <cp:keywords>2</cp:keywords>
  <dc:description/>
  <cp:lastModifiedBy>Moxon, KarenL</cp:lastModifiedBy>
  <cp:revision>2</cp:revision>
  <cp:lastPrinted>2004-04-05T00:37:00Z</cp:lastPrinted>
  <dcterms:created xsi:type="dcterms:W3CDTF">2021-09-27T05:06:00Z</dcterms:created>
  <dcterms:modified xsi:type="dcterms:W3CDTF">2021-09-27T05:06:00Z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1390441</vt:lpwstr>
  </property>
  <property fmtid="{D5CDD505-2E9C-101B-9397-08002B2CF9AE}" pid="4" name="JMSREQUIREDCHECKIN">
    <vt:lpwstr/>
  </property>
</Properties>
</file>