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0176"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1BAE389" w14:textId="22DB0C23" w:rsidR="00C17FAB" w:rsidRDefault="00BD5888">
      <w:pPr>
        <w:pStyle w:val="Billname"/>
        <w:spacing w:before="700"/>
      </w:pPr>
      <w:r>
        <w:t>Public Health</w:t>
      </w:r>
      <w:r w:rsidR="00FD75CE">
        <w:t xml:space="preserve"> (</w:t>
      </w:r>
      <w:r>
        <w:t>Health Care Facility</w:t>
      </w:r>
      <w:r w:rsidR="00FD75CE">
        <w:t xml:space="preserve">) </w:t>
      </w:r>
      <w:r>
        <w:t>Code of Practice 202</w:t>
      </w:r>
      <w:r w:rsidR="002B0C5F">
        <w:t>1</w:t>
      </w:r>
      <w:r w:rsidR="00FD75CE">
        <w:t xml:space="preserve"> (</w:t>
      </w:r>
      <w:r w:rsidR="000468D3">
        <w:t>No 1</w:t>
      </w:r>
      <w:r w:rsidR="00FD75CE">
        <w:t>)</w:t>
      </w:r>
    </w:p>
    <w:p w14:paraId="39B7C62D" w14:textId="36349FB8" w:rsidR="00C17FAB" w:rsidRDefault="002D7C60" w:rsidP="00DA3B00">
      <w:pPr>
        <w:spacing w:before="340"/>
        <w:rPr>
          <w:rFonts w:ascii="Arial" w:hAnsi="Arial" w:cs="Arial"/>
          <w:b/>
          <w:bCs/>
        </w:rPr>
      </w:pPr>
      <w:r>
        <w:rPr>
          <w:rFonts w:ascii="Arial" w:hAnsi="Arial" w:cs="Arial"/>
          <w:b/>
          <w:bCs/>
        </w:rPr>
        <w:t>Disallowable instrument DI</w:t>
      </w:r>
      <w:r w:rsidR="00BD5888">
        <w:rPr>
          <w:rFonts w:ascii="Arial" w:hAnsi="Arial" w:cs="Arial"/>
          <w:b/>
          <w:bCs/>
        </w:rPr>
        <w:t>202</w:t>
      </w:r>
      <w:r w:rsidR="002B0C5F">
        <w:rPr>
          <w:rFonts w:ascii="Arial" w:hAnsi="Arial" w:cs="Arial"/>
          <w:b/>
          <w:bCs/>
        </w:rPr>
        <w:t>1</w:t>
      </w:r>
      <w:r w:rsidR="00C17FAB">
        <w:rPr>
          <w:rFonts w:ascii="Arial" w:hAnsi="Arial" w:cs="Arial"/>
          <w:b/>
          <w:bCs/>
        </w:rPr>
        <w:t>–</w:t>
      </w:r>
      <w:r w:rsidR="001366FD">
        <w:rPr>
          <w:rFonts w:ascii="Arial" w:hAnsi="Arial" w:cs="Arial"/>
          <w:b/>
          <w:bCs/>
        </w:rPr>
        <w:t>240</w:t>
      </w:r>
    </w:p>
    <w:p w14:paraId="5A3A8A28" w14:textId="77777777" w:rsidR="00C17FAB" w:rsidRDefault="00C17FAB" w:rsidP="00DA3B00">
      <w:pPr>
        <w:pStyle w:val="madeunder"/>
        <w:spacing w:before="300" w:after="0"/>
      </w:pPr>
      <w:r>
        <w:t xml:space="preserve">made under the  </w:t>
      </w:r>
    </w:p>
    <w:p w14:paraId="12D30A42" w14:textId="4698C699" w:rsidR="00C17FAB" w:rsidRDefault="00BD5888" w:rsidP="00DA3B00">
      <w:pPr>
        <w:pStyle w:val="CoverActName"/>
        <w:spacing w:before="320" w:after="0"/>
        <w:rPr>
          <w:rFonts w:cs="Arial"/>
          <w:sz w:val="20"/>
        </w:rPr>
      </w:pPr>
      <w:r>
        <w:rPr>
          <w:rFonts w:cs="Arial"/>
          <w:sz w:val="20"/>
        </w:rPr>
        <w:t>Public Health Act 1997</w:t>
      </w:r>
      <w:r w:rsidR="00C17FAB">
        <w:rPr>
          <w:rFonts w:cs="Arial"/>
          <w:sz w:val="20"/>
        </w:rPr>
        <w:t>,</w:t>
      </w:r>
      <w:r>
        <w:rPr>
          <w:rFonts w:cs="Arial"/>
          <w:sz w:val="20"/>
        </w:rPr>
        <w:t xml:space="preserve"> s 133 (Codes of Practice)</w:t>
      </w:r>
    </w:p>
    <w:p w14:paraId="453D44C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A83F548" w14:textId="77777777" w:rsidR="00C17FAB" w:rsidRDefault="00C17FAB">
      <w:pPr>
        <w:pStyle w:val="N-line3"/>
        <w:pBdr>
          <w:bottom w:val="none" w:sz="0" w:space="0" w:color="auto"/>
        </w:pBdr>
      </w:pPr>
    </w:p>
    <w:p w14:paraId="1365C272" w14:textId="77777777" w:rsidR="00C17FAB" w:rsidRDefault="00C17FAB">
      <w:pPr>
        <w:pStyle w:val="N-line3"/>
        <w:pBdr>
          <w:top w:val="single" w:sz="12" w:space="1" w:color="auto"/>
          <w:bottom w:val="none" w:sz="0" w:space="0" w:color="auto"/>
        </w:pBdr>
      </w:pPr>
    </w:p>
    <w:bookmarkEnd w:id="0"/>
    <w:p w14:paraId="45EF7A09" w14:textId="28B79A9B" w:rsidR="009A27BD" w:rsidRDefault="009A27BD" w:rsidP="007A03E1">
      <w:r w:rsidRPr="009A27BD">
        <w:t xml:space="preserve">This explanatory statement relates to the </w:t>
      </w:r>
      <w:r>
        <w:t>Public Health (Health Care Facility) Code of Practice 2021</w:t>
      </w:r>
      <w:r w:rsidR="00A41050">
        <w:t xml:space="preserve"> </w:t>
      </w:r>
      <w:r>
        <w:t>(No 1)</w:t>
      </w:r>
      <w:r w:rsidRPr="009A27BD">
        <w:t xml:space="preserve"> </w:t>
      </w:r>
      <w:r>
        <w:t xml:space="preserve">(the Code) </w:t>
      </w:r>
      <w:r w:rsidRPr="009A27BD">
        <w:t xml:space="preserve">as presented to the Legislative Assembly. It has been prepared in order to assist the reader of the </w:t>
      </w:r>
      <w:r w:rsidR="00D163F5">
        <w:t>Code</w:t>
      </w:r>
      <w:r w:rsidRPr="009A27BD">
        <w:t xml:space="preserve"> and to help inform debate on it. It does not form part of the </w:t>
      </w:r>
      <w:r w:rsidR="00D163F5">
        <w:t>Code</w:t>
      </w:r>
      <w:r w:rsidRPr="009A27BD">
        <w:t xml:space="preserve"> and has not been endorsed by the Assembly. </w:t>
      </w:r>
    </w:p>
    <w:p w14:paraId="527D8CA5" w14:textId="358984C3" w:rsidR="009A27BD" w:rsidRDefault="009A27BD" w:rsidP="007A03E1"/>
    <w:p w14:paraId="77B6F91D" w14:textId="3EFEEB6E" w:rsidR="009A27BD" w:rsidRDefault="009A27BD" w:rsidP="007A03E1">
      <w:pPr>
        <w:rPr>
          <w:b/>
          <w:bCs/>
        </w:rPr>
      </w:pPr>
      <w:r w:rsidRPr="000754B0">
        <w:rPr>
          <w:b/>
          <w:bCs/>
        </w:rPr>
        <w:t xml:space="preserve">Overview </w:t>
      </w:r>
    </w:p>
    <w:p w14:paraId="549AB7B9" w14:textId="4E87091A" w:rsidR="009A27BD" w:rsidRDefault="009A27BD" w:rsidP="007A03E1">
      <w:pPr>
        <w:rPr>
          <w:b/>
          <w:bCs/>
        </w:rPr>
      </w:pPr>
    </w:p>
    <w:p w14:paraId="2D74FC91" w14:textId="1CD670DA" w:rsidR="009A27BD" w:rsidRPr="001542A9" w:rsidRDefault="009A27BD" w:rsidP="007A03E1">
      <w:pPr>
        <w:rPr>
          <w:i/>
          <w:iCs/>
          <w:u w:val="single"/>
        </w:rPr>
      </w:pPr>
      <w:r w:rsidRPr="001542A9">
        <w:rPr>
          <w:i/>
          <w:iCs/>
          <w:u w:val="single"/>
        </w:rPr>
        <w:t>Purpose of the Code and its intended effect</w:t>
      </w:r>
    </w:p>
    <w:p w14:paraId="6A8D3547" w14:textId="1DAC705D" w:rsidR="007A03E1" w:rsidRPr="007A03E1" w:rsidRDefault="007A03E1" w:rsidP="007A03E1">
      <w:r>
        <w:t>A key</w:t>
      </w:r>
      <w:r w:rsidRPr="007A03E1">
        <w:t xml:space="preserve"> objective of the </w:t>
      </w:r>
      <w:r>
        <w:rPr>
          <w:i/>
          <w:iCs/>
        </w:rPr>
        <w:t xml:space="preserve">Public Health Act 1997 </w:t>
      </w:r>
      <w:r>
        <w:t xml:space="preserve">(the Act) is to protect the public </w:t>
      </w:r>
      <w:r w:rsidR="002D2061">
        <w:t xml:space="preserve">from </w:t>
      </w:r>
      <w:r>
        <w:t xml:space="preserve">public health risks, including those associated with facilities, equipment, products and activities not adequately controlled </w:t>
      </w:r>
      <w:r w:rsidR="0040700A">
        <w:t>under</w:t>
      </w:r>
      <w:r>
        <w:t xml:space="preserve"> another law</w:t>
      </w:r>
      <w:r>
        <w:rPr>
          <w:rStyle w:val="FootnoteReference"/>
        </w:rPr>
        <w:footnoteReference w:id="1"/>
      </w:r>
      <w:r>
        <w:t>. In keeping with the objective</w:t>
      </w:r>
      <w:r w:rsidR="002B0C5F">
        <w:t>s</w:t>
      </w:r>
      <w:r>
        <w:t xml:space="preserve"> of the Act, the Minister for Health has declared the operation of a health care facility</w:t>
      </w:r>
      <w:r w:rsidR="003F3B18">
        <w:t xml:space="preserve"> (HCF)</w:t>
      </w:r>
      <w:r>
        <w:t xml:space="preserve"> to be a public health risk activity.   </w:t>
      </w:r>
    </w:p>
    <w:p w14:paraId="327DE205" w14:textId="77777777" w:rsidR="007A03E1" w:rsidRDefault="007A03E1" w:rsidP="00D43EB9"/>
    <w:p w14:paraId="12163A56" w14:textId="32965856" w:rsidR="0095624F" w:rsidRDefault="00D43EB9" w:rsidP="00D43EB9">
      <w:r>
        <w:t xml:space="preserve">Section 133(1) of the </w:t>
      </w:r>
      <w:r w:rsidR="007A03E1" w:rsidRPr="007A03E1">
        <w:t>Act</w:t>
      </w:r>
      <w:r>
        <w:t xml:space="preserve"> allows the Minister to </w:t>
      </w:r>
      <w:r w:rsidR="002D2061">
        <w:t xml:space="preserve">approve </w:t>
      </w:r>
      <w:r>
        <w:t xml:space="preserve">codes of practice </w:t>
      </w:r>
      <w:r w:rsidR="0083712B">
        <w:t xml:space="preserve">that describe the </w:t>
      </w:r>
      <w:r>
        <w:t xml:space="preserve">minimum standards </w:t>
      </w:r>
      <w:r w:rsidR="0083712B">
        <w:t>that must be met</w:t>
      </w:r>
      <w:r w:rsidR="0095624F">
        <w:t xml:space="preserve"> for individuals or corporations</w:t>
      </w:r>
      <w:r w:rsidR="0083712B">
        <w:t xml:space="preserve"> to comply with the regulations.</w:t>
      </w:r>
      <w:r>
        <w:t xml:space="preserve"> </w:t>
      </w:r>
    </w:p>
    <w:p w14:paraId="20DB1994" w14:textId="77777777" w:rsidR="0095624F" w:rsidRDefault="0095624F" w:rsidP="00D43EB9"/>
    <w:p w14:paraId="751B1F94" w14:textId="3F8153DD" w:rsidR="00F14396" w:rsidRDefault="002B0C5F" w:rsidP="00D43EB9">
      <w:r>
        <w:t xml:space="preserve">This </w:t>
      </w:r>
      <w:r w:rsidR="0095624F">
        <w:t xml:space="preserve">Disallowable </w:t>
      </w:r>
      <w:r>
        <w:t xml:space="preserve">instrument </w:t>
      </w:r>
      <w:r w:rsidR="00027FDE">
        <w:t>makes</w:t>
      </w:r>
      <w:r w:rsidR="0095624F">
        <w:t xml:space="preserve"> </w:t>
      </w:r>
      <w:r w:rsidR="003F3B18">
        <w:t>the C</w:t>
      </w:r>
      <w:r w:rsidR="00240740">
        <w:t>ode</w:t>
      </w:r>
      <w:r w:rsidR="009A27BD">
        <w:t xml:space="preserve"> </w:t>
      </w:r>
      <w:r w:rsidR="0095624F">
        <w:t>a legal document that must be complied wit</w:t>
      </w:r>
      <w:r w:rsidR="00A41050">
        <w:t>h as it relates to the operation of a health care facility</w:t>
      </w:r>
      <w:r w:rsidR="0095624F">
        <w:t>.</w:t>
      </w:r>
      <w:r>
        <w:t xml:space="preserve"> </w:t>
      </w:r>
      <w:r w:rsidR="008D2EC0">
        <w:br/>
      </w:r>
    </w:p>
    <w:p w14:paraId="1F4774B8" w14:textId="0B71587A" w:rsidR="008D2EC0" w:rsidRDefault="008D2EC0" w:rsidP="00D43EB9">
      <w:r>
        <w:t>The</w:t>
      </w:r>
      <w:r w:rsidRPr="008D2EC0">
        <w:t xml:space="preserve"> </w:t>
      </w:r>
      <w:r w:rsidRPr="008D2EC0">
        <w:rPr>
          <w:i/>
          <w:iCs/>
        </w:rPr>
        <w:t>Public Health (Health Care Facility) Risk Declaration 2021 (No 1)</w:t>
      </w:r>
      <w:r>
        <w:t xml:space="preserve"> (risk declaration) provides further information about public health risks </w:t>
      </w:r>
      <w:r w:rsidR="0095624F">
        <w:t>as applied to</w:t>
      </w:r>
      <w:r>
        <w:t xml:space="preserve"> a </w:t>
      </w:r>
      <w:r w:rsidR="00501E6A">
        <w:t>HCF</w:t>
      </w:r>
      <w:r>
        <w:t>. The risk declaration defines a</w:t>
      </w:r>
      <w:r w:rsidR="003F3B18">
        <w:t xml:space="preserve"> HCF</w:t>
      </w:r>
      <w:r>
        <w:t xml:space="preserve"> to be any premises where a declared public health risk procedure is </w:t>
      </w:r>
      <w:r w:rsidR="00501E6A">
        <w:t xml:space="preserve">performed or provides overnight inpatient services under the care of a registered medical professional. The risk declaration outlines the </w:t>
      </w:r>
      <w:r>
        <w:t xml:space="preserve">six declared public health risk procedures.  </w:t>
      </w:r>
    </w:p>
    <w:p w14:paraId="5D01222C" w14:textId="77777777" w:rsidR="00A05EF3" w:rsidRDefault="00A05EF3" w:rsidP="003F6809"/>
    <w:p w14:paraId="07248A37" w14:textId="1BC7FF1E" w:rsidR="00605EBC" w:rsidRDefault="003F6809" w:rsidP="00605EBC">
      <w:pPr>
        <w:rPr>
          <w:szCs w:val="24"/>
          <w:lang w:eastAsia="en-AU"/>
        </w:rPr>
      </w:pPr>
      <w:r>
        <w:lastRenderedPageBreak/>
        <w:t xml:space="preserve">This instrument </w:t>
      </w:r>
      <w:r w:rsidR="002B013D">
        <w:t xml:space="preserve">revises </w:t>
      </w:r>
      <w:r>
        <w:t xml:space="preserve">the </w:t>
      </w:r>
      <w:r w:rsidR="00240740">
        <w:t xml:space="preserve">Code </w:t>
      </w:r>
      <w:r>
        <w:t xml:space="preserve">that applies to licenced </w:t>
      </w:r>
      <w:r w:rsidR="00CC6FE4">
        <w:t>HCFs</w:t>
      </w:r>
      <w:r>
        <w:t xml:space="preserve"> to reflect </w:t>
      </w:r>
      <w:r w:rsidR="00027FDE">
        <w:t xml:space="preserve">current </w:t>
      </w:r>
      <w:r>
        <w:t>standards</w:t>
      </w:r>
      <w:r w:rsidR="00A05EF3">
        <w:t xml:space="preserve"> supporting the safety and quality of </w:t>
      </w:r>
      <w:r w:rsidR="0056543E">
        <w:t>health care</w:t>
      </w:r>
      <w:r w:rsidR="00A05EF3">
        <w:t>.</w:t>
      </w:r>
      <w:r w:rsidR="0056543E">
        <w:t xml:space="preserve"> </w:t>
      </w:r>
      <w:r w:rsidR="00605EBC" w:rsidRPr="00605EBC">
        <w:rPr>
          <w:szCs w:val="24"/>
          <w:lang w:eastAsia="en-AU"/>
        </w:rPr>
        <w:t xml:space="preserve">Clause </w:t>
      </w:r>
      <w:r w:rsidR="00605EBC">
        <w:rPr>
          <w:szCs w:val="24"/>
          <w:lang w:eastAsia="en-AU"/>
        </w:rPr>
        <w:t xml:space="preserve">5 of this instrument </w:t>
      </w:r>
      <w:r w:rsidR="00605EBC" w:rsidRPr="00605EBC">
        <w:rPr>
          <w:szCs w:val="24"/>
          <w:lang w:eastAsia="en-AU"/>
        </w:rPr>
        <w:t xml:space="preserve">provides that the external documents as adopted from time to time as part of the </w:t>
      </w:r>
      <w:r w:rsidR="00605EBC">
        <w:rPr>
          <w:szCs w:val="24"/>
          <w:lang w:eastAsia="en-AU"/>
        </w:rPr>
        <w:t>Code</w:t>
      </w:r>
      <w:r w:rsidR="00605EBC" w:rsidRPr="00605EBC">
        <w:rPr>
          <w:szCs w:val="24"/>
          <w:lang w:eastAsia="en-AU"/>
        </w:rPr>
        <w:t xml:space="preserve"> are not required to be notified with this instrument due to the displacement of section 47(6) of the </w:t>
      </w:r>
      <w:r w:rsidR="00605EBC" w:rsidRPr="00605EBC">
        <w:rPr>
          <w:i/>
          <w:iCs/>
          <w:szCs w:val="24"/>
          <w:lang w:eastAsia="en-AU"/>
        </w:rPr>
        <w:t>Legislation Act 2001</w:t>
      </w:r>
      <w:r w:rsidR="00605EBC" w:rsidRPr="00605EBC">
        <w:rPr>
          <w:szCs w:val="24"/>
          <w:lang w:eastAsia="en-AU"/>
        </w:rPr>
        <w:t xml:space="preserve">. Displacing s47(6) of the Legislation Act ensures that the latest versions of the external documents (including any subsequent updates) are automatically adopted by the </w:t>
      </w:r>
      <w:r w:rsidR="00D4098A">
        <w:rPr>
          <w:szCs w:val="24"/>
          <w:lang w:eastAsia="en-AU"/>
        </w:rPr>
        <w:t>Code</w:t>
      </w:r>
      <w:r w:rsidR="00605EBC" w:rsidRPr="00605EBC">
        <w:rPr>
          <w:szCs w:val="24"/>
          <w:lang w:eastAsia="en-AU"/>
        </w:rPr>
        <w:t xml:space="preserve"> </w:t>
      </w:r>
      <w:r w:rsidR="00D4098A">
        <w:rPr>
          <w:szCs w:val="24"/>
          <w:lang w:eastAsia="en-AU"/>
        </w:rPr>
        <w:t xml:space="preserve">in order to assist HCFs to in the safe delivery of health care. </w:t>
      </w:r>
      <w:r w:rsidR="00CA251F" w:rsidRPr="00CA251F">
        <w:rPr>
          <w:szCs w:val="24"/>
          <w:lang w:eastAsia="en-AU"/>
        </w:rPr>
        <w:t>Section 133(5) of the Act provides that a Code of Practice may adopt or incorporate an instrument as in force from time to time as outlined by section 47 of the Legislation Act</w:t>
      </w:r>
      <w:r w:rsidR="00CA251F">
        <w:rPr>
          <w:szCs w:val="24"/>
          <w:lang w:eastAsia="en-AU"/>
        </w:rPr>
        <w:t>.</w:t>
      </w:r>
    </w:p>
    <w:p w14:paraId="161ABFB5" w14:textId="77777777" w:rsidR="00F32780" w:rsidRDefault="00F32780" w:rsidP="00A05EF3"/>
    <w:p w14:paraId="427A4F64" w14:textId="7B5F67B7" w:rsidR="00F57868" w:rsidRDefault="00F57868" w:rsidP="00A05EF3">
      <w:r>
        <w:t>These updates are driven by</w:t>
      </w:r>
      <w:r w:rsidRPr="00F57868">
        <w:t xml:space="preserve"> </w:t>
      </w:r>
      <w:r>
        <w:t>a Government need to have a high quality, strong health care sector to complement the territory-funded public health system</w:t>
      </w:r>
      <w:r w:rsidR="00FF7EE7">
        <w:t xml:space="preserve">. The updates also seek to address </w:t>
      </w:r>
      <w:r>
        <w:t>market failures associated with health care sectors including market asymmetry and ability to act on public safety concerns.</w:t>
      </w:r>
    </w:p>
    <w:p w14:paraId="04B98F06" w14:textId="77777777" w:rsidR="00F57868" w:rsidRDefault="00F57868" w:rsidP="00A05EF3"/>
    <w:p w14:paraId="5B4D59CB" w14:textId="19E36F26" w:rsidR="00F57868" w:rsidRDefault="00A05EF3" w:rsidP="00A05EF3">
      <w:r>
        <w:t>The Code</w:t>
      </w:r>
      <w:r w:rsidR="00240740">
        <w:t xml:space="preserve"> </w:t>
      </w:r>
      <w:r>
        <w:t>sets minimum requirements and obligations on licence holders, with an aim of minimising the risk of harm to patients</w:t>
      </w:r>
      <w:r w:rsidR="00D71435">
        <w:t xml:space="preserve"> and facility occupants</w:t>
      </w:r>
      <w:r>
        <w:t xml:space="preserve">. </w:t>
      </w:r>
      <w:r w:rsidR="00F57868">
        <w:t xml:space="preserve"> </w:t>
      </w:r>
    </w:p>
    <w:p w14:paraId="452BCFE2" w14:textId="3CD2EB17" w:rsidR="00D33F6F" w:rsidRDefault="00D33F6F" w:rsidP="00A05EF3"/>
    <w:p w14:paraId="0291B0F8" w14:textId="07909EB5" w:rsidR="00D33F6F" w:rsidRDefault="00E23805" w:rsidP="00A05EF3">
      <w:pPr>
        <w:rPr>
          <w:u w:val="single"/>
        </w:rPr>
      </w:pPr>
      <w:r>
        <w:rPr>
          <w:u w:val="single"/>
        </w:rPr>
        <w:t>Commencement</w:t>
      </w:r>
    </w:p>
    <w:p w14:paraId="1891EBC3" w14:textId="17BA1B57" w:rsidR="009968EE" w:rsidRDefault="00D33F6F" w:rsidP="00A05EF3">
      <w:r>
        <w:t xml:space="preserve">The changes outlined in this instrument will </w:t>
      </w:r>
      <w:r w:rsidR="00E23805">
        <w:t xml:space="preserve">commence </w:t>
      </w:r>
      <w:r w:rsidR="00B752ED">
        <w:t xml:space="preserve">six </w:t>
      </w:r>
      <w:r>
        <w:t xml:space="preserve">months after the date the instrument is notified. HCFs that were previously licenced as </w:t>
      </w:r>
      <w:r w:rsidR="00E23805">
        <w:t xml:space="preserve">non-accredited </w:t>
      </w:r>
      <w:r w:rsidR="009968EE">
        <w:t xml:space="preserve">facilities, </w:t>
      </w:r>
      <w:r>
        <w:t>will have 1</w:t>
      </w:r>
      <w:r w:rsidR="00B752ED">
        <w:t>8</w:t>
      </w:r>
      <w:r>
        <w:t xml:space="preserve"> months from the date of notification to </w:t>
      </w:r>
      <w:r w:rsidR="00B752ED">
        <w:t xml:space="preserve">gain full accreditation to the </w:t>
      </w:r>
      <w:r w:rsidR="009968EE">
        <w:t xml:space="preserve">National Safety and Quality Health Service (NSQHS) </w:t>
      </w:r>
      <w:r w:rsidR="00B752ED">
        <w:t xml:space="preserve">Standards. </w:t>
      </w:r>
      <w:r w:rsidR="009968EE">
        <w:t xml:space="preserve">New HCFs will be required to undergo an interim assessment against the NSQHS Standards within 10 days of commencing operation and must be assessed against all relevant NSQHS Standards within 12 months of commencing operation. </w:t>
      </w:r>
    </w:p>
    <w:p w14:paraId="0F1B3531" w14:textId="77777777" w:rsidR="009968EE" w:rsidRDefault="009968EE" w:rsidP="00A05EF3"/>
    <w:p w14:paraId="4FCBC80D" w14:textId="310E5D3A" w:rsidR="00D33F6F" w:rsidRDefault="009968EE" w:rsidP="00A05EF3">
      <w:r>
        <w:t>The time frames for adopting the new Code are based on stakeholder feedback received during consultation and guidance from the Australian Commission on Safety and Quality in Health Care.</w:t>
      </w:r>
      <w:r w:rsidR="00D33F6F">
        <w:t xml:space="preserve"> </w:t>
      </w:r>
    </w:p>
    <w:p w14:paraId="2EE80A52" w14:textId="16E0C615" w:rsidR="00250CA2" w:rsidRDefault="00250CA2" w:rsidP="00A05EF3"/>
    <w:p w14:paraId="7C940236" w14:textId="5DA4238C" w:rsidR="00A05EF3" w:rsidRDefault="00A05EF3" w:rsidP="00A05EF3">
      <w:pPr>
        <w:rPr>
          <w:b/>
          <w:bCs/>
        </w:rPr>
      </w:pPr>
      <w:r>
        <w:rPr>
          <w:b/>
          <w:bCs/>
        </w:rPr>
        <w:t>Regulatory Impact</w:t>
      </w:r>
    </w:p>
    <w:p w14:paraId="2FB8B65A" w14:textId="77777777" w:rsidR="00240740" w:rsidRDefault="00240740" w:rsidP="00A05EF3"/>
    <w:p w14:paraId="7CF49BE1" w14:textId="59B79FB6" w:rsidR="00946E28" w:rsidRDefault="00B84717" w:rsidP="00A05EF3">
      <w:r>
        <w:t>All Australian State and Territory Governments regulate private hospitals and day procedure centres to support patient care</w:t>
      </w:r>
      <w:r w:rsidR="00240740">
        <w:t xml:space="preserve"> and</w:t>
      </w:r>
      <w:r>
        <w:t xml:space="preserve"> build confidence in Australia’s health care systems, health insurance frameworks and associated structures. </w:t>
      </w:r>
      <w:r w:rsidR="00132DAE">
        <w:t xml:space="preserve">Prior to the introduction of the Code, the ACT was the only jurisdiction that regulated public HCFs through legislation. The introduction of the Code assists in aligning the ACT with other jurisdictions, as public HCFs will no longer be licenced. Public HCFs are required to follow the Code. </w:t>
      </w:r>
      <w:r w:rsidR="002439B7">
        <w:t xml:space="preserve">This will result in Public HCFs no longer paying licence fees or seeking regulatory approval for construction and internal refurbishments of facilities. </w:t>
      </w:r>
    </w:p>
    <w:p w14:paraId="2033DF64" w14:textId="77777777" w:rsidR="00B84717" w:rsidRDefault="00B84717" w:rsidP="00A05EF3">
      <w:pPr>
        <w:rPr>
          <w:b/>
          <w:bCs/>
        </w:rPr>
      </w:pPr>
    </w:p>
    <w:p w14:paraId="0F241DDD" w14:textId="2BC9FE6A" w:rsidR="00132654" w:rsidRDefault="002B013D" w:rsidP="00132654">
      <w:r>
        <w:t xml:space="preserve">The Code </w:t>
      </w:r>
      <w:r w:rsidR="00027FDE">
        <w:t>determines</w:t>
      </w:r>
      <w:r>
        <w:t xml:space="preserve"> the m</w:t>
      </w:r>
      <w:r w:rsidR="00A05EF3">
        <w:t>inimum</w:t>
      </w:r>
      <w:r>
        <w:t xml:space="preserve"> requirements </w:t>
      </w:r>
      <w:r w:rsidR="00D3789B">
        <w:t xml:space="preserve">that </w:t>
      </w:r>
      <w:r w:rsidR="00501E6A">
        <w:t>HCFs</w:t>
      </w:r>
      <w:r w:rsidR="00D3789B">
        <w:t xml:space="preserve"> must meet</w:t>
      </w:r>
      <w:r>
        <w:t>. These requirements</w:t>
      </w:r>
      <w:r w:rsidR="00027FDE">
        <w:t>,</w:t>
      </w:r>
      <w:r w:rsidR="00A05EF3">
        <w:t xml:space="preserve"> </w:t>
      </w:r>
      <w:r w:rsidR="00D3789B">
        <w:t>and the updates to the regulatory framework supporting HCFs</w:t>
      </w:r>
      <w:r w:rsidR="00027FDE">
        <w:t>, have been informed</w:t>
      </w:r>
      <w:r w:rsidR="00D3789B">
        <w:t xml:space="preserve"> by</w:t>
      </w:r>
      <w:r w:rsidR="00A05EF3">
        <w:t xml:space="preserve"> a 2018</w:t>
      </w:r>
      <w:r w:rsidR="00F63B82">
        <w:t>-2019</w:t>
      </w:r>
      <w:r w:rsidR="00A05EF3">
        <w:t xml:space="preserve"> Regulatory Impact Statement </w:t>
      </w:r>
      <w:r w:rsidR="001542A9">
        <w:t xml:space="preserve">(RIS) </w:t>
      </w:r>
      <w:r w:rsidR="00D3789B">
        <w:t xml:space="preserve">conducted by KPMG </w:t>
      </w:r>
      <w:r w:rsidR="00A05EF3">
        <w:t xml:space="preserve">and </w:t>
      </w:r>
      <w:r>
        <w:t xml:space="preserve">a </w:t>
      </w:r>
      <w:r w:rsidR="00A05EF3">
        <w:t xml:space="preserve">2020 community consultation on </w:t>
      </w:r>
      <w:r>
        <w:t xml:space="preserve">the </w:t>
      </w:r>
      <w:r w:rsidR="00A05EF3">
        <w:t xml:space="preserve">proposed update to the licencing and regulation of </w:t>
      </w:r>
      <w:r w:rsidR="00CC6FE4">
        <w:t>HCFs</w:t>
      </w:r>
      <w:r w:rsidR="00A05EF3">
        <w:t>.</w:t>
      </w:r>
      <w:r>
        <w:t xml:space="preserve"> </w:t>
      </w:r>
      <w:r w:rsidR="002439B7">
        <w:t xml:space="preserve">Stakeholder feedback indicated strong support for increasing the regulatory requirements for HCFs. </w:t>
      </w:r>
    </w:p>
    <w:p w14:paraId="7A4D7D57" w14:textId="77777777" w:rsidR="00132654" w:rsidRDefault="00132654" w:rsidP="00132654"/>
    <w:p w14:paraId="345B9853" w14:textId="2E5DC78B" w:rsidR="00132654" w:rsidRDefault="001542A9" w:rsidP="00132654">
      <w:r>
        <w:t xml:space="preserve">There may be an increased operating cost to some </w:t>
      </w:r>
      <w:r w:rsidR="00E75100">
        <w:t>HCFs</w:t>
      </w:r>
      <w:r>
        <w:t xml:space="preserve"> in meeting the requirements of this Code</w:t>
      </w:r>
      <w:r w:rsidR="00FE4861">
        <w:t>, in particular the requirement to maintain a</w:t>
      </w:r>
      <w:r>
        <w:t>ccreditation</w:t>
      </w:r>
      <w:r w:rsidR="00FE4861">
        <w:t xml:space="preserve"> to the NSQHS Standards</w:t>
      </w:r>
      <w:r>
        <w:t xml:space="preserve">. </w:t>
      </w:r>
      <w:r w:rsidR="00FE4861">
        <w:t>The RIS estimated upper accreditation costs at $300,000 for a major tertiary hospital, however costs</w:t>
      </w:r>
      <w:r w:rsidR="00FE4861" w:rsidRPr="00FE4861">
        <w:t xml:space="preserve"> </w:t>
      </w:r>
      <w:r w:rsidR="00FE4861">
        <w:t xml:space="preserve">borne by </w:t>
      </w:r>
      <w:r w:rsidR="00E75100">
        <w:t>HCFs</w:t>
      </w:r>
      <w:r w:rsidR="00FE4861">
        <w:t xml:space="preserve"> are likely to be proportionate to their scope of services and complexity, with larger, more complex facilities experiencing larger operating costs. These costs are highly unlikely to be realised as a result of this Code</w:t>
      </w:r>
      <w:r w:rsidR="00132654">
        <w:t xml:space="preserve"> given that the </w:t>
      </w:r>
      <w:r w:rsidR="00FE4861">
        <w:t>overwhelming majority of</w:t>
      </w:r>
      <w:r w:rsidR="00132654">
        <w:t xml:space="preserve"> licenced</w:t>
      </w:r>
      <w:r w:rsidR="00FE4861">
        <w:t xml:space="preserve"> </w:t>
      </w:r>
      <w:r w:rsidR="00E75100">
        <w:t>HCFs</w:t>
      </w:r>
      <w:r w:rsidR="00FE4861">
        <w:t xml:space="preserve"> are already accredited to the NSQHS Standards in order to facilitate access to private health insurance benefits under the </w:t>
      </w:r>
      <w:r w:rsidR="00FE4861">
        <w:rPr>
          <w:i/>
          <w:iCs/>
        </w:rPr>
        <w:t>Private Health Insurance Act</w:t>
      </w:r>
      <w:r w:rsidR="00132654">
        <w:rPr>
          <w:i/>
          <w:iCs/>
        </w:rPr>
        <w:t xml:space="preserve"> 2007 (Cwth).</w:t>
      </w:r>
      <w:r w:rsidR="00132654">
        <w:t xml:space="preserve"> </w:t>
      </w:r>
      <w:r w:rsidR="00A5077F">
        <w:t>I</w:t>
      </w:r>
      <w:r w:rsidR="00132654">
        <w:t xml:space="preserve">ncreased operating costs borne by industry in association with this Code </w:t>
      </w:r>
      <w:r w:rsidR="00A5077F">
        <w:t xml:space="preserve">are </w:t>
      </w:r>
      <w:r w:rsidR="00132654">
        <w:t xml:space="preserve">considered to be outweighed by community benefits in </w:t>
      </w:r>
      <w:r w:rsidR="00A5077F">
        <w:t xml:space="preserve">the timely </w:t>
      </w:r>
      <w:r w:rsidR="00132654">
        <w:t xml:space="preserve">identification and prevention of public health risk. The </w:t>
      </w:r>
      <w:r w:rsidR="00A5077F">
        <w:t xml:space="preserve">financial </w:t>
      </w:r>
      <w:r w:rsidR="00132654">
        <w:t xml:space="preserve">impact and public health benefits of </w:t>
      </w:r>
      <w:r w:rsidR="00A5077F">
        <w:t xml:space="preserve">a national </w:t>
      </w:r>
      <w:r w:rsidR="00132654">
        <w:t>accreditation</w:t>
      </w:r>
      <w:r w:rsidR="00A5077F">
        <w:t xml:space="preserve"> scheme</w:t>
      </w:r>
      <w:r w:rsidR="00132654">
        <w:t xml:space="preserve"> have already been considered in detail by the Australian Commission on Safety and Quality in Health Care as part of a 2010 Regulatory Impact Statement.</w:t>
      </w:r>
      <w:r w:rsidR="00132654">
        <w:rPr>
          <w:rStyle w:val="FootnoteReference"/>
        </w:rPr>
        <w:footnoteReference w:id="2"/>
      </w:r>
    </w:p>
    <w:p w14:paraId="38685B8C" w14:textId="77777777" w:rsidR="00A5077F" w:rsidRDefault="00A5077F" w:rsidP="00D71435"/>
    <w:p w14:paraId="5FE915D9" w14:textId="39E37EC8" w:rsidR="005F12CE" w:rsidRDefault="00A5077F" w:rsidP="00D71435">
      <w:r>
        <w:t>While c</w:t>
      </w:r>
      <w:r w:rsidR="002B013D">
        <w:t>are has been taken to minimise t</w:t>
      </w:r>
      <w:r w:rsidR="00A05EF3">
        <w:t xml:space="preserve">he </w:t>
      </w:r>
      <w:r>
        <w:t>business impacts</w:t>
      </w:r>
      <w:r w:rsidR="00A05EF3">
        <w:t xml:space="preserve"> </w:t>
      </w:r>
      <w:r>
        <w:t>of this Code</w:t>
      </w:r>
      <w:r w:rsidR="00A05EF3">
        <w:t xml:space="preserve"> </w:t>
      </w:r>
      <w:r>
        <w:t>in</w:t>
      </w:r>
      <w:r w:rsidR="00A05EF3">
        <w:t xml:space="preserve"> </w:t>
      </w:r>
      <w:r>
        <w:t>regulating</w:t>
      </w:r>
      <w:r w:rsidR="00A05EF3">
        <w:t xml:space="preserve"> </w:t>
      </w:r>
      <w:r>
        <w:t>HCFs, t</w:t>
      </w:r>
      <w:r w:rsidR="005F7892">
        <w:t xml:space="preserve">hese </w:t>
      </w:r>
      <w:r>
        <w:t>requirements are not considered to</w:t>
      </w:r>
      <w:r w:rsidR="00562B32">
        <w:t xml:space="preserve"> present an unreasonable regulatory burden and </w:t>
      </w:r>
      <w:r>
        <w:t>are associated with</w:t>
      </w:r>
      <w:r w:rsidR="00562B32">
        <w:t xml:space="preserve"> net public health gains. </w:t>
      </w:r>
      <w:r w:rsidR="001542A9">
        <w:t xml:space="preserve"> </w:t>
      </w:r>
    </w:p>
    <w:p w14:paraId="464BA1CF" w14:textId="77777777" w:rsidR="005F12CE" w:rsidRDefault="005F12CE" w:rsidP="00D71435"/>
    <w:p w14:paraId="13C227D2" w14:textId="3F4A3FC3" w:rsidR="00BE4183" w:rsidRDefault="00240740" w:rsidP="00BE4183">
      <w:pPr>
        <w:rPr>
          <w:i/>
          <w:iCs/>
        </w:rPr>
      </w:pPr>
      <w:r>
        <w:t>S</w:t>
      </w:r>
      <w:r w:rsidR="00A41050">
        <w:t xml:space="preserve">ection </w:t>
      </w:r>
      <w:r w:rsidR="0032747B">
        <w:t xml:space="preserve">20 of </w:t>
      </w:r>
      <w:r w:rsidR="00BE4183">
        <w:t xml:space="preserve">the </w:t>
      </w:r>
      <w:r w:rsidRPr="00A41050">
        <w:t>Act</w:t>
      </w:r>
      <w:r w:rsidR="0032747B">
        <w:rPr>
          <w:i/>
          <w:iCs/>
        </w:rPr>
        <w:t xml:space="preserve"> </w:t>
      </w:r>
      <w:r w:rsidR="0032747B" w:rsidRPr="000276E2">
        <w:t>ma</w:t>
      </w:r>
      <w:r w:rsidR="0032747B">
        <w:t>k</w:t>
      </w:r>
      <w:r w:rsidR="0032747B" w:rsidRPr="000276E2">
        <w:t>es it an offence</w:t>
      </w:r>
      <w:r w:rsidR="00A41050">
        <w:rPr>
          <w:i/>
          <w:iCs/>
        </w:rPr>
        <w:t xml:space="preserve"> </w:t>
      </w:r>
      <w:r w:rsidR="00BE4183">
        <w:t>to</w:t>
      </w:r>
      <w:r w:rsidR="00A41050">
        <w:t>, without reasonable excuse,</w:t>
      </w:r>
      <w:r w:rsidR="00BE4183">
        <w:t xml:space="preserve"> carry o</w:t>
      </w:r>
      <w:r w:rsidR="0032747B">
        <w:t>ut</w:t>
      </w:r>
      <w:r w:rsidR="00BE4183">
        <w:t xml:space="preserve"> a public health risk activity without comply</w:t>
      </w:r>
      <w:r w:rsidR="0032747B">
        <w:t>ing</w:t>
      </w:r>
      <w:r w:rsidR="00BE4183">
        <w:t xml:space="preserve"> with a code of practice </w:t>
      </w:r>
      <w:r w:rsidR="0032747B">
        <w:t>applicable</w:t>
      </w:r>
      <w:r w:rsidR="00BE4183">
        <w:t xml:space="preserve"> to that activity. This offence is not </w:t>
      </w:r>
      <w:r w:rsidR="00A41050">
        <w:t xml:space="preserve">associated with </w:t>
      </w:r>
      <w:r w:rsidR="00BE4183">
        <w:t xml:space="preserve">strict liability </w:t>
      </w:r>
      <w:r w:rsidR="00A41050">
        <w:t>or the use of infringement notices</w:t>
      </w:r>
      <w:r w:rsidR="00BE4183">
        <w:t xml:space="preserve">. This determination is therefore not considered to unreasonably expose </w:t>
      </w:r>
      <w:r w:rsidR="00562B32">
        <w:t>a HCF</w:t>
      </w:r>
      <w:r w:rsidR="00BE4183">
        <w:t xml:space="preserve"> to </w:t>
      </w:r>
      <w:r w:rsidR="00A41050">
        <w:t xml:space="preserve">criminal </w:t>
      </w:r>
      <w:r w:rsidR="00BE4183">
        <w:t>penalt</w:t>
      </w:r>
      <w:r w:rsidR="00A41050">
        <w:t>ies</w:t>
      </w:r>
      <w:r w:rsidR="00BE4183">
        <w:rPr>
          <w:i/>
          <w:iCs/>
        </w:rPr>
        <w:t>.</w:t>
      </w:r>
    </w:p>
    <w:p w14:paraId="1E7CFFCC" w14:textId="77777777" w:rsidR="00E75100" w:rsidRPr="00A5077F" w:rsidRDefault="00E75100" w:rsidP="00BE4183">
      <w:pPr>
        <w:rPr>
          <w:i/>
          <w:iCs/>
        </w:rPr>
      </w:pPr>
    </w:p>
    <w:p w14:paraId="75E93BD0" w14:textId="73E51ED4" w:rsidR="00A05EF3" w:rsidRPr="009E3B94" w:rsidRDefault="00A05EF3" w:rsidP="00A05EF3">
      <w:pPr>
        <w:rPr>
          <w:b/>
          <w:bCs/>
        </w:rPr>
      </w:pPr>
      <w:r>
        <w:rPr>
          <w:b/>
          <w:bCs/>
        </w:rPr>
        <w:t>Human Rights Considerations</w:t>
      </w:r>
    </w:p>
    <w:p w14:paraId="7E130388" w14:textId="77777777" w:rsidR="001542A9" w:rsidRDefault="00B84717" w:rsidP="000276E2">
      <w:pPr>
        <w:pStyle w:val="NormalWeb"/>
      </w:pPr>
      <w:r>
        <w:t>T</w:t>
      </w:r>
      <w:r w:rsidR="009E3B94">
        <w:t xml:space="preserve">he operation of a </w:t>
      </w:r>
      <w:r w:rsidR="00CC6FE4">
        <w:t>HCF</w:t>
      </w:r>
      <w:r w:rsidR="009E3B94">
        <w:t xml:space="preserve"> requires the collection and storage of health records</w:t>
      </w:r>
      <w:r>
        <w:t xml:space="preserve">. </w:t>
      </w:r>
      <w:r w:rsidR="00F8084D">
        <w:t>The</w:t>
      </w:r>
      <w:r w:rsidR="00250CA2">
        <w:t xml:space="preserve"> right to privacy and reputation</w:t>
      </w:r>
      <w:r>
        <w:t xml:space="preserve"> under </w:t>
      </w:r>
      <w:r w:rsidR="000276E2">
        <w:t xml:space="preserve">s12 of </w:t>
      </w:r>
      <w:r>
        <w:t xml:space="preserve">the </w:t>
      </w:r>
      <w:r>
        <w:rPr>
          <w:i/>
          <w:iCs/>
        </w:rPr>
        <w:t xml:space="preserve">Human Rights Act 2004, </w:t>
      </w:r>
      <w:r w:rsidR="00F8084D">
        <w:t xml:space="preserve">is protected </w:t>
      </w:r>
      <w:r w:rsidR="00250CA2">
        <w:t xml:space="preserve">by the </w:t>
      </w:r>
      <w:r w:rsidR="00250CA2" w:rsidRPr="00250CA2">
        <w:rPr>
          <w:i/>
          <w:iCs/>
        </w:rPr>
        <w:t xml:space="preserve">Health Records (Privacy and Access) Act </w:t>
      </w:r>
      <w:r w:rsidR="00F8084D">
        <w:rPr>
          <w:i/>
          <w:iCs/>
        </w:rPr>
        <w:t>1997,</w:t>
      </w:r>
      <w:r w:rsidRPr="000276E2">
        <w:t xml:space="preserve"> the</w:t>
      </w:r>
      <w:r w:rsidR="00F8084D">
        <w:rPr>
          <w:i/>
          <w:iCs/>
        </w:rPr>
        <w:t xml:space="preserve"> Information Privacy Act 2014</w:t>
      </w:r>
      <w:r w:rsidR="009E3B94">
        <w:rPr>
          <w:i/>
          <w:iCs/>
        </w:rPr>
        <w:t>,</w:t>
      </w:r>
      <w:r w:rsidR="00250CA2">
        <w:t xml:space="preserve"> </w:t>
      </w:r>
      <w:r w:rsidR="00F63B82">
        <w:t>and</w:t>
      </w:r>
      <w:r w:rsidR="00250CA2">
        <w:t xml:space="preserve"> </w:t>
      </w:r>
      <w:r w:rsidR="000276E2">
        <w:t xml:space="preserve">the </w:t>
      </w:r>
      <w:r w:rsidR="00250CA2" w:rsidRPr="00250CA2">
        <w:rPr>
          <w:i/>
          <w:iCs/>
        </w:rPr>
        <w:t>Privacy Act 1988</w:t>
      </w:r>
      <w:r w:rsidR="00F8084D">
        <w:rPr>
          <w:i/>
          <w:iCs/>
        </w:rPr>
        <w:t xml:space="preserve"> (Cwth)</w:t>
      </w:r>
      <w:r w:rsidR="00250CA2">
        <w:t xml:space="preserve">. </w:t>
      </w:r>
    </w:p>
    <w:p w14:paraId="1FCF8D7E" w14:textId="3A7B857F" w:rsidR="009E315B" w:rsidRDefault="003F3B18" w:rsidP="001542A9">
      <w:pPr>
        <w:pStyle w:val="NormalWeb"/>
      </w:pPr>
      <w:r>
        <w:t>T</w:t>
      </w:r>
      <w:r w:rsidR="00F63B82">
        <w:t xml:space="preserve">he Code seeks to address the public health risks </w:t>
      </w:r>
      <w:r w:rsidR="00F8084D">
        <w:t xml:space="preserve">presented by </w:t>
      </w:r>
      <w:r w:rsidR="00CC6FE4">
        <w:t>HCFs</w:t>
      </w:r>
      <w:r w:rsidR="00F8084D">
        <w:t xml:space="preserve"> </w:t>
      </w:r>
      <w:r>
        <w:t>whilst</w:t>
      </w:r>
      <w:r w:rsidR="00F8084D">
        <w:t xml:space="preserve"> operat</w:t>
      </w:r>
      <w:r>
        <w:t>ing</w:t>
      </w:r>
      <w:r w:rsidR="00F63B82">
        <w:t xml:space="preserve"> in </w:t>
      </w:r>
      <w:r>
        <w:t xml:space="preserve">a manner that is </w:t>
      </w:r>
      <w:r w:rsidR="00F63B82">
        <w:t xml:space="preserve">the least restrictive </w:t>
      </w:r>
      <w:r>
        <w:t>for</w:t>
      </w:r>
      <w:r w:rsidR="00F8084D">
        <w:t xml:space="preserve"> an </w:t>
      </w:r>
      <w:r w:rsidR="007A03E1">
        <w:t>individual</w:t>
      </w:r>
      <w:r w:rsidR="00F8084D">
        <w:t>’s</w:t>
      </w:r>
      <w:r w:rsidR="007A03E1">
        <w:t xml:space="preserve"> liberty and privacy. </w:t>
      </w:r>
      <w:r>
        <w:t xml:space="preserve">This approach is consistent with the objectives of </w:t>
      </w:r>
      <w:r w:rsidR="00240740">
        <w:t>the Act</w:t>
      </w:r>
      <w:r>
        <w:t>.</w:t>
      </w:r>
    </w:p>
    <w:p w14:paraId="4EF3493B" w14:textId="440B5A3E" w:rsidR="00A05EF3" w:rsidRPr="00250CA2" w:rsidRDefault="00250CA2" w:rsidP="00A05EF3">
      <w:pPr>
        <w:rPr>
          <w:b/>
          <w:bCs/>
        </w:rPr>
      </w:pPr>
      <w:r w:rsidRPr="00250CA2">
        <w:rPr>
          <w:b/>
          <w:bCs/>
        </w:rPr>
        <w:t xml:space="preserve">Detailed explanation </w:t>
      </w:r>
    </w:p>
    <w:p w14:paraId="6AB5754D" w14:textId="77777777" w:rsidR="00250CA2" w:rsidRDefault="00250CA2" w:rsidP="00A05EF3"/>
    <w:p w14:paraId="466ED220" w14:textId="0206C35E" w:rsidR="003F6809" w:rsidRDefault="00F63B82">
      <w:r>
        <w:t xml:space="preserve">The Code provides </w:t>
      </w:r>
      <w:r w:rsidR="005C7C32">
        <w:t>six</w:t>
      </w:r>
      <w:r>
        <w:t xml:space="preserve"> Standards</w:t>
      </w:r>
      <w:r w:rsidR="00CC6FE4">
        <w:t xml:space="preserve"> concerning critical areas or systems </w:t>
      </w:r>
      <w:r w:rsidR="00240740">
        <w:t xml:space="preserve">that are </w:t>
      </w:r>
      <w:r w:rsidR="00CC6FE4">
        <w:t xml:space="preserve">applicable to all HCFs.  Explanatory notes regarding each standard </w:t>
      </w:r>
      <w:r w:rsidR="00240740">
        <w:t>are</w:t>
      </w:r>
      <w:r w:rsidR="00CC6FE4">
        <w:t xml:space="preserve"> below:</w:t>
      </w:r>
    </w:p>
    <w:p w14:paraId="69DBF7F1" w14:textId="40CC60D9" w:rsidR="00CC6FE4" w:rsidRDefault="00CC6FE4"/>
    <w:p w14:paraId="7BAC43EA" w14:textId="701CAE79" w:rsidR="00CC6FE4" w:rsidRPr="00CC6FE4" w:rsidRDefault="00CC6FE4">
      <w:pPr>
        <w:rPr>
          <w:u w:val="single"/>
        </w:rPr>
      </w:pPr>
      <w:r w:rsidRPr="00CC6FE4">
        <w:rPr>
          <w:u w:val="single"/>
        </w:rPr>
        <w:t xml:space="preserve">Standard 1 – Facility </w:t>
      </w:r>
      <w:r w:rsidR="007120B7">
        <w:rPr>
          <w:u w:val="single"/>
        </w:rPr>
        <w:t xml:space="preserve">and </w:t>
      </w:r>
      <w:r w:rsidRPr="00CC6FE4">
        <w:rPr>
          <w:u w:val="single"/>
        </w:rPr>
        <w:t>Equipment</w:t>
      </w:r>
    </w:p>
    <w:p w14:paraId="2F13D2BD" w14:textId="77777777" w:rsidR="005C7C32" w:rsidRDefault="005C7C32" w:rsidP="000F3E0E"/>
    <w:p w14:paraId="06155DBD" w14:textId="1887DC68" w:rsidR="00224821" w:rsidRDefault="00CC6FE4" w:rsidP="000F3E0E">
      <w:r>
        <w:t xml:space="preserve">Standard 1 of the Code seeks to ensure </w:t>
      </w:r>
      <w:r w:rsidR="00240740">
        <w:t xml:space="preserve">that </w:t>
      </w:r>
      <w:r>
        <w:t xml:space="preserve">HCFs maintain a </w:t>
      </w:r>
      <w:r w:rsidR="00B53E93">
        <w:t xml:space="preserve">safe </w:t>
      </w:r>
      <w:r>
        <w:t xml:space="preserve">environment and </w:t>
      </w:r>
      <w:r w:rsidR="00B53E93">
        <w:t xml:space="preserve">any </w:t>
      </w:r>
      <w:r>
        <w:t xml:space="preserve">critical equipment </w:t>
      </w:r>
      <w:r w:rsidR="00240740">
        <w:t>required for</w:t>
      </w:r>
      <w:r>
        <w:t xml:space="preserve"> the</w:t>
      </w:r>
      <w:r w:rsidR="00240740">
        <w:t xml:space="preserve"> safe operation </w:t>
      </w:r>
      <w:r>
        <w:t>of a</w:t>
      </w:r>
      <w:r w:rsidR="003F3B18">
        <w:t xml:space="preserve"> HCF</w:t>
      </w:r>
      <w:r w:rsidR="00B53E93">
        <w:t xml:space="preserve"> is installed</w:t>
      </w:r>
      <w:r w:rsidR="00DF6F2E">
        <w:t xml:space="preserve"> and in use</w:t>
      </w:r>
      <w:r>
        <w:t xml:space="preserve">. </w:t>
      </w:r>
      <w:r>
        <w:lastRenderedPageBreak/>
        <w:t xml:space="preserve">This Standard </w:t>
      </w:r>
      <w:r w:rsidR="00B53E93">
        <w:t>addresses the requirements</w:t>
      </w:r>
      <w:r>
        <w:t xml:space="preserve"> of sections 24, 25 and 29 </w:t>
      </w:r>
      <w:r w:rsidRPr="00D662DB">
        <w:t xml:space="preserve">of </w:t>
      </w:r>
      <w:r w:rsidR="00240740" w:rsidRPr="001542A9">
        <w:t>the Act</w:t>
      </w:r>
      <w:r w:rsidRPr="00D662DB">
        <w:t xml:space="preserve"> regarding</w:t>
      </w:r>
      <w:r>
        <w:t xml:space="preserve"> </w:t>
      </w:r>
      <w:r w:rsidR="00224821">
        <w:t>the suitability of a</w:t>
      </w:r>
      <w:r w:rsidR="000F3E0E">
        <w:t xml:space="preserve">n applicant to operate a HCF </w:t>
      </w:r>
      <w:r w:rsidR="00B53E93">
        <w:t xml:space="preserve">by demonstrating </w:t>
      </w:r>
      <w:r w:rsidR="000F3E0E">
        <w:t xml:space="preserve">relevant policies, procedures, staff, equipment and solvency. This Standard also </w:t>
      </w:r>
      <w:r w:rsidR="00B53E93">
        <w:t xml:space="preserve">requires the construction and furnishing of HCFs to meet the </w:t>
      </w:r>
      <w:r w:rsidR="00DF6F2E">
        <w:t xml:space="preserve">current requirements of the </w:t>
      </w:r>
      <w:r w:rsidR="00224821" w:rsidRPr="00224821">
        <w:t>Australasian Health Facility Guidelines (AusHFG)</w:t>
      </w:r>
      <w:r w:rsidR="00B53E93">
        <w:t>.</w:t>
      </w:r>
    </w:p>
    <w:p w14:paraId="0193C923" w14:textId="77777777" w:rsidR="00224821" w:rsidRDefault="00224821"/>
    <w:p w14:paraId="273D9CEC" w14:textId="34890F98" w:rsidR="00CC6FE4" w:rsidRDefault="00224821">
      <w:r>
        <w:t xml:space="preserve">The AusHFG are published by the Australian Health infrastructure Alliance, a subcommittee of the </w:t>
      </w:r>
      <w:r w:rsidR="00D07D20">
        <w:t>Health Chief Executive</w:t>
      </w:r>
      <w:r w:rsidR="00FE672E">
        <w:t>s</w:t>
      </w:r>
      <w:r w:rsidR="00D07D20">
        <w:t xml:space="preserve"> Forum</w:t>
      </w:r>
      <w:r w:rsidR="006D459D">
        <w:t>.</w:t>
      </w:r>
      <w:r w:rsidR="00DF6F2E">
        <w:t xml:space="preserve"> </w:t>
      </w:r>
      <w:r w:rsidR="006D459D">
        <w:t>A</w:t>
      </w:r>
      <w:r>
        <w:t>ll jurisdictions</w:t>
      </w:r>
      <w:r w:rsidR="00DF6F2E">
        <w:t xml:space="preserve"> provide input to these guidelines.</w:t>
      </w:r>
      <w:r>
        <w:t xml:space="preserve">  </w:t>
      </w:r>
      <w:r w:rsidR="006D459D">
        <w:t xml:space="preserve">Adopting </w:t>
      </w:r>
      <w:r>
        <w:t xml:space="preserve">the AusHFG as the minimum standard for the design of hospitals and day procedure centres is consistent with </w:t>
      </w:r>
      <w:r w:rsidR="00DF6F2E">
        <w:t xml:space="preserve">the approach taken by </w:t>
      </w:r>
      <w:r>
        <w:t xml:space="preserve">other jurisdictions including South Australia, Victoria and New South Wales. </w:t>
      </w:r>
      <w:r w:rsidR="006D459D">
        <w:t>This approach</w:t>
      </w:r>
      <w:r>
        <w:t xml:space="preserve"> ensur</w:t>
      </w:r>
      <w:r w:rsidR="00DF6F2E">
        <w:t xml:space="preserve">es that </w:t>
      </w:r>
      <w:r>
        <w:t xml:space="preserve">the design of HCFs supports </w:t>
      </w:r>
      <w:r w:rsidR="006D459D">
        <w:t xml:space="preserve">optimal </w:t>
      </w:r>
      <w:r>
        <w:t>health service delivery</w:t>
      </w:r>
      <w:r w:rsidR="006D459D">
        <w:t>, providing</w:t>
      </w:r>
      <w:r>
        <w:t xml:space="preserve"> guidance on </w:t>
      </w:r>
      <w:r w:rsidR="006D459D">
        <w:t xml:space="preserve">appropriate </w:t>
      </w:r>
      <w:r>
        <w:t xml:space="preserve">nurse call systems, infection control and patient flow management. Adoption of the </w:t>
      </w:r>
      <w:r w:rsidR="006D459D">
        <w:t>AusHFG</w:t>
      </w:r>
      <w:r w:rsidR="006D459D" w:rsidDel="006D459D">
        <w:t xml:space="preserve"> </w:t>
      </w:r>
      <w:r>
        <w:t xml:space="preserve">provides greater certainty for individuals or corporations seeking </w:t>
      </w:r>
      <w:r w:rsidR="006D459D">
        <w:t xml:space="preserve">a HCF </w:t>
      </w:r>
      <w:r>
        <w:t>licence or making alterations to a licenced HCF</w:t>
      </w:r>
      <w:r w:rsidR="006D459D">
        <w:t>.</w:t>
      </w:r>
      <w:r w:rsidR="000F3E0E">
        <w:t xml:space="preserve"> </w:t>
      </w:r>
      <w:r w:rsidR="006D459D">
        <w:t>It supports them to</w:t>
      </w:r>
      <w:r w:rsidR="000F3E0E">
        <w:t xml:space="preserve"> determi</w:t>
      </w:r>
      <w:r w:rsidR="006D459D">
        <w:t>ne that</w:t>
      </w:r>
      <w:r w:rsidR="000F3E0E">
        <w:t xml:space="preserve"> the</w:t>
      </w:r>
      <w:r w:rsidR="006D459D">
        <w:t xml:space="preserve">y are developing </w:t>
      </w:r>
      <w:r w:rsidR="000F3E0E">
        <w:t>a safe and suitable environment</w:t>
      </w:r>
      <w:r w:rsidR="006D459D">
        <w:t>.</w:t>
      </w:r>
    </w:p>
    <w:p w14:paraId="3D97E88E" w14:textId="07C1604A" w:rsidR="00240B06" w:rsidRDefault="00240B06"/>
    <w:p w14:paraId="7296F27B" w14:textId="6ECE8863" w:rsidR="00240B06" w:rsidRDefault="00240B06" w:rsidP="00240B06">
      <w:r>
        <w:t>Standard 1.12 of this Code, outlines the policies and procedures that licenced HCFs are required to have available. To ensure these documents remain relevant and up to dat</w:t>
      </w:r>
      <w:r w:rsidR="00467274">
        <w:t>e</w:t>
      </w:r>
      <w:r>
        <w:t xml:space="preserve">, </w:t>
      </w:r>
      <w:r w:rsidR="00B2791D">
        <w:t xml:space="preserve">it is recommended </w:t>
      </w:r>
      <w:r>
        <w:t xml:space="preserve">these documents </w:t>
      </w:r>
      <w:r w:rsidR="00B2791D">
        <w:t xml:space="preserve">be </w:t>
      </w:r>
      <w:r>
        <w:t xml:space="preserve">updated every two </w:t>
      </w:r>
      <w:r w:rsidR="00C81A8A">
        <w:t>to five years, or as required</w:t>
      </w:r>
      <w:r>
        <w:t xml:space="preserve">.  </w:t>
      </w:r>
    </w:p>
    <w:p w14:paraId="151575D3" w14:textId="5CA32532" w:rsidR="00224821" w:rsidRDefault="00224821"/>
    <w:p w14:paraId="20F6C69F" w14:textId="75BFD38E" w:rsidR="007120B7" w:rsidRDefault="004918D6" w:rsidP="007120B7">
      <w:r>
        <w:t>The n</w:t>
      </w:r>
      <w:r w:rsidR="000F3E0E">
        <w:t xml:space="preserve">ew Standard 1.14 </w:t>
      </w:r>
      <w:r>
        <w:t>in</w:t>
      </w:r>
      <w:r w:rsidR="000F3E0E">
        <w:t xml:space="preserve"> this Code, requires facilities to notify the Minister for Health </w:t>
      </w:r>
      <w:r>
        <w:t>if</w:t>
      </w:r>
      <w:r w:rsidR="000F3E0E">
        <w:t xml:space="preserve"> an</w:t>
      </w:r>
      <w:r>
        <w:t xml:space="preserve"> organisation or individual who is </w:t>
      </w:r>
      <w:r w:rsidR="000F3E0E">
        <w:t xml:space="preserve">not already listed by </w:t>
      </w:r>
      <w:r>
        <w:t>the</w:t>
      </w:r>
      <w:r w:rsidR="000F3E0E">
        <w:t xml:space="preserve"> HCF licence, undertakes a declared public health risk procedure on a HCF premises. This new requirement recognises that HCFs may lease rooms or equipment to other </w:t>
      </w:r>
      <w:r>
        <w:t>organisations or individuals conducting</w:t>
      </w:r>
      <w:r w:rsidR="000F3E0E">
        <w:t xml:space="preserve"> public health risk procedures.</w:t>
      </w:r>
      <w:r w:rsidR="007120B7">
        <w:t xml:space="preserve"> Notification of </w:t>
      </w:r>
      <w:r>
        <w:t>these</w:t>
      </w:r>
      <w:r w:rsidR="007120B7">
        <w:t xml:space="preserve"> arrangements enables </w:t>
      </w:r>
      <w:r>
        <w:t xml:space="preserve">a more timely </w:t>
      </w:r>
      <w:r w:rsidR="007120B7">
        <w:t>investigat</w:t>
      </w:r>
      <w:r>
        <w:t>ion</w:t>
      </w:r>
      <w:r w:rsidR="007120B7">
        <w:t xml:space="preserve"> and respon</w:t>
      </w:r>
      <w:r>
        <w:t>se</w:t>
      </w:r>
      <w:r w:rsidR="007120B7">
        <w:t xml:space="preserve"> to any public health risks or adverse incidents that may occur.</w:t>
      </w:r>
    </w:p>
    <w:p w14:paraId="39291FDF" w14:textId="77777777" w:rsidR="007120B7" w:rsidRDefault="007120B7" w:rsidP="007120B7"/>
    <w:p w14:paraId="7A5516F9" w14:textId="6036EE2C" w:rsidR="007120B7" w:rsidRPr="00CC6FE4" w:rsidRDefault="007120B7" w:rsidP="007120B7">
      <w:pPr>
        <w:rPr>
          <w:u w:val="single"/>
        </w:rPr>
      </w:pPr>
      <w:r w:rsidRPr="00CC6FE4">
        <w:rPr>
          <w:u w:val="single"/>
        </w:rPr>
        <w:t xml:space="preserve">Standard </w:t>
      </w:r>
      <w:r>
        <w:rPr>
          <w:u w:val="single"/>
        </w:rPr>
        <w:t>2</w:t>
      </w:r>
      <w:r w:rsidRPr="00CC6FE4">
        <w:rPr>
          <w:u w:val="single"/>
        </w:rPr>
        <w:t xml:space="preserve"> – </w:t>
      </w:r>
      <w:r>
        <w:rPr>
          <w:u w:val="single"/>
        </w:rPr>
        <w:t xml:space="preserve">Clinical Care and Safety </w:t>
      </w:r>
    </w:p>
    <w:p w14:paraId="7BE0ED13" w14:textId="365BF204" w:rsidR="00CC5411" w:rsidRDefault="00CC5411"/>
    <w:p w14:paraId="400F393F" w14:textId="41094167" w:rsidR="00BF4DD3" w:rsidRDefault="00D2404F">
      <w:pPr>
        <w:rPr>
          <w:color w:val="000000"/>
          <w:szCs w:val="24"/>
        </w:rPr>
      </w:pPr>
      <w:r>
        <w:t xml:space="preserve">Standard 2 of the Code provides that HCFs must </w:t>
      </w:r>
      <w:r w:rsidRPr="00BF4DD3">
        <w:rPr>
          <w:szCs w:val="24"/>
        </w:rPr>
        <w:t xml:space="preserve">maintain </w:t>
      </w:r>
      <w:r w:rsidR="004918D6">
        <w:rPr>
          <w:szCs w:val="24"/>
        </w:rPr>
        <w:t xml:space="preserve">a </w:t>
      </w:r>
      <w:r w:rsidRPr="00BF4DD3">
        <w:rPr>
          <w:szCs w:val="24"/>
        </w:rPr>
        <w:t xml:space="preserve">suitable professional workforce and identify, collect and store health records in accordance with the </w:t>
      </w:r>
      <w:r w:rsidRPr="00BF4DD3">
        <w:rPr>
          <w:i/>
          <w:iCs/>
          <w:szCs w:val="24"/>
        </w:rPr>
        <w:t>Health Records (Privacy and Access) Act 1997</w:t>
      </w:r>
      <w:r w:rsidR="00E8405D" w:rsidRPr="00BF4DD3">
        <w:rPr>
          <w:i/>
          <w:iCs/>
          <w:szCs w:val="24"/>
        </w:rPr>
        <w:t xml:space="preserve">. </w:t>
      </w:r>
      <w:r w:rsidR="00BF4DD3" w:rsidRPr="00BF4DD3">
        <w:rPr>
          <w:szCs w:val="24"/>
        </w:rPr>
        <w:t xml:space="preserve"> This standard also adopts </w:t>
      </w:r>
      <w:r w:rsidR="004918D6">
        <w:rPr>
          <w:szCs w:val="24"/>
        </w:rPr>
        <w:t xml:space="preserve">the </w:t>
      </w:r>
      <w:r w:rsidR="00BF4DD3" w:rsidRPr="00BF4DD3">
        <w:rPr>
          <w:i/>
          <w:iCs/>
          <w:color w:val="000000"/>
          <w:szCs w:val="24"/>
        </w:rPr>
        <w:t xml:space="preserve">Guidelines on Sedation and/or Analgesia for Diagnostic and Interventional Medical, Dental or Surgical Procedures </w:t>
      </w:r>
      <w:r w:rsidR="00BF4DD3" w:rsidRPr="00BF4DD3">
        <w:rPr>
          <w:color w:val="000000"/>
          <w:szCs w:val="24"/>
        </w:rPr>
        <w:t xml:space="preserve">as published by the Australian and New Zealand College of Anaesthetics </w:t>
      </w:r>
      <w:r w:rsidR="00BF4DD3">
        <w:rPr>
          <w:color w:val="000000"/>
          <w:szCs w:val="24"/>
        </w:rPr>
        <w:t xml:space="preserve">(ANZCA) </w:t>
      </w:r>
      <w:r w:rsidR="00BF4DD3" w:rsidRPr="00BF4DD3">
        <w:rPr>
          <w:color w:val="000000"/>
          <w:szCs w:val="24"/>
        </w:rPr>
        <w:t>as minimum requirements for HCFs administering anaesthesia as a declared public health risk procedure. Application of the ANZCA requirements was strongly supported by stakeholders during consultation in August</w:t>
      </w:r>
      <w:r w:rsidR="00CA760F">
        <w:rPr>
          <w:color w:val="000000"/>
          <w:szCs w:val="24"/>
        </w:rPr>
        <w:t> </w:t>
      </w:r>
      <w:r w:rsidR="00BF4DD3" w:rsidRPr="00BF4DD3">
        <w:rPr>
          <w:color w:val="000000"/>
          <w:szCs w:val="24"/>
        </w:rPr>
        <w:t>2020</w:t>
      </w:r>
      <w:r w:rsidR="00BF4DD3">
        <w:rPr>
          <w:color w:val="000000"/>
          <w:szCs w:val="24"/>
        </w:rPr>
        <w:t xml:space="preserve">. </w:t>
      </w:r>
    </w:p>
    <w:p w14:paraId="7EA7D782" w14:textId="08039469" w:rsidR="00BF4DD3" w:rsidRDefault="00BF4DD3">
      <w:pPr>
        <w:rPr>
          <w:color w:val="000000"/>
          <w:szCs w:val="24"/>
        </w:rPr>
      </w:pPr>
    </w:p>
    <w:p w14:paraId="5760BE4B" w14:textId="752A3FAF" w:rsidR="00211DA1" w:rsidRPr="00BF4DD3" w:rsidRDefault="00BF4DD3" w:rsidP="00211DA1">
      <w:pPr>
        <w:rPr>
          <w:color w:val="000000"/>
          <w:szCs w:val="24"/>
        </w:rPr>
      </w:pPr>
      <w:r>
        <w:rPr>
          <w:color w:val="000000"/>
          <w:szCs w:val="24"/>
        </w:rPr>
        <w:t xml:space="preserve">The requirements imposed on HCFs by Standards 2.1 – 2.7 of this Code </w:t>
      </w:r>
      <w:r w:rsidR="00635869">
        <w:rPr>
          <w:color w:val="000000"/>
          <w:szCs w:val="24"/>
        </w:rPr>
        <w:t xml:space="preserve">are in line with the </w:t>
      </w:r>
      <w:r>
        <w:rPr>
          <w:color w:val="000000"/>
          <w:szCs w:val="24"/>
        </w:rPr>
        <w:t>NSQHS Standards.</w:t>
      </w:r>
      <w:r w:rsidR="00270E35">
        <w:rPr>
          <w:color w:val="000000"/>
          <w:szCs w:val="24"/>
        </w:rPr>
        <w:t xml:space="preserve"> </w:t>
      </w:r>
      <w:r w:rsidR="00635869">
        <w:rPr>
          <w:color w:val="000000"/>
          <w:szCs w:val="24"/>
        </w:rPr>
        <w:t>This approach supports</w:t>
      </w:r>
      <w:r w:rsidR="00284772">
        <w:rPr>
          <w:color w:val="000000"/>
          <w:szCs w:val="24"/>
        </w:rPr>
        <w:t xml:space="preserve"> public health officers to </w:t>
      </w:r>
      <w:r w:rsidR="00635869">
        <w:rPr>
          <w:color w:val="000000"/>
          <w:szCs w:val="24"/>
        </w:rPr>
        <w:t xml:space="preserve">review </w:t>
      </w:r>
      <w:r w:rsidR="00284772">
        <w:rPr>
          <w:color w:val="000000"/>
          <w:szCs w:val="24"/>
        </w:rPr>
        <w:t xml:space="preserve">these </w:t>
      </w:r>
      <w:r w:rsidR="00635869">
        <w:rPr>
          <w:color w:val="000000"/>
          <w:szCs w:val="24"/>
        </w:rPr>
        <w:t xml:space="preserve">risk </w:t>
      </w:r>
      <w:r w:rsidR="00284772">
        <w:rPr>
          <w:color w:val="000000"/>
          <w:szCs w:val="24"/>
        </w:rPr>
        <w:t xml:space="preserve">areas </w:t>
      </w:r>
      <w:r w:rsidR="00635869">
        <w:rPr>
          <w:color w:val="000000"/>
          <w:szCs w:val="24"/>
        </w:rPr>
        <w:t xml:space="preserve">during </w:t>
      </w:r>
      <w:r w:rsidR="00284772">
        <w:rPr>
          <w:color w:val="000000"/>
          <w:szCs w:val="24"/>
        </w:rPr>
        <w:t>routine audit</w:t>
      </w:r>
      <w:r w:rsidR="00635869">
        <w:rPr>
          <w:color w:val="000000"/>
          <w:szCs w:val="24"/>
        </w:rPr>
        <w:t>s</w:t>
      </w:r>
      <w:r w:rsidR="00284772">
        <w:rPr>
          <w:color w:val="000000"/>
          <w:szCs w:val="24"/>
        </w:rPr>
        <w:t xml:space="preserve"> and inspection</w:t>
      </w:r>
      <w:r w:rsidR="00635869">
        <w:rPr>
          <w:color w:val="000000"/>
          <w:szCs w:val="24"/>
        </w:rPr>
        <w:t>s</w:t>
      </w:r>
      <w:r w:rsidR="00284772">
        <w:rPr>
          <w:color w:val="000000"/>
          <w:szCs w:val="24"/>
        </w:rPr>
        <w:t xml:space="preserve"> rather than </w:t>
      </w:r>
      <w:r w:rsidR="00635869">
        <w:rPr>
          <w:color w:val="000000"/>
          <w:szCs w:val="24"/>
        </w:rPr>
        <w:t xml:space="preserve">the </w:t>
      </w:r>
      <w:r w:rsidR="00284772">
        <w:rPr>
          <w:color w:val="000000"/>
          <w:szCs w:val="24"/>
        </w:rPr>
        <w:t xml:space="preserve">Government </w:t>
      </w:r>
      <w:r w:rsidR="00635869">
        <w:rPr>
          <w:color w:val="000000"/>
          <w:szCs w:val="24"/>
        </w:rPr>
        <w:t xml:space="preserve">relying </w:t>
      </w:r>
      <w:r w:rsidR="00284772">
        <w:rPr>
          <w:color w:val="000000"/>
          <w:szCs w:val="24"/>
        </w:rPr>
        <w:t xml:space="preserve">on NSQHS Standards survey outcomes </w:t>
      </w:r>
      <w:r w:rsidR="00211DA1">
        <w:rPr>
          <w:color w:val="000000"/>
          <w:szCs w:val="24"/>
        </w:rPr>
        <w:t>as a marker of</w:t>
      </w:r>
      <w:r w:rsidR="00284772">
        <w:rPr>
          <w:color w:val="000000"/>
          <w:szCs w:val="24"/>
        </w:rPr>
        <w:t xml:space="preserve"> </w:t>
      </w:r>
      <w:r w:rsidR="00211DA1">
        <w:rPr>
          <w:color w:val="000000"/>
          <w:szCs w:val="24"/>
        </w:rPr>
        <w:t xml:space="preserve">quality and </w:t>
      </w:r>
      <w:r w:rsidR="00284772">
        <w:rPr>
          <w:color w:val="000000"/>
          <w:szCs w:val="24"/>
        </w:rPr>
        <w:t xml:space="preserve">safety. </w:t>
      </w:r>
      <w:r w:rsidR="00211DA1">
        <w:rPr>
          <w:color w:val="000000"/>
          <w:szCs w:val="24"/>
        </w:rPr>
        <w:t xml:space="preserve">The NSQHS Standards are adopted </w:t>
      </w:r>
      <w:r w:rsidR="00635869">
        <w:rPr>
          <w:color w:val="000000"/>
          <w:szCs w:val="24"/>
        </w:rPr>
        <w:t xml:space="preserve">by </w:t>
      </w:r>
      <w:r w:rsidR="00211DA1">
        <w:rPr>
          <w:color w:val="000000"/>
          <w:szCs w:val="24"/>
        </w:rPr>
        <w:t xml:space="preserve">Standard 4 of this Code. </w:t>
      </w:r>
    </w:p>
    <w:p w14:paraId="0BAD8938" w14:textId="77777777" w:rsidR="00211DA1" w:rsidRDefault="00211DA1">
      <w:pPr>
        <w:rPr>
          <w:color w:val="000000"/>
          <w:szCs w:val="24"/>
        </w:rPr>
      </w:pPr>
      <w:r>
        <w:rPr>
          <w:color w:val="000000"/>
          <w:szCs w:val="24"/>
        </w:rPr>
        <w:t xml:space="preserve"> </w:t>
      </w:r>
    </w:p>
    <w:p w14:paraId="0791F130" w14:textId="1F7AE53B" w:rsidR="00284772" w:rsidRDefault="00211DA1">
      <w:pPr>
        <w:rPr>
          <w:color w:val="000000"/>
          <w:szCs w:val="24"/>
        </w:rPr>
      </w:pPr>
      <w:r>
        <w:rPr>
          <w:color w:val="000000"/>
          <w:szCs w:val="24"/>
        </w:rPr>
        <w:t>R</w:t>
      </w:r>
      <w:r w:rsidR="00284772">
        <w:rPr>
          <w:color w:val="000000"/>
          <w:szCs w:val="24"/>
        </w:rPr>
        <w:t xml:space="preserve">equirements </w:t>
      </w:r>
      <w:r>
        <w:rPr>
          <w:color w:val="000000"/>
          <w:szCs w:val="24"/>
        </w:rPr>
        <w:t xml:space="preserve">introduced by Standard 2 of the Code </w:t>
      </w:r>
      <w:r w:rsidR="00284772">
        <w:rPr>
          <w:color w:val="000000"/>
          <w:szCs w:val="24"/>
        </w:rPr>
        <w:t xml:space="preserve">were already </w:t>
      </w:r>
      <w:r>
        <w:rPr>
          <w:color w:val="000000"/>
          <w:szCs w:val="24"/>
        </w:rPr>
        <w:t>included</w:t>
      </w:r>
      <w:r w:rsidR="00284772">
        <w:rPr>
          <w:color w:val="000000"/>
          <w:szCs w:val="24"/>
        </w:rPr>
        <w:t xml:space="preserve"> in the </w:t>
      </w:r>
      <w:r w:rsidR="00240740" w:rsidRPr="008D2EC0">
        <w:rPr>
          <w:i/>
          <w:iCs/>
        </w:rPr>
        <w:t>Public Health (Code of Practice ) Determination 2001</w:t>
      </w:r>
      <w:r w:rsidR="00240740" w:rsidRPr="008D2EC0">
        <w:t xml:space="preserve"> (2001 Code of Practice)</w:t>
      </w:r>
      <w:r w:rsidR="00284772">
        <w:rPr>
          <w:color w:val="000000"/>
          <w:szCs w:val="24"/>
        </w:rPr>
        <w:t xml:space="preserve">, but </w:t>
      </w:r>
      <w:r w:rsidR="00284772">
        <w:rPr>
          <w:color w:val="000000"/>
          <w:szCs w:val="24"/>
        </w:rPr>
        <w:lastRenderedPageBreak/>
        <w:t xml:space="preserve">have been redrafted to recognise </w:t>
      </w:r>
      <w:r w:rsidR="001739A2">
        <w:rPr>
          <w:color w:val="000000"/>
          <w:szCs w:val="24"/>
        </w:rPr>
        <w:t xml:space="preserve">the </w:t>
      </w:r>
      <w:r w:rsidR="00284772">
        <w:rPr>
          <w:color w:val="000000"/>
          <w:szCs w:val="24"/>
        </w:rPr>
        <w:t xml:space="preserve">recommendations made to the Victorian Government by the </w:t>
      </w:r>
      <w:r w:rsidR="00284772" w:rsidRPr="001542A9">
        <w:rPr>
          <w:color w:val="000000"/>
          <w:szCs w:val="24"/>
        </w:rPr>
        <w:t xml:space="preserve">Grattan Institute in </w:t>
      </w:r>
      <w:r w:rsidR="00284772" w:rsidRPr="001542A9">
        <w:rPr>
          <w:i/>
          <w:iCs/>
          <w:color w:val="000000"/>
          <w:szCs w:val="24"/>
        </w:rPr>
        <w:t>Targeting Zero - Report of the Review of Hospital Safety and Quality Assurance in Victoria</w:t>
      </w:r>
      <w:r w:rsidR="00CA760F" w:rsidRPr="001542A9">
        <w:rPr>
          <w:i/>
          <w:iCs/>
          <w:color w:val="000000"/>
          <w:szCs w:val="24"/>
        </w:rPr>
        <w:t xml:space="preserve"> (2019)</w:t>
      </w:r>
      <w:r w:rsidR="00284772" w:rsidRPr="001542A9">
        <w:rPr>
          <w:color w:val="000000"/>
          <w:szCs w:val="24"/>
        </w:rPr>
        <w:t xml:space="preserve">, and </w:t>
      </w:r>
      <w:r w:rsidR="001739A2" w:rsidRPr="001542A9">
        <w:rPr>
          <w:color w:val="000000"/>
          <w:szCs w:val="24"/>
        </w:rPr>
        <w:t xml:space="preserve">the </w:t>
      </w:r>
      <w:r w:rsidR="00284772" w:rsidRPr="001542A9">
        <w:rPr>
          <w:color w:val="000000"/>
          <w:szCs w:val="24"/>
        </w:rPr>
        <w:t xml:space="preserve">observations of Coroner Hunter in her report </w:t>
      </w:r>
      <w:r w:rsidR="00284772" w:rsidRPr="001542A9">
        <w:rPr>
          <w:i/>
          <w:iCs/>
          <w:color w:val="000000"/>
          <w:szCs w:val="24"/>
        </w:rPr>
        <w:t>Inquest into the death of Theodora Za</w:t>
      </w:r>
      <w:r w:rsidR="00946E28" w:rsidRPr="001542A9">
        <w:rPr>
          <w:i/>
          <w:iCs/>
          <w:color w:val="000000"/>
          <w:szCs w:val="24"/>
        </w:rPr>
        <w:t>a</w:t>
      </w:r>
      <w:r w:rsidR="00284772" w:rsidRPr="001542A9">
        <w:rPr>
          <w:i/>
          <w:iCs/>
          <w:color w:val="000000"/>
          <w:szCs w:val="24"/>
        </w:rPr>
        <w:t>l (20</w:t>
      </w:r>
      <w:r w:rsidR="00946E28" w:rsidRPr="001542A9">
        <w:rPr>
          <w:i/>
          <w:iCs/>
          <w:color w:val="000000"/>
          <w:szCs w:val="24"/>
        </w:rPr>
        <w:t>19</w:t>
      </w:r>
      <w:r w:rsidR="00284772" w:rsidRPr="001542A9">
        <w:rPr>
          <w:i/>
          <w:iCs/>
          <w:color w:val="000000"/>
          <w:szCs w:val="24"/>
        </w:rPr>
        <w:t xml:space="preserve">). </w:t>
      </w:r>
      <w:r w:rsidR="00284772" w:rsidRPr="001542A9">
        <w:rPr>
          <w:color w:val="000000"/>
          <w:szCs w:val="24"/>
        </w:rPr>
        <w:t xml:space="preserve"> These updates</w:t>
      </w:r>
      <w:r w:rsidRPr="001542A9">
        <w:rPr>
          <w:color w:val="000000"/>
          <w:szCs w:val="24"/>
        </w:rPr>
        <w:t xml:space="preserve"> clarify that HCFs have</w:t>
      </w:r>
      <w:r>
        <w:rPr>
          <w:color w:val="000000"/>
          <w:szCs w:val="24"/>
        </w:rPr>
        <w:t xml:space="preserve"> a responsibility to </w:t>
      </w:r>
      <w:r w:rsidR="001739A2">
        <w:rPr>
          <w:color w:val="000000"/>
          <w:szCs w:val="24"/>
        </w:rPr>
        <w:t xml:space="preserve">the </w:t>
      </w:r>
      <w:r>
        <w:rPr>
          <w:color w:val="000000"/>
          <w:szCs w:val="24"/>
        </w:rPr>
        <w:t xml:space="preserve">ACT Government through HCF licencing, as well as </w:t>
      </w:r>
      <w:r w:rsidR="001739A2">
        <w:rPr>
          <w:color w:val="000000"/>
          <w:szCs w:val="24"/>
        </w:rPr>
        <w:t xml:space="preserve">the </w:t>
      </w:r>
      <w:r>
        <w:rPr>
          <w:color w:val="000000"/>
          <w:szCs w:val="24"/>
        </w:rPr>
        <w:t xml:space="preserve">NSQHS, in ensuring the requirements of Standard 2 are met.  </w:t>
      </w:r>
    </w:p>
    <w:p w14:paraId="62EAA504" w14:textId="77777777" w:rsidR="00284772" w:rsidRDefault="00284772">
      <w:pPr>
        <w:rPr>
          <w:color w:val="000000"/>
          <w:szCs w:val="24"/>
        </w:rPr>
      </w:pPr>
    </w:p>
    <w:p w14:paraId="7F4E3C44" w14:textId="77777777" w:rsidR="003008D8" w:rsidRDefault="00270E35" w:rsidP="00270E35">
      <w:pPr>
        <w:rPr>
          <w:u w:val="single"/>
        </w:rPr>
      </w:pPr>
      <w:r w:rsidRPr="00CC6FE4">
        <w:rPr>
          <w:u w:val="single"/>
        </w:rPr>
        <w:t xml:space="preserve">Standard </w:t>
      </w:r>
      <w:r>
        <w:rPr>
          <w:u w:val="single"/>
        </w:rPr>
        <w:t>3</w:t>
      </w:r>
      <w:r w:rsidRPr="00CC6FE4">
        <w:rPr>
          <w:u w:val="single"/>
        </w:rPr>
        <w:t xml:space="preserve"> – </w:t>
      </w:r>
      <w:r w:rsidR="003008D8">
        <w:rPr>
          <w:u w:val="single"/>
        </w:rPr>
        <w:t>Infection Control</w:t>
      </w:r>
    </w:p>
    <w:p w14:paraId="538C2E54" w14:textId="6DE1823C" w:rsidR="00270E35" w:rsidRPr="00CC6FE4" w:rsidRDefault="00270E35" w:rsidP="00270E35">
      <w:pPr>
        <w:rPr>
          <w:u w:val="single"/>
        </w:rPr>
      </w:pPr>
      <w:r>
        <w:rPr>
          <w:u w:val="single"/>
        </w:rPr>
        <w:t xml:space="preserve"> </w:t>
      </w:r>
    </w:p>
    <w:p w14:paraId="53059F04" w14:textId="668026F1" w:rsidR="00BF4DD3" w:rsidRDefault="00D662DB">
      <w:r>
        <w:t>I</w:t>
      </w:r>
      <w:r w:rsidR="001A6620">
        <w:t>nfection represents a significant public health risk within HCFs and has potential to cause significant individual and public health risk i</w:t>
      </w:r>
      <w:r>
        <w:t>f</w:t>
      </w:r>
      <w:r w:rsidR="001A6620">
        <w:t xml:space="preserve"> not adequately managed. </w:t>
      </w:r>
      <w:r w:rsidR="003008D8">
        <w:t xml:space="preserve">Standard 3 of the Code </w:t>
      </w:r>
      <w:r w:rsidR="001A6620">
        <w:t xml:space="preserve">requires </w:t>
      </w:r>
      <w:r w:rsidR="003E5EC6">
        <w:t xml:space="preserve">HCFs </w:t>
      </w:r>
      <w:r w:rsidR="001A6620">
        <w:t xml:space="preserve">to </w:t>
      </w:r>
      <w:r w:rsidR="00B53B9F">
        <w:t xml:space="preserve">hold </w:t>
      </w:r>
      <w:r w:rsidR="003E5EC6">
        <w:t>and implement an infection control management plan and</w:t>
      </w:r>
      <w:r w:rsidR="0012074A">
        <w:t xml:space="preserve"> </w:t>
      </w:r>
      <w:r w:rsidR="003E5EC6">
        <w:t>employ a person</w:t>
      </w:r>
      <w:r w:rsidR="0012074A">
        <w:t>, trained in infection control to</w:t>
      </w:r>
      <w:r w:rsidR="003E5EC6">
        <w:t xml:space="preserve"> implement the plan. This Standard also provides that the Minister (or delegate) may request a HCF to review or make </w:t>
      </w:r>
      <w:r>
        <w:t xml:space="preserve">a </w:t>
      </w:r>
      <w:r w:rsidR="003E5EC6">
        <w:t>change to an infection control management plan if there is reasonable belief it would prevent or lessen a public health risk.</w:t>
      </w:r>
      <w:r w:rsidR="001A6620">
        <w:t xml:space="preserve"> </w:t>
      </w:r>
    </w:p>
    <w:p w14:paraId="7ED9BC4A" w14:textId="02196077" w:rsidR="003E5EC6" w:rsidRDefault="003E5EC6"/>
    <w:p w14:paraId="22967931" w14:textId="6FF93074" w:rsidR="003E5EC6" w:rsidRDefault="003E5EC6" w:rsidP="003E5EC6">
      <w:r>
        <w:t xml:space="preserve">The requirement to have and maintain an infection control management plan is consistent with regulatory requirements </w:t>
      </w:r>
      <w:r w:rsidR="00562B32">
        <w:t xml:space="preserve">already </w:t>
      </w:r>
      <w:r>
        <w:t xml:space="preserve">imposed </w:t>
      </w:r>
      <w:r w:rsidR="00562B32">
        <w:t>on HCF</w:t>
      </w:r>
      <w:r w:rsidR="008D2EC0">
        <w:t>s</w:t>
      </w:r>
      <w:r w:rsidR="00562B32">
        <w:t xml:space="preserve"> </w:t>
      </w:r>
      <w:r w:rsidR="00132973">
        <w:t xml:space="preserve">by </w:t>
      </w:r>
      <w:r>
        <w:t>the</w:t>
      </w:r>
      <w:r w:rsidR="00562B32" w:rsidRPr="008D2EC0">
        <w:t xml:space="preserve"> 2001 Code of Practice. Standa</w:t>
      </w:r>
      <w:r w:rsidR="00562B32">
        <w:t>rd 3 also</w:t>
      </w:r>
      <w:r>
        <w:t xml:space="preserve"> </w:t>
      </w:r>
      <w:r w:rsidR="00D662DB">
        <w:t>reinforces the</w:t>
      </w:r>
      <w:r w:rsidR="00562B32">
        <w:t xml:space="preserve"> existing requirements of </w:t>
      </w:r>
      <w:r>
        <w:t>the NSQHS Standards. Standard 3 is therefore not considered to introduce an increased regulatory burden on HCF operators.</w:t>
      </w:r>
    </w:p>
    <w:p w14:paraId="1C4B30DA" w14:textId="0B9DE65A" w:rsidR="003E5EC6" w:rsidRDefault="003E5EC6" w:rsidP="003E5EC6"/>
    <w:p w14:paraId="238F835F" w14:textId="3845C40B" w:rsidR="003E5EC6" w:rsidRDefault="003E5EC6" w:rsidP="003E5EC6">
      <w:pPr>
        <w:rPr>
          <w:u w:val="single"/>
        </w:rPr>
      </w:pPr>
      <w:r w:rsidRPr="00CC6FE4">
        <w:rPr>
          <w:u w:val="single"/>
        </w:rPr>
        <w:t xml:space="preserve">Standard </w:t>
      </w:r>
      <w:r>
        <w:rPr>
          <w:u w:val="single"/>
        </w:rPr>
        <w:t>4</w:t>
      </w:r>
      <w:r w:rsidRPr="00CC6FE4">
        <w:rPr>
          <w:u w:val="single"/>
        </w:rPr>
        <w:t xml:space="preserve"> – </w:t>
      </w:r>
      <w:r>
        <w:rPr>
          <w:u w:val="single"/>
        </w:rPr>
        <w:t>Quality Assurance</w:t>
      </w:r>
    </w:p>
    <w:p w14:paraId="06882F43" w14:textId="77777777" w:rsidR="003E5EC6" w:rsidRDefault="003E5EC6" w:rsidP="003E5EC6">
      <w:pPr>
        <w:rPr>
          <w:u w:val="single"/>
        </w:rPr>
      </w:pPr>
    </w:p>
    <w:p w14:paraId="66B8FA79" w14:textId="6642E685" w:rsidR="00083345" w:rsidRDefault="00CF5C53" w:rsidP="00CF5C53">
      <w:pPr>
        <w:spacing w:after="120"/>
      </w:pPr>
      <w:r w:rsidRPr="00CF5C53">
        <w:t>Standard</w:t>
      </w:r>
      <w:r>
        <w:t xml:space="preserve"> 4 of this Code requires health care facilities to </w:t>
      </w:r>
      <w:r w:rsidR="00F302B3">
        <w:t>be accredited by</w:t>
      </w:r>
      <w:r>
        <w:t xml:space="preserve"> the NSQHS</w:t>
      </w:r>
      <w:r w:rsidR="00F302B3">
        <w:t xml:space="preserve"> </w:t>
      </w:r>
      <w:r>
        <w:t xml:space="preserve">Standards. The NSQHS Standards are published by the </w:t>
      </w:r>
      <w:r w:rsidRPr="00083345">
        <w:t>Australian Commission on Safety and Quality in Health Care</w:t>
      </w:r>
      <w:r w:rsidR="00083345">
        <w:t xml:space="preserve"> (the Commission)</w:t>
      </w:r>
      <w:r w:rsidRPr="00083345">
        <w:t xml:space="preserve">, </w:t>
      </w:r>
      <w:r w:rsidR="00F302B3">
        <w:t xml:space="preserve">and are developed </w:t>
      </w:r>
      <w:r w:rsidRPr="00083345">
        <w:t>in collaboration with all Australian states and territories, to protect the public from harm and improve the quality of health service provision. </w:t>
      </w:r>
      <w:r w:rsidR="00811860">
        <w:t>The NSQHS Standards are adopted from time to time under the Code</w:t>
      </w:r>
      <w:r w:rsidR="00754A60">
        <w:t xml:space="preserve"> by Clause 5 of this instrument</w:t>
      </w:r>
      <w:r w:rsidR="00811860">
        <w:t xml:space="preserve">. </w:t>
      </w:r>
    </w:p>
    <w:p w14:paraId="3BBB3E6E" w14:textId="1B394FB5" w:rsidR="004D0532" w:rsidRDefault="004D0532" w:rsidP="00CF5C53">
      <w:pPr>
        <w:spacing w:after="120"/>
      </w:pPr>
      <w:r w:rsidRPr="004D0532">
        <w:t>In 2011</w:t>
      </w:r>
      <w:r w:rsidR="00F32780">
        <w:t>,</w:t>
      </w:r>
      <w:r w:rsidRPr="004D0532">
        <w:t xml:space="preserve"> Australian Health Ministers approved the Australian Health Service Safety and Quality Accreditation Scheme (AHSSQA Scheme) and agreed to mandate that all Australian hospitals and day procedure centres should be accredited to the NSQHS Standards.</w:t>
      </w:r>
      <w:r w:rsidR="00935AB8">
        <w:t xml:space="preserve"> </w:t>
      </w:r>
      <w:r>
        <w:t xml:space="preserve">Many privately operated HCFs </w:t>
      </w:r>
      <w:r w:rsidR="00935AB8">
        <w:t xml:space="preserve">are </w:t>
      </w:r>
      <w:r w:rsidR="00F302B3">
        <w:t xml:space="preserve">already </w:t>
      </w:r>
      <w:r>
        <w:t>accredit</w:t>
      </w:r>
      <w:r w:rsidR="00935AB8">
        <w:t>ed to the NSQHS Standards</w:t>
      </w:r>
      <w:r>
        <w:t xml:space="preserve"> </w:t>
      </w:r>
      <w:r w:rsidR="00F302B3">
        <w:t>so that they can</w:t>
      </w:r>
      <w:r>
        <w:t xml:space="preserve"> access private health insurance benefits under the </w:t>
      </w:r>
      <w:r w:rsidRPr="00935AB8">
        <w:rPr>
          <w:i/>
          <w:iCs/>
        </w:rPr>
        <w:t xml:space="preserve">Private </w:t>
      </w:r>
      <w:r w:rsidR="008D2EC0">
        <w:rPr>
          <w:i/>
          <w:iCs/>
        </w:rPr>
        <w:t>H</w:t>
      </w:r>
      <w:r w:rsidRPr="00935AB8">
        <w:rPr>
          <w:i/>
          <w:iCs/>
        </w:rPr>
        <w:t>ealth Insurance Act</w:t>
      </w:r>
      <w:r w:rsidR="00935AB8" w:rsidRPr="00935AB8">
        <w:rPr>
          <w:i/>
          <w:iCs/>
        </w:rPr>
        <w:t xml:space="preserve"> 2007 (Cwth)</w:t>
      </w:r>
      <w:r w:rsidR="00935AB8">
        <w:rPr>
          <w:i/>
          <w:iCs/>
        </w:rPr>
        <w:t>.</w:t>
      </w:r>
      <w:r>
        <w:t xml:space="preserve"> </w:t>
      </w:r>
    </w:p>
    <w:p w14:paraId="7571A145" w14:textId="77777777" w:rsidR="00FF7EE7" w:rsidRDefault="00935AB8" w:rsidP="00CF5C53">
      <w:pPr>
        <w:spacing w:after="120"/>
      </w:pPr>
      <w:r>
        <w:t xml:space="preserve">While the Australian Government is responsible for the coordination of the AHSSQA Scheme, all States and Territories are responsible for determining </w:t>
      </w:r>
      <w:r w:rsidRPr="002D39D4">
        <w:t xml:space="preserve">which health service organisations must be assessed against the NSQHS Standards. </w:t>
      </w:r>
    </w:p>
    <w:p w14:paraId="62657285" w14:textId="15FB121B" w:rsidR="009F6B94" w:rsidRPr="002D39D4" w:rsidRDefault="00F13A9A" w:rsidP="00CF5C53">
      <w:pPr>
        <w:spacing w:after="120"/>
      </w:pPr>
      <w:r>
        <w:t xml:space="preserve">In consultation with individual HCFs, </w:t>
      </w:r>
      <w:r w:rsidR="00D01884">
        <w:t xml:space="preserve">the </w:t>
      </w:r>
      <w:r>
        <w:t xml:space="preserve">Commission is responsible for determining the scope of </w:t>
      </w:r>
      <w:r w:rsidR="00667509">
        <w:t xml:space="preserve">NSQHS Standards that a HCF is required to meet. As such, </w:t>
      </w:r>
      <w:r w:rsidR="001457A6">
        <w:t>the</w:t>
      </w:r>
      <w:r w:rsidR="00667509">
        <w:t xml:space="preserve"> Code </w:t>
      </w:r>
      <w:r w:rsidR="002D39D4">
        <w:t>requires HCFs to maintain accreditation to the NSQHS Standards</w:t>
      </w:r>
      <w:r w:rsidR="001457A6">
        <w:t xml:space="preserve"> excluding any </w:t>
      </w:r>
      <w:r w:rsidR="00C326E7">
        <w:t xml:space="preserve">exceptions granted by the Commission. This </w:t>
      </w:r>
      <w:r w:rsidR="004B7F4C">
        <w:t>instrument and Code</w:t>
      </w:r>
      <w:r w:rsidR="00C326E7">
        <w:t xml:space="preserve"> </w:t>
      </w:r>
      <w:r w:rsidR="004B7F4C">
        <w:t>may</w:t>
      </w:r>
      <w:r w:rsidR="00C326E7">
        <w:t xml:space="preserve"> be update</w:t>
      </w:r>
      <w:r w:rsidR="00340378">
        <w:t>d at a later date to reflect significant changes in the Commission’s</w:t>
      </w:r>
      <w:r w:rsidR="004B7F4C">
        <w:t xml:space="preserve"> approach to the NSQHS Standards</w:t>
      </w:r>
      <w:r w:rsidR="00403EFE">
        <w:t xml:space="preserve"> </w:t>
      </w:r>
      <w:r w:rsidR="000E622C">
        <w:t>and its application to specific health care sectors</w:t>
      </w:r>
      <w:r w:rsidR="004A0E10">
        <w:t xml:space="preserve"> </w:t>
      </w:r>
      <w:r w:rsidR="000E622C">
        <w:t xml:space="preserve">including the adoption of the </w:t>
      </w:r>
      <w:r w:rsidR="00403EFE">
        <w:t xml:space="preserve">National Safety and Quality Primary Healthcare </w:t>
      </w:r>
      <w:r w:rsidR="00400D3E">
        <w:t xml:space="preserve">(NSQPH) </w:t>
      </w:r>
      <w:r w:rsidR="00403EFE">
        <w:t>Standards</w:t>
      </w:r>
      <w:r w:rsidR="00400D3E">
        <w:t xml:space="preserve">. </w:t>
      </w:r>
      <w:r w:rsidR="00E149FE">
        <w:t xml:space="preserve">Updated </w:t>
      </w:r>
      <w:r w:rsidR="00400D3E">
        <w:t xml:space="preserve">NSQPH Standards are scheduled to be released by the Commission during </w:t>
      </w:r>
      <w:r w:rsidR="00400D3E">
        <w:lastRenderedPageBreak/>
        <w:t xml:space="preserve">2021. </w:t>
      </w:r>
      <w:r w:rsidR="00FF7EE7">
        <w:t>All</w:t>
      </w:r>
      <w:r w:rsidR="002D39D4" w:rsidRPr="002D39D4">
        <w:t xml:space="preserve"> other Australian </w:t>
      </w:r>
      <w:r w:rsidR="009F6B94" w:rsidRPr="002D39D4">
        <w:t>jurisdictions require private HCFs to engage with the NSQHS Standard</w:t>
      </w:r>
      <w:r w:rsidR="002D39D4" w:rsidRPr="002D39D4">
        <w:t>s</w:t>
      </w:r>
      <w:r w:rsidR="009F6B94" w:rsidRPr="002D39D4">
        <w:t xml:space="preserve">. </w:t>
      </w:r>
    </w:p>
    <w:p w14:paraId="62FD7120" w14:textId="77777777" w:rsidR="00CF5C53" w:rsidRDefault="00CF5C53" w:rsidP="003E5EC6">
      <w:pPr>
        <w:rPr>
          <w:u w:val="single"/>
        </w:rPr>
      </w:pPr>
    </w:p>
    <w:p w14:paraId="2C314920" w14:textId="5C61C1B1" w:rsidR="003E5EC6" w:rsidRDefault="003E5EC6" w:rsidP="003E5EC6">
      <w:pPr>
        <w:rPr>
          <w:u w:val="single"/>
        </w:rPr>
      </w:pPr>
      <w:r w:rsidRPr="00CC6FE4">
        <w:rPr>
          <w:u w:val="single"/>
        </w:rPr>
        <w:t xml:space="preserve">Standard </w:t>
      </w:r>
      <w:r>
        <w:rPr>
          <w:u w:val="single"/>
        </w:rPr>
        <w:t>5</w:t>
      </w:r>
      <w:r w:rsidRPr="00CC6FE4">
        <w:rPr>
          <w:u w:val="single"/>
        </w:rPr>
        <w:t xml:space="preserve"> – </w:t>
      </w:r>
      <w:r>
        <w:rPr>
          <w:u w:val="single"/>
        </w:rPr>
        <w:t xml:space="preserve">Information Management and Reporting </w:t>
      </w:r>
    </w:p>
    <w:p w14:paraId="751C5E7C" w14:textId="77777777" w:rsidR="003E5EC6" w:rsidRDefault="003E5EC6" w:rsidP="003E5EC6">
      <w:pPr>
        <w:rPr>
          <w:u w:val="single"/>
        </w:rPr>
      </w:pPr>
    </w:p>
    <w:p w14:paraId="24B646AA" w14:textId="17B7FC4A" w:rsidR="00877560" w:rsidRDefault="005C7C32" w:rsidP="003E5EC6">
      <w:r w:rsidRPr="00CF5C53">
        <w:t>Standard</w:t>
      </w:r>
      <w:r>
        <w:t xml:space="preserve"> 5 of this Code requires health care facilities to report notifiable incidents to the Chief Health Officer.  The list </w:t>
      </w:r>
      <w:r w:rsidR="00FF7EE7">
        <w:t xml:space="preserve">of </w:t>
      </w:r>
      <w:r>
        <w:t>notifiable incidents has been updated to incorporate events captured by the Australian Sentinel Events List as published by the Australian Commission on Safety and Quality in Health Care. Updat</w:t>
      </w:r>
      <w:r w:rsidR="00F302B3">
        <w:t>ing</w:t>
      </w:r>
      <w:r>
        <w:t xml:space="preserve"> the list of notifiable incidents helps to ensure that the Chief Health Officer can suitably respond to any public health risks occurring within a</w:t>
      </w:r>
      <w:r w:rsidR="003F3B18">
        <w:t xml:space="preserve"> HCF</w:t>
      </w:r>
      <w:r>
        <w:t xml:space="preserve">. </w:t>
      </w:r>
      <w:r w:rsidR="005A5988">
        <w:t>The proprietor of a HCF must report a notifiable incident to the Chief Health Officer within two business days of the incident occurring and complete a report into the incident within a reasonable timeframe. For the purposes of this explanatory statement, a reasonable period of time is defined as within 100 days of the incident occurring.</w:t>
      </w:r>
      <w:r w:rsidR="00877560">
        <w:t xml:space="preserve"> Additional policy materials will be developed to assist HCFs in determining what type of incidents should be reported, and how to report on notifiable incidents. </w:t>
      </w:r>
    </w:p>
    <w:p w14:paraId="59FAD0E5" w14:textId="77777777" w:rsidR="00877560" w:rsidRDefault="00877560" w:rsidP="003E5EC6"/>
    <w:p w14:paraId="4B948C27" w14:textId="10F35749" w:rsidR="005C7C32" w:rsidRDefault="005C7C32" w:rsidP="003E5EC6">
      <w:r>
        <w:t xml:space="preserve">While </w:t>
      </w:r>
      <w:r w:rsidR="00877560">
        <w:t xml:space="preserve">the NSQHS Standards and the </w:t>
      </w:r>
      <w:r>
        <w:t>Australian Sentinel Events List requires a degree of reporting by public facilities, these updates require all notifiable incidents to be reported to the regulator</w:t>
      </w:r>
      <w:r w:rsidR="00877560">
        <w:t xml:space="preserve">. This </w:t>
      </w:r>
      <w:r w:rsidR="008D242F">
        <w:t xml:space="preserve">change enables </w:t>
      </w:r>
      <w:r w:rsidR="00877560">
        <w:t xml:space="preserve">ACT Health </w:t>
      </w:r>
      <w:r w:rsidR="008D242F">
        <w:t>Directorate to review, learn from,</w:t>
      </w:r>
      <w:r w:rsidR="00877560">
        <w:t xml:space="preserve"> </w:t>
      </w:r>
      <w:r w:rsidR="008D242F">
        <w:t xml:space="preserve">and respond to, </w:t>
      </w:r>
      <w:r w:rsidR="00877560">
        <w:t xml:space="preserve">all notifiable incidents </w:t>
      </w:r>
      <w:r>
        <w:t xml:space="preserve">within a public health policy and planning context as it applies to HCFs. </w:t>
      </w:r>
    </w:p>
    <w:p w14:paraId="146C2435" w14:textId="77777777" w:rsidR="005C7C32" w:rsidRDefault="005C7C32" w:rsidP="003E5EC6"/>
    <w:p w14:paraId="677EA43F" w14:textId="3D1B31CF" w:rsidR="003E5EC6" w:rsidRDefault="005C7C32" w:rsidP="003E5EC6">
      <w:pPr>
        <w:rPr>
          <w:u w:val="single"/>
        </w:rPr>
      </w:pPr>
      <w:r>
        <w:t xml:space="preserve">This Standard also requires </w:t>
      </w:r>
      <w:r w:rsidR="008D242F">
        <w:t xml:space="preserve">HCFs </w:t>
      </w:r>
      <w:r>
        <w:t>to prepare annual reports. Th</w:t>
      </w:r>
      <w:r w:rsidR="008D242F">
        <w:t>is</w:t>
      </w:r>
      <w:r>
        <w:t xml:space="preserve"> </w:t>
      </w:r>
      <w:r w:rsidR="008D242F">
        <w:t xml:space="preserve">requirement, </w:t>
      </w:r>
      <w:r>
        <w:t xml:space="preserve">and the </w:t>
      </w:r>
      <w:r w:rsidR="008D242F">
        <w:t xml:space="preserve">requirement to </w:t>
      </w:r>
      <w:r>
        <w:t>report</w:t>
      </w:r>
      <w:r w:rsidR="008D242F">
        <w:t xml:space="preserve"> </w:t>
      </w:r>
      <w:r>
        <w:t xml:space="preserve">adverse events </w:t>
      </w:r>
      <w:r w:rsidR="00194043">
        <w:t>are</w:t>
      </w:r>
      <w:r>
        <w:t xml:space="preserve"> existing requirement</w:t>
      </w:r>
      <w:r w:rsidR="00194043">
        <w:t>s</w:t>
      </w:r>
      <w:r>
        <w:t xml:space="preserve"> </w:t>
      </w:r>
      <w:r w:rsidR="008D242F">
        <w:t xml:space="preserve">for </w:t>
      </w:r>
      <w:r>
        <w:t xml:space="preserve">HCFs </w:t>
      </w:r>
      <w:r w:rsidR="008D242F">
        <w:t>under</w:t>
      </w:r>
      <w:r>
        <w:t xml:space="preserve"> the </w:t>
      </w:r>
      <w:r w:rsidR="007255BC">
        <w:t>2001</w:t>
      </w:r>
      <w:r>
        <w:t xml:space="preserve"> Code of Practice.  </w:t>
      </w:r>
    </w:p>
    <w:p w14:paraId="784B666A" w14:textId="77777777" w:rsidR="005C7C32" w:rsidRDefault="005C7C32" w:rsidP="003E5EC6">
      <w:pPr>
        <w:rPr>
          <w:u w:val="single"/>
        </w:rPr>
      </w:pPr>
    </w:p>
    <w:p w14:paraId="0C182AFF" w14:textId="230227F3" w:rsidR="005C7C32" w:rsidRDefault="005C7C32" w:rsidP="005C7C32">
      <w:pPr>
        <w:rPr>
          <w:u w:val="single"/>
        </w:rPr>
      </w:pPr>
      <w:r w:rsidRPr="00CC6FE4">
        <w:rPr>
          <w:u w:val="single"/>
        </w:rPr>
        <w:t xml:space="preserve">Standard </w:t>
      </w:r>
      <w:r>
        <w:rPr>
          <w:u w:val="single"/>
        </w:rPr>
        <w:t>6</w:t>
      </w:r>
      <w:r w:rsidRPr="00CC6FE4">
        <w:rPr>
          <w:u w:val="single"/>
        </w:rPr>
        <w:t xml:space="preserve"> – </w:t>
      </w:r>
      <w:r>
        <w:rPr>
          <w:u w:val="single"/>
        </w:rPr>
        <w:t>Support Services</w:t>
      </w:r>
    </w:p>
    <w:p w14:paraId="6488B4A3" w14:textId="77777777" w:rsidR="003E5EC6" w:rsidRPr="005C7C32" w:rsidRDefault="003E5EC6" w:rsidP="003E5EC6">
      <w:pPr>
        <w:rPr>
          <w:i/>
          <w:iCs/>
          <w:u w:val="single"/>
        </w:rPr>
      </w:pPr>
    </w:p>
    <w:p w14:paraId="439AC54A" w14:textId="556E643A" w:rsidR="003E5EC6" w:rsidRPr="00BF4DD3" w:rsidRDefault="007255BC" w:rsidP="003E5EC6">
      <w:r>
        <w:t xml:space="preserve">Standard 6 of this Code </w:t>
      </w:r>
      <w:r w:rsidR="00194043">
        <w:t>requires</w:t>
      </w:r>
      <w:r>
        <w:t xml:space="preserve"> HCFs that </w:t>
      </w:r>
      <w:r w:rsidR="00194043">
        <w:t>accommodate patients</w:t>
      </w:r>
      <w:r>
        <w:t xml:space="preserve"> overnight </w:t>
      </w:r>
      <w:r w:rsidR="00194043">
        <w:t xml:space="preserve">to </w:t>
      </w:r>
      <w:r>
        <w:t xml:space="preserve">provide suitable food services.  This Standard also </w:t>
      </w:r>
      <w:r w:rsidR="00194043">
        <w:t xml:space="preserve">states </w:t>
      </w:r>
      <w:r>
        <w:t>that HCFs must take all reasonable steps to ensure a safe and suitable environment for HCF staff and occupants, and have documented processes in place for the management, transportation</w:t>
      </w:r>
      <w:r w:rsidR="001542A9">
        <w:t>,</w:t>
      </w:r>
      <w:r>
        <w:t xml:space="preserve"> and disposal of waste products. </w:t>
      </w:r>
      <w:r w:rsidR="00194043">
        <w:t>The r</w:t>
      </w:r>
      <w:r>
        <w:t>equirements imposed by Standard</w:t>
      </w:r>
      <w:r w:rsidR="001542A9">
        <w:t> </w:t>
      </w:r>
      <w:r w:rsidR="00194043">
        <w:t>6 were</w:t>
      </w:r>
      <w:r>
        <w:t xml:space="preserve"> </w:t>
      </w:r>
      <w:r w:rsidR="00194043">
        <w:t>included in</w:t>
      </w:r>
      <w:r>
        <w:t xml:space="preserve"> the 2001 Code of Practice</w:t>
      </w:r>
      <w:r w:rsidR="00194043">
        <w:t xml:space="preserve"> and do not impose any increased burden on HCF operators.</w:t>
      </w:r>
    </w:p>
    <w:sectPr w:rsidR="003E5EC6" w:rsidRPr="00BF4DD3"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F02B" w14:textId="77777777" w:rsidR="002E4B32" w:rsidRDefault="002E4B32" w:rsidP="00C17FAB">
      <w:r>
        <w:separator/>
      </w:r>
    </w:p>
  </w:endnote>
  <w:endnote w:type="continuationSeparator" w:id="0">
    <w:p w14:paraId="0A49808B" w14:textId="77777777" w:rsidR="002E4B32" w:rsidRDefault="002E4B3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629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BD46" w14:textId="43B94FAF" w:rsidR="00DA3B00" w:rsidRPr="00834943" w:rsidRDefault="00834943" w:rsidP="00834943">
    <w:pPr>
      <w:pStyle w:val="Footer"/>
      <w:jc w:val="center"/>
      <w:rPr>
        <w:rFonts w:cs="Arial"/>
        <w:sz w:val="14"/>
      </w:rPr>
    </w:pPr>
    <w:r w:rsidRPr="008349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65D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EE88" w14:textId="77777777" w:rsidR="002E4B32" w:rsidRDefault="002E4B32" w:rsidP="00C17FAB">
      <w:r>
        <w:separator/>
      </w:r>
    </w:p>
  </w:footnote>
  <w:footnote w:type="continuationSeparator" w:id="0">
    <w:p w14:paraId="09B9DD28" w14:textId="77777777" w:rsidR="002E4B32" w:rsidRDefault="002E4B32" w:rsidP="00C17FAB">
      <w:r>
        <w:continuationSeparator/>
      </w:r>
    </w:p>
  </w:footnote>
  <w:footnote w:id="1">
    <w:p w14:paraId="68728962" w14:textId="5B7FED9B" w:rsidR="007A03E1" w:rsidRDefault="007A03E1">
      <w:pPr>
        <w:pStyle w:val="FootnoteText"/>
      </w:pPr>
      <w:r>
        <w:rPr>
          <w:rStyle w:val="FootnoteReference"/>
        </w:rPr>
        <w:footnoteRef/>
      </w:r>
      <w:r>
        <w:t xml:space="preserve"> </w:t>
      </w:r>
      <w:r w:rsidRPr="007A03E1">
        <w:rPr>
          <w:i/>
          <w:iCs/>
          <w:sz w:val="22"/>
          <w:szCs w:val="22"/>
        </w:rPr>
        <w:t>Public Health Act 1997 (ACT), s4</w:t>
      </w:r>
    </w:p>
  </w:footnote>
  <w:footnote w:id="2">
    <w:p w14:paraId="04CAC738" w14:textId="56F78C24" w:rsidR="00132654" w:rsidRDefault="00132654">
      <w:pPr>
        <w:pStyle w:val="FootnoteText"/>
      </w:pPr>
      <w:r>
        <w:rPr>
          <w:rStyle w:val="FootnoteReference"/>
        </w:rPr>
        <w:footnoteRef/>
      </w:r>
      <w:r>
        <w:t xml:space="preserve"> Australian Commission on Safety and Quality in Health Care (ACSQHC</w:t>
      </w:r>
      <w:r w:rsidRPr="00132654">
        <w:rPr>
          <w:i/>
          <w:iCs/>
        </w:rPr>
        <w:t>). National Safety and Quality Health Service Standards and their use in a Model Accreditation Scheme: Decision Regulatory Impact Statement</w:t>
      </w:r>
      <w:r>
        <w:t xml:space="preserve">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1B29"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72B9" w14:textId="15508116"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FF5B"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771538D"/>
    <w:multiLevelType w:val="multilevel"/>
    <w:tmpl w:val="A6BE66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lowerLetter"/>
      <w:lvlText w:val="%3)"/>
      <w:lvlJc w:val="left"/>
      <w:pPr>
        <w:ind w:left="1440" w:hanging="720"/>
      </w:pPr>
      <w:rPr>
        <w:rFonts w:asciiTheme="minorHAnsi" w:eastAsia="Times New Roman" w:hAnsiTheme="minorHAnsi" w:cs="Times New Roman"/>
        <w:b w:val="0"/>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5938"/>
    <w:rsid w:val="000276E2"/>
    <w:rsid w:val="00027FDE"/>
    <w:rsid w:val="00035CB9"/>
    <w:rsid w:val="000468D3"/>
    <w:rsid w:val="000754B0"/>
    <w:rsid w:val="00083345"/>
    <w:rsid w:val="00091DC9"/>
    <w:rsid w:val="000A63D0"/>
    <w:rsid w:val="000E24B7"/>
    <w:rsid w:val="000E622C"/>
    <w:rsid w:val="000F3E0E"/>
    <w:rsid w:val="0012074A"/>
    <w:rsid w:val="00132654"/>
    <w:rsid w:val="00132973"/>
    <w:rsid w:val="00132DAE"/>
    <w:rsid w:val="001366FD"/>
    <w:rsid w:val="001457A6"/>
    <w:rsid w:val="001542A9"/>
    <w:rsid w:val="001739A2"/>
    <w:rsid w:val="00194043"/>
    <w:rsid w:val="001A6620"/>
    <w:rsid w:val="00210CEF"/>
    <w:rsid w:val="00211DA1"/>
    <w:rsid w:val="00224821"/>
    <w:rsid w:val="00240740"/>
    <w:rsid w:val="00240B06"/>
    <w:rsid w:val="002439B7"/>
    <w:rsid w:val="00250CA2"/>
    <w:rsid w:val="00270E35"/>
    <w:rsid w:val="00284772"/>
    <w:rsid w:val="002B013D"/>
    <w:rsid w:val="002B0C5F"/>
    <w:rsid w:val="002D2061"/>
    <w:rsid w:val="002D39D4"/>
    <w:rsid w:val="002D7C60"/>
    <w:rsid w:val="002E4B32"/>
    <w:rsid w:val="003008D8"/>
    <w:rsid w:val="00305B20"/>
    <w:rsid w:val="00306D6D"/>
    <w:rsid w:val="0032747B"/>
    <w:rsid w:val="00340378"/>
    <w:rsid w:val="003C137C"/>
    <w:rsid w:val="003E5EC6"/>
    <w:rsid w:val="003F3B18"/>
    <w:rsid w:val="003F6809"/>
    <w:rsid w:val="00400D3E"/>
    <w:rsid w:val="00403EFE"/>
    <w:rsid w:val="0040700A"/>
    <w:rsid w:val="00467274"/>
    <w:rsid w:val="004918D6"/>
    <w:rsid w:val="004A0E10"/>
    <w:rsid w:val="004B7F4C"/>
    <w:rsid w:val="004D0532"/>
    <w:rsid w:val="00501E6A"/>
    <w:rsid w:val="00551745"/>
    <w:rsid w:val="00562B32"/>
    <w:rsid w:val="0056543E"/>
    <w:rsid w:val="00573552"/>
    <w:rsid w:val="005849B0"/>
    <w:rsid w:val="005A5988"/>
    <w:rsid w:val="005C7C32"/>
    <w:rsid w:val="005F12CE"/>
    <w:rsid w:val="005F4C92"/>
    <w:rsid w:val="005F7892"/>
    <w:rsid w:val="00605EBC"/>
    <w:rsid w:val="00635869"/>
    <w:rsid w:val="00662ED1"/>
    <w:rsid w:val="00667509"/>
    <w:rsid w:val="006B2B69"/>
    <w:rsid w:val="006D459D"/>
    <w:rsid w:val="0070285B"/>
    <w:rsid w:val="007120B7"/>
    <w:rsid w:val="007255BC"/>
    <w:rsid w:val="007346AC"/>
    <w:rsid w:val="00754A60"/>
    <w:rsid w:val="007A03E1"/>
    <w:rsid w:val="00811860"/>
    <w:rsid w:val="00834943"/>
    <w:rsid w:val="0083712B"/>
    <w:rsid w:val="00877560"/>
    <w:rsid w:val="008C3202"/>
    <w:rsid w:val="008D242F"/>
    <w:rsid w:val="008D2EC0"/>
    <w:rsid w:val="008F3BBB"/>
    <w:rsid w:val="00935AB8"/>
    <w:rsid w:val="00946E28"/>
    <w:rsid w:val="009508A5"/>
    <w:rsid w:val="0095624F"/>
    <w:rsid w:val="009968EE"/>
    <w:rsid w:val="009A27BD"/>
    <w:rsid w:val="009E315B"/>
    <w:rsid w:val="009E3B94"/>
    <w:rsid w:val="009F6B94"/>
    <w:rsid w:val="00A05EF3"/>
    <w:rsid w:val="00A41050"/>
    <w:rsid w:val="00A5077F"/>
    <w:rsid w:val="00A5645D"/>
    <w:rsid w:val="00B2791D"/>
    <w:rsid w:val="00B3587E"/>
    <w:rsid w:val="00B53B9F"/>
    <w:rsid w:val="00B53E93"/>
    <w:rsid w:val="00B752ED"/>
    <w:rsid w:val="00B84717"/>
    <w:rsid w:val="00BD5888"/>
    <w:rsid w:val="00BE4183"/>
    <w:rsid w:val="00BF4DD3"/>
    <w:rsid w:val="00C07122"/>
    <w:rsid w:val="00C17FAB"/>
    <w:rsid w:val="00C326E7"/>
    <w:rsid w:val="00C33A27"/>
    <w:rsid w:val="00C81A8A"/>
    <w:rsid w:val="00CA251F"/>
    <w:rsid w:val="00CA760F"/>
    <w:rsid w:val="00CC5411"/>
    <w:rsid w:val="00CC6FE4"/>
    <w:rsid w:val="00CE599C"/>
    <w:rsid w:val="00CF1361"/>
    <w:rsid w:val="00CF5C53"/>
    <w:rsid w:val="00D01884"/>
    <w:rsid w:val="00D07D20"/>
    <w:rsid w:val="00D163F5"/>
    <w:rsid w:val="00D208ED"/>
    <w:rsid w:val="00D2404F"/>
    <w:rsid w:val="00D33F6F"/>
    <w:rsid w:val="00D3789B"/>
    <w:rsid w:val="00D4098A"/>
    <w:rsid w:val="00D43EB9"/>
    <w:rsid w:val="00D662DB"/>
    <w:rsid w:val="00D71435"/>
    <w:rsid w:val="00DA3B00"/>
    <w:rsid w:val="00DF6F2E"/>
    <w:rsid w:val="00E01B46"/>
    <w:rsid w:val="00E149FE"/>
    <w:rsid w:val="00E23805"/>
    <w:rsid w:val="00E44F31"/>
    <w:rsid w:val="00E7353D"/>
    <w:rsid w:val="00E75100"/>
    <w:rsid w:val="00E77F56"/>
    <w:rsid w:val="00E8405D"/>
    <w:rsid w:val="00EB63D8"/>
    <w:rsid w:val="00F05D39"/>
    <w:rsid w:val="00F13A9A"/>
    <w:rsid w:val="00F14396"/>
    <w:rsid w:val="00F302B3"/>
    <w:rsid w:val="00F32780"/>
    <w:rsid w:val="00F57868"/>
    <w:rsid w:val="00F63B82"/>
    <w:rsid w:val="00F7042E"/>
    <w:rsid w:val="00F8084D"/>
    <w:rsid w:val="00F8386D"/>
    <w:rsid w:val="00FB310C"/>
    <w:rsid w:val="00FD75CE"/>
    <w:rsid w:val="00FE410F"/>
    <w:rsid w:val="00FE4861"/>
    <w:rsid w:val="00FE672E"/>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CEA57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CC5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41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33A27"/>
    <w:rPr>
      <w:sz w:val="16"/>
      <w:szCs w:val="16"/>
    </w:rPr>
  </w:style>
  <w:style w:type="paragraph" w:styleId="CommentText">
    <w:name w:val="annotation text"/>
    <w:basedOn w:val="Normal"/>
    <w:link w:val="CommentTextChar"/>
    <w:uiPriority w:val="99"/>
    <w:semiHidden/>
    <w:unhideWhenUsed/>
    <w:rsid w:val="00C33A27"/>
    <w:rPr>
      <w:sz w:val="20"/>
    </w:rPr>
  </w:style>
  <w:style w:type="character" w:customStyle="1" w:styleId="CommentTextChar">
    <w:name w:val="Comment Text Char"/>
    <w:basedOn w:val="DefaultParagraphFont"/>
    <w:link w:val="CommentText"/>
    <w:uiPriority w:val="99"/>
    <w:semiHidden/>
    <w:rsid w:val="00C33A27"/>
    <w:rPr>
      <w:lang w:eastAsia="en-US"/>
    </w:rPr>
  </w:style>
  <w:style w:type="paragraph" w:styleId="CommentSubject">
    <w:name w:val="annotation subject"/>
    <w:basedOn w:val="CommentText"/>
    <w:next w:val="CommentText"/>
    <w:link w:val="CommentSubjectChar"/>
    <w:uiPriority w:val="99"/>
    <w:semiHidden/>
    <w:unhideWhenUsed/>
    <w:rsid w:val="00C33A27"/>
    <w:rPr>
      <w:b/>
      <w:bCs/>
    </w:rPr>
  </w:style>
  <w:style w:type="character" w:customStyle="1" w:styleId="CommentSubjectChar">
    <w:name w:val="Comment Subject Char"/>
    <w:basedOn w:val="CommentTextChar"/>
    <w:link w:val="CommentSubject"/>
    <w:uiPriority w:val="99"/>
    <w:semiHidden/>
    <w:rsid w:val="00C33A27"/>
    <w:rPr>
      <w:b/>
      <w:bCs/>
      <w:lang w:eastAsia="en-US"/>
    </w:rPr>
  </w:style>
  <w:style w:type="paragraph" w:styleId="NormalWeb">
    <w:name w:val="Normal (Web)"/>
    <w:basedOn w:val="Normal"/>
    <w:uiPriority w:val="99"/>
    <w:unhideWhenUsed/>
    <w:rsid w:val="00D43EB9"/>
    <w:pPr>
      <w:spacing w:before="100" w:beforeAutospacing="1" w:after="100" w:afterAutospacing="1"/>
    </w:pPr>
    <w:rPr>
      <w:szCs w:val="24"/>
      <w:lang w:eastAsia="en-AU"/>
    </w:rPr>
  </w:style>
  <w:style w:type="character" w:customStyle="1" w:styleId="isyshit">
    <w:name w:val="_isys_hit_"/>
    <w:basedOn w:val="DefaultParagraphFont"/>
    <w:rsid w:val="00D43EB9"/>
  </w:style>
  <w:style w:type="paragraph" w:styleId="ListParagraph">
    <w:name w:val="List Paragraph"/>
    <w:basedOn w:val="Normal"/>
    <w:uiPriority w:val="34"/>
    <w:qFormat/>
    <w:rsid w:val="00CF5C53"/>
    <w:pPr>
      <w:spacing w:after="200" w:line="250" w:lineRule="exact"/>
      <w:ind w:left="720"/>
      <w:contextualSpacing/>
    </w:pPr>
    <w:rPr>
      <w:rFonts w:asciiTheme="minorHAnsi" w:eastAsiaTheme="minorHAnsi" w:hAnsiTheme="minorHAnsi"/>
      <w:sz w:val="21"/>
      <w:szCs w:val="21"/>
      <w:lang w:eastAsia="en-AU"/>
    </w:rPr>
  </w:style>
  <w:style w:type="paragraph" w:styleId="Revision">
    <w:name w:val="Revision"/>
    <w:hidden/>
    <w:uiPriority w:val="99"/>
    <w:semiHidden/>
    <w:rsid w:val="002B013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3305">
      <w:bodyDiv w:val="1"/>
      <w:marLeft w:val="0"/>
      <w:marRight w:val="0"/>
      <w:marTop w:val="0"/>
      <w:marBottom w:val="0"/>
      <w:divBdr>
        <w:top w:val="none" w:sz="0" w:space="0" w:color="auto"/>
        <w:left w:val="none" w:sz="0" w:space="0" w:color="auto"/>
        <w:bottom w:val="none" w:sz="0" w:space="0" w:color="auto"/>
        <w:right w:val="none" w:sz="0" w:space="0" w:color="auto"/>
      </w:divBdr>
      <w:divsChild>
        <w:div w:id="128791489">
          <w:marLeft w:val="0"/>
          <w:marRight w:val="0"/>
          <w:marTop w:val="0"/>
          <w:marBottom w:val="0"/>
          <w:divBdr>
            <w:top w:val="none" w:sz="0" w:space="0" w:color="auto"/>
            <w:left w:val="none" w:sz="0" w:space="0" w:color="auto"/>
            <w:bottom w:val="none" w:sz="0" w:space="0" w:color="auto"/>
            <w:right w:val="none" w:sz="0" w:space="0" w:color="auto"/>
          </w:divBdr>
        </w:div>
        <w:div w:id="486671088">
          <w:marLeft w:val="0"/>
          <w:marRight w:val="0"/>
          <w:marTop w:val="0"/>
          <w:marBottom w:val="0"/>
          <w:divBdr>
            <w:top w:val="none" w:sz="0" w:space="0" w:color="auto"/>
            <w:left w:val="none" w:sz="0" w:space="0" w:color="auto"/>
            <w:bottom w:val="none" w:sz="0" w:space="0" w:color="auto"/>
            <w:right w:val="none" w:sz="0" w:space="0" w:color="auto"/>
          </w:divBdr>
        </w:div>
        <w:div w:id="1287811654">
          <w:marLeft w:val="0"/>
          <w:marRight w:val="0"/>
          <w:marTop w:val="0"/>
          <w:marBottom w:val="0"/>
          <w:divBdr>
            <w:top w:val="none" w:sz="0" w:space="0" w:color="auto"/>
            <w:left w:val="none" w:sz="0" w:space="0" w:color="auto"/>
            <w:bottom w:val="none" w:sz="0" w:space="0" w:color="auto"/>
            <w:right w:val="none" w:sz="0" w:space="0" w:color="auto"/>
          </w:divBdr>
        </w:div>
        <w:div w:id="23792440">
          <w:marLeft w:val="0"/>
          <w:marRight w:val="0"/>
          <w:marTop w:val="0"/>
          <w:marBottom w:val="0"/>
          <w:divBdr>
            <w:top w:val="none" w:sz="0" w:space="0" w:color="auto"/>
            <w:left w:val="none" w:sz="0" w:space="0" w:color="auto"/>
            <w:bottom w:val="none" w:sz="0" w:space="0" w:color="auto"/>
            <w:right w:val="none" w:sz="0" w:space="0" w:color="auto"/>
          </w:divBdr>
        </w:div>
        <w:div w:id="1956981741">
          <w:marLeft w:val="0"/>
          <w:marRight w:val="0"/>
          <w:marTop w:val="0"/>
          <w:marBottom w:val="0"/>
          <w:divBdr>
            <w:top w:val="none" w:sz="0" w:space="0" w:color="auto"/>
            <w:left w:val="none" w:sz="0" w:space="0" w:color="auto"/>
            <w:bottom w:val="none" w:sz="0" w:space="0" w:color="auto"/>
            <w:right w:val="none" w:sz="0" w:space="0" w:color="auto"/>
          </w:divBdr>
        </w:div>
        <w:div w:id="1091243938">
          <w:marLeft w:val="0"/>
          <w:marRight w:val="0"/>
          <w:marTop w:val="0"/>
          <w:marBottom w:val="0"/>
          <w:divBdr>
            <w:top w:val="none" w:sz="0" w:space="0" w:color="auto"/>
            <w:left w:val="none" w:sz="0" w:space="0" w:color="auto"/>
            <w:bottom w:val="none" w:sz="0" w:space="0" w:color="auto"/>
            <w:right w:val="none" w:sz="0" w:space="0" w:color="auto"/>
          </w:divBdr>
        </w:div>
        <w:div w:id="889920121">
          <w:marLeft w:val="0"/>
          <w:marRight w:val="0"/>
          <w:marTop w:val="0"/>
          <w:marBottom w:val="0"/>
          <w:divBdr>
            <w:top w:val="none" w:sz="0" w:space="0" w:color="auto"/>
            <w:left w:val="none" w:sz="0" w:space="0" w:color="auto"/>
            <w:bottom w:val="none" w:sz="0" w:space="0" w:color="auto"/>
            <w:right w:val="none" w:sz="0" w:space="0" w:color="auto"/>
          </w:divBdr>
        </w:div>
        <w:div w:id="294258203">
          <w:marLeft w:val="0"/>
          <w:marRight w:val="0"/>
          <w:marTop w:val="0"/>
          <w:marBottom w:val="0"/>
          <w:divBdr>
            <w:top w:val="none" w:sz="0" w:space="0" w:color="auto"/>
            <w:left w:val="none" w:sz="0" w:space="0" w:color="auto"/>
            <w:bottom w:val="none" w:sz="0" w:space="0" w:color="auto"/>
            <w:right w:val="none" w:sz="0" w:space="0" w:color="auto"/>
          </w:divBdr>
        </w:div>
        <w:div w:id="815684949">
          <w:marLeft w:val="0"/>
          <w:marRight w:val="0"/>
          <w:marTop w:val="0"/>
          <w:marBottom w:val="0"/>
          <w:divBdr>
            <w:top w:val="none" w:sz="0" w:space="0" w:color="auto"/>
            <w:left w:val="none" w:sz="0" w:space="0" w:color="auto"/>
            <w:bottom w:val="none" w:sz="0" w:space="0" w:color="auto"/>
            <w:right w:val="none" w:sz="0" w:space="0" w:color="auto"/>
          </w:divBdr>
        </w:div>
      </w:divsChild>
    </w:div>
    <w:div w:id="416489100">
      <w:bodyDiv w:val="1"/>
      <w:marLeft w:val="0"/>
      <w:marRight w:val="0"/>
      <w:marTop w:val="0"/>
      <w:marBottom w:val="0"/>
      <w:divBdr>
        <w:top w:val="none" w:sz="0" w:space="0" w:color="auto"/>
        <w:left w:val="none" w:sz="0" w:space="0" w:color="auto"/>
        <w:bottom w:val="none" w:sz="0" w:space="0" w:color="auto"/>
        <w:right w:val="none" w:sz="0" w:space="0" w:color="auto"/>
      </w:divBdr>
    </w:div>
    <w:div w:id="660229872">
      <w:bodyDiv w:val="1"/>
      <w:marLeft w:val="0"/>
      <w:marRight w:val="0"/>
      <w:marTop w:val="0"/>
      <w:marBottom w:val="0"/>
      <w:divBdr>
        <w:top w:val="none" w:sz="0" w:space="0" w:color="auto"/>
        <w:left w:val="none" w:sz="0" w:space="0" w:color="auto"/>
        <w:bottom w:val="none" w:sz="0" w:space="0" w:color="auto"/>
        <w:right w:val="none" w:sz="0" w:space="0" w:color="auto"/>
      </w:divBdr>
      <w:divsChild>
        <w:div w:id="371929953">
          <w:marLeft w:val="0"/>
          <w:marRight w:val="0"/>
          <w:marTop w:val="0"/>
          <w:marBottom w:val="0"/>
          <w:divBdr>
            <w:top w:val="none" w:sz="0" w:space="0" w:color="auto"/>
            <w:left w:val="none" w:sz="0" w:space="0" w:color="auto"/>
            <w:bottom w:val="none" w:sz="0" w:space="0" w:color="auto"/>
            <w:right w:val="none" w:sz="0" w:space="0" w:color="auto"/>
          </w:divBdr>
        </w:div>
      </w:divsChild>
    </w:div>
    <w:div w:id="1186479695">
      <w:bodyDiv w:val="1"/>
      <w:marLeft w:val="0"/>
      <w:marRight w:val="0"/>
      <w:marTop w:val="0"/>
      <w:marBottom w:val="0"/>
      <w:divBdr>
        <w:top w:val="none" w:sz="0" w:space="0" w:color="auto"/>
        <w:left w:val="none" w:sz="0" w:space="0" w:color="auto"/>
        <w:bottom w:val="none" w:sz="0" w:space="0" w:color="auto"/>
        <w:right w:val="none" w:sz="0" w:space="0" w:color="auto"/>
      </w:divBdr>
      <w:divsChild>
        <w:div w:id="647250000">
          <w:marLeft w:val="0"/>
          <w:marRight w:val="0"/>
          <w:marTop w:val="0"/>
          <w:marBottom w:val="0"/>
          <w:divBdr>
            <w:top w:val="none" w:sz="0" w:space="0" w:color="auto"/>
            <w:left w:val="none" w:sz="0" w:space="0" w:color="auto"/>
            <w:bottom w:val="none" w:sz="0" w:space="0" w:color="auto"/>
            <w:right w:val="none" w:sz="0" w:space="0" w:color="auto"/>
          </w:divBdr>
        </w:div>
      </w:divsChild>
    </w:div>
    <w:div w:id="1218860438">
      <w:bodyDiv w:val="1"/>
      <w:marLeft w:val="0"/>
      <w:marRight w:val="0"/>
      <w:marTop w:val="0"/>
      <w:marBottom w:val="0"/>
      <w:divBdr>
        <w:top w:val="none" w:sz="0" w:space="0" w:color="auto"/>
        <w:left w:val="none" w:sz="0" w:space="0" w:color="auto"/>
        <w:bottom w:val="none" w:sz="0" w:space="0" w:color="auto"/>
        <w:right w:val="none" w:sz="0" w:space="0" w:color="auto"/>
      </w:divBdr>
      <w:divsChild>
        <w:div w:id="1584215416">
          <w:marLeft w:val="0"/>
          <w:marRight w:val="0"/>
          <w:marTop w:val="0"/>
          <w:marBottom w:val="0"/>
          <w:divBdr>
            <w:top w:val="none" w:sz="0" w:space="0" w:color="auto"/>
            <w:left w:val="none" w:sz="0" w:space="0" w:color="auto"/>
            <w:bottom w:val="none" w:sz="0" w:space="0" w:color="auto"/>
            <w:right w:val="none" w:sz="0" w:space="0" w:color="auto"/>
          </w:divBdr>
        </w:div>
      </w:divsChild>
    </w:div>
    <w:div w:id="1370644728">
      <w:bodyDiv w:val="1"/>
      <w:marLeft w:val="0"/>
      <w:marRight w:val="0"/>
      <w:marTop w:val="0"/>
      <w:marBottom w:val="0"/>
      <w:divBdr>
        <w:top w:val="none" w:sz="0" w:space="0" w:color="auto"/>
        <w:left w:val="none" w:sz="0" w:space="0" w:color="auto"/>
        <w:bottom w:val="none" w:sz="0" w:space="0" w:color="auto"/>
        <w:right w:val="none" w:sz="0" w:space="0" w:color="auto"/>
      </w:divBdr>
      <w:divsChild>
        <w:div w:id="676613891">
          <w:marLeft w:val="0"/>
          <w:marRight w:val="0"/>
          <w:marTop w:val="0"/>
          <w:marBottom w:val="0"/>
          <w:divBdr>
            <w:top w:val="none" w:sz="0" w:space="0" w:color="auto"/>
            <w:left w:val="none" w:sz="0" w:space="0" w:color="auto"/>
            <w:bottom w:val="none" w:sz="0" w:space="0" w:color="auto"/>
            <w:right w:val="none" w:sz="0" w:space="0" w:color="auto"/>
          </w:divBdr>
        </w:div>
      </w:divsChild>
    </w:div>
    <w:div w:id="1560901349">
      <w:bodyDiv w:val="1"/>
      <w:marLeft w:val="0"/>
      <w:marRight w:val="0"/>
      <w:marTop w:val="0"/>
      <w:marBottom w:val="0"/>
      <w:divBdr>
        <w:top w:val="none" w:sz="0" w:space="0" w:color="auto"/>
        <w:left w:val="none" w:sz="0" w:space="0" w:color="auto"/>
        <w:bottom w:val="none" w:sz="0" w:space="0" w:color="auto"/>
        <w:right w:val="none" w:sz="0" w:space="0" w:color="auto"/>
      </w:divBdr>
      <w:divsChild>
        <w:div w:id="366027967">
          <w:marLeft w:val="0"/>
          <w:marRight w:val="0"/>
          <w:marTop w:val="0"/>
          <w:marBottom w:val="0"/>
          <w:divBdr>
            <w:top w:val="none" w:sz="0" w:space="0" w:color="auto"/>
            <w:left w:val="none" w:sz="0" w:space="0" w:color="auto"/>
            <w:bottom w:val="none" w:sz="0" w:space="0" w:color="auto"/>
            <w:right w:val="none" w:sz="0" w:space="0" w:color="auto"/>
          </w:divBdr>
        </w:div>
        <w:div w:id="1496415897">
          <w:marLeft w:val="0"/>
          <w:marRight w:val="0"/>
          <w:marTop w:val="0"/>
          <w:marBottom w:val="0"/>
          <w:divBdr>
            <w:top w:val="none" w:sz="0" w:space="0" w:color="auto"/>
            <w:left w:val="none" w:sz="0" w:space="0" w:color="auto"/>
            <w:bottom w:val="none" w:sz="0" w:space="0" w:color="auto"/>
            <w:right w:val="none" w:sz="0" w:space="0" w:color="auto"/>
          </w:divBdr>
        </w:div>
        <w:div w:id="1791973322">
          <w:marLeft w:val="0"/>
          <w:marRight w:val="0"/>
          <w:marTop w:val="0"/>
          <w:marBottom w:val="0"/>
          <w:divBdr>
            <w:top w:val="none" w:sz="0" w:space="0" w:color="auto"/>
            <w:left w:val="none" w:sz="0" w:space="0" w:color="auto"/>
            <w:bottom w:val="none" w:sz="0" w:space="0" w:color="auto"/>
            <w:right w:val="none" w:sz="0" w:space="0" w:color="auto"/>
          </w:divBdr>
        </w:div>
        <w:div w:id="309599657">
          <w:marLeft w:val="0"/>
          <w:marRight w:val="0"/>
          <w:marTop w:val="0"/>
          <w:marBottom w:val="0"/>
          <w:divBdr>
            <w:top w:val="none" w:sz="0" w:space="0" w:color="auto"/>
            <w:left w:val="none" w:sz="0" w:space="0" w:color="auto"/>
            <w:bottom w:val="none" w:sz="0" w:space="0" w:color="auto"/>
            <w:right w:val="none" w:sz="0" w:space="0" w:color="auto"/>
          </w:divBdr>
        </w:div>
      </w:divsChild>
    </w:div>
    <w:div w:id="2011440936">
      <w:bodyDiv w:val="1"/>
      <w:marLeft w:val="0"/>
      <w:marRight w:val="0"/>
      <w:marTop w:val="0"/>
      <w:marBottom w:val="0"/>
      <w:divBdr>
        <w:top w:val="none" w:sz="0" w:space="0" w:color="auto"/>
        <w:left w:val="none" w:sz="0" w:space="0" w:color="auto"/>
        <w:bottom w:val="none" w:sz="0" w:space="0" w:color="auto"/>
        <w:right w:val="none" w:sz="0" w:space="0" w:color="auto"/>
      </w:divBdr>
      <w:divsChild>
        <w:div w:id="1234895635">
          <w:marLeft w:val="0"/>
          <w:marRight w:val="0"/>
          <w:marTop w:val="15"/>
          <w:marBottom w:val="0"/>
          <w:divBdr>
            <w:top w:val="none" w:sz="0" w:space="0" w:color="auto"/>
            <w:left w:val="none" w:sz="0" w:space="0" w:color="auto"/>
            <w:bottom w:val="none" w:sz="0" w:space="0" w:color="auto"/>
            <w:right w:val="none" w:sz="0" w:space="0" w:color="auto"/>
          </w:divBdr>
          <w:divsChild>
            <w:div w:id="1435133681">
              <w:marLeft w:val="0"/>
              <w:marRight w:val="0"/>
              <w:marTop w:val="0"/>
              <w:marBottom w:val="0"/>
              <w:divBdr>
                <w:top w:val="none" w:sz="0" w:space="0" w:color="auto"/>
                <w:left w:val="none" w:sz="0" w:space="0" w:color="auto"/>
                <w:bottom w:val="none" w:sz="0" w:space="0" w:color="auto"/>
                <w:right w:val="none" w:sz="0" w:space="0" w:color="auto"/>
              </w:divBdr>
              <w:divsChild>
                <w:div w:id="1984001613">
                  <w:marLeft w:val="0"/>
                  <w:marRight w:val="0"/>
                  <w:marTop w:val="0"/>
                  <w:marBottom w:val="0"/>
                  <w:divBdr>
                    <w:top w:val="none" w:sz="0" w:space="0" w:color="auto"/>
                    <w:left w:val="none" w:sz="0" w:space="0" w:color="auto"/>
                    <w:bottom w:val="none" w:sz="0" w:space="0" w:color="auto"/>
                    <w:right w:val="none" w:sz="0" w:space="0" w:color="auto"/>
                  </w:divBdr>
                </w:div>
                <w:div w:id="610472042">
                  <w:marLeft w:val="0"/>
                  <w:marRight w:val="0"/>
                  <w:marTop w:val="0"/>
                  <w:marBottom w:val="0"/>
                  <w:divBdr>
                    <w:top w:val="none" w:sz="0" w:space="0" w:color="auto"/>
                    <w:left w:val="none" w:sz="0" w:space="0" w:color="auto"/>
                    <w:bottom w:val="none" w:sz="0" w:space="0" w:color="auto"/>
                    <w:right w:val="none" w:sz="0" w:space="0" w:color="auto"/>
                  </w:divBdr>
                </w:div>
                <w:div w:id="1220289565">
                  <w:marLeft w:val="0"/>
                  <w:marRight w:val="0"/>
                  <w:marTop w:val="0"/>
                  <w:marBottom w:val="0"/>
                  <w:divBdr>
                    <w:top w:val="none" w:sz="0" w:space="0" w:color="auto"/>
                    <w:left w:val="none" w:sz="0" w:space="0" w:color="auto"/>
                    <w:bottom w:val="none" w:sz="0" w:space="0" w:color="auto"/>
                    <w:right w:val="none" w:sz="0" w:space="0" w:color="auto"/>
                  </w:divBdr>
                </w:div>
                <w:div w:id="19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DE64-DEE0-4505-A545-2653DCB0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2537</Words>
  <Characters>13740</Characters>
  <Application>Microsoft Office Word</Application>
  <DocSecurity>0</DocSecurity>
  <Lines>265</Lines>
  <Paragraphs>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2021-09-26T23:54:00Z</dcterms:created>
  <dcterms:modified xsi:type="dcterms:W3CDTF">2021-09-26T23:54:00Z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1390501</vt:lpwstr>
  </property>
  <property fmtid="{D5CDD505-2E9C-101B-9397-08002B2CF9AE}" pid="4" name="JMSREQUIREDCHECKIN">
    <vt:lpwstr/>
  </property>
</Properties>
</file>