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AE478" w14:textId="5A59FB09" w:rsidR="00F02C60" w:rsidRDefault="00F02C60" w:rsidP="00F02C60">
      <w:pPr>
        <w:spacing w:before="120"/>
        <w:rPr>
          <w:rFonts w:ascii="Arial" w:hAnsi="Arial" w:cs="Arial"/>
        </w:rPr>
      </w:pPr>
      <w:bookmarkStart w:id="0" w:name="_Toc44738651"/>
      <w:r>
        <w:rPr>
          <w:rFonts w:ascii="Arial" w:hAnsi="Arial" w:cs="Arial"/>
        </w:rPr>
        <w:t>Australian Capital Territory</w:t>
      </w:r>
    </w:p>
    <w:p w14:paraId="556BC4B5" w14:textId="211E43AC" w:rsidR="00F02C60" w:rsidRDefault="00F02C60" w:rsidP="00F02C60">
      <w:pPr>
        <w:pStyle w:val="Billname"/>
        <w:spacing w:before="700"/>
      </w:pPr>
      <w:r>
        <w:t>Motor Accident Injuries</w:t>
      </w:r>
      <w:r w:rsidR="002453F9">
        <w:t xml:space="preserve"> (</w:t>
      </w:r>
      <w:r w:rsidR="008764E6">
        <w:t xml:space="preserve">Lawyer </w:t>
      </w:r>
      <w:r w:rsidR="00577AF4">
        <w:t>Information Collection</w:t>
      </w:r>
      <w:r w:rsidR="002453F9">
        <w:t>)</w:t>
      </w:r>
      <w:r w:rsidR="00D417A4">
        <w:t xml:space="preserve"> </w:t>
      </w:r>
      <w:r>
        <w:t xml:space="preserve">Regulation </w:t>
      </w:r>
      <w:r w:rsidRPr="00482EFF">
        <w:t>20</w:t>
      </w:r>
      <w:r w:rsidR="007C30ED" w:rsidRPr="00482EFF">
        <w:t>2</w:t>
      </w:r>
      <w:r w:rsidR="00884F0E" w:rsidRPr="00482EFF">
        <w:t>1</w:t>
      </w:r>
      <w:r>
        <w:t xml:space="preserve"> </w:t>
      </w:r>
    </w:p>
    <w:p w14:paraId="22662A00" w14:textId="429B3A23" w:rsidR="00F02C60" w:rsidRDefault="00F02C60" w:rsidP="00F02C60">
      <w:pPr>
        <w:spacing w:before="340"/>
        <w:rPr>
          <w:rFonts w:ascii="Arial" w:hAnsi="Arial" w:cs="Arial"/>
          <w:b/>
          <w:bCs/>
        </w:rPr>
      </w:pPr>
      <w:r>
        <w:rPr>
          <w:rFonts w:ascii="Arial" w:hAnsi="Arial" w:cs="Arial"/>
          <w:b/>
          <w:bCs/>
        </w:rPr>
        <w:t xml:space="preserve">Subordinate law </w:t>
      </w:r>
      <w:r w:rsidRPr="00482EFF">
        <w:rPr>
          <w:rFonts w:ascii="Arial" w:hAnsi="Arial" w:cs="Arial"/>
          <w:b/>
          <w:bCs/>
        </w:rPr>
        <w:t>SL20</w:t>
      </w:r>
      <w:r w:rsidR="00DB6F8D" w:rsidRPr="00482EFF">
        <w:rPr>
          <w:rFonts w:ascii="Arial" w:hAnsi="Arial" w:cs="Arial"/>
          <w:b/>
          <w:bCs/>
        </w:rPr>
        <w:t>2</w:t>
      </w:r>
      <w:r w:rsidR="00884F0E" w:rsidRPr="00482EFF">
        <w:rPr>
          <w:rFonts w:ascii="Arial" w:hAnsi="Arial" w:cs="Arial"/>
          <w:b/>
          <w:bCs/>
        </w:rPr>
        <w:t>1</w:t>
      </w:r>
      <w:r w:rsidRPr="00482EFF">
        <w:rPr>
          <w:rFonts w:ascii="Arial" w:hAnsi="Arial" w:cs="Arial"/>
          <w:b/>
          <w:bCs/>
        </w:rPr>
        <w:t>–</w:t>
      </w:r>
      <w:r w:rsidR="00B74A90">
        <w:rPr>
          <w:rFonts w:ascii="Arial" w:hAnsi="Arial" w:cs="Arial"/>
          <w:b/>
          <w:bCs/>
        </w:rPr>
        <w:t>23</w:t>
      </w:r>
    </w:p>
    <w:p w14:paraId="4465F819" w14:textId="77777777" w:rsidR="00F02C60" w:rsidRDefault="00F02C60" w:rsidP="00F02C60">
      <w:pPr>
        <w:pStyle w:val="madeunder"/>
        <w:spacing w:before="300" w:after="0"/>
      </w:pPr>
      <w:r>
        <w:t xml:space="preserve">made under the  </w:t>
      </w:r>
    </w:p>
    <w:p w14:paraId="16EBB678" w14:textId="77777777" w:rsidR="00F02C60" w:rsidRDefault="00F02C60" w:rsidP="00F02C60">
      <w:pPr>
        <w:pStyle w:val="CoverActName"/>
        <w:spacing w:before="320" w:after="0"/>
        <w:rPr>
          <w:rFonts w:cs="Arial"/>
          <w:sz w:val="20"/>
        </w:rPr>
      </w:pPr>
      <w:r w:rsidRPr="00376412">
        <w:rPr>
          <w:i/>
        </w:rPr>
        <w:t>Motor Accident Injuries Act 2019</w:t>
      </w:r>
      <w:r>
        <w:t xml:space="preserve"> </w:t>
      </w:r>
      <w:r>
        <w:rPr>
          <w:rFonts w:cs="Arial"/>
          <w:sz w:val="20"/>
        </w:rPr>
        <w:t>(S</w:t>
      </w:r>
      <w:r w:rsidR="00602744">
        <w:rPr>
          <w:rFonts w:cs="Arial"/>
          <w:sz w:val="20"/>
        </w:rPr>
        <w:t xml:space="preserve"> </w:t>
      </w:r>
      <w:r>
        <w:rPr>
          <w:rFonts w:cs="Arial"/>
          <w:sz w:val="20"/>
        </w:rPr>
        <w:t>492)</w:t>
      </w:r>
    </w:p>
    <w:p w14:paraId="6BC3D5D5" w14:textId="77777777" w:rsidR="00F02C60" w:rsidRPr="00F01232" w:rsidRDefault="00F02C60" w:rsidP="00F02C60">
      <w:pPr>
        <w:spacing w:before="360"/>
        <w:ind w:right="565"/>
        <w:rPr>
          <w:rFonts w:ascii="Arial" w:hAnsi="Arial" w:cs="Arial"/>
          <w:b/>
          <w:bCs/>
          <w:i/>
          <w:iCs/>
          <w:sz w:val="28"/>
          <w:szCs w:val="28"/>
        </w:rPr>
      </w:pPr>
      <w:r w:rsidRPr="00F01232">
        <w:rPr>
          <w:rFonts w:ascii="Arial" w:hAnsi="Arial" w:cs="Arial"/>
          <w:b/>
          <w:bCs/>
          <w:i/>
          <w:iCs/>
          <w:sz w:val="28"/>
          <w:szCs w:val="28"/>
        </w:rPr>
        <w:t>EXPLANATORY STATEMENT</w:t>
      </w:r>
    </w:p>
    <w:p w14:paraId="52EF4E14" w14:textId="77777777" w:rsidR="00F02C60" w:rsidRDefault="00F02C60" w:rsidP="00F02C60">
      <w:pPr>
        <w:pStyle w:val="N-line3"/>
        <w:pBdr>
          <w:bottom w:val="none" w:sz="0" w:space="0" w:color="auto"/>
        </w:pBdr>
      </w:pPr>
    </w:p>
    <w:p w14:paraId="41933F4A" w14:textId="77777777" w:rsidR="00F02C60" w:rsidRDefault="00F02C60" w:rsidP="00F02C60">
      <w:pPr>
        <w:pStyle w:val="N-line3"/>
        <w:pBdr>
          <w:top w:val="single" w:sz="12" w:space="1" w:color="auto"/>
          <w:bottom w:val="none" w:sz="0" w:space="0" w:color="auto"/>
        </w:pBdr>
      </w:pPr>
    </w:p>
    <w:bookmarkEnd w:id="0"/>
    <w:p w14:paraId="48EFD48C" w14:textId="77777777" w:rsidR="00A87FFC" w:rsidRPr="00602744" w:rsidRDefault="00A84393" w:rsidP="00A87FFC">
      <w:pPr>
        <w:rPr>
          <w:rFonts w:cstheme="minorHAnsi"/>
          <w:b/>
          <w:sz w:val="24"/>
          <w:szCs w:val="24"/>
        </w:rPr>
      </w:pPr>
      <w:r w:rsidRPr="00602744">
        <w:rPr>
          <w:rFonts w:cstheme="minorHAnsi"/>
          <w:b/>
          <w:sz w:val="24"/>
          <w:szCs w:val="24"/>
        </w:rPr>
        <w:t>Overview</w:t>
      </w:r>
    </w:p>
    <w:p w14:paraId="6A77998A" w14:textId="677669C5" w:rsidR="008827A6" w:rsidRDefault="008827A6" w:rsidP="008827A6">
      <w:pPr>
        <w:rPr>
          <w:rFonts w:cstheme="minorHAnsi"/>
          <w:bCs/>
          <w:sz w:val="24"/>
          <w:szCs w:val="24"/>
        </w:rPr>
      </w:pPr>
      <w:r>
        <w:rPr>
          <w:rFonts w:cstheme="minorHAnsi"/>
          <w:bCs/>
          <w:sz w:val="24"/>
          <w:szCs w:val="24"/>
        </w:rPr>
        <w:t xml:space="preserve">The </w:t>
      </w:r>
      <w:r w:rsidRPr="009356AB">
        <w:rPr>
          <w:rFonts w:cstheme="minorHAnsi"/>
          <w:bCs/>
          <w:i/>
          <w:iCs/>
          <w:sz w:val="24"/>
          <w:szCs w:val="24"/>
        </w:rPr>
        <w:t>Motor Accident Injuries Act 2019</w:t>
      </w:r>
      <w:r>
        <w:rPr>
          <w:rFonts w:cstheme="minorHAnsi"/>
          <w:bCs/>
          <w:sz w:val="24"/>
          <w:szCs w:val="24"/>
        </w:rPr>
        <w:t xml:space="preserve"> (MAI Act) commenced on 1 February 2020 and applies to motor vehicle accidents in the ACT from that date. The MAI Act replaced the compulsory third-party (CTP)</w:t>
      </w:r>
      <w:r w:rsidR="00D46686">
        <w:rPr>
          <w:rFonts w:cstheme="minorHAnsi"/>
          <w:bCs/>
          <w:sz w:val="24"/>
          <w:szCs w:val="24"/>
        </w:rPr>
        <w:t xml:space="preserve"> insurance</w:t>
      </w:r>
      <w:r>
        <w:rPr>
          <w:rFonts w:cstheme="minorHAnsi"/>
          <w:bCs/>
          <w:sz w:val="24"/>
          <w:szCs w:val="24"/>
        </w:rPr>
        <w:t xml:space="preserve"> scheme.  </w:t>
      </w:r>
    </w:p>
    <w:p w14:paraId="5C3D216F" w14:textId="7C7B0C44" w:rsidR="008827A6" w:rsidRPr="008827A6" w:rsidRDefault="008827A6" w:rsidP="00A87FFC">
      <w:pPr>
        <w:rPr>
          <w:rFonts w:cstheme="minorHAnsi"/>
          <w:bCs/>
          <w:sz w:val="24"/>
          <w:szCs w:val="24"/>
        </w:rPr>
      </w:pPr>
      <w:r>
        <w:rPr>
          <w:rFonts w:cstheme="minorHAnsi"/>
          <w:bCs/>
          <w:sz w:val="24"/>
          <w:szCs w:val="24"/>
        </w:rPr>
        <w:t xml:space="preserve">The MAI </w:t>
      </w:r>
      <w:r w:rsidR="000B724F">
        <w:rPr>
          <w:rFonts w:cstheme="minorHAnsi"/>
          <w:bCs/>
          <w:sz w:val="24"/>
          <w:szCs w:val="24"/>
        </w:rPr>
        <w:t>S</w:t>
      </w:r>
      <w:r>
        <w:rPr>
          <w:rFonts w:cstheme="minorHAnsi"/>
          <w:bCs/>
          <w:sz w:val="24"/>
          <w:szCs w:val="24"/>
        </w:rPr>
        <w:t>cheme provides defined benefits to anyone injured in a motor accident and additional common law benefits to people more seriously injured and whose injury was caused by someone else’s fault.</w:t>
      </w:r>
      <w:r w:rsidR="00F35826" w:rsidRPr="00F35826">
        <w:rPr>
          <w:rFonts w:cstheme="minorHAnsi"/>
          <w:sz w:val="24"/>
          <w:szCs w:val="24"/>
        </w:rPr>
        <w:t xml:space="preserve"> </w:t>
      </w:r>
      <w:r w:rsidR="00F35826" w:rsidRPr="00602744">
        <w:rPr>
          <w:rFonts w:cstheme="minorHAnsi"/>
          <w:sz w:val="24"/>
          <w:szCs w:val="24"/>
        </w:rPr>
        <w:t xml:space="preserve">The Act establishes the Motor Accident Injuries (MAI) </w:t>
      </w:r>
      <w:r w:rsidR="00F35826">
        <w:rPr>
          <w:rFonts w:cstheme="minorHAnsi"/>
          <w:sz w:val="24"/>
          <w:szCs w:val="24"/>
        </w:rPr>
        <w:t>C</w:t>
      </w:r>
      <w:r w:rsidR="00F35826" w:rsidRPr="00602744">
        <w:rPr>
          <w:rFonts w:cstheme="minorHAnsi"/>
          <w:sz w:val="24"/>
          <w:szCs w:val="24"/>
        </w:rPr>
        <w:t>ommission</w:t>
      </w:r>
      <w:r w:rsidR="00F35826">
        <w:rPr>
          <w:rFonts w:cstheme="minorHAnsi"/>
          <w:sz w:val="24"/>
          <w:szCs w:val="24"/>
        </w:rPr>
        <w:t xml:space="preserve"> to monitor and administer the MAI Scheme. </w:t>
      </w:r>
    </w:p>
    <w:p w14:paraId="71332715" w14:textId="7277CF87" w:rsidR="005748BF" w:rsidRPr="00602744" w:rsidRDefault="005748BF" w:rsidP="00A87FFC">
      <w:pPr>
        <w:rPr>
          <w:rFonts w:cstheme="minorHAnsi"/>
          <w:sz w:val="24"/>
          <w:szCs w:val="24"/>
        </w:rPr>
      </w:pPr>
      <w:r w:rsidRPr="00CB0A34">
        <w:rPr>
          <w:rFonts w:cstheme="minorHAnsi"/>
          <w:sz w:val="24"/>
          <w:szCs w:val="24"/>
        </w:rPr>
        <w:t>The</w:t>
      </w:r>
      <w:r>
        <w:rPr>
          <w:rFonts w:cstheme="minorHAnsi"/>
          <w:sz w:val="24"/>
          <w:szCs w:val="24"/>
        </w:rPr>
        <w:t xml:space="preserve"> purpose </w:t>
      </w:r>
      <w:r w:rsidR="00E32F16">
        <w:rPr>
          <w:rFonts w:cstheme="minorHAnsi"/>
          <w:sz w:val="24"/>
          <w:szCs w:val="24"/>
        </w:rPr>
        <w:t>of the</w:t>
      </w:r>
      <w:r w:rsidRPr="00422118">
        <w:rPr>
          <w:rFonts w:cstheme="minorHAnsi"/>
          <w:i/>
          <w:iCs/>
          <w:sz w:val="24"/>
          <w:szCs w:val="24"/>
        </w:rPr>
        <w:t xml:space="preserve"> </w:t>
      </w:r>
      <w:r w:rsidRPr="00CB0A34">
        <w:rPr>
          <w:rFonts w:cstheme="minorHAnsi"/>
          <w:sz w:val="24"/>
          <w:szCs w:val="24"/>
        </w:rPr>
        <w:t xml:space="preserve">Motor Accident Injuries </w:t>
      </w:r>
      <w:r w:rsidR="008764E6">
        <w:rPr>
          <w:rFonts w:cstheme="minorHAnsi"/>
          <w:sz w:val="24"/>
          <w:szCs w:val="24"/>
        </w:rPr>
        <w:t xml:space="preserve">(Lawyer </w:t>
      </w:r>
      <w:r>
        <w:rPr>
          <w:rFonts w:cstheme="minorHAnsi"/>
          <w:sz w:val="24"/>
          <w:szCs w:val="24"/>
        </w:rPr>
        <w:t>Information Collection</w:t>
      </w:r>
      <w:r w:rsidRPr="00CB0A34">
        <w:rPr>
          <w:rFonts w:cstheme="minorHAnsi"/>
          <w:sz w:val="24"/>
          <w:szCs w:val="24"/>
        </w:rPr>
        <w:t>) Regulation</w:t>
      </w:r>
      <w:r w:rsidR="00E32F16">
        <w:rPr>
          <w:rFonts w:cstheme="minorHAnsi"/>
          <w:i/>
          <w:iCs/>
          <w:sz w:val="24"/>
          <w:szCs w:val="24"/>
        </w:rPr>
        <w:t> </w:t>
      </w:r>
      <w:r w:rsidRPr="00CB0A34">
        <w:rPr>
          <w:rFonts w:cstheme="minorHAnsi"/>
          <w:sz w:val="24"/>
          <w:szCs w:val="24"/>
        </w:rPr>
        <w:t>202</w:t>
      </w:r>
      <w:r w:rsidR="00DE3CCA">
        <w:rPr>
          <w:rFonts w:cstheme="minorHAnsi"/>
          <w:sz w:val="24"/>
          <w:szCs w:val="24"/>
        </w:rPr>
        <w:t>1</w:t>
      </w:r>
      <w:r>
        <w:rPr>
          <w:rFonts w:cstheme="minorHAnsi"/>
          <w:i/>
          <w:iCs/>
          <w:sz w:val="24"/>
          <w:szCs w:val="24"/>
        </w:rPr>
        <w:t xml:space="preserve"> </w:t>
      </w:r>
      <w:r>
        <w:rPr>
          <w:rFonts w:cstheme="minorHAnsi"/>
          <w:sz w:val="24"/>
          <w:szCs w:val="24"/>
        </w:rPr>
        <w:t xml:space="preserve">is to </w:t>
      </w:r>
      <w:r w:rsidR="005E5A40">
        <w:rPr>
          <w:rFonts w:cstheme="minorHAnsi"/>
          <w:sz w:val="24"/>
          <w:szCs w:val="24"/>
        </w:rPr>
        <w:t xml:space="preserve">authorise the collection of information by the MAI </w:t>
      </w:r>
      <w:r w:rsidR="00E32F16">
        <w:rPr>
          <w:rFonts w:cstheme="minorHAnsi"/>
          <w:sz w:val="24"/>
          <w:szCs w:val="24"/>
        </w:rPr>
        <w:t>C</w:t>
      </w:r>
      <w:r w:rsidR="005E5A40">
        <w:rPr>
          <w:rFonts w:cstheme="minorHAnsi"/>
          <w:sz w:val="24"/>
          <w:szCs w:val="24"/>
        </w:rPr>
        <w:t xml:space="preserve">ommission from </w:t>
      </w:r>
      <w:r w:rsidR="007D4BA5">
        <w:rPr>
          <w:rFonts w:cstheme="minorHAnsi"/>
          <w:sz w:val="24"/>
          <w:szCs w:val="24"/>
        </w:rPr>
        <w:t>l</w:t>
      </w:r>
      <w:r w:rsidR="005E5A40">
        <w:rPr>
          <w:rFonts w:cstheme="minorHAnsi"/>
          <w:sz w:val="24"/>
          <w:szCs w:val="24"/>
        </w:rPr>
        <w:t xml:space="preserve">awyers providing legal </w:t>
      </w:r>
      <w:r w:rsidR="007F1836">
        <w:rPr>
          <w:rFonts w:cstheme="minorHAnsi"/>
          <w:sz w:val="24"/>
          <w:szCs w:val="24"/>
        </w:rPr>
        <w:t>representation</w:t>
      </w:r>
      <w:r w:rsidR="005E5A40">
        <w:rPr>
          <w:rFonts w:cstheme="minorHAnsi"/>
          <w:sz w:val="24"/>
          <w:szCs w:val="24"/>
        </w:rPr>
        <w:t xml:space="preserve"> </w:t>
      </w:r>
      <w:r w:rsidR="00F35826">
        <w:rPr>
          <w:rFonts w:cstheme="minorHAnsi"/>
          <w:sz w:val="24"/>
          <w:szCs w:val="24"/>
        </w:rPr>
        <w:t>to injured parties</w:t>
      </w:r>
      <w:r>
        <w:rPr>
          <w:rFonts w:cstheme="minorHAnsi"/>
          <w:sz w:val="24"/>
          <w:szCs w:val="24"/>
        </w:rPr>
        <w:t>.</w:t>
      </w:r>
    </w:p>
    <w:p w14:paraId="1ED8D8DF" w14:textId="081FB8BC" w:rsidR="00F35826" w:rsidRDefault="005E5A40" w:rsidP="00F35826">
      <w:pPr>
        <w:rPr>
          <w:rFonts w:cstheme="minorHAnsi"/>
          <w:sz w:val="24"/>
          <w:szCs w:val="24"/>
        </w:rPr>
      </w:pPr>
      <w:r>
        <w:rPr>
          <w:rFonts w:cstheme="minorHAnsi"/>
          <w:sz w:val="24"/>
          <w:szCs w:val="24"/>
        </w:rPr>
        <w:t>T</w:t>
      </w:r>
      <w:r w:rsidR="00F84D19">
        <w:rPr>
          <w:rFonts w:cstheme="minorHAnsi"/>
          <w:sz w:val="24"/>
          <w:szCs w:val="24"/>
        </w:rPr>
        <w:t xml:space="preserve">he regulation will </w:t>
      </w:r>
      <w:r w:rsidR="00F84D19" w:rsidRPr="007030BF">
        <w:rPr>
          <w:rFonts w:cstheme="minorHAnsi"/>
          <w:sz w:val="24"/>
          <w:szCs w:val="24"/>
        </w:rPr>
        <w:t xml:space="preserve">require </w:t>
      </w:r>
      <w:r w:rsidR="00952921">
        <w:rPr>
          <w:rFonts w:cstheme="minorHAnsi"/>
          <w:sz w:val="24"/>
          <w:szCs w:val="24"/>
        </w:rPr>
        <w:t>l</w:t>
      </w:r>
      <w:r w:rsidR="00F84D19" w:rsidRPr="007030BF">
        <w:rPr>
          <w:rFonts w:cstheme="minorHAnsi"/>
          <w:sz w:val="24"/>
          <w:szCs w:val="24"/>
        </w:rPr>
        <w:t>awyers</w:t>
      </w:r>
      <w:r w:rsidR="00340DEE" w:rsidRPr="007030BF">
        <w:rPr>
          <w:rFonts w:cstheme="minorHAnsi"/>
          <w:sz w:val="24"/>
          <w:szCs w:val="24"/>
        </w:rPr>
        <w:t xml:space="preserve"> </w:t>
      </w:r>
      <w:r w:rsidR="00F35826">
        <w:rPr>
          <w:rFonts w:cstheme="minorHAnsi"/>
          <w:sz w:val="24"/>
          <w:szCs w:val="24"/>
        </w:rPr>
        <w:t xml:space="preserve">to provide information to the MAI Commission on legal fees and related costs. The information is only required where there is an application </w:t>
      </w:r>
      <w:r w:rsidR="00952921">
        <w:rPr>
          <w:rFonts w:cstheme="minorHAnsi"/>
          <w:sz w:val="24"/>
          <w:szCs w:val="24"/>
        </w:rPr>
        <w:t>for</w:t>
      </w:r>
      <w:r w:rsidR="009B4977" w:rsidRPr="00952921">
        <w:rPr>
          <w:rFonts w:cstheme="minorHAnsi"/>
          <w:sz w:val="24"/>
          <w:szCs w:val="24"/>
        </w:rPr>
        <w:t xml:space="preserve"> external review </w:t>
      </w:r>
      <w:r w:rsidR="003A7BDF">
        <w:rPr>
          <w:rFonts w:cstheme="minorHAnsi"/>
          <w:sz w:val="24"/>
          <w:szCs w:val="24"/>
        </w:rPr>
        <w:t>before the</w:t>
      </w:r>
      <w:r w:rsidR="009B4977" w:rsidRPr="00952921">
        <w:rPr>
          <w:rFonts w:cstheme="minorHAnsi"/>
          <w:sz w:val="24"/>
          <w:szCs w:val="24"/>
        </w:rPr>
        <w:t xml:space="preserve"> ACT Civil and Administrative Tribunal</w:t>
      </w:r>
      <w:r w:rsidR="00952921" w:rsidRPr="00952921">
        <w:rPr>
          <w:rFonts w:cstheme="minorHAnsi"/>
          <w:sz w:val="24"/>
          <w:szCs w:val="24"/>
        </w:rPr>
        <w:t xml:space="preserve"> </w:t>
      </w:r>
      <w:r w:rsidR="00F35826">
        <w:rPr>
          <w:rFonts w:cstheme="minorHAnsi"/>
          <w:sz w:val="24"/>
          <w:szCs w:val="24"/>
        </w:rPr>
        <w:t xml:space="preserve">or a common law claim has been made against an insurer. The provision of this information will ensure the MAI Commission has visibility of the overall costs of the MAI Scheme. </w:t>
      </w:r>
    </w:p>
    <w:p w14:paraId="119195C8" w14:textId="43FEBFDD" w:rsidR="007C30ED" w:rsidRDefault="007C30ED" w:rsidP="00A87FFC">
      <w:pPr>
        <w:rPr>
          <w:rFonts w:cstheme="minorHAnsi"/>
          <w:sz w:val="24"/>
          <w:szCs w:val="24"/>
        </w:rPr>
      </w:pPr>
    </w:p>
    <w:p w14:paraId="1F136AA3" w14:textId="46EEB187" w:rsidR="00F35826" w:rsidRDefault="00F35826" w:rsidP="00A87FFC">
      <w:pPr>
        <w:rPr>
          <w:rFonts w:cstheme="minorHAnsi"/>
          <w:sz w:val="24"/>
          <w:szCs w:val="24"/>
        </w:rPr>
      </w:pPr>
    </w:p>
    <w:p w14:paraId="4E1D585E" w14:textId="56D3DD32" w:rsidR="00F35826" w:rsidRDefault="00F35826" w:rsidP="00A87FFC">
      <w:pPr>
        <w:rPr>
          <w:rFonts w:cstheme="minorHAnsi"/>
          <w:sz w:val="24"/>
          <w:szCs w:val="24"/>
        </w:rPr>
      </w:pPr>
    </w:p>
    <w:p w14:paraId="18D9B935" w14:textId="73A2EB43" w:rsidR="00F35826" w:rsidRDefault="00F35826" w:rsidP="00A87FFC">
      <w:pPr>
        <w:rPr>
          <w:rFonts w:cstheme="minorHAnsi"/>
          <w:sz w:val="24"/>
          <w:szCs w:val="24"/>
        </w:rPr>
      </w:pPr>
    </w:p>
    <w:p w14:paraId="4C284E58" w14:textId="77777777" w:rsidR="00F35826" w:rsidRDefault="00F35826" w:rsidP="00A87FFC">
      <w:pPr>
        <w:rPr>
          <w:rFonts w:cstheme="minorHAnsi"/>
          <w:sz w:val="24"/>
          <w:szCs w:val="24"/>
        </w:rPr>
      </w:pPr>
    </w:p>
    <w:p w14:paraId="42F80155" w14:textId="77777777" w:rsidR="00F6710F" w:rsidRPr="005B1C04" w:rsidRDefault="00F6710F" w:rsidP="00A87FFC">
      <w:pPr>
        <w:rPr>
          <w:rFonts w:cstheme="minorHAnsi"/>
          <w:sz w:val="24"/>
          <w:szCs w:val="24"/>
        </w:rPr>
      </w:pPr>
    </w:p>
    <w:p w14:paraId="212E3997" w14:textId="77777777" w:rsidR="00A87FFC" w:rsidRPr="00602744" w:rsidRDefault="00A87FFC" w:rsidP="00A87FFC">
      <w:pPr>
        <w:rPr>
          <w:rFonts w:cstheme="minorHAnsi"/>
          <w:b/>
          <w:sz w:val="24"/>
          <w:szCs w:val="24"/>
        </w:rPr>
      </w:pPr>
      <w:r w:rsidRPr="00602744">
        <w:rPr>
          <w:rFonts w:cstheme="minorHAnsi"/>
          <w:sz w:val="24"/>
          <w:szCs w:val="24"/>
        </w:rPr>
        <w:lastRenderedPageBreak/>
        <w:tab/>
      </w:r>
      <w:r w:rsidRPr="00602744">
        <w:rPr>
          <w:rFonts w:cstheme="minorHAnsi"/>
          <w:sz w:val="24"/>
          <w:szCs w:val="24"/>
        </w:rPr>
        <w:tab/>
      </w:r>
      <w:r w:rsidRPr="00602744">
        <w:rPr>
          <w:rFonts w:cstheme="minorHAnsi"/>
          <w:sz w:val="24"/>
          <w:szCs w:val="24"/>
        </w:rPr>
        <w:tab/>
      </w:r>
      <w:r w:rsidRPr="00602744">
        <w:rPr>
          <w:rFonts w:cstheme="minorHAnsi"/>
          <w:sz w:val="24"/>
          <w:szCs w:val="24"/>
        </w:rPr>
        <w:tab/>
      </w:r>
      <w:r w:rsidRPr="00602744">
        <w:rPr>
          <w:rFonts w:cstheme="minorHAnsi"/>
          <w:sz w:val="24"/>
          <w:szCs w:val="24"/>
        </w:rPr>
        <w:tab/>
      </w:r>
      <w:r w:rsidRPr="00602744">
        <w:rPr>
          <w:rFonts w:cstheme="minorHAnsi"/>
          <w:b/>
          <w:sz w:val="24"/>
          <w:szCs w:val="24"/>
        </w:rPr>
        <w:t>Details</w:t>
      </w:r>
    </w:p>
    <w:p w14:paraId="6DC90561" w14:textId="0FC27A51" w:rsidR="00A87FFC" w:rsidRPr="00602744" w:rsidRDefault="00A87FFC" w:rsidP="00A87FFC">
      <w:pPr>
        <w:rPr>
          <w:rFonts w:cstheme="minorHAnsi"/>
          <w:sz w:val="24"/>
          <w:szCs w:val="24"/>
          <w:u w:val="single"/>
        </w:rPr>
      </w:pPr>
      <w:r w:rsidRPr="00602744">
        <w:rPr>
          <w:rFonts w:cstheme="minorHAnsi"/>
          <w:sz w:val="24"/>
          <w:szCs w:val="24"/>
        </w:rPr>
        <w:t>Clause 1 names the regulation as the Motor Accident Injuries</w:t>
      </w:r>
      <w:r w:rsidR="000B131B">
        <w:rPr>
          <w:rFonts w:cstheme="minorHAnsi"/>
          <w:sz w:val="24"/>
          <w:szCs w:val="24"/>
        </w:rPr>
        <w:t xml:space="preserve"> (</w:t>
      </w:r>
      <w:r w:rsidR="008764E6">
        <w:rPr>
          <w:rFonts w:cstheme="minorHAnsi"/>
          <w:sz w:val="24"/>
          <w:szCs w:val="24"/>
        </w:rPr>
        <w:t xml:space="preserve">Lawyers </w:t>
      </w:r>
      <w:r w:rsidR="00577AF4">
        <w:rPr>
          <w:rFonts w:cstheme="minorHAnsi"/>
          <w:sz w:val="24"/>
          <w:szCs w:val="24"/>
        </w:rPr>
        <w:t>Information Collection</w:t>
      </w:r>
      <w:r w:rsidR="000B131B">
        <w:rPr>
          <w:rFonts w:cstheme="minorHAnsi"/>
          <w:sz w:val="24"/>
          <w:szCs w:val="24"/>
        </w:rPr>
        <w:t xml:space="preserve">) </w:t>
      </w:r>
      <w:r w:rsidRPr="00602744">
        <w:rPr>
          <w:rFonts w:cstheme="minorHAnsi"/>
          <w:sz w:val="24"/>
          <w:szCs w:val="24"/>
        </w:rPr>
        <w:t xml:space="preserve">Regulation </w:t>
      </w:r>
      <w:r w:rsidRPr="00482EFF">
        <w:rPr>
          <w:rFonts w:cstheme="minorHAnsi"/>
          <w:sz w:val="24"/>
          <w:szCs w:val="24"/>
        </w:rPr>
        <w:t>20</w:t>
      </w:r>
      <w:r w:rsidR="007C30ED" w:rsidRPr="00482EFF">
        <w:rPr>
          <w:rFonts w:cstheme="minorHAnsi"/>
          <w:sz w:val="24"/>
          <w:szCs w:val="24"/>
        </w:rPr>
        <w:t>2</w:t>
      </w:r>
      <w:r w:rsidR="00884F0E" w:rsidRPr="00482EFF">
        <w:rPr>
          <w:rFonts w:cstheme="minorHAnsi"/>
          <w:sz w:val="24"/>
          <w:szCs w:val="24"/>
        </w:rPr>
        <w:t>1</w:t>
      </w:r>
      <w:r w:rsidRPr="00482EFF">
        <w:rPr>
          <w:rFonts w:cstheme="minorHAnsi"/>
          <w:sz w:val="24"/>
          <w:szCs w:val="24"/>
        </w:rPr>
        <w:t>.</w:t>
      </w:r>
    </w:p>
    <w:p w14:paraId="53E04C94" w14:textId="3AAC9AD3" w:rsidR="00717F25" w:rsidRDefault="00A87FFC" w:rsidP="00A87FFC">
      <w:pPr>
        <w:rPr>
          <w:rFonts w:cstheme="minorHAnsi"/>
          <w:sz w:val="24"/>
          <w:szCs w:val="24"/>
        </w:rPr>
      </w:pPr>
      <w:r w:rsidRPr="00482EFF">
        <w:rPr>
          <w:rFonts w:cstheme="minorHAnsi"/>
          <w:sz w:val="24"/>
          <w:szCs w:val="24"/>
        </w:rPr>
        <w:t>Clause 2 provides for the commencement of the regul</w:t>
      </w:r>
      <w:r w:rsidR="00482EFF">
        <w:rPr>
          <w:rFonts w:cstheme="minorHAnsi"/>
          <w:sz w:val="24"/>
          <w:szCs w:val="24"/>
        </w:rPr>
        <w:t>ation on the 45</w:t>
      </w:r>
      <w:r w:rsidR="00482EFF" w:rsidRPr="00482EFF">
        <w:rPr>
          <w:rFonts w:cstheme="minorHAnsi"/>
          <w:sz w:val="24"/>
          <w:szCs w:val="24"/>
          <w:vertAlign w:val="superscript"/>
        </w:rPr>
        <w:t>th</w:t>
      </w:r>
      <w:r w:rsidR="00482EFF">
        <w:rPr>
          <w:rFonts w:cstheme="minorHAnsi"/>
          <w:sz w:val="24"/>
          <w:szCs w:val="24"/>
        </w:rPr>
        <w:t xml:space="preserve"> day </w:t>
      </w:r>
      <w:r w:rsidR="00DA38C5" w:rsidRPr="00482EFF">
        <w:rPr>
          <w:rFonts w:cstheme="minorHAnsi"/>
          <w:sz w:val="24"/>
          <w:szCs w:val="24"/>
        </w:rPr>
        <w:t>after its notification day.</w:t>
      </w:r>
      <w:r w:rsidRPr="00602744">
        <w:rPr>
          <w:rFonts w:cstheme="minorHAnsi"/>
          <w:sz w:val="24"/>
          <w:szCs w:val="24"/>
        </w:rPr>
        <w:t xml:space="preserve"> </w:t>
      </w:r>
      <w:r w:rsidR="00C2246B">
        <w:rPr>
          <w:rFonts w:cstheme="minorHAnsi"/>
          <w:sz w:val="24"/>
          <w:szCs w:val="24"/>
        </w:rPr>
        <w:t>This gives the legal profession</w:t>
      </w:r>
      <w:r w:rsidR="003A7BDF">
        <w:rPr>
          <w:rFonts w:cstheme="minorHAnsi"/>
          <w:sz w:val="24"/>
          <w:szCs w:val="24"/>
        </w:rPr>
        <w:t xml:space="preserve"> some time to prepare </w:t>
      </w:r>
      <w:r w:rsidR="00C2246B">
        <w:rPr>
          <w:rFonts w:cstheme="minorHAnsi"/>
          <w:sz w:val="24"/>
          <w:szCs w:val="24"/>
        </w:rPr>
        <w:t xml:space="preserve">for </w:t>
      </w:r>
      <w:r w:rsidR="003A7BDF">
        <w:rPr>
          <w:rFonts w:cstheme="minorHAnsi"/>
          <w:sz w:val="24"/>
          <w:szCs w:val="24"/>
        </w:rPr>
        <w:t>report</w:t>
      </w:r>
      <w:r w:rsidR="00C2246B">
        <w:rPr>
          <w:rFonts w:cstheme="minorHAnsi"/>
          <w:sz w:val="24"/>
          <w:szCs w:val="24"/>
        </w:rPr>
        <w:t>ing</w:t>
      </w:r>
      <w:r w:rsidR="00666B29">
        <w:rPr>
          <w:rFonts w:cstheme="minorHAnsi"/>
          <w:sz w:val="24"/>
          <w:szCs w:val="24"/>
        </w:rPr>
        <w:t xml:space="preserve"> the</w:t>
      </w:r>
      <w:r w:rsidR="003A7BDF">
        <w:rPr>
          <w:rFonts w:cstheme="minorHAnsi"/>
          <w:sz w:val="24"/>
          <w:szCs w:val="24"/>
        </w:rPr>
        <w:t xml:space="preserve"> information. </w:t>
      </w:r>
    </w:p>
    <w:p w14:paraId="5EE6AACC" w14:textId="77777777" w:rsidR="00A87FFC" w:rsidRPr="00602744" w:rsidRDefault="00A87FFC" w:rsidP="00A87FFC">
      <w:pPr>
        <w:rPr>
          <w:rFonts w:cstheme="minorHAnsi"/>
          <w:sz w:val="24"/>
          <w:szCs w:val="24"/>
        </w:rPr>
      </w:pPr>
      <w:r w:rsidRPr="00602744">
        <w:rPr>
          <w:rFonts w:cstheme="minorHAnsi"/>
          <w:sz w:val="24"/>
          <w:szCs w:val="24"/>
        </w:rPr>
        <w:t>Clause 3 inserts a dictionary at the end of the regulation.</w:t>
      </w:r>
    </w:p>
    <w:p w14:paraId="11C12614" w14:textId="6EB95C61" w:rsidR="00A87FFC" w:rsidRDefault="00A87FFC" w:rsidP="004D2AEC">
      <w:pPr>
        <w:rPr>
          <w:rFonts w:cstheme="minorHAnsi"/>
          <w:sz w:val="24"/>
          <w:szCs w:val="24"/>
        </w:rPr>
      </w:pPr>
      <w:r w:rsidRPr="00602744">
        <w:rPr>
          <w:rFonts w:cstheme="minorHAnsi"/>
          <w:sz w:val="24"/>
          <w:szCs w:val="24"/>
        </w:rPr>
        <w:t>Clause 4 provides a note included in the regulation is explanatory and is not part of the regulation</w:t>
      </w:r>
      <w:r w:rsidR="00DE3CCA">
        <w:rPr>
          <w:rFonts w:cstheme="minorHAnsi"/>
          <w:sz w:val="24"/>
          <w:szCs w:val="24"/>
        </w:rPr>
        <w:t>.</w:t>
      </w:r>
    </w:p>
    <w:p w14:paraId="0588F502" w14:textId="045370E9" w:rsidR="003A7BDF" w:rsidRDefault="00BD2EA2" w:rsidP="00A87FFC">
      <w:pPr>
        <w:rPr>
          <w:sz w:val="24"/>
          <w:szCs w:val="24"/>
        </w:rPr>
      </w:pPr>
      <w:r w:rsidRPr="00BB7216">
        <w:rPr>
          <w:sz w:val="24"/>
          <w:szCs w:val="24"/>
        </w:rPr>
        <w:t>Clau</w:t>
      </w:r>
      <w:r w:rsidR="003443DB" w:rsidRPr="00BB7216">
        <w:rPr>
          <w:sz w:val="24"/>
          <w:szCs w:val="24"/>
        </w:rPr>
        <w:t>se</w:t>
      </w:r>
      <w:r w:rsidRPr="00BB7216">
        <w:rPr>
          <w:sz w:val="24"/>
          <w:szCs w:val="24"/>
        </w:rPr>
        <w:t xml:space="preserve"> </w:t>
      </w:r>
      <w:r w:rsidR="00103E5D" w:rsidRPr="00BB7216">
        <w:rPr>
          <w:sz w:val="24"/>
          <w:szCs w:val="24"/>
        </w:rPr>
        <w:t>5</w:t>
      </w:r>
      <w:r w:rsidRPr="00D417A4">
        <w:rPr>
          <w:sz w:val="24"/>
          <w:szCs w:val="24"/>
        </w:rPr>
        <w:t xml:space="preserve"> </w:t>
      </w:r>
      <w:r w:rsidR="003A7BDF">
        <w:rPr>
          <w:sz w:val="24"/>
          <w:szCs w:val="24"/>
        </w:rPr>
        <w:t>provides the operative provisions for the information to be given to the MAI Commission by lawyers</w:t>
      </w:r>
      <w:r w:rsidR="00F35826">
        <w:rPr>
          <w:sz w:val="24"/>
          <w:szCs w:val="24"/>
        </w:rPr>
        <w:t xml:space="preserve"> representing injured persons</w:t>
      </w:r>
      <w:r w:rsidR="003A7BDF">
        <w:rPr>
          <w:sz w:val="24"/>
          <w:szCs w:val="24"/>
        </w:rPr>
        <w:t>. This regulation is made for the purposes of section 469 of the MAI</w:t>
      </w:r>
      <w:r w:rsidR="00D46686">
        <w:rPr>
          <w:sz w:val="24"/>
          <w:szCs w:val="24"/>
        </w:rPr>
        <w:t> </w:t>
      </w:r>
      <w:r w:rsidR="003A7BDF">
        <w:rPr>
          <w:sz w:val="24"/>
          <w:szCs w:val="24"/>
        </w:rPr>
        <w:t xml:space="preserve">Act. </w:t>
      </w:r>
    </w:p>
    <w:p w14:paraId="078F8BB0" w14:textId="76C14E16" w:rsidR="003A7BDF" w:rsidRDefault="00C26178" w:rsidP="00A87FFC">
      <w:pPr>
        <w:rPr>
          <w:sz w:val="24"/>
          <w:szCs w:val="24"/>
        </w:rPr>
      </w:pPr>
      <w:r w:rsidRPr="00BB7216">
        <w:rPr>
          <w:i/>
          <w:iCs/>
          <w:sz w:val="24"/>
          <w:szCs w:val="24"/>
        </w:rPr>
        <w:t>Subclause 1</w:t>
      </w:r>
      <w:r w:rsidR="000B7148" w:rsidRPr="00666B29">
        <w:rPr>
          <w:sz w:val="24"/>
          <w:szCs w:val="24"/>
        </w:rPr>
        <w:t xml:space="preserve"> applies </w:t>
      </w:r>
      <w:r w:rsidRPr="00666B29">
        <w:rPr>
          <w:sz w:val="24"/>
          <w:szCs w:val="24"/>
        </w:rPr>
        <w:t xml:space="preserve">the requirement </w:t>
      </w:r>
      <w:r w:rsidR="00F35826">
        <w:rPr>
          <w:sz w:val="24"/>
          <w:szCs w:val="24"/>
        </w:rPr>
        <w:t>for</w:t>
      </w:r>
      <w:r w:rsidR="003A7BDF" w:rsidRPr="00666B29">
        <w:rPr>
          <w:sz w:val="24"/>
          <w:szCs w:val="24"/>
        </w:rPr>
        <w:t xml:space="preserve"> a lawyer </w:t>
      </w:r>
      <w:r w:rsidR="000B7148" w:rsidRPr="00666B29">
        <w:rPr>
          <w:sz w:val="24"/>
          <w:szCs w:val="24"/>
        </w:rPr>
        <w:t>who represented a client</w:t>
      </w:r>
      <w:r w:rsidR="003A7BDF" w:rsidRPr="00666B29">
        <w:rPr>
          <w:sz w:val="24"/>
          <w:szCs w:val="24"/>
        </w:rPr>
        <w:t xml:space="preserve"> </w:t>
      </w:r>
      <w:r w:rsidR="000B7148" w:rsidRPr="00666B29">
        <w:rPr>
          <w:sz w:val="24"/>
          <w:szCs w:val="24"/>
        </w:rPr>
        <w:t>in an application for external review of an</w:t>
      </w:r>
      <w:r w:rsidR="003A7BDF" w:rsidRPr="00666B29">
        <w:rPr>
          <w:rFonts w:cstheme="minorHAnsi"/>
          <w:sz w:val="24"/>
          <w:szCs w:val="24"/>
        </w:rPr>
        <w:t xml:space="preserve"> ACAT review</w:t>
      </w:r>
      <w:r w:rsidR="000B7148" w:rsidRPr="00666B29">
        <w:rPr>
          <w:rFonts w:cstheme="minorHAnsi"/>
          <w:sz w:val="24"/>
          <w:szCs w:val="24"/>
        </w:rPr>
        <w:t xml:space="preserve">able decision (an ACAT </w:t>
      </w:r>
      <w:r w:rsidR="00F173D4" w:rsidRPr="00666B29">
        <w:rPr>
          <w:rFonts w:cstheme="minorHAnsi"/>
          <w:sz w:val="24"/>
          <w:szCs w:val="24"/>
        </w:rPr>
        <w:t>a</w:t>
      </w:r>
      <w:r w:rsidR="000B7148" w:rsidRPr="00666B29">
        <w:rPr>
          <w:rFonts w:cstheme="minorHAnsi"/>
          <w:sz w:val="24"/>
          <w:szCs w:val="24"/>
        </w:rPr>
        <w:t>pplication) or a motor accident claim</w:t>
      </w:r>
      <w:r w:rsidR="00F35826" w:rsidRPr="00F35826">
        <w:rPr>
          <w:sz w:val="24"/>
          <w:szCs w:val="24"/>
        </w:rPr>
        <w:t xml:space="preserve"> </w:t>
      </w:r>
      <w:r w:rsidR="00F35826">
        <w:rPr>
          <w:sz w:val="24"/>
          <w:szCs w:val="24"/>
        </w:rPr>
        <w:t xml:space="preserve">(a common law claim) </w:t>
      </w:r>
      <w:r w:rsidR="00F35826" w:rsidRPr="00666B29">
        <w:rPr>
          <w:sz w:val="24"/>
          <w:szCs w:val="24"/>
        </w:rPr>
        <w:t>to give information to the MAI Commission</w:t>
      </w:r>
      <w:r w:rsidR="000B7148" w:rsidRPr="00666B29">
        <w:rPr>
          <w:rFonts w:cstheme="minorHAnsi"/>
          <w:sz w:val="24"/>
          <w:szCs w:val="24"/>
        </w:rPr>
        <w:t>.</w:t>
      </w:r>
      <w:r w:rsidR="000B7148">
        <w:rPr>
          <w:rFonts w:cstheme="minorHAnsi"/>
          <w:sz w:val="24"/>
          <w:szCs w:val="24"/>
        </w:rPr>
        <w:t xml:space="preserve">  </w:t>
      </w:r>
    </w:p>
    <w:p w14:paraId="1FC5172E" w14:textId="58CF0883" w:rsidR="00666B29" w:rsidRPr="00995C5D" w:rsidRDefault="004E292E" w:rsidP="00A87FFC">
      <w:pPr>
        <w:rPr>
          <w:sz w:val="24"/>
          <w:szCs w:val="24"/>
        </w:rPr>
      </w:pPr>
      <w:r w:rsidRPr="00995C5D">
        <w:rPr>
          <w:i/>
          <w:iCs/>
          <w:sz w:val="24"/>
          <w:szCs w:val="24"/>
        </w:rPr>
        <w:t>Sub</w:t>
      </w:r>
      <w:r w:rsidR="001160FA" w:rsidRPr="00995C5D">
        <w:rPr>
          <w:i/>
          <w:iCs/>
          <w:sz w:val="24"/>
          <w:szCs w:val="24"/>
        </w:rPr>
        <w:t>c</w:t>
      </w:r>
      <w:r w:rsidRPr="00995C5D">
        <w:rPr>
          <w:i/>
          <w:iCs/>
          <w:sz w:val="24"/>
          <w:szCs w:val="24"/>
        </w:rPr>
        <w:t xml:space="preserve">lause </w:t>
      </w:r>
      <w:r w:rsidR="009F3C03" w:rsidRPr="00995C5D">
        <w:rPr>
          <w:i/>
          <w:iCs/>
          <w:sz w:val="24"/>
          <w:szCs w:val="24"/>
        </w:rPr>
        <w:t>2</w:t>
      </w:r>
      <w:r w:rsidR="00666B29" w:rsidRPr="00995C5D">
        <w:rPr>
          <w:sz w:val="24"/>
          <w:szCs w:val="24"/>
        </w:rPr>
        <w:t xml:space="preserve"> defines the relevant period that the lawyer is to give information</w:t>
      </w:r>
      <w:r w:rsidR="00995C5D" w:rsidRPr="00995C5D">
        <w:rPr>
          <w:sz w:val="24"/>
          <w:szCs w:val="24"/>
        </w:rPr>
        <w:t>. F</w:t>
      </w:r>
      <w:r w:rsidR="00666B29" w:rsidRPr="00995C5D">
        <w:rPr>
          <w:sz w:val="24"/>
          <w:szCs w:val="24"/>
        </w:rPr>
        <w:t>or an ACAT application</w:t>
      </w:r>
      <w:r w:rsidR="00995C5D" w:rsidRPr="00995C5D">
        <w:rPr>
          <w:sz w:val="24"/>
          <w:szCs w:val="24"/>
        </w:rPr>
        <w:t>, this begins</w:t>
      </w:r>
      <w:r w:rsidR="00666B29" w:rsidRPr="00995C5D">
        <w:rPr>
          <w:sz w:val="24"/>
          <w:szCs w:val="24"/>
        </w:rPr>
        <w:t xml:space="preserve"> when the application is made and end</w:t>
      </w:r>
      <w:r w:rsidR="00995C5D" w:rsidRPr="00995C5D">
        <w:rPr>
          <w:sz w:val="24"/>
          <w:szCs w:val="24"/>
        </w:rPr>
        <w:t>s</w:t>
      </w:r>
      <w:r w:rsidR="00666B29" w:rsidRPr="00995C5D">
        <w:rPr>
          <w:sz w:val="24"/>
          <w:szCs w:val="24"/>
        </w:rPr>
        <w:t xml:space="preserve"> when the ACAT ma</w:t>
      </w:r>
      <w:r w:rsidR="00995C5D" w:rsidRPr="00995C5D">
        <w:rPr>
          <w:sz w:val="24"/>
          <w:szCs w:val="24"/>
        </w:rPr>
        <w:t>k</w:t>
      </w:r>
      <w:r w:rsidR="00666B29" w:rsidRPr="00995C5D">
        <w:rPr>
          <w:sz w:val="24"/>
          <w:szCs w:val="24"/>
        </w:rPr>
        <w:t>e</w:t>
      </w:r>
      <w:r w:rsidR="00995C5D" w:rsidRPr="00995C5D">
        <w:rPr>
          <w:sz w:val="24"/>
          <w:szCs w:val="24"/>
        </w:rPr>
        <w:t>s</w:t>
      </w:r>
      <w:r w:rsidR="00666B29" w:rsidRPr="00995C5D">
        <w:rPr>
          <w:sz w:val="24"/>
          <w:szCs w:val="24"/>
        </w:rPr>
        <w:t xml:space="preserve"> an order deciding or dismissing the application. For a motor accident claim, the period begins when the notice of claim was given to the insurer and en</w:t>
      </w:r>
      <w:r w:rsidR="00BB7216" w:rsidRPr="00995C5D">
        <w:rPr>
          <w:sz w:val="24"/>
          <w:szCs w:val="24"/>
        </w:rPr>
        <w:t>d</w:t>
      </w:r>
      <w:r w:rsidR="006333A2" w:rsidRPr="00995C5D">
        <w:rPr>
          <w:sz w:val="24"/>
          <w:szCs w:val="24"/>
        </w:rPr>
        <w:t>s</w:t>
      </w:r>
      <w:r w:rsidR="00BB7216" w:rsidRPr="00995C5D">
        <w:rPr>
          <w:sz w:val="24"/>
          <w:szCs w:val="24"/>
        </w:rPr>
        <w:t xml:space="preserve"> on </w:t>
      </w:r>
      <w:r w:rsidR="00995C5D" w:rsidRPr="00995C5D">
        <w:rPr>
          <w:sz w:val="24"/>
          <w:szCs w:val="24"/>
        </w:rPr>
        <w:t xml:space="preserve">either </w:t>
      </w:r>
      <w:r w:rsidR="00BB7216" w:rsidRPr="00995C5D">
        <w:rPr>
          <w:sz w:val="24"/>
          <w:szCs w:val="24"/>
        </w:rPr>
        <w:t>the payment of an amount in damages, either court awarded or through settlement, or when the court decides the matter</w:t>
      </w:r>
      <w:r w:rsidR="00995C5D" w:rsidRPr="00995C5D">
        <w:rPr>
          <w:sz w:val="24"/>
          <w:szCs w:val="24"/>
        </w:rPr>
        <w:t xml:space="preserve"> through </w:t>
      </w:r>
      <w:r w:rsidR="00F35826">
        <w:rPr>
          <w:sz w:val="24"/>
          <w:szCs w:val="24"/>
        </w:rPr>
        <w:t xml:space="preserve">a </w:t>
      </w:r>
      <w:r w:rsidR="00995C5D" w:rsidRPr="00995C5D">
        <w:rPr>
          <w:sz w:val="24"/>
          <w:szCs w:val="24"/>
        </w:rPr>
        <w:t>judgement</w:t>
      </w:r>
      <w:r w:rsidR="00BB7216" w:rsidRPr="00995C5D">
        <w:rPr>
          <w:sz w:val="24"/>
          <w:szCs w:val="24"/>
        </w:rPr>
        <w:t xml:space="preserve">. </w:t>
      </w:r>
    </w:p>
    <w:p w14:paraId="473F11E8" w14:textId="367B8337" w:rsidR="00BB7216" w:rsidRPr="00995C5D" w:rsidRDefault="00F35826" w:rsidP="00A87FFC">
      <w:pPr>
        <w:rPr>
          <w:sz w:val="24"/>
          <w:szCs w:val="24"/>
        </w:rPr>
      </w:pPr>
      <w:r>
        <w:rPr>
          <w:sz w:val="24"/>
          <w:szCs w:val="24"/>
        </w:rPr>
        <w:t>The</w:t>
      </w:r>
      <w:r w:rsidR="00BB7216" w:rsidRPr="00995C5D">
        <w:rPr>
          <w:sz w:val="24"/>
          <w:szCs w:val="24"/>
        </w:rPr>
        <w:t xml:space="preserve"> lawyer has a defined period of time in which to collect </w:t>
      </w:r>
      <w:r w:rsidR="006333A2" w:rsidRPr="00995C5D">
        <w:rPr>
          <w:sz w:val="24"/>
          <w:szCs w:val="24"/>
        </w:rPr>
        <w:t xml:space="preserve">and report </w:t>
      </w:r>
      <w:r w:rsidR="00BB7216" w:rsidRPr="00995C5D">
        <w:rPr>
          <w:sz w:val="24"/>
          <w:szCs w:val="24"/>
        </w:rPr>
        <w:t xml:space="preserve">the information to be given to the MAI Commission. The reportable information is outlined in subclause (6). </w:t>
      </w:r>
    </w:p>
    <w:p w14:paraId="37ACAC9F" w14:textId="77777777" w:rsidR="00F35826" w:rsidRDefault="003E4180" w:rsidP="00A87FFC">
      <w:pPr>
        <w:rPr>
          <w:sz w:val="24"/>
          <w:szCs w:val="24"/>
        </w:rPr>
      </w:pPr>
      <w:r w:rsidRPr="00BB7216">
        <w:rPr>
          <w:rFonts w:cstheme="minorHAnsi"/>
          <w:i/>
          <w:iCs/>
          <w:sz w:val="24"/>
          <w:szCs w:val="24"/>
        </w:rPr>
        <w:t>Sub</w:t>
      </w:r>
      <w:r w:rsidR="001160FA" w:rsidRPr="00BB7216">
        <w:rPr>
          <w:rFonts w:cstheme="minorHAnsi"/>
          <w:i/>
          <w:iCs/>
          <w:sz w:val="24"/>
          <w:szCs w:val="24"/>
        </w:rPr>
        <w:t>c</w:t>
      </w:r>
      <w:r w:rsidRPr="00BB7216">
        <w:rPr>
          <w:rFonts w:cstheme="minorHAnsi"/>
          <w:i/>
          <w:iCs/>
          <w:sz w:val="24"/>
          <w:szCs w:val="24"/>
        </w:rPr>
        <w:t xml:space="preserve">lause </w:t>
      </w:r>
      <w:r w:rsidR="00F357A8" w:rsidRPr="00BB7216">
        <w:rPr>
          <w:rFonts w:cstheme="minorHAnsi"/>
          <w:i/>
          <w:iCs/>
          <w:sz w:val="24"/>
          <w:szCs w:val="24"/>
        </w:rPr>
        <w:t>3</w:t>
      </w:r>
      <w:r w:rsidRPr="003E4180">
        <w:rPr>
          <w:sz w:val="24"/>
          <w:szCs w:val="24"/>
        </w:rPr>
        <w:t xml:space="preserve"> </w:t>
      </w:r>
      <w:r>
        <w:rPr>
          <w:sz w:val="24"/>
          <w:szCs w:val="24"/>
        </w:rPr>
        <w:t>requires the information to</w:t>
      </w:r>
      <w:r w:rsidRPr="00D417A4">
        <w:rPr>
          <w:sz w:val="24"/>
          <w:szCs w:val="24"/>
        </w:rPr>
        <w:t xml:space="preserve"> be given to the MAI </w:t>
      </w:r>
      <w:r w:rsidR="00E32F16">
        <w:rPr>
          <w:sz w:val="24"/>
          <w:szCs w:val="24"/>
        </w:rPr>
        <w:t>C</w:t>
      </w:r>
      <w:r w:rsidRPr="00D417A4">
        <w:rPr>
          <w:sz w:val="24"/>
          <w:szCs w:val="24"/>
        </w:rPr>
        <w:t>ommission</w:t>
      </w:r>
      <w:r w:rsidR="00BB7216">
        <w:rPr>
          <w:sz w:val="24"/>
          <w:szCs w:val="24"/>
        </w:rPr>
        <w:t xml:space="preserve"> about the ACAT application or </w:t>
      </w:r>
      <w:r w:rsidR="00995C5D">
        <w:rPr>
          <w:sz w:val="24"/>
          <w:szCs w:val="24"/>
        </w:rPr>
        <w:t xml:space="preserve">motor accident </w:t>
      </w:r>
      <w:r w:rsidR="00BB7216">
        <w:rPr>
          <w:sz w:val="24"/>
          <w:szCs w:val="24"/>
        </w:rPr>
        <w:t xml:space="preserve">claim, with </w:t>
      </w:r>
      <w:r w:rsidR="00BB7216" w:rsidRPr="00BB7216">
        <w:rPr>
          <w:i/>
          <w:iCs/>
          <w:sz w:val="24"/>
          <w:szCs w:val="24"/>
        </w:rPr>
        <w:t>subclause 4</w:t>
      </w:r>
      <w:r w:rsidR="00BB7216">
        <w:rPr>
          <w:sz w:val="24"/>
          <w:szCs w:val="24"/>
        </w:rPr>
        <w:t xml:space="preserve"> </w:t>
      </w:r>
      <w:r w:rsidR="00F35826">
        <w:rPr>
          <w:sz w:val="24"/>
          <w:szCs w:val="24"/>
        </w:rPr>
        <w:t>specifying</w:t>
      </w:r>
      <w:r w:rsidR="00BB7216">
        <w:rPr>
          <w:sz w:val="24"/>
          <w:szCs w:val="24"/>
        </w:rPr>
        <w:t xml:space="preserve"> when the information is to be given. This is 28 days after the period defined in subclause (2), or if the lawyer stopped representing, 28 days after </w:t>
      </w:r>
      <w:r w:rsidR="00F35826">
        <w:rPr>
          <w:sz w:val="24"/>
          <w:szCs w:val="24"/>
        </w:rPr>
        <w:t>that time</w:t>
      </w:r>
      <w:r w:rsidR="00BB7216">
        <w:rPr>
          <w:sz w:val="24"/>
          <w:szCs w:val="24"/>
        </w:rPr>
        <w:t xml:space="preserve">. If another lawyer </w:t>
      </w:r>
      <w:r w:rsidR="00F35826">
        <w:rPr>
          <w:sz w:val="24"/>
          <w:szCs w:val="24"/>
        </w:rPr>
        <w:t xml:space="preserve">takes over the </w:t>
      </w:r>
      <w:r w:rsidR="00BB7216">
        <w:rPr>
          <w:sz w:val="24"/>
          <w:szCs w:val="24"/>
        </w:rPr>
        <w:t>represent</w:t>
      </w:r>
      <w:r w:rsidR="00F35826">
        <w:rPr>
          <w:sz w:val="24"/>
          <w:szCs w:val="24"/>
        </w:rPr>
        <w:t>ation of</w:t>
      </w:r>
      <w:r w:rsidR="00BB7216">
        <w:rPr>
          <w:sz w:val="24"/>
          <w:szCs w:val="24"/>
        </w:rPr>
        <w:t xml:space="preserve"> a client for an ACAT application or motor accident claim, that lawyer has an obligation to report, as required by subclause (1).  </w:t>
      </w:r>
    </w:p>
    <w:p w14:paraId="183CA2F2" w14:textId="7D942718" w:rsidR="00BB7216" w:rsidRDefault="00BB7216" w:rsidP="00A87FFC">
      <w:pPr>
        <w:rPr>
          <w:sz w:val="24"/>
          <w:szCs w:val="24"/>
        </w:rPr>
      </w:pPr>
      <w:r>
        <w:rPr>
          <w:sz w:val="24"/>
          <w:szCs w:val="24"/>
        </w:rPr>
        <w:t xml:space="preserve">The lodgement of the reportable information will be via electronic lodgement using a portal, the link being available at </w:t>
      </w:r>
      <w:hyperlink r:id="rId7" w:history="1">
        <w:r w:rsidRPr="00D75819">
          <w:rPr>
            <w:rStyle w:val="Hyperlink"/>
            <w:sz w:val="24"/>
            <w:szCs w:val="24"/>
          </w:rPr>
          <w:t>www.act.gov.au/maic</w:t>
        </w:r>
      </w:hyperlink>
      <w:r>
        <w:rPr>
          <w:sz w:val="24"/>
          <w:szCs w:val="24"/>
        </w:rPr>
        <w:t xml:space="preserve">. </w:t>
      </w:r>
    </w:p>
    <w:p w14:paraId="6AA8F92C" w14:textId="79EC379A" w:rsidR="00F35826" w:rsidRDefault="00646883" w:rsidP="00A87FFC">
      <w:pPr>
        <w:rPr>
          <w:sz w:val="24"/>
          <w:szCs w:val="24"/>
        </w:rPr>
      </w:pPr>
      <w:r w:rsidRPr="00BB7216">
        <w:rPr>
          <w:i/>
          <w:iCs/>
          <w:sz w:val="24"/>
          <w:szCs w:val="24"/>
        </w:rPr>
        <w:t>Sub</w:t>
      </w:r>
      <w:r w:rsidR="001160FA" w:rsidRPr="00BB7216">
        <w:rPr>
          <w:i/>
          <w:iCs/>
          <w:sz w:val="24"/>
          <w:szCs w:val="24"/>
        </w:rPr>
        <w:t>c</w:t>
      </w:r>
      <w:r w:rsidRPr="00BB7216">
        <w:rPr>
          <w:i/>
          <w:iCs/>
          <w:sz w:val="24"/>
          <w:szCs w:val="24"/>
        </w:rPr>
        <w:t xml:space="preserve">lause </w:t>
      </w:r>
      <w:r w:rsidR="00BB7216" w:rsidRPr="00BB7216">
        <w:rPr>
          <w:i/>
          <w:iCs/>
          <w:sz w:val="24"/>
          <w:szCs w:val="24"/>
        </w:rPr>
        <w:t>5</w:t>
      </w:r>
      <w:r w:rsidR="00F357A8">
        <w:rPr>
          <w:sz w:val="24"/>
          <w:szCs w:val="24"/>
        </w:rPr>
        <w:t xml:space="preserve"> </w:t>
      </w:r>
      <w:r w:rsidRPr="003A7BDF">
        <w:rPr>
          <w:sz w:val="24"/>
          <w:szCs w:val="24"/>
        </w:rPr>
        <w:t>provide</w:t>
      </w:r>
      <w:r w:rsidR="001F407E" w:rsidRPr="003A7BDF">
        <w:rPr>
          <w:sz w:val="24"/>
          <w:szCs w:val="24"/>
        </w:rPr>
        <w:t>s</w:t>
      </w:r>
      <w:r w:rsidRPr="003A7BDF">
        <w:rPr>
          <w:sz w:val="24"/>
          <w:szCs w:val="24"/>
        </w:rPr>
        <w:t xml:space="preserve"> </w:t>
      </w:r>
      <w:r w:rsidR="00103E5D" w:rsidRPr="003A7BDF">
        <w:rPr>
          <w:sz w:val="24"/>
          <w:szCs w:val="24"/>
        </w:rPr>
        <w:t>that</w:t>
      </w:r>
      <w:r w:rsidR="003A7BDF" w:rsidRPr="003A7BDF">
        <w:rPr>
          <w:sz w:val="24"/>
          <w:szCs w:val="24"/>
        </w:rPr>
        <w:t xml:space="preserve"> failure to comply with the section by a lawyer can be professional misconduct or unsatisfactory professional conduct under the </w:t>
      </w:r>
      <w:r w:rsidR="003A7BDF" w:rsidRPr="003A7BDF">
        <w:rPr>
          <w:i/>
          <w:iCs/>
          <w:sz w:val="24"/>
          <w:szCs w:val="24"/>
        </w:rPr>
        <w:t>Legal Profession Act 2006.</w:t>
      </w:r>
      <w:r w:rsidR="003A7BDF">
        <w:rPr>
          <w:sz w:val="24"/>
          <w:szCs w:val="24"/>
        </w:rPr>
        <w:t xml:space="preserve"> It is therefore the duty of a lawyer to provide the information required by this regulation. </w:t>
      </w:r>
      <w:r w:rsidR="00F35826">
        <w:rPr>
          <w:sz w:val="24"/>
          <w:szCs w:val="24"/>
        </w:rPr>
        <w:t xml:space="preserve">If there is a failure to provide information, the MAI Commission </w:t>
      </w:r>
      <w:r w:rsidR="00526590">
        <w:rPr>
          <w:sz w:val="24"/>
          <w:szCs w:val="24"/>
        </w:rPr>
        <w:t>can</w:t>
      </w:r>
      <w:r w:rsidR="00F35826">
        <w:rPr>
          <w:sz w:val="24"/>
          <w:szCs w:val="24"/>
        </w:rPr>
        <w:t xml:space="preserve"> make a referral to the legal profession’s regulatory authority to inquire into the conduct.</w:t>
      </w:r>
    </w:p>
    <w:p w14:paraId="1D54525B" w14:textId="77777777" w:rsidR="00F35826" w:rsidRDefault="00F35826" w:rsidP="00A87FFC">
      <w:pPr>
        <w:rPr>
          <w:sz w:val="24"/>
          <w:szCs w:val="24"/>
        </w:rPr>
      </w:pPr>
    </w:p>
    <w:p w14:paraId="25E58C07" w14:textId="59425D30" w:rsidR="00A32A7F" w:rsidRDefault="009B1565" w:rsidP="00A87FFC">
      <w:pPr>
        <w:rPr>
          <w:sz w:val="24"/>
          <w:szCs w:val="24"/>
        </w:rPr>
      </w:pPr>
      <w:r w:rsidRPr="00BB7216">
        <w:rPr>
          <w:i/>
          <w:iCs/>
          <w:sz w:val="24"/>
          <w:szCs w:val="24"/>
        </w:rPr>
        <w:lastRenderedPageBreak/>
        <w:t>Sub</w:t>
      </w:r>
      <w:r w:rsidR="001160FA" w:rsidRPr="00BB7216">
        <w:rPr>
          <w:i/>
          <w:iCs/>
          <w:sz w:val="24"/>
          <w:szCs w:val="24"/>
        </w:rPr>
        <w:t>c</w:t>
      </w:r>
      <w:r w:rsidRPr="00BB7216">
        <w:rPr>
          <w:i/>
          <w:iCs/>
          <w:sz w:val="24"/>
          <w:szCs w:val="24"/>
        </w:rPr>
        <w:t>lause</w:t>
      </w:r>
      <w:r w:rsidR="00BC07FC" w:rsidRPr="00BB7216">
        <w:rPr>
          <w:i/>
          <w:iCs/>
          <w:sz w:val="24"/>
          <w:szCs w:val="24"/>
        </w:rPr>
        <w:t xml:space="preserve"> </w:t>
      </w:r>
      <w:r w:rsidR="00BB7216" w:rsidRPr="00BB7216">
        <w:rPr>
          <w:i/>
          <w:iCs/>
          <w:sz w:val="24"/>
          <w:szCs w:val="24"/>
        </w:rPr>
        <w:t>6</w:t>
      </w:r>
      <w:r>
        <w:rPr>
          <w:sz w:val="24"/>
          <w:szCs w:val="24"/>
        </w:rPr>
        <w:t xml:space="preserve"> sets out the meaning of </w:t>
      </w:r>
      <w:r w:rsidR="00103E5D">
        <w:rPr>
          <w:sz w:val="24"/>
          <w:szCs w:val="24"/>
        </w:rPr>
        <w:t>a</w:t>
      </w:r>
      <w:r w:rsidR="00BB7216">
        <w:rPr>
          <w:sz w:val="24"/>
          <w:szCs w:val="24"/>
        </w:rPr>
        <w:t>n ACAT application,</w:t>
      </w:r>
      <w:r w:rsidR="00103E5D">
        <w:rPr>
          <w:sz w:val="24"/>
          <w:szCs w:val="24"/>
        </w:rPr>
        <w:t xml:space="preserve"> </w:t>
      </w:r>
      <w:r w:rsidR="00103E5D" w:rsidRPr="00F6710F">
        <w:rPr>
          <w:sz w:val="24"/>
          <w:szCs w:val="24"/>
        </w:rPr>
        <w:t>law practice</w:t>
      </w:r>
      <w:r w:rsidR="00BB7216">
        <w:rPr>
          <w:sz w:val="24"/>
          <w:szCs w:val="24"/>
        </w:rPr>
        <w:t xml:space="preserve"> and</w:t>
      </w:r>
      <w:r w:rsidR="00F357A8">
        <w:rPr>
          <w:sz w:val="24"/>
          <w:szCs w:val="24"/>
        </w:rPr>
        <w:t xml:space="preserve"> </w:t>
      </w:r>
      <w:r w:rsidR="00BC07FC">
        <w:rPr>
          <w:sz w:val="24"/>
          <w:szCs w:val="24"/>
        </w:rPr>
        <w:t>reportable information</w:t>
      </w:r>
      <w:r w:rsidR="00F357A8">
        <w:rPr>
          <w:sz w:val="24"/>
          <w:szCs w:val="24"/>
        </w:rPr>
        <w:t>.</w:t>
      </w:r>
      <w:r w:rsidR="00103E5D">
        <w:rPr>
          <w:sz w:val="24"/>
          <w:szCs w:val="24"/>
        </w:rPr>
        <w:t xml:space="preserve"> </w:t>
      </w:r>
    </w:p>
    <w:p w14:paraId="61FDD746" w14:textId="5C701E6B" w:rsidR="00BB7216" w:rsidRPr="00BB7216" w:rsidRDefault="00BB7216" w:rsidP="00A87FFC">
      <w:pPr>
        <w:rPr>
          <w:sz w:val="24"/>
          <w:szCs w:val="24"/>
        </w:rPr>
      </w:pPr>
      <w:r>
        <w:rPr>
          <w:i/>
          <w:iCs/>
          <w:sz w:val="24"/>
          <w:szCs w:val="24"/>
        </w:rPr>
        <w:t xml:space="preserve">ACAT application </w:t>
      </w:r>
      <w:r>
        <w:rPr>
          <w:sz w:val="24"/>
          <w:szCs w:val="24"/>
        </w:rPr>
        <w:t>means an application for external review of an ACAT reviewable decision</w:t>
      </w:r>
      <w:r w:rsidR="006333A2">
        <w:rPr>
          <w:sz w:val="24"/>
          <w:szCs w:val="24"/>
        </w:rPr>
        <w:t xml:space="preserve">. </w:t>
      </w:r>
    </w:p>
    <w:p w14:paraId="64B9845A" w14:textId="31BDE460" w:rsidR="00F01232" w:rsidRPr="00F6710F" w:rsidRDefault="00F01232" w:rsidP="00F6710F">
      <w:pPr>
        <w:rPr>
          <w:i/>
          <w:iCs/>
          <w:sz w:val="24"/>
          <w:szCs w:val="24"/>
        </w:rPr>
      </w:pPr>
      <w:r w:rsidRPr="00F6710F">
        <w:rPr>
          <w:sz w:val="24"/>
          <w:szCs w:val="24"/>
        </w:rPr>
        <w:t xml:space="preserve">A </w:t>
      </w:r>
      <w:r w:rsidRPr="00F6710F">
        <w:rPr>
          <w:i/>
          <w:iCs/>
          <w:sz w:val="24"/>
          <w:szCs w:val="24"/>
        </w:rPr>
        <w:t>law practice</w:t>
      </w:r>
      <w:r w:rsidRPr="00F6710F">
        <w:rPr>
          <w:sz w:val="24"/>
          <w:szCs w:val="24"/>
        </w:rPr>
        <w:t xml:space="preserve"> has the meaning in the </w:t>
      </w:r>
      <w:r w:rsidRPr="00F6710F">
        <w:rPr>
          <w:i/>
          <w:iCs/>
          <w:sz w:val="24"/>
          <w:szCs w:val="24"/>
        </w:rPr>
        <w:t>Legal Profession Act 2006</w:t>
      </w:r>
      <w:r w:rsidR="00F6710F" w:rsidRPr="00F6710F">
        <w:rPr>
          <w:sz w:val="24"/>
          <w:szCs w:val="24"/>
        </w:rPr>
        <w:t xml:space="preserve">. This definition is included </w:t>
      </w:r>
      <w:r w:rsidR="00F35826">
        <w:rPr>
          <w:sz w:val="24"/>
          <w:szCs w:val="24"/>
        </w:rPr>
        <w:t>to clarify it</w:t>
      </w:r>
      <w:r w:rsidR="00F6710F" w:rsidRPr="00F6710F">
        <w:rPr>
          <w:sz w:val="24"/>
          <w:szCs w:val="24"/>
        </w:rPr>
        <w:t xml:space="preserve"> is the obligation of the lawyer to report the information notwithstanding the law practice </w:t>
      </w:r>
      <w:r w:rsidR="00D46686">
        <w:rPr>
          <w:sz w:val="24"/>
          <w:szCs w:val="24"/>
        </w:rPr>
        <w:t xml:space="preserve">may </w:t>
      </w:r>
      <w:r w:rsidR="00F6710F" w:rsidRPr="00F6710F">
        <w:rPr>
          <w:sz w:val="24"/>
          <w:szCs w:val="24"/>
        </w:rPr>
        <w:t xml:space="preserve">undertake </w:t>
      </w:r>
      <w:r w:rsidR="00F35826">
        <w:rPr>
          <w:sz w:val="24"/>
          <w:szCs w:val="24"/>
        </w:rPr>
        <w:t>billing</w:t>
      </w:r>
      <w:r w:rsidR="00F6710F" w:rsidRPr="00F6710F">
        <w:rPr>
          <w:sz w:val="24"/>
          <w:szCs w:val="24"/>
        </w:rPr>
        <w:t xml:space="preserve"> for or on behalf of the </w:t>
      </w:r>
      <w:r w:rsidR="00EE1A96">
        <w:rPr>
          <w:sz w:val="24"/>
          <w:szCs w:val="24"/>
        </w:rPr>
        <w:t>lawyer</w:t>
      </w:r>
      <w:r w:rsidR="00D46686">
        <w:rPr>
          <w:sz w:val="24"/>
          <w:szCs w:val="24"/>
        </w:rPr>
        <w:t xml:space="preserve">. </w:t>
      </w:r>
    </w:p>
    <w:p w14:paraId="3CFF69E6" w14:textId="0ABC76DC" w:rsidR="00873BC3" w:rsidRDefault="00F6710F" w:rsidP="00F6710F">
      <w:pPr>
        <w:rPr>
          <w:sz w:val="24"/>
          <w:szCs w:val="24"/>
        </w:rPr>
      </w:pPr>
      <w:r w:rsidRPr="00F6710F">
        <w:rPr>
          <w:sz w:val="24"/>
          <w:szCs w:val="24"/>
        </w:rPr>
        <w:t>The information that is to be provided by a lawyer</w:t>
      </w:r>
      <w:r w:rsidR="006333A2">
        <w:rPr>
          <w:sz w:val="24"/>
          <w:szCs w:val="24"/>
        </w:rPr>
        <w:t xml:space="preserve"> </w:t>
      </w:r>
      <w:r w:rsidR="006333A2" w:rsidRPr="00995C5D">
        <w:rPr>
          <w:sz w:val="24"/>
          <w:szCs w:val="24"/>
        </w:rPr>
        <w:t>who</w:t>
      </w:r>
      <w:r w:rsidR="00873BC3" w:rsidRPr="00995C5D">
        <w:rPr>
          <w:sz w:val="24"/>
          <w:szCs w:val="24"/>
        </w:rPr>
        <w:t xml:space="preserve"> represent</w:t>
      </w:r>
      <w:r w:rsidR="006333A2" w:rsidRPr="00995C5D">
        <w:rPr>
          <w:sz w:val="24"/>
          <w:szCs w:val="24"/>
        </w:rPr>
        <w:t>ed</w:t>
      </w:r>
      <w:r w:rsidR="00873BC3" w:rsidRPr="00995C5D">
        <w:rPr>
          <w:sz w:val="24"/>
          <w:szCs w:val="24"/>
        </w:rPr>
        <w:t xml:space="preserve"> a client</w:t>
      </w:r>
      <w:r w:rsidRPr="00F6710F">
        <w:rPr>
          <w:sz w:val="24"/>
          <w:szCs w:val="24"/>
        </w:rPr>
        <w:t xml:space="preserve"> is outlined in the definition of</w:t>
      </w:r>
      <w:r>
        <w:rPr>
          <w:b/>
          <w:bCs/>
          <w:i/>
          <w:iCs/>
          <w:sz w:val="24"/>
          <w:szCs w:val="24"/>
        </w:rPr>
        <w:t xml:space="preserve"> </w:t>
      </w:r>
      <w:r w:rsidRPr="00F6710F">
        <w:rPr>
          <w:i/>
          <w:iCs/>
          <w:sz w:val="24"/>
          <w:szCs w:val="24"/>
        </w:rPr>
        <w:t>r</w:t>
      </w:r>
      <w:r w:rsidR="00C75303" w:rsidRPr="00F6710F">
        <w:rPr>
          <w:i/>
          <w:iCs/>
          <w:sz w:val="24"/>
          <w:szCs w:val="24"/>
        </w:rPr>
        <w:t>eportable information</w:t>
      </w:r>
      <w:r>
        <w:rPr>
          <w:i/>
          <w:iCs/>
          <w:sz w:val="24"/>
          <w:szCs w:val="24"/>
        </w:rPr>
        <w:t xml:space="preserve">. </w:t>
      </w:r>
      <w:r>
        <w:rPr>
          <w:sz w:val="24"/>
          <w:szCs w:val="24"/>
        </w:rPr>
        <w:t>The provide</w:t>
      </w:r>
      <w:r w:rsidR="00F357A8">
        <w:rPr>
          <w:sz w:val="24"/>
          <w:szCs w:val="24"/>
        </w:rPr>
        <w:t>s</w:t>
      </w:r>
      <w:r>
        <w:rPr>
          <w:sz w:val="24"/>
          <w:szCs w:val="24"/>
        </w:rPr>
        <w:t xml:space="preserve"> for the costs of legal services to be reported, and includes a </w:t>
      </w:r>
      <w:r w:rsidRPr="00F6710F">
        <w:rPr>
          <w:sz w:val="24"/>
          <w:szCs w:val="24"/>
        </w:rPr>
        <w:t xml:space="preserve">costs and disbursements estimate, actual amounts billed by the lawyer or a law practice representing the </w:t>
      </w:r>
      <w:r>
        <w:rPr>
          <w:sz w:val="24"/>
          <w:szCs w:val="24"/>
        </w:rPr>
        <w:t>client</w:t>
      </w:r>
      <w:r w:rsidRPr="00F6710F">
        <w:rPr>
          <w:sz w:val="24"/>
          <w:szCs w:val="24"/>
        </w:rPr>
        <w:t xml:space="preserve"> and payable by the client, and any deductions from the amount ordered to be </w:t>
      </w:r>
      <w:r w:rsidR="00873BC3" w:rsidRPr="00F6710F">
        <w:rPr>
          <w:sz w:val="24"/>
          <w:szCs w:val="24"/>
        </w:rPr>
        <w:t>paid or</w:t>
      </w:r>
      <w:r w:rsidRPr="00F6710F">
        <w:rPr>
          <w:sz w:val="24"/>
          <w:szCs w:val="24"/>
        </w:rPr>
        <w:t xml:space="preserve"> awarded to the client.  This information may include fees payable to a lawyer who previously represented the client in relation to the application or claim</w:t>
      </w:r>
      <w:r w:rsidR="006333A2">
        <w:rPr>
          <w:sz w:val="24"/>
          <w:szCs w:val="24"/>
        </w:rPr>
        <w:t xml:space="preserve">. </w:t>
      </w:r>
    </w:p>
    <w:p w14:paraId="66F3396B" w14:textId="52C1D248" w:rsidR="00D619B7" w:rsidRDefault="00873BC3" w:rsidP="00F6710F">
      <w:pPr>
        <w:rPr>
          <w:sz w:val="24"/>
          <w:szCs w:val="24"/>
        </w:rPr>
      </w:pPr>
      <w:r w:rsidRPr="00995C5D">
        <w:rPr>
          <w:sz w:val="24"/>
          <w:szCs w:val="24"/>
        </w:rPr>
        <w:t xml:space="preserve">Information about the amount of costs or disbursements associated with making the application or claim, and fees for any medical or health reports included or likely to be included in an application for costs, must also be reported. </w:t>
      </w:r>
      <w:r w:rsidR="003F71A7">
        <w:rPr>
          <w:sz w:val="24"/>
          <w:szCs w:val="24"/>
        </w:rPr>
        <w:t xml:space="preserve">The information will be matched after entry into to the portal with information held by the MAI Commission, including costs incurred by insurers. </w:t>
      </w:r>
    </w:p>
    <w:p w14:paraId="261CE182" w14:textId="77777777" w:rsidR="00A87FFC" w:rsidRPr="00602744" w:rsidRDefault="00A87FFC" w:rsidP="00A87FFC">
      <w:pPr>
        <w:rPr>
          <w:rFonts w:cstheme="minorHAnsi"/>
          <w:b/>
          <w:sz w:val="24"/>
          <w:szCs w:val="24"/>
        </w:rPr>
      </w:pPr>
      <w:r w:rsidRPr="00602744">
        <w:rPr>
          <w:rFonts w:cstheme="minorHAnsi"/>
          <w:b/>
          <w:sz w:val="24"/>
          <w:szCs w:val="24"/>
        </w:rPr>
        <w:t>Dictionary</w:t>
      </w:r>
    </w:p>
    <w:p w14:paraId="3D040B8C" w14:textId="3C1C976E" w:rsidR="00A87FFC" w:rsidRPr="00602744" w:rsidRDefault="00A87FFC" w:rsidP="00A87FFC">
      <w:pPr>
        <w:rPr>
          <w:rFonts w:cstheme="minorHAnsi"/>
          <w:sz w:val="24"/>
          <w:szCs w:val="24"/>
        </w:rPr>
      </w:pPr>
      <w:r w:rsidRPr="00602744">
        <w:rPr>
          <w:rFonts w:cstheme="minorHAnsi"/>
          <w:sz w:val="24"/>
          <w:szCs w:val="24"/>
        </w:rPr>
        <w:t xml:space="preserve">The Dictionary contains </w:t>
      </w:r>
      <w:r w:rsidR="00F6710F">
        <w:rPr>
          <w:rFonts w:cstheme="minorHAnsi"/>
          <w:sz w:val="24"/>
          <w:szCs w:val="24"/>
        </w:rPr>
        <w:t>references to definitions of terms defined in other legislation and are</w:t>
      </w:r>
      <w:r w:rsidRPr="00602744">
        <w:rPr>
          <w:rFonts w:cstheme="minorHAnsi"/>
          <w:sz w:val="24"/>
          <w:szCs w:val="24"/>
        </w:rPr>
        <w:t xml:space="preserve"> relevant to the </w:t>
      </w:r>
      <w:r w:rsidR="009A005E">
        <w:rPr>
          <w:rFonts w:cstheme="minorHAnsi"/>
          <w:sz w:val="24"/>
          <w:szCs w:val="24"/>
        </w:rPr>
        <w:t>r</w:t>
      </w:r>
      <w:r w:rsidRPr="00602744">
        <w:rPr>
          <w:rFonts w:cstheme="minorHAnsi"/>
          <w:sz w:val="24"/>
          <w:szCs w:val="24"/>
        </w:rPr>
        <w:t>egulation.</w:t>
      </w:r>
    </w:p>
    <w:p w14:paraId="5F3BD319" w14:textId="77777777" w:rsidR="00A87FFC" w:rsidRPr="00602744" w:rsidRDefault="00A87FFC" w:rsidP="00A87FFC">
      <w:pPr>
        <w:rPr>
          <w:rFonts w:cstheme="minorHAnsi"/>
          <w:sz w:val="24"/>
          <w:szCs w:val="24"/>
        </w:rPr>
      </w:pPr>
    </w:p>
    <w:p w14:paraId="151E4CBD" w14:textId="77777777" w:rsidR="00F02C60" w:rsidRDefault="00F02C60">
      <w:pPr>
        <w:rPr>
          <w:sz w:val="28"/>
          <w:szCs w:val="28"/>
        </w:rPr>
      </w:pPr>
    </w:p>
    <w:sectPr w:rsidR="00F02C6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1E5B6" w14:textId="77777777" w:rsidR="00154D5F" w:rsidRDefault="00154D5F" w:rsidP="00154D5F">
      <w:pPr>
        <w:spacing w:after="0" w:line="240" w:lineRule="auto"/>
      </w:pPr>
      <w:r>
        <w:separator/>
      </w:r>
    </w:p>
  </w:endnote>
  <w:endnote w:type="continuationSeparator" w:id="0">
    <w:p w14:paraId="1E1096AA" w14:textId="77777777" w:rsidR="00154D5F" w:rsidRDefault="00154D5F" w:rsidP="0015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25AE" w14:textId="77777777" w:rsidR="00592148" w:rsidRDefault="00592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2261301"/>
      <w:docPartObj>
        <w:docPartGallery w:val="Page Numbers (Bottom of Page)"/>
        <w:docPartUnique/>
      </w:docPartObj>
    </w:sdtPr>
    <w:sdtEndPr>
      <w:rPr>
        <w:noProof/>
      </w:rPr>
    </w:sdtEndPr>
    <w:sdtContent>
      <w:p w14:paraId="7581A851" w14:textId="77777777" w:rsidR="00154D5F" w:rsidRDefault="00154D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231EF8" w14:textId="49A8ADC2" w:rsidR="00154D5F" w:rsidRPr="00DB1625" w:rsidRDefault="00DB1625" w:rsidP="00DB1625">
    <w:pPr>
      <w:pStyle w:val="Footer"/>
      <w:jc w:val="center"/>
      <w:rPr>
        <w:rFonts w:ascii="Arial" w:hAnsi="Arial" w:cs="Arial"/>
        <w:sz w:val="14"/>
      </w:rPr>
    </w:pPr>
    <w:r w:rsidRPr="00DB162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286E3" w14:textId="77777777" w:rsidR="00592148" w:rsidRDefault="00592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DC19D" w14:textId="77777777" w:rsidR="00154D5F" w:rsidRDefault="00154D5F" w:rsidP="00154D5F">
      <w:pPr>
        <w:spacing w:after="0" w:line="240" w:lineRule="auto"/>
      </w:pPr>
      <w:r>
        <w:separator/>
      </w:r>
    </w:p>
  </w:footnote>
  <w:footnote w:type="continuationSeparator" w:id="0">
    <w:p w14:paraId="23CD4035" w14:textId="77777777" w:rsidR="00154D5F" w:rsidRDefault="00154D5F" w:rsidP="00154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09639" w14:textId="77777777" w:rsidR="00592148" w:rsidRDefault="00592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D2B0A" w14:textId="77777777" w:rsidR="00592148" w:rsidRDefault="005921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E2379" w14:textId="77777777" w:rsidR="00592148" w:rsidRDefault="00592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76E5B"/>
    <w:multiLevelType w:val="hybridMultilevel"/>
    <w:tmpl w:val="7A963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625"/>
    <w:rsid w:val="00012B20"/>
    <w:rsid w:val="000270E6"/>
    <w:rsid w:val="000328DA"/>
    <w:rsid w:val="00034625"/>
    <w:rsid w:val="0004194E"/>
    <w:rsid w:val="00075C8A"/>
    <w:rsid w:val="0007667F"/>
    <w:rsid w:val="00077BEC"/>
    <w:rsid w:val="00083861"/>
    <w:rsid w:val="00087B25"/>
    <w:rsid w:val="00091085"/>
    <w:rsid w:val="000A2747"/>
    <w:rsid w:val="000B131B"/>
    <w:rsid w:val="000B6F66"/>
    <w:rsid w:val="000B7148"/>
    <w:rsid w:val="000B724F"/>
    <w:rsid w:val="000B7ED9"/>
    <w:rsid w:val="000F7539"/>
    <w:rsid w:val="00103E5D"/>
    <w:rsid w:val="001124CB"/>
    <w:rsid w:val="001160FA"/>
    <w:rsid w:val="00120640"/>
    <w:rsid w:val="0013154F"/>
    <w:rsid w:val="00154D5F"/>
    <w:rsid w:val="00165BB0"/>
    <w:rsid w:val="00167406"/>
    <w:rsid w:val="00171746"/>
    <w:rsid w:val="00172E1C"/>
    <w:rsid w:val="00174036"/>
    <w:rsid w:val="001751EC"/>
    <w:rsid w:val="0018608F"/>
    <w:rsid w:val="00190905"/>
    <w:rsid w:val="00196D40"/>
    <w:rsid w:val="001B2992"/>
    <w:rsid w:val="001C0117"/>
    <w:rsid w:val="001C6EBD"/>
    <w:rsid w:val="001D0100"/>
    <w:rsid w:val="001F407E"/>
    <w:rsid w:val="002071A6"/>
    <w:rsid w:val="00213F40"/>
    <w:rsid w:val="00217F02"/>
    <w:rsid w:val="00231CE6"/>
    <w:rsid w:val="002350FD"/>
    <w:rsid w:val="002453F9"/>
    <w:rsid w:val="0025456A"/>
    <w:rsid w:val="002602EF"/>
    <w:rsid w:val="00262BBE"/>
    <w:rsid w:val="00281671"/>
    <w:rsid w:val="002879CC"/>
    <w:rsid w:val="002A3600"/>
    <w:rsid w:val="002B5F3A"/>
    <w:rsid w:val="002C228B"/>
    <w:rsid w:val="002D2F8D"/>
    <w:rsid w:val="002D3973"/>
    <w:rsid w:val="002F75D7"/>
    <w:rsid w:val="003104CC"/>
    <w:rsid w:val="00331D6D"/>
    <w:rsid w:val="003336FC"/>
    <w:rsid w:val="00337B58"/>
    <w:rsid w:val="00340DEE"/>
    <w:rsid w:val="003443DB"/>
    <w:rsid w:val="00344DD6"/>
    <w:rsid w:val="00346B0D"/>
    <w:rsid w:val="00351B98"/>
    <w:rsid w:val="00375ECA"/>
    <w:rsid w:val="00376412"/>
    <w:rsid w:val="003A0EDF"/>
    <w:rsid w:val="003A41E9"/>
    <w:rsid w:val="003A5855"/>
    <w:rsid w:val="003A70AB"/>
    <w:rsid w:val="003A7BDF"/>
    <w:rsid w:val="003B1DE8"/>
    <w:rsid w:val="003B3323"/>
    <w:rsid w:val="003B50F3"/>
    <w:rsid w:val="003C106D"/>
    <w:rsid w:val="003C59B7"/>
    <w:rsid w:val="003E4180"/>
    <w:rsid w:val="003E739C"/>
    <w:rsid w:val="003F71A7"/>
    <w:rsid w:val="00423087"/>
    <w:rsid w:val="004324BF"/>
    <w:rsid w:val="004346E9"/>
    <w:rsid w:val="004520BC"/>
    <w:rsid w:val="0045264F"/>
    <w:rsid w:val="00461453"/>
    <w:rsid w:val="00470AF0"/>
    <w:rsid w:val="00471CEE"/>
    <w:rsid w:val="00475A78"/>
    <w:rsid w:val="00482EFF"/>
    <w:rsid w:val="00483171"/>
    <w:rsid w:val="00491742"/>
    <w:rsid w:val="00492349"/>
    <w:rsid w:val="004B5C4D"/>
    <w:rsid w:val="004C5CDC"/>
    <w:rsid w:val="004D0988"/>
    <w:rsid w:val="004D2AEC"/>
    <w:rsid w:val="004E292E"/>
    <w:rsid w:val="004F00CA"/>
    <w:rsid w:val="004F6301"/>
    <w:rsid w:val="00501D76"/>
    <w:rsid w:val="005024DF"/>
    <w:rsid w:val="00505BA1"/>
    <w:rsid w:val="00512144"/>
    <w:rsid w:val="00515275"/>
    <w:rsid w:val="00526590"/>
    <w:rsid w:val="0052706F"/>
    <w:rsid w:val="005474DB"/>
    <w:rsid w:val="00547B2A"/>
    <w:rsid w:val="00552E0E"/>
    <w:rsid w:val="0055466E"/>
    <w:rsid w:val="00556B0C"/>
    <w:rsid w:val="005633E1"/>
    <w:rsid w:val="005734FB"/>
    <w:rsid w:val="005748BF"/>
    <w:rsid w:val="00577AF4"/>
    <w:rsid w:val="00584DC4"/>
    <w:rsid w:val="00592148"/>
    <w:rsid w:val="005A174D"/>
    <w:rsid w:val="005B1C04"/>
    <w:rsid w:val="005B39E5"/>
    <w:rsid w:val="005C1E78"/>
    <w:rsid w:val="005D282E"/>
    <w:rsid w:val="005E1E0F"/>
    <w:rsid w:val="005E5A40"/>
    <w:rsid w:val="005F027E"/>
    <w:rsid w:val="00602744"/>
    <w:rsid w:val="00611F9C"/>
    <w:rsid w:val="00614366"/>
    <w:rsid w:val="0061738A"/>
    <w:rsid w:val="0062238D"/>
    <w:rsid w:val="006333A2"/>
    <w:rsid w:val="00646883"/>
    <w:rsid w:val="00663D76"/>
    <w:rsid w:val="0066557C"/>
    <w:rsid w:val="00665D53"/>
    <w:rsid w:val="00665D5D"/>
    <w:rsid w:val="00666B29"/>
    <w:rsid w:val="00683F93"/>
    <w:rsid w:val="00691C01"/>
    <w:rsid w:val="006A52BA"/>
    <w:rsid w:val="006B1D71"/>
    <w:rsid w:val="006B2B5D"/>
    <w:rsid w:val="006E3CC9"/>
    <w:rsid w:val="007030BF"/>
    <w:rsid w:val="00713C55"/>
    <w:rsid w:val="00717F25"/>
    <w:rsid w:val="007324D5"/>
    <w:rsid w:val="007504ED"/>
    <w:rsid w:val="00767726"/>
    <w:rsid w:val="00781A23"/>
    <w:rsid w:val="0078326E"/>
    <w:rsid w:val="00793052"/>
    <w:rsid w:val="00793E52"/>
    <w:rsid w:val="007B057D"/>
    <w:rsid w:val="007B0BA0"/>
    <w:rsid w:val="007C1B7F"/>
    <w:rsid w:val="007C30ED"/>
    <w:rsid w:val="007D4BA5"/>
    <w:rsid w:val="007D6C0F"/>
    <w:rsid w:val="007E3796"/>
    <w:rsid w:val="007F1836"/>
    <w:rsid w:val="007F19A7"/>
    <w:rsid w:val="007F2444"/>
    <w:rsid w:val="007F6732"/>
    <w:rsid w:val="007F6752"/>
    <w:rsid w:val="008260C6"/>
    <w:rsid w:val="0085365E"/>
    <w:rsid w:val="00873BC3"/>
    <w:rsid w:val="008764E6"/>
    <w:rsid w:val="00876D69"/>
    <w:rsid w:val="00880AE7"/>
    <w:rsid w:val="008827A6"/>
    <w:rsid w:val="00883111"/>
    <w:rsid w:val="00884F0E"/>
    <w:rsid w:val="008873DA"/>
    <w:rsid w:val="00894399"/>
    <w:rsid w:val="008952F3"/>
    <w:rsid w:val="008A39EA"/>
    <w:rsid w:val="008A7654"/>
    <w:rsid w:val="008B2786"/>
    <w:rsid w:val="008C37F3"/>
    <w:rsid w:val="008D20AC"/>
    <w:rsid w:val="008E2780"/>
    <w:rsid w:val="008E6EB3"/>
    <w:rsid w:val="00901F6D"/>
    <w:rsid w:val="00905E05"/>
    <w:rsid w:val="0091473F"/>
    <w:rsid w:val="0094768C"/>
    <w:rsid w:val="00952610"/>
    <w:rsid w:val="00952921"/>
    <w:rsid w:val="0095496A"/>
    <w:rsid w:val="00957D11"/>
    <w:rsid w:val="00966842"/>
    <w:rsid w:val="009824A0"/>
    <w:rsid w:val="00995C5D"/>
    <w:rsid w:val="009A005E"/>
    <w:rsid w:val="009B1565"/>
    <w:rsid w:val="009B4977"/>
    <w:rsid w:val="009C5900"/>
    <w:rsid w:val="009D59EE"/>
    <w:rsid w:val="009F3C03"/>
    <w:rsid w:val="00A21332"/>
    <w:rsid w:val="00A32A7F"/>
    <w:rsid w:val="00A33E1C"/>
    <w:rsid w:val="00A35E80"/>
    <w:rsid w:val="00A367EF"/>
    <w:rsid w:val="00A37E2A"/>
    <w:rsid w:val="00A42A3B"/>
    <w:rsid w:val="00A6072B"/>
    <w:rsid w:val="00A8415A"/>
    <w:rsid w:val="00A84393"/>
    <w:rsid w:val="00A87FFC"/>
    <w:rsid w:val="00A957EE"/>
    <w:rsid w:val="00AC1403"/>
    <w:rsid w:val="00AC5195"/>
    <w:rsid w:val="00AE00AE"/>
    <w:rsid w:val="00AE6A8F"/>
    <w:rsid w:val="00B01D33"/>
    <w:rsid w:val="00B22D4D"/>
    <w:rsid w:val="00B44A2B"/>
    <w:rsid w:val="00B4776C"/>
    <w:rsid w:val="00B51884"/>
    <w:rsid w:val="00B51DF5"/>
    <w:rsid w:val="00B53A37"/>
    <w:rsid w:val="00B72701"/>
    <w:rsid w:val="00B74A90"/>
    <w:rsid w:val="00B83E3A"/>
    <w:rsid w:val="00B84531"/>
    <w:rsid w:val="00BA1932"/>
    <w:rsid w:val="00BB7216"/>
    <w:rsid w:val="00BC07FC"/>
    <w:rsid w:val="00BC3D6E"/>
    <w:rsid w:val="00BC772F"/>
    <w:rsid w:val="00BD029A"/>
    <w:rsid w:val="00BD160F"/>
    <w:rsid w:val="00BD2EA2"/>
    <w:rsid w:val="00C13E72"/>
    <w:rsid w:val="00C150F6"/>
    <w:rsid w:val="00C15428"/>
    <w:rsid w:val="00C17FD3"/>
    <w:rsid w:val="00C2246B"/>
    <w:rsid w:val="00C25812"/>
    <w:rsid w:val="00C26178"/>
    <w:rsid w:val="00C27B67"/>
    <w:rsid w:val="00C321D0"/>
    <w:rsid w:val="00C35665"/>
    <w:rsid w:val="00C40E17"/>
    <w:rsid w:val="00C50E87"/>
    <w:rsid w:val="00C51347"/>
    <w:rsid w:val="00C67745"/>
    <w:rsid w:val="00C74543"/>
    <w:rsid w:val="00C75303"/>
    <w:rsid w:val="00C87ADC"/>
    <w:rsid w:val="00C91C5C"/>
    <w:rsid w:val="00C9753D"/>
    <w:rsid w:val="00CA32F1"/>
    <w:rsid w:val="00CA4595"/>
    <w:rsid w:val="00CA698B"/>
    <w:rsid w:val="00D00557"/>
    <w:rsid w:val="00D01593"/>
    <w:rsid w:val="00D30A46"/>
    <w:rsid w:val="00D340A1"/>
    <w:rsid w:val="00D417A4"/>
    <w:rsid w:val="00D4303A"/>
    <w:rsid w:val="00D46686"/>
    <w:rsid w:val="00D55B07"/>
    <w:rsid w:val="00D619B7"/>
    <w:rsid w:val="00D6207F"/>
    <w:rsid w:val="00D770C6"/>
    <w:rsid w:val="00D81A59"/>
    <w:rsid w:val="00DA38C5"/>
    <w:rsid w:val="00DA7AF2"/>
    <w:rsid w:val="00DB1625"/>
    <w:rsid w:val="00DB231D"/>
    <w:rsid w:val="00DB252B"/>
    <w:rsid w:val="00DB6C7E"/>
    <w:rsid w:val="00DB6F8D"/>
    <w:rsid w:val="00DC6E39"/>
    <w:rsid w:val="00DD0E6E"/>
    <w:rsid w:val="00DD1F6F"/>
    <w:rsid w:val="00DE3CCA"/>
    <w:rsid w:val="00DF7F02"/>
    <w:rsid w:val="00E03A5A"/>
    <w:rsid w:val="00E11F8F"/>
    <w:rsid w:val="00E15420"/>
    <w:rsid w:val="00E32F02"/>
    <w:rsid w:val="00E32F16"/>
    <w:rsid w:val="00E564EE"/>
    <w:rsid w:val="00E63A90"/>
    <w:rsid w:val="00E74CC8"/>
    <w:rsid w:val="00E92854"/>
    <w:rsid w:val="00EB0DB6"/>
    <w:rsid w:val="00ED037A"/>
    <w:rsid w:val="00ED1D82"/>
    <w:rsid w:val="00ED6287"/>
    <w:rsid w:val="00EE1A96"/>
    <w:rsid w:val="00F01232"/>
    <w:rsid w:val="00F02C60"/>
    <w:rsid w:val="00F070D0"/>
    <w:rsid w:val="00F10271"/>
    <w:rsid w:val="00F110F1"/>
    <w:rsid w:val="00F171AF"/>
    <w:rsid w:val="00F173D4"/>
    <w:rsid w:val="00F27A2E"/>
    <w:rsid w:val="00F357A8"/>
    <w:rsid w:val="00F35826"/>
    <w:rsid w:val="00F35EFE"/>
    <w:rsid w:val="00F4537F"/>
    <w:rsid w:val="00F67033"/>
    <w:rsid w:val="00F6710F"/>
    <w:rsid w:val="00F67A6E"/>
    <w:rsid w:val="00F70E4E"/>
    <w:rsid w:val="00F84D19"/>
    <w:rsid w:val="00F94CFB"/>
    <w:rsid w:val="00FB09A2"/>
    <w:rsid w:val="00FB2B33"/>
    <w:rsid w:val="00FB6382"/>
    <w:rsid w:val="00FC723D"/>
    <w:rsid w:val="00FD2A62"/>
    <w:rsid w:val="00FF2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F398A"/>
  <w15:chartTrackingRefBased/>
  <w15:docId w15:val="{AB09EBDF-A970-4FB6-90C5-1042F4EB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1932"/>
    <w:rPr>
      <w:color w:val="808080"/>
    </w:rPr>
  </w:style>
  <w:style w:type="paragraph" w:customStyle="1" w:styleId="Billname">
    <w:name w:val="Billname"/>
    <w:basedOn w:val="Normal"/>
    <w:rsid w:val="00F02C60"/>
    <w:pPr>
      <w:tabs>
        <w:tab w:val="left" w:pos="2400"/>
        <w:tab w:val="left" w:pos="2880"/>
      </w:tabs>
      <w:spacing w:before="1220" w:after="100" w:line="240" w:lineRule="auto"/>
    </w:pPr>
    <w:rPr>
      <w:rFonts w:ascii="Arial" w:eastAsia="Times New Roman" w:hAnsi="Arial" w:cs="Times New Roman"/>
      <w:b/>
      <w:sz w:val="40"/>
      <w:szCs w:val="20"/>
    </w:rPr>
  </w:style>
  <w:style w:type="paragraph" w:customStyle="1" w:styleId="N-line3">
    <w:name w:val="N-line3"/>
    <w:basedOn w:val="Normal"/>
    <w:next w:val="Normal"/>
    <w:rsid w:val="00F02C60"/>
    <w:pPr>
      <w:pBdr>
        <w:bottom w:val="single" w:sz="12" w:space="1" w:color="auto"/>
      </w:pBdr>
      <w:spacing w:after="0" w:line="240" w:lineRule="auto"/>
      <w:jc w:val="both"/>
    </w:pPr>
    <w:rPr>
      <w:rFonts w:ascii="Times New Roman" w:eastAsia="Times New Roman" w:hAnsi="Times New Roman" w:cs="Times New Roman"/>
      <w:sz w:val="24"/>
      <w:szCs w:val="20"/>
    </w:rPr>
  </w:style>
  <w:style w:type="paragraph" w:customStyle="1" w:styleId="madeunder">
    <w:name w:val="made under"/>
    <w:basedOn w:val="Normal"/>
    <w:rsid w:val="00F02C60"/>
    <w:pPr>
      <w:spacing w:before="180" w:after="60" w:line="240" w:lineRule="auto"/>
      <w:jc w:val="both"/>
    </w:pPr>
    <w:rPr>
      <w:rFonts w:ascii="Times New Roman" w:eastAsia="Times New Roman" w:hAnsi="Times New Roman" w:cs="Times New Roman"/>
      <w:sz w:val="24"/>
      <w:szCs w:val="20"/>
    </w:rPr>
  </w:style>
  <w:style w:type="paragraph" w:customStyle="1" w:styleId="CoverActName">
    <w:name w:val="CoverActName"/>
    <w:basedOn w:val="Normal"/>
    <w:rsid w:val="00F02C60"/>
    <w:pPr>
      <w:tabs>
        <w:tab w:val="left" w:pos="2600"/>
      </w:tabs>
      <w:spacing w:before="200" w:after="60" w:line="240" w:lineRule="auto"/>
      <w:jc w:val="both"/>
    </w:pPr>
    <w:rPr>
      <w:rFonts w:ascii="Arial" w:eastAsia="Times New Roman" w:hAnsi="Arial" w:cs="Times New Roman"/>
      <w:b/>
      <w:sz w:val="24"/>
      <w:szCs w:val="20"/>
    </w:rPr>
  </w:style>
  <w:style w:type="paragraph" w:styleId="Header">
    <w:name w:val="header"/>
    <w:basedOn w:val="Normal"/>
    <w:link w:val="HeaderChar"/>
    <w:uiPriority w:val="99"/>
    <w:unhideWhenUsed/>
    <w:rsid w:val="00154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D5F"/>
  </w:style>
  <w:style w:type="paragraph" w:styleId="Footer">
    <w:name w:val="footer"/>
    <w:basedOn w:val="Normal"/>
    <w:link w:val="FooterChar"/>
    <w:uiPriority w:val="99"/>
    <w:unhideWhenUsed/>
    <w:rsid w:val="00154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D5F"/>
  </w:style>
  <w:style w:type="paragraph" w:styleId="BalloonText">
    <w:name w:val="Balloon Text"/>
    <w:basedOn w:val="Normal"/>
    <w:link w:val="BalloonTextChar"/>
    <w:uiPriority w:val="99"/>
    <w:semiHidden/>
    <w:unhideWhenUsed/>
    <w:rsid w:val="00894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399"/>
    <w:rPr>
      <w:rFonts w:ascii="Segoe UI" w:hAnsi="Segoe UI" w:cs="Segoe UI"/>
      <w:sz w:val="18"/>
      <w:szCs w:val="18"/>
    </w:rPr>
  </w:style>
  <w:style w:type="character" w:styleId="CommentReference">
    <w:name w:val="annotation reference"/>
    <w:basedOn w:val="DefaultParagraphFont"/>
    <w:uiPriority w:val="99"/>
    <w:semiHidden/>
    <w:unhideWhenUsed/>
    <w:rsid w:val="003E4180"/>
    <w:rPr>
      <w:sz w:val="16"/>
      <w:szCs w:val="16"/>
    </w:rPr>
  </w:style>
  <w:style w:type="paragraph" w:styleId="CommentText">
    <w:name w:val="annotation text"/>
    <w:basedOn w:val="Normal"/>
    <w:link w:val="CommentTextChar"/>
    <w:uiPriority w:val="99"/>
    <w:semiHidden/>
    <w:unhideWhenUsed/>
    <w:rsid w:val="003E4180"/>
    <w:pPr>
      <w:spacing w:line="240" w:lineRule="auto"/>
    </w:pPr>
    <w:rPr>
      <w:sz w:val="20"/>
      <w:szCs w:val="20"/>
    </w:rPr>
  </w:style>
  <w:style w:type="character" w:customStyle="1" w:styleId="CommentTextChar">
    <w:name w:val="Comment Text Char"/>
    <w:basedOn w:val="DefaultParagraphFont"/>
    <w:link w:val="CommentText"/>
    <w:uiPriority w:val="99"/>
    <w:semiHidden/>
    <w:rsid w:val="003E4180"/>
    <w:rPr>
      <w:sz w:val="20"/>
      <w:szCs w:val="20"/>
    </w:rPr>
  </w:style>
  <w:style w:type="paragraph" w:styleId="CommentSubject">
    <w:name w:val="annotation subject"/>
    <w:basedOn w:val="CommentText"/>
    <w:next w:val="CommentText"/>
    <w:link w:val="CommentSubjectChar"/>
    <w:uiPriority w:val="99"/>
    <w:semiHidden/>
    <w:unhideWhenUsed/>
    <w:rsid w:val="003E4180"/>
    <w:rPr>
      <w:b/>
      <w:bCs/>
    </w:rPr>
  </w:style>
  <w:style w:type="character" w:customStyle="1" w:styleId="CommentSubjectChar">
    <w:name w:val="Comment Subject Char"/>
    <w:basedOn w:val="CommentTextChar"/>
    <w:link w:val="CommentSubject"/>
    <w:uiPriority w:val="99"/>
    <w:semiHidden/>
    <w:rsid w:val="003E4180"/>
    <w:rPr>
      <w:b/>
      <w:bCs/>
      <w:sz w:val="20"/>
      <w:szCs w:val="20"/>
    </w:rPr>
  </w:style>
  <w:style w:type="paragraph" w:styleId="ListParagraph">
    <w:name w:val="List Paragraph"/>
    <w:basedOn w:val="Normal"/>
    <w:uiPriority w:val="34"/>
    <w:qFormat/>
    <w:rsid w:val="00A32A7F"/>
    <w:pPr>
      <w:ind w:left="720"/>
      <w:contextualSpacing/>
    </w:pPr>
  </w:style>
  <w:style w:type="character" w:styleId="Hyperlink">
    <w:name w:val="Hyperlink"/>
    <w:basedOn w:val="DefaultParagraphFont"/>
    <w:uiPriority w:val="99"/>
    <w:unhideWhenUsed/>
    <w:rsid w:val="00BB7216"/>
    <w:rPr>
      <w:color w:val="0563C1" w:themeColor="hyperlink"/>
      <w:u w:val="single"/>
    </w:rPr>
  </w:style>
  <w:style w:type="character" w:styleId="UnresolvedMention">
    <w:name w:val="Unresolved Mention"/>
    <w:basedOn w:val="DefaultParagraphFont"/>
    <w:uiPriority w:val="99"/>
    <w:semiHidden/>
    <w:unhideWhenUsed/>
    <w:rsid w:val="00BB7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759847">
      <w:bodyDiv w:val="1"/>
      <w:marLeft w:val="0"/>
      <w:marRight w:val="0"/>
      <w:marTop w:val="0"/>
      <w:marBottom w:val="0"/>
      <w:divBdr>
        <w:top w:val="none" w:sz="0" w:space="0" w:color="auto"/>
        <w:left w:val="none" w:sz="0" w:space="0" w:color="auto"/>
        <w:bottom w:val="none" w:sz="0" w:space="0" w:color="auto"/>
        <w:right w:val="none" w:sz="0" w:space="0" w:color="auto"/>
      </w:divBdr>
    </w:div>
    <w:div w:id="935216500">
      <w:bodyDiv w:val="1"/>
      <w:marLeft w:val="0"/>
      <w:marRight w:val="0"/>
      <w:marTop w:val="0"/>
      <w:marBottom w:val="0"/>
      <w:divBdr>
        <w:top w:val="none" w:sz="0" w:space="0" w:color="auto"/>
        <w:left w:val="none" w:sz="0" w:space="0" w:color="auto"/>
        <w:bottom w:val="none" w:sz="0" w:space="0" w:color="auto"/>
        <w:right w:val="none" w:sz="0" w:space="0" w:color="auto"/>
      </w:divBdr>
    </w:div>
    <w:div w:id="1577545011">
      <w:bodyDiv w:val="1"/>
      <w:marLeft w:val="0"/>
      <w:marRight w:val="0"/>
      <w:marTop w:val="0"/>
      <w:marBottom w:val="0"/>
      <w:divBdr>
        <w:top w:val="none" w:sz="0" w:space="0" w:color="auto"/>
        <w:left w:val="none" w:sz="0" w:space="0" w:color="auto"/>
        <w:bottom w:val="none" w:sz="0" w:space="0" w:color="auto"/>
        <w:right w:val="none" w:sz="0" w:space="0" w:color="auto"/>
      </w:divBdr>
    </w:div>
    <w:div w:id="185430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ct.gov.au/mai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4658</Characters>
  <Application>Microsoft Office Word</Application>
  <DocSecurity>0</DocSecurity>
  <Lines>90</Lines>
  <Paragraphs>30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Lejins, Erica</dc:creator>
  <cp:keywords/>
  <dc:description/>
  <cp:lastModifiedBy>Moxon, KarenL</cp:lastModifiedBy>
  <cp:revision>4</cp:revision>
  <cp:lastPrinted>2021-07-08T00:02:00Z</cp:lastPrinted>
  <dcterms:created xsi:type="dcterms:W3CDTF">2021-10-18T22:45:00Z</dcterms:created>
  <dcterms:modified xsi:type="dcterms:W3CDTF">2021-10-18T22:45:00Z</dcterms:modified>
</cp:coreProperties>
</file>