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B067" w14:textId="77777777" w:rsidR="00C17FAB" w:rsidRPr="00265FE9" w:rsidRDefault="00C17FAB">
      <w:pPr>
        <w:spacing w:before="120"/>
        <w:rPr>
          <w:rFonts w:asciiTheme="minorHAnsi" w:hAnsiTheme="minorHAnsi" w:cs="Arial"/>
        </w:rPr>
      </w:pPr>
      <w:bookmarkStart w:id="0" w:name="_Toc44738651"/>
      <w:r w:rsidRPr="00265FE9">
        <w:rPr>
          <w:rFonts w:asciiTheme="minorHAnsi" w:hAnsiTheme="minorHAnsi" w:cs="Arial"/>
        </w:rPr>
        <w:t>Australian Capital Territory</w:t>
      </w:r>
    </w:p>
    <w:p w14:paraId="7D8C3CED" w14:textId="4C3584BB" w:rsidR="00C17FAB" w:rsidRPr="00265FE9" w:rsidRDefault="004D6598">
      <w:pPr>
        <w:pStyle w:val="Billname"/>
        <w:spacing w:before="700"/>
        <w:rPr>
          <w:rFonts w:asciiTheme="minorHAnsi" w:hAnsiTheme="minorHAnsi"/>
        </w:rPr>
      </w:pPr>
      <w:r w:rsidRPr="00265FE9">
        <w:rPr>
          <w:rFonts w:asciiTheme="minorHAnsi" w:hAnsiTheme="minorHAnsi"/>
        </w:rPr>
        <w:t>Medicines, Poisons and Therapeutic Goods Amendment Regulation 2021</w:t>
      </w:r>
      <w:r w:rsidR="00FD75CE" w:rsidRPr="00265FE9">
        <w:rPr>
          <w:rFonts w:asciiTheme="minorHAnsi" w:hAnsiTheme="minorHAnsi"/>
        </w:rPr>
        <w:t xml:space="preserve"> (No </w:t>
      </w:r>
      <w:r w:rsidR="00B808DA">
        <w:rPr>
          <w:rFonts w:asciiTheme="minorHAnsi" w:hAnsiTheme="minorHAnsi"/>
        </w:rPr>
        <w:t>2</w:t>
      </w:r>
      <w:r w:rsidR="00FD75CE" w:rsidRPr="00265FE9">
        <w:rPr>
          <w:rFonts w:asciiTheme="minorHAnsi" w:hAnsiTheme="minorHAnsi"/>
        </w:rPr>
        <w:t>)</w:t>
      </w:r>
    </w:p>
    <w:p w14:paraId="080A4451" w14:textId="3C31D5F2" w:rsidR="00C17FAB" w:rsidRPr="00265FE9" w:rsidRDefault="004D6598" w:rsidP="00DA3B00">
      <w:pPr>
        <w:spacing w:before="340"/>
        <w:rPr>
          <w:rFonts w:asciiTheme="minorHAnsi" w:hAnsiTheme="minorHAnsi" w:cs="Arial"/>
          <w:b/>
          <w:bCs/>
        </w:rPr>
      </w:pPr>
      <w:r w:rsidRPr="00265FE9">
        <w:rPr>
          <w:rFonts w:asciiTheme="minorHAnsi" w:hAnsiTheme="minorHAnsi" w:cs="Arial"/>
          <w:b/>
          <w:bCs/>
        </w:rPr>
        <w:t>Subordinate law SL202</w:t>
      </w:r>
      <w:r w:rsidR="00416248" w:rsidRPr="00265FE9">
        <w:rPr>
          <w:rFonts w:asciiTheme="minorHAnsi" w:hAnsiTheme="minorHAnsi" w:cs="Arial"/>
          <w:b/>
          <w:bCs/>
        </w:rPr>
        <w:t>1</w:t>
      </w:r>
      <w:r w:rsidRPr="00265FE9">
        <w:rPr>
          <w:rFonts w:asciiTheme="minorHAnsi" w:hAnsiTheme="minorHAnsi" w:cs="Arial"/>
          <w:b/>
          <w:bCs/>
        </w:rPr>
        <w:t>-</w:t>
      </w:r>
      <w:r w:rsidR="001B5919">
        <w:rPr>
          <w:rFonts w:asciiTheme="minorHAnsi" w:hAnsiTheme="minorHAnsi" w:cs="Arial"/>
          <w:b/>
          <w:bCs/>
        </w:rPr>
        <w:t>28</w:t>
      </w:r>
    </w:p>
    <w:p w14:paraId="0CEB806A" w14:textId="77777777" w:rsidR="00C17FAB" w:rsidRPr="00265FE9" w:rsidRDefault="00C17FAB" w:rsidP="00DA3B00">
      <w:pPr>
        <w:pStyle w:val="madeunder"/>
        <w:spacing w:before="300" w:after="0"/>
        <w:rPr>
          <w:rFonts w:asciiTheme="minorHAnsi" w:hAnsiTheme="minorHAnsi"/>
        </w:rPr>
      </w:pPr>
      <w:r w:rsidRPr="00265FE9">
        <w:rPr>
          <w:rFonts w:asciiTheme="minorHAnsi" w:hAnsiTheme="minorHAnsi"/>
        </w:rPr>
        <w:t xml:space="preserve">made under the  </w:t>
      </w:r>
    </w:p>
    <w:p w14:paraId="41AA23B2" w14:textId="2ACD2065" w:rsidR="00C17FAB" w:rsidRPr="00265FE9" w:rsidRDefault="004D6598" w:rsidP="00DA3B00">
      <w:pPr>
        <w:pStyle w:val="CoverActName"/>
        <w:spacing w:before="320" w:after="0"/>
        <w:rPr>
          <w:rFonts w:asciiTheme="minorHAnsi" w:hAnsiTheme="minorHAnsi" w:cs="Arial"/>
          <w:sz w:val="20"/>
        </w:rPr>
      </w:pPr>
      <w:r w:rsidRPr="00265FE9">
        <w:rPr>
          <w:rFonts w:asciiTheme="minorHAnsi" w:hAnsiTheme="minorHAnsi" w:cs="Arial"/>
          <w:i/>
          <w:iCs/>
          <w:sz w:val="20"/>
        </w:rPr>
        <w:t>Medicines, Poisons and Therapeutic Goods Act 2008</w:t>
      </w:r>
      <w:r w:rsidRPr="00265FE9">
        <w:rPr>
          <w:rFonts w:asciiTheme="minorHAnsi" w:hAnsiTheme="minorHAnsi" w:cs="Arial"/>
          <w:sz w:val="20"/>
        </w:rPr>
        <w:t>, Section 184</w:t>
      </w:r>
      <w:r w:rsidR="00C17FAB" w:rsidRPr="00265FE9">
        <w:rPr>
          <w:rFonts w:asciiTheme="minorHAnsi" w:hAnsiTheme="minorHAnsi" w:cs="Arial"/>
          <w:sz w:val="20"/>
        </w:rPr>
        <w:t xml:space="preserve"> (</w:t>
      </w:r>
      <w:r w:rsidRPr="00265FE9">
        <w:rPr>
          <w:rFonts w:asciiTheme="minorHAnsi" w:hAnsiTheme="minorHAnsi" w:cs="Arial"/>
          <w:sz w:val="20"/>
        </w:rPr>
        <w:t>Regulation-making power</w:t>
      </w:r>
      <w:r w:rsidR="00C17FAB" w:rsidRPr="00265FE9">
        <w:rPr>
          <w:rFonts w:asciiTheme="minorHAnsi" w:hAnsiTheme="minorHAnsi" w:cs="Arial"/>
          <w:sz w:val="20"/>
        </w:rPr>
        <w:t>)</w:t>
      </w:r>
    </w:p>
    <w:p w14:paraId="37283E8E" w14:textId="77777777" w:rsidR="00C17FAB" w:rsidRPr="00265FE9" w:rsidRDefault="00C17FAB">
      <w:pPr>
        <w:spacing w:before="360"/>
        <w:ind w:right="565"/>
        <w:rPr>
          <w:rFonts w:asciiTheme="minorHAnsi" w:hAnsiTheme="minorHAnsi" w:cs="Arial"/>
          <w:b/>
          <w:bCs/>
          <w:sz w:val="28"/>
          <w:szCs w:val="28"/>
        </w:rPr>
      </w:pPr>
      <w:r w:rsidRPr="00265FE9">
        <w:rPr>
          <w:rFonts w:asciiTheme="minorHAnsi" w:hAnsiTheme="minorHAnsi" w:cs="Arial"/>
          <w:b/>
          <w:bCs/>
          <w:sz w:val="28"/>
          <w:szCs w:val="28"/>
        </w:rPr>
        <w:t>EXPLANATORY STATEMENT</w:t>
      </w:r>
    </w:p>
    <w:p w14:paraId="1DF48DBA" w14:textId="77777777" w:rsidR="00C17FAB" w:rsidRPr="00265FE9" w:rsidRDefault="00C17FAB">
      <w:pPr>
        <w:pStyle w:val="N-line3"/>
        <w:pBdr>
          <w:bottom w:val="none" w:sz="0" w:space="0" w:color="auto"/>
        </w:pBdr>
        <w:rPr>
          <w:rFonts w:asciiTheme="minorHAnsi" w:hAnsiTheme="minorHAnsi"/>
        </w:rPr>
      </w:pPr>
    </w:p>
    <w:p w14:paraId="49EDDEA1" w14:textId="77777777" w:rsidR="00C17FAB" w:rsidRPr="00265FE9" w:rsidRDefault="00C17FAB">
      <w:pPr>
        <w:pStyle w:val="N-line3"/>
        <w:pBdr>
          <w:top w:val="single" w:sz="12" w:space="1" w:color="auto"/>
          <w:bottom w:val="none" w:sz="0" w:space="0" w:color="auto"/>
        </w:pBdr>
        <w:rPr>
          <w:rFonts w:asciiTheme="minorHAnsi" w:hAnsiTheme="minorHAnsi"/>
        </w:rPr>
      </w:pPr>
    </w:p>
    <w:bookmarkEnd w:id="0"/>
    <w:p w14:paraId="4E8F324F" w14:textId="4A561182" w:rsidR="0049462B" w:rsidRPr="00265FE9" w:rsidRDefault="0049462B" w:rsidP="0062615A">
      <w:pPr>
        <w:rPr>
          <w:rFonts w:asciiTheme="minorHAnsi" w:hAnsiTheme="minorHAnsi"/>
          <w:b/>
          <w:bCs/>
        </w:rPr>
      </w:pPr>
      <w:r w:rsidRPr="00265FE9">
        <w:rPr>
          <w:rFonts w:asciiTheme="minorHAnsi" w:hAnsiTheme="minorHAnsi"/>
          <w:b/>
          <w:bCs/>
        </w:rPr>
        <w:t>PURPOSE AND OUTLINE</w:t>
      </w:r>
    </w:p>
    <w:p w14:paraId="4446551B" w14:textId="77777777" w:rsidR="0049462B" w:rsidRPr="00265FE9" w:rsidRDefault="0049462B" w:rsidP="0062615A">
      <w:pPr>
        <w:rPr>
          <w:rFonts w:asciiTheme="minorHAnsi" w:hAnsiTheme="minorHAnsi"/>
        </w:rPr>
      </w:pPr>
    </w:p>
    <w:p w14:paraId="760A6995" w14:textId="215ED7F2" w:rsidR="004D6598" w:rsidRPr="00265FE9" w:rsidRDefault="004D6598" w:rsidP="0062615A">
      <w:pPr>
        <w:rPr>
          <w:rFonts w:asciiTheme="minorHAnsi" w:hAnsiTheme="minorHAnsi"/>
        </w:rPr>
      </w:pPr>
      <w:r w:rsidRPr="00265FE9">
        <w:rPr>
          <w:rFonts w:asciiTheme="minorHAnsi" w:hAnsiTheme="minorHAnsi"/>
        </w:rPr>
        <w:t xml:space="preserve">The objective of the </w:t>
      </w:r>
      <w:r w:rsidRPr="00265FE9">
        <w:rPr>
          <w:rFonts w:asciiTheme="minorHAnsi" w:hAnsiTheme="minorHAnsi"/>
          <w:i/>
          <w:iCs/>
        </w:rPr>
        <w:t>Medicines, Poisons and Therapeutic Goods Act 2008</w:t>
      </w:r>
      <w:r w:rsidRPr="00265FE9">
        <w:rPr>
          <w:rFonts w:asciiTheme="minorHAnsi" w:hAnsiTheme="minorHAnsi"/>
        </w:rPr>
        <w:t xml:space="preserve"> (MPTG</w:t>
      </w:r>
      <w:r w:rsidR="00416248" w:rsidRPr="00265FE9">
        <w:rPr>
          <w:rFonts w:asciiTheme="minorHAnsi" w:hAnsiTheme="minorHAnsi"/>
        </w:rPr>
        <w:t> </w:t>
      </w:r>
      <w:r w:rsidRPr="00265FE9">
        <w:rPr>
          <w:rFonts w:asciiTheme="minorHAnsi" w:hAnsiTheme="minorHAnsi"/>
        </w:rPr>
        <w:t xml:space="preserve">Act) is to promote and protect public health and safety by minimising medicinal misadventure with, and diversion of, regulated substances, and the manufacture of regulated substances that are subject to abuse. </w:t>
      </w:r>
      <w:r w:rsidR="0062615A" w:rsidRPr="00265FE9">
        <w:rPr>
          <w:rFonts w:asciiTheme="minorHAnsi" w:hAnsiTheme="minorHAnsi"/>
        </w:rPr>
        <w:t>The MPTG Act also provides for adoption of the Commonwealth Poisons Standard, which is used to categorise medicines and poisons for regulatory purposes as adopted by each State and Territory.</w:t>
      </w:r>
    </w:p>
    <w:p w14:paraId="539F5735" w14:textId="77777777" w:rsidR="004D6598" w:rsidRPr="00265FE9" w:rsidRDefault="004D6598" w:rsidP="004D6598">
      <w:pPr>
        <w:rPr>
          <w:rFonts w:asciiTheme="minorHAnsi" w:hAnsiTheme="minorHAnsi"/>
        </w:rPr>
      </w:pPr>
    </w:p>
    <w:p w14:paraId="458299F5" w14:textId="3DA3054A" w:rsidR="00C17FAB" w:rsidRPr="00265FE9" w:rsidRDefault="004D6598" w:rsidP="004D6598">
      <w:pPr>
        <w:rPr>
          <w:rFonts w:asciiTheme="minorHAnsi" w:hAnsiTheme="minorHAnsi"/>
        </w:rPr>
      </w:pPr>
      <w:r w:rsidRPr="00265FE9">
        <w:rPr>
          <w:rFonts w:asciiTheme="minorHAnsi" w:hAnsiTheme="minorHAnsi"/>
        </w:rPr>
        <w:t>The Medicines, Poisons and Therapeutic Goods Regulation 2008 (MPTG Regulation) provides the detail for the regulatory framework established by the MPTG Act. With reference to medicine and poisons categorised by the Poisons Standard, the MPTG Regulation sets out which health professionals are able to prescribe, administer and dispense a medicine, and conditions relating to such dealings. Some provisions of the MPTG Regulation also prescribe additional information required for licences or authorisations.</w:t>
      </w:r>
    </w:p>
    <w:p w14:paraId="4D50AC32" w14:textId="77777777" w:rsidR="00704D3E" w:rsidRPr="00265FE9" w:rsidRDefault="00704D3E" w:rsidP="004D6598">
      <w:pPr>
        <w:rPr>
          <w:rFonts w:asciiTheme="minorHAnsi" w:hAnsiTheme="minorHAnsi"/>
        </w:rPr>
      </w:pPr>
    </w:p>
    <w:p w14:paraId="6C53129A" w14:textId="556C41BD" w:rsidR="00704D3E" w:rsidRPr="00265FE9" w:rsidRDefault="001B1505" w:rsidP="004D6598">
      <w:pPr>
        <w:rPr>
          <w:rFonts w:asciiTheme="minorHAnsi" w:hAnsiTheme="minorHAnsi"/>
          <w:b/>
          <w:bCs/>
          <w:u w:val="single"/>
        </w:rPr>
      </w:pPr>
      <w:r w:rsidRPr="00265FE9">
        <w:rPr>
          <w:rFonts w:asciiTheme="minorHAnsi" w:hAnsiTheme="minorHAnsi"/>
          <w:b/>
          <w:bCs/>
          <w:u w:val="single"/>
        </w:rPr>
        <w:t>Overview</w:t>
      </w:r>
    </w:p>
    <w:p w14:paraId="534A28C4" w14:textId="20517089" w:rsidR="006E3C8F" w:rsidRPr="00265FE9" w:rsidRDefault="00AF5BA0" w:rsidP="00363BD7">
      <w:pPr>
        <w:rPr>
          <w:rFonts w:asciiTheme="minorHAnsi" w:hAnsiTheme="minorHAnsi"/>
        </w:rPr>
      </w:pPr>
      <w:r w:rsidRPr="00265FE9">
        <w:rPr>
          <w:rFonts w:asciiTheme="minorHAnsi" w:hAnsiTheme="minorHAnsi"/>
        </w:rPr>
        <w:t>Th</w:t>
      </w:r>
      <w:r w:rsidR="00061734" w:rsidRPr="00265FE9">
        <w:rPr>
          <w:rFonts w:asciiTheme="minorHAnsi" w:hAnsiTheme="minorHAnsi"/>
        </w:rPr>
        <w:t>e</w:t>
      </w:r>
      <w:r w:rsidRPr="00265FE9">
        <w:rPr>
          <w:rFonts w:asciiTheme="minorHAnsi" w:hAnsiTheme="minorHAnsi"/>
        </w:rPr>
        <w:t xml:space="preserve"> </w:t>
      </w:r>
      <w:r w:rsidR="00061734" w:rsidRPr="00265FE9">
        <w:rPr>
          <w:rFonts w:asciiTheme="minorHAnsi" w:hAnsiTheme="minorHAnsi"/>
        </w:rPr>
        <w:t>Amendment R</w:t>
      </w:r>
      <w:r w:rsidRPr="00265FE9">
        <w:rPr>
          <w:rFonts w:asciiTheme="minorHAnsi" w:hAnsiTheme="minorHAnsi"/>
        </w:rPr>
        <w:t xml:space="preserve">egulation includes amendments to support the </w:t>
      </w:r>
      <w:r w:rsidR="0027180A" w:rsidRPr="00265FE9">
        <w:rPr>
          <w:rFonts w:asciiTheme="minorHAnsi" w:hAnsiTheme="minorHAnsi"/>
        </w:rPr>
        <w:t xml:space="preserve">adoption </w:t>
      </w:r>
      <w:r w:rsidRPr="00265FE9">
        <w:rPr>
          <w:rFonts w:asciiTheme="minorHAnsi" w:hAnsiTheme="minorHAnsi"/>
        </w:rPr>
        <w:t>of Canberra Script</w:t>
      </w:r>
      <w:r w:rsidR="00061734" w:rsidRPr="00265FE9">
        <w:rPr>
          <w:rFonts w:asciiTheme="minorHAnsi" w:hAnsiTheme="minorHAnsi"/>
        </w:rPr>
        <w:t xml:space="preserve"> in the ACT</w:t>
      </w:r>
      <w:r w:rsidRPr="00265FE9">
        <w:rPr>
          <w:rFonts w:asciiTheme="minorHAnsi" w:hAnsiTheme="minorHAnsi"/>
        </w:rPr>
        <w:t>.</w:t>
      </w:r>
      <w:r w:rsidR="00363BD7" w:rsidRPr="00265FE9">
        <w:rPr>
          <w:rFonts w:asciiTheme="minorHAnsi" w:hAnsiTheme="minorHAnsi"/>
        </w:rPr>
        <w:t xml:space="preserve"> Ca</w:t>
      </w:r>
      <w:r w:rsidR="006E3C8F" w:rsidRPr="00265FE9">
        <w:rPr>
          <w:rFonts w:asciiTheme="minorHAnsi" w:hAnsiTheme="minorHAnsi"/>
        </w:rPr>
        <w:t xml:space="preserve">nberra Script is a new online, real time prescription monitoring system being implemented in the ACT to assist prescribers (including medical practitioners and nurse practitioners) and pharmacists when they prescribe or dispense monitored medicines for consumers. </w:t>
      </w:r>
      <w:r w:rsidR="00061734" w:rsidRPr="00265FE9">
        <w:rPr>
          <w:rFonts w:asciiTheme="minorHAnsi" w:hAnsiTheme="minorHAnsi"/>
        </w:rPr>
        <w:t xml:space="preserve">Canberra Script </w:t>
      </w:r>
      <w:r w:rsidR="006E3C8F" w:rsidRPr="00265FE9">
        <w:rPr>
          <w:rFonts w:asciiTheme="minorHAnsi" w:hAnsiTheme="minorHAnsi"/>
        </w:rPr>
        <w:t xml:space="preserve">is designed to </w:t>
      </w:r>
      <w:r w:rsidR="00D16BC5" w:rsidRPr="00265FE9">
        <w:rPr>
          <w:rFonts w:asciiTheme="minorHAnsi" w:hAnsiTheme="minorHAnsi"/>
        </w:rPr>
        <w:t>reduce harm and preventable deaths in the community by supporting the safe and effective use of monitored medicines.</w:t>
      </w:r>
    </w:p>
    <w:p w14:paraId="48909A3A" w14:textId="77777777" w:rsidR="00363BD7" w:rsidRPr="00265FE9" w:rsidRDefault="00363BD7" w:rsidP="00265FE9">
      <w:pPr>
        <w:rPr>
          <w:rFonts w:asciiTheme="minorHAnsi" w:hAnsiTheme="minorHAnsi"/>
        </w:rPr>
      </w:pPr>
    </w:p>
    <w:p w14:paraId="40434780" w14:textId="261926CB" w:rsidR="00426C58" w:rsidRPr="00265FE9" w:rsidRDefault="006E3C8F" w:rsidP="00265FE9">
      <w:pPr>
        <w:pStyle w:val="NormalWeb"/>
        <w:spacing w:after="384"/>
        <w:rPr>
          <w:rFonts w:asciiTheme="minorHAnsi" w:hAnsiTheme="minorHAnsi"/>
        </w:rPr>
      </w:pPr>
      <w:r w:rsidRPr="00265FE9">
        <w:rPr>
          <w:rFonts w:asciiTheme="minorHAnsi" w:hAnsiTheme="minorHAnsi"/>
        </w:rPr>
        <w:t xml:space="preserve">Canberra Script will replace the existing DAPIS Online Remote Access (DORA) real time prescription monitoring system which was implemented in 2019. Canberra </w:t>
      </w:r>
      <w:r w:rsidRPr="00265FE9">
        <w:rPr>
          <w:rFonts w:asciiTheme="minorHAnsi" w:hAnsiTheme="minorHAnsi"/>
        </w:rPr>
        <w:lastRenderedPageBreak/>
        <w:t>Script forms part of the new national Real Time Prescription Monitoring (RTPM) system being implemented across Australia. Each Australian jurisdiction will implement their own local version of the national RTPM system with core features and functionality to enable national consistency.</w:t>
      </w:r>
    </w:p>
    <w:p w14:paraId="0A77B2CD" w14:textId="77777777" w:rsidR="00426C58" w:rsidRPr="00265FE9" w:rsidRDefault="00426C58" w:rsidP="00265FE9">
      <w:pPr>
        <w:rPr>
          <w:rFonts w:asciiTheme="minorHAnsi" w:hAnsiTheme="minorHAnsi"/>
        </w:rPr>
      </w:pPr>
      <w:r w:rsidRPr="00265FE9">
        <w:rPr>
          <w:rFonts w:asciiTheme="minorHAnsi" w:hAnsiTheme="minorHAnsi"/>
        </w:rPr>
        <w:t>The Amendment Regulation changes to support the adoption of Canberra Script include:</w:t>
      </w:r>
    </w:p>
    <w:p w14:paraId="01265324" w14:textId="0DE390F7" w:rsidR="00426C58" w:rsidRPr="00265FE9" w:rsidRDefault="00426C58" w:rsidP="00265FE9">
      <w:pPr>
        <w:pStyle w:val="ListParagraph"/>
        <w:numPr>
          <w:ilvl w:val="0"/>
          <w:numId w:val="20"/>
        </w:numPr>
        <w:rPr>
          <w:rFonts w:asciiTheme="minorHAnsi" w:hAnsiTheme="minorHAnsi"/>
        </w:rPr>
      </w:pPr>
      <w:r w:rsidRPr="00265FE9">
        <w:rPr>
          <w:rFonts w:asciiTheme="minorHAnsi" w:hAnsiTheme="minorHAnsi"/>
        </w:rPr>
        <w:t>clarification of the standing approval to prescribe controlled medicines for hospital in</w:t>
      </w:r>
      <w:r w:rsidR="00D16BC5" w:rsidRPr="00265FE9">
        <w:rPr>
          <w:rFonts w:asciiTheme="minorHAnsi" w:hAnsiTheme="minorHAnsi"/>
        </w:rPr>
        <w:t>-</w:t>
      </w:r>
      <w:r w:rsidRPr="00265FE9">
        <w:rPr>
          <w:rFonts w:asciiTheme="minorHAnsi" w:hAnsiTheme="minorHAnsi"/>
        </w:rPr>
        <w:t>patient to include medicines provided on discharge</w:t>
      </w:r>
      <w:r w:rsidR="00D16BC5" w:rsidRPr="00265FE9">
        <w:rPr>
          <w:rFonts w:asciiTheme="minorHAnsi" w:hAnsiTheme="minorHAnsi"/>
        </w:rPr>
        <w:t>,</w:t>
      </w:r>
    </w:p>
    <w:p w14:paraId="6502C594" w14:textId="6E3D1BD0" w:rsidR="00426C58" w:rsidRPr="00265FE9" w:rsidRDefault="00426C58" w:rsidP="00265FE9">
      <w:pPr>
        <w:pStyle w:val="ListParagraph"/>
        <w:numPr>
          <w:ilvl w:val="0"/>
          <w:numId w:val="20"/>
        </w:numPr>
        <w:rPr>
          <w:rFonts w:asciiTheme="minorHAnsi" w:hAnsiTheme="minorHAnsi"/>
        </w:rPr>
      </w:pPr>
      <w:r w:rsidRPr="00265FE9">
        <w:rPr>
          <w:rFonts w:asciiTheme="minorHAnsi" w:hAnsiTheme="minorHAnsi"/>
        </w:rPr>
        <w:t>clarifying the standing short-term approval for prescribing controlled medicines to allow up to 2 months of treatment</w:t>
      </w:r>
      <w:r w:rsidR="00D16BC5" w:rsidRPr="00265FE9">
        <w:rPr>
          <w:rFonts w:asciiTheme="minorHAnsi" w:hAnsiTheme="minorHAnsi"/>
        </w:rPr>
        <w:t>,</w:t>
      </w:r>
      <w:r w:rsidRPr="00265FE9">
        <w:rPr>
          <w:rFonts w:asciiTheme="minorHAnsi" w:hAnsiTheme="minorHAnsi"/>
        </w:rPr>
        <w:t xml:space="preserve"> </w:t>
      </w:r>
    </w:p>
    <w:p w14:paraId="5C433C4D" w14:textId="0F0BB954" w:rsidR="00426C58" w:rsidRPr="00265FE9" w:rsidRDefault="00426C58" w:rsidP="00265FE9">
      <w:pPr>
        <w:pStyle w:val="ListParagraph"/>
        <w:numPr>
          <w:ilvl w:val="0"/>
          <w:numId w:val="20"/>
        </w:numPr>
        <w:rPr>
          <w:rFonts w:asciiTheme="minorHAnsi" w:hAnsiTheme="minorHAnsi"/>
        </w:rPr>
      </w:pPr>
      <w:r w:rsidRPr="00265FE9">
        <w:rPr>
          <w:rFonts w:asciiTheme="minorHAnsi" w:hAnsiTheme="minorHAnsi"/>
        </w:rPr>
        <w:t xml:space="preserve">removing the requirement for the quantity of controlled medicines to be annotated for a controlled medicine approval, </w:t>
      </w:r>
      <w:r w:rsidR="00D16BC5" w:rsidRPr="00265FE9">
        <w:rPr>
          <w:rFonts w:asciiTheme="minorHAnsi" w:hAnsiTheme="minorHAnsi"/>
        </w:rPr>
        <w:t>and</w:t>
      </w:r>
    </w:p>
    <w:p w14:paraId="64D787B3" w14:textId="4FD18DAD" w:rsidR="00426C58" w:rsidRPr="00265FE9" w:rsidRDefault="00426C58" w:rsidP="00265FE9">
      <w:pPr>
        <w:pStyle w:val="ListParagraph"/>
        <w:numPr>
          <w:ilvl w:val="0"/>
          <w:numId w:val="20"/>
        </w:numPr>
        <w:rPr>
          <w:rFonts w:asciiTheme="minorHAnsi" w:hAnsiTheme="minorHAnsi"/>
        </w:rPr>
      </w:pPr>
      <w:r w:rsidRPr="00265FE9">
        <w:rPr>
          <w:rFonts w:asciiTheme="minorHAnsi" w:hAnsiTheme="minorHAnsi"/>
        </w:rPr>
        <w:t>removing the requirement for pharmacists to check that a controlled medicines approval is in place prior to dispensing</w:t>
      </w:r>
      <w:r w:rsidR="002B5DF0" w:rsidRPr="00265FE9">
        <w:rPr>
          <w:rFonts w:asciiTheme="minorHAnsi" w:hAnsiTheme="minorHAnsi"/>
        </w:rPr>
        <w:t>, with the exception of opioid maintenance treatment (OMT)</w:t>
      </w:r>
      <w:r w:rsidRPr="00265FE9">
        <w:rPr>
          <w:rFonts w:asciiTheme="minorHAnsi" w:hAnsiTheme="minorHAnsi"/>
        </w:rPr>
        <w:t>.</w:t>
      </w:r>
    </w:p>
    <w:p w14:paraId="47F90E86" w14:textId="32CEB8CA" w:rsidR="001B4DFD" w:rsidRPr="00265FE9" w:rsidRDefault="001B4DFD" w:rsidP="004D6598">
      <w:pPr>
        <w:rPr>
          <w:rFonts w:asciiTheme="minorHAnsi" w:hAnsiTheme="minorHAnsi"/>
        </w:rPr>
      </w:pPr>
    </w:p>
    <w:p w14:paraId="424B4138" w14:textId="46663E14" w:rsidR="00061734" w:rsidRPr="00265FE9" w:rsidRDefault="00FE72DF" w:rsidP="004D6598">
      <w:pPr>
        <w:rPr>
          <w:rFonts w:asciiTheme="minorHAnsi" w:hAnsiTheme="minorHAnsi"/>
        </w:rPr>
      </w:pPr>
      <w:r w:rsidRPr="00265FE9">
        <w:rPr>
          <w:rFonts w:asciiTheme="minorHAnsi" w:hAnsiTheme="minorHAnsi"/>
        </w:rPr>
        <w:t xml:space="preserve">Other technical amendments that have been made in this </w:t>
      </w:r>
      <w:r w:rsidR="00061734" w:rsidRPr="00265FE9">
        <w:rPr>
          <w:rFonts w:asciiTheme="minorHAnsi" w:hAnsiTheme="minorHAnsi"/>
        </w:rPr>
        <w:t>Amendment R</w:t>
      </w:r>
      <w:r w:rsidRPr="00265FE9">
        <w:rPr>
          <w:rFonts w:asciiTheme="minorHAnsi" w:hAnsiTheme="minorHAnsi"/>
        </w:rPr>
        <w:t>egulation include</w:t>
      </w:r>
      <w:r w:rsidR="00061734" w:rsidRPr="00265FE9">
        <w:rPr>
          <w:rFonts w:asciiTheme="minorHAnsi" w:hAnsiTheme="minorHAnsi"/>
        </w:rPr>
        <w:t>:</w:t>
      </w:r>
    </w:p>
    <w:p w14:paraId="3E91E88C" w14:textId="5B684E79" w:rsidR="00426C58" w:rsidRDefault="00FE72DF">
      <w:pPr>
        <w:pStyle w:val="ListParagraph"/>
        <w:numPr>
          <w:ilvl w:val="0"/>
          <w:numId w:val="20"/>
        </w:numPr>
        <w:rPr>
          <w:rFonts w:asciiTheme="minorHAnsi" w:hAnsiTheme="minorHAnsi"/>
        </w:rPr>
      </w:pPr>
      <w:r w:rsidRPr="00265FE9">
        <w:rPr>
          <w:rFonts w:asciiTheme="minorHAnsi" w:hAnsiTheme="minorHAnsi"/>
        </w:rPr>
        <w:t xml:space="preserve">updating the definition of an authorised activity for research institutions, </w:t>
      </w:r>
    </w:p>
    <w:p w14:paraId="3614F499" w14:textId="36503870" w:rsidR="00061734" w:rsidRPr="00265FE9" w:rsidRDefault="00FE72DF" w:rsidP="00265FE9">
      <w:pPr>
        <w:pStyle w:val="ListParagraph"/>
        <w:numPr>
          <w:ilvl w:val="0"/>
          <w:numId w:val="20"/>
        </w:numPr>
        <w:rPr>
          <w:rFonts w:asciiTheme="minorHAnsi" w:hAnsiTheme="minorHAnsi"/>
        </w:rPr>
      </w:pPr>
      <w:r w:rsidRPr="00265FE9">
        <w:rPr>
          <w:rFonts w:asciiTheme="minorHAnsi" w:hAnsiTheme="minorHAnsi"/>
        </w:rPr>
        <w:t xml:space="preserve">updating the definition of the national residential medication chart (NRMC), </w:t>
      </w:r>
    </w:p>
    <w:p w14:paraId="3FDC4FD0" w14:textId="77777777" w:rsidR="00061734" w:rsidRPr="00265FE9" w:rsidRDefault="00F3429F" w:rsidP="00265FE9">
      <w:pPr>
        <w:pStyle w:val="ListParagraph"/>
        <w:numPr>
          <w:ilvl w:val="0"/>
          <w:numId w:val="20"/>
        </w:numPr>
        <w:rPr>
          <w:rFonts w:asciiTheme="minorHAnsi" w:hAnsiTheme="minorHAnsi"/>
        </w:rPr>
      </w:pPr>
      <w:r w:rsidRPr="00265FE9">
        <w:rPr>
          <w:rFonts w:asciiTheme="minorHAnsi" w:hAnsiTheme="minorHAnsi"/>
        </w:rPr>
        <w:t xml:space="preserve">removing the need to annotate the word cancelled after dispensing certain electronic prescriptions, </w:t>
      </w:r>
    </w:p>
    <w:p w14:paraId="45A0BE7F" w14:textId="4B975432" w:rsidR="00061734" w:rsidRPr="00265FE9" w:rsidRDefault="00FE72DF" w:rsidP="00265FE9">
      <w:pPr>
        <w:pStyle w:val="ListParagraph"/>
        <w:numPr>
          <w:ilvl w:val="0"/>
          <w:numId w:val="20"/>
        </w:numPr>
        <w:rPr>
          <w:rFonts w:asciiTheme="minorHAnsi" w:hAnsiTheme="minorHAnsi"/>
        </w:rPr>
      </w:pPr>
      <w:r w:rsidRPr="00265FE9">
        <w:rPr>
          <w:rFonts w:asciiTheme="minorHAnsi" w:hAnsiTheme="minorHAnsi"/>
        </w:rPr>
        <w:t>the disappl</w:t>
      </w:r>
      <w:r w:rsidR="00061734" w:rsidRPr="00265FE9">
        <w:rPr>
          <w:rFonts w:asciiTheme="minorHAnsi" w:hAnsiTheme="minorHAnsi"/>
        </w:rPr>
        <w:t xml:space="preserve">ying section 47(6) of the Legislation Act to allow for the ambulatory application of certain Australian Government and other </w:t>
      </w:r>
      <w:r w:rsidRPr="00265FE9">
        <w:rPr>
          <w:rFonts w:asciiTheme="minorHAnsi" w:hAnsiTheme="minorHAnsi"/>
        </w:rPr>
        <w:t xml:space="preserve">instruments, </w:t>
      </w:r>
    </w:p>
    <w:p w14:paraId="427C4A74" w14:textId="3960E15D" w:rsidR="00061734" w:rsidRPr="00265FE9" w:rsidRDefault="00FE72DF" w:rsidP="00061734">
      <w:pPr>
        <w:pStyle w:val="ListParagraph"/>
        <w:numPr>
          <w:ilvl w:val="0"/>
          <w:numId w:val="20"/>
        </w:numPr>
        <w:rPr>
          <w:rFonts w:asciiTheme="minorHAnsi" w:hAnsiTheme="minorHAnsi"/>
        </w:rPr>
      </w:pPr>
      <w:r w:rsidRPr="00265FE9">
        <w:rPr>
          <w:rFonts w:asciiTheme="minorHAnsi" w:hAnsiTheme="minorHAnsi"/>
        </w:rPr>
        <w:t>allowing specialist dentists to prescribe hydroxychloroquine</w:t>
      </w:r>
      <w:r w:rsidR="00D16BC5">
        <w:rPr>
          <w:rFonts w:asciiTheme="minorHAnsi" w:hAnsiTheme="minorHAnsi"/>
        </w:rPr>
        <w:t>,</w:t>
      </w:r>
      <w:r w:rsidR="003775E1" w:rsidRPr="00265FE9">
        <w:rPr>
          <w:rFonts w:asciiTheme="minorHAnsi" w:hAnsiTheme="minorHAnsi"/>
        </w:rPr>
        <w:t xml:space="preserve"> and </w:t>
      </w:r>
    </w:p>
    <w:p w14:paraId="3F93E2D7" w14:textId="5E10B854" w:rsidR="00FE72DF" w:rsidRPr="00265FE9" w:rsidRDefault="003775E1" w:rsidP="00265FE9">
      <w:pPr>
        <w:pStyle w:val="ListParagraph"/>
        <w:numPr>
          <w:ilvl w:val="0"/>
          <w:numId w:val="20"/>
        </w:numPr>
        <w:rPr>
          <w:rFonts w:asciiTheme="minorHAnsi" w:hAnsiTheme="minorHAnsi"/>
        </w:rPr>
      </w:pPr>
      <w:r w:rsidRPr="00265FE9">
        <w:rPr>
          <w:rFonts w:asciiTheme="minorHAnsi" w:hAnsiTheme="minorHAnsi"/>
        </w:rPr>
        <w:t xml:space="preserve">minor amendments to support electronic prescribing. </w:t>
      </w:r>
    </w:p>
    <w:p w14:paraId="56CE6C4D" w14:textId="77777777" w:rsidR="00FE72DF" w:rsidRPr="00265FE9" w:rsidRDefault="00FE72DF" w:rsidP="004D6598">
      <w:pPr>
        <w:rPr>
          <w:rFonts w:asciiTheme="minorHAnsi" w:hAnsiTheme="minorHAnsi"/>
        </w:rPr>
      </w:pPr>
    </w:p>
    <w:p w14:paraId="2C55FF1D" w14:textId="69F4DBF1" w:rsidR="001B4DFD" w:rsidRPr="00265FE9" w:rsidRDefault="001B4DFD" w:rsidP="004D6598">
      <w:pPr>
        <w:rPr>
          <w:rFonts w:asciiTheme="minorHAnsi" w:hAnsiTheme="minorHAnsi"/>
        </w:rPr>
      </w:pPr>
      <w:r w:rsidRPr="00265FE9">
        <w:rPr>
          <w:rFonts w:asciiTheme="minorHAnsi" w:hAnsiTheme="minorHAnsi"/>
        </w:rPr>
        <w:t>Th</w:t>
      </w:r>
      <w:r w:rsidR="00061734" w:rsidRPr="00265FE9">
        <w:rPr>
          <w:rFonts w:asciiTheme="minorHAnsi" w:hAnsiTheme="minorHAnsi"/>
        </w:rPr>
        <w:t xml:space="preserve">e Amendment </w:t>
      </w:r>
      <w:r w:rsidRPr="00265FE9">
        <w:rPr>
          <w:rFonts w:asciiTheme="minorHAnsi" w:hAnsiTheme="minorHAnsi"/>
        </w:rPr>
        <w:t xml:space="preserve">Regulation includes amendments to increase the amount of </w:t>
      </w:r>
      <w:r w:rsidR="00507ADC" w:rsidRPr="00265FE9">
        <w:rPr>
          <w:rFonts w:asciiTheme="minorHAnsi" w:hAnsiTheme="minorHAnsi"/>
        </w:rPr>
        <w:t xml:space="preserve">morphine sulfate and allow a small amount of hydromorphone </w:t>
      </w:r>
      <w:r w:rsidR="00061734" w:rsidRPr="00265FE9">
        <w:rPr>
          <w:rFonts w:asciiTheme="minorHAnsi" w:hAnsiTheme="minorHAnsi"/>
        </w:rPr>
        <w:t xml:space="preserve">that may </w:t>
      </w:r>
      <w:r w:rsidR="00507ADC" w:rsidRPr="00265FE9">
        <w:rPr>
          <w:rFonts w:asciiTheme="minorHAnsi" w:hAnsiTheme="minorHAnsi"/>
        </w:rPr>
        <w:t xml:space="preserve">be kept at </w:t>
      </w:r>
      <w:r w:rsidR="00061734" w:rsidRPr="00265FE9">
        <w:rPr>
          <w:rFonts w:asciiTheme="minorHAnsi" w:hAnsiTheme="minorHAnsi"/>
        </w:rPr>
        <w:t xml:space="preserve">a </w:t>
      </w:r>
      <w:r w:rsidR="00507ADC" w:rsidRPr="00265FE9">
        <w:rPr>
          <w:rFonts w:asciiTheme="minorHAnsi" w:hAnsiTheme="minorHAnsi"/>
        </w:rPr>
        <w:t>residential aged care facilit</w:t>
      </w:r>
      <w:r w:rsidR="00061734" w:rsidRPr="00265FE9">
        <w:rPr>
          <w:rFonts w:asciiTheme="minorHAnsi" w:hAnsiTheme="minorHAnsi"/>
        </w:rPr>
        <w:t>y</w:t>
      </w:r>
      <w:r w:rsidR="00507ADC" w:rsidRPr="00265FE9">
        <w:rPr>
          <w:rFonts w:asciiTheme="minorHAnsi" w:hAnsiTheme="minorHAnsi"/>
        </w:rPr>
        <w:t xml:space="preserve"> for administration to residents. This amendment follows consultation with stakeholders between 2019 and 2020 and is intended to assist with emergency palliative care in the aged care setting.</w:t>
      </w:r>
    </w:p>
    <w:p w14:paraId="06EE85C2" w14:textId="078E226C" w:rsidR="00507ADC" w:rsidRPr="00265FE9" w:rsidRDefault="00507ADC" w:rsidP="004D6598">
      <w:pPr>
        <w:rPr>
          <w:rFonts w:asciiTheme="minorHAnsi" w:hAnsiTheme="minorHAnsi"/>
        </w:rPr>
      </w:pPr>
    </w:p>
    <w:p w14:paraId="72CB2C86" w14:textId="7A5CC8BF" w:rsidR="00507ADC" w:rsidRPr="00265FE9" w:rsidRDefault="00507ADC" w:rsidP="004D6598">
      <w:pPr>
        <w:rPr>
          <w:rFonts w:asciiTheme="minorHAnsi" w:hAnsiTheme="minorHAnsi"/>
        </w:rPr>
      </w:pPr>
      <w:r w:rsidRPr="00265FE9">
        <w:rPr>
          <w:rFonts w:asciiTheme="minorHAnsi" w:hAnsiTheme="minorHAnsi"/>
        </w:rPr>
        <w:t xml:space="preserve">The </w:t>
      </w:r>
      <w:r w:rsidR="00061734" w:rsidRPr="00265FE9">
        <w:rPr>
          <w:rFonts w:asciiTheme="minorHAnsi" w:hAnsiTheme="minorHAnsi"/>
        </w:rPr>
        <w:t>Amendment R</w:t>
      </w:r>
      <w:r w:rsidR="00780050" w:rsidRPr="00265FE9">
        <w:rPr>
          <w:rFonts w:asciiTheme="minorHAnsi" w:hAnsiTheme="minorHAnsi"/>
        </w:rPr>
        <w:t xml:space="preserve">egulation </w:t>
      </w:r>
      <w:r w:rsidR="00061734" w:rsidRPr="00265FE9">
        <w:rPr>
          <w:rFonts w:asciiTheme="minorHAnsi" w:hAnsiTheme="minorHAnsi"/>
        </w:rPr>
        <w:t xml:space="preserve">substitutes the Minister with the Director-General for the MPTG Act as </w:t>
      </w:r>
      <w:r w:rsidR="00780050" w:rsidRPr="00265FE9">
        <w:rPr>
          <w:rFonts w:asciiTheme="minorHAnsi" w:hAnsiTheme="minorHAnsi"/>
        </w:rPr>
        <w:t xml:space="preserve">the </w:t>
      </w:r>
      <w:r w:rsidRPr="00265FE9">
        <w:rPr>
          <w:rFonts w:asciiTheme="minorHAnsi" w:hAnsiTheme="minorHAnsi"/>
        </w:rPr>
        <w:t>appointer for the Medicines Advisory</w:t>
      </w:r>
      <w:r w:rsidR="00780050" w:rsidRPr="00265FE9">
        <w:rPr>
          <w:rFonts w:asciiTheme="minorHAnsi" w:hAnsiTheme="minorHAnsi"/>
        </w:rPr>
        <w:t xml:space="preserve"> Committee (MAC). This change aligns the appointment process for the MAC with other comparable</w:t>
      </w:r>
      <w:r w:rsidR="00061734" w:rsidRPr="00265FE9">
        <w:rPr>
          <w:rFonts w:asciiTheme="minorHAnsi" w:hAnsiTheme="minorHAnsi"/>
        </w:rPr>
        <w:t xml:space="preserve"> </w:t>
      </w:r>
      <w:r w:rsidR="00780050" w:rsidRPr="00265FE9">
        <w:rPr>
          <w:rFonts w:asciiTheme="minorHAnsi" w:hAnsiTheme="minorHAnsi"/>
        </w:rPr>
        <w:t>bo</w:t>
      </w:r>
      <w:r w:rsidR="00061734" w:rsidRPr="00265FE9">
        <w:rPr>
          <w:rFonts w:asciiTheme="minorHAnsi" w:hAnsiTheme="minorHAnsi"/>
        </w:rPr>
        <w:t>ards and committees</w:t>
      </w:r>
      <w:r w:rsidR="00780050" w:rsidRPr="00265FE9">
        <w:rPr>
          <w:rFonts w:asciiTheme="minorHAnsi" w:hAnsiTheme="minorHAnsi"/>
        </w:rPr>
        <w:t xml:space="preserve"> across the ACT Government. </w:t>
      </w:r>
    </w:p>
    <w:p w14:paraId="175B331B" w14:textId="20C43FC5" w:rsidR="00AF5BA0" w:rsidRPr="00265FE9" w:rsidRDefault="00AF5BA0" w:rsidP="004D6598">
      <w:pPr>
        <w:rPr>
          <w:rFonts w:asciiTheme="minorHAnsi" w:hAnsiTheme="minorHAnsi"/>
        </w:rPr>
      </w:pPr>
    </w:p>
    <w:p w14:paraId="3D19E10E" w14:textId="32BDD225" w:rsidR="001B4DFD" w:rsidRPr="00265FE9" w:rsidRDefault="00AF5BA0" w:rsidP="004D6598">
      <w:pPr>
        <w:rPr>
          <w:rFonts w:asciiTheme="minorHAnsi" w:hAnsiTheme="minorHAnsi"/>
        </w:rPr>
      </w:pPr>
      <w:r w:rsidRPr="00265FE9">
        <w:rPr>
          <w:rFonts w:asciiTheme="minorHAnsi" w:hAnsiTheme="minorHAnsi"/>
        </w:rPr>
        <w:t xml:space="preserve">The ACT adopts the </w:t>
      </w:r>
      <w:r w:rsidR="00ED0022" w:rsidRPr="00265FE9">
        <w:rPr>
          <w:rFonts w:asciiTheme="minorHAnsi" w:hAnsiTheme="minorHAnsi"/>
        </w:rPr>
        <w:t>A</w:t>
      </w:r>
      <w:r w:rsidRPr="00265FE9">
        <w:rPr>
          <w:rFonts w:asciiTheme="minorHAnsi" w:hAnsiTheme="minorHAnsi"/>
        </w:rPr>
        <w:t xml:space="preserve">ppendix D </w:t>
      </w:r>
      <w:r w:rsidR="002B5DF0">
        <w:rPr>
          <w:rFonts w:asciiTheme="minorHAnsi" w:hAnsiTheme="minorHAnsi"/>
        </w:rPr>
        <w:t xml:space="preserve">in the </w:t>
      </w:r>
      <w:r w:rsidRPr="00265FE9">
        <w:rPr>
          <w:rFonts w:asciiTheme="minorHAnsi" w:hAnsiTheme="minorHAnsi"/>
        </w:rPr>
        <w:t xml:space="preserve">Commonwealth Poisons Standards by reference, under the MPTG Act. The Therapeutic Goods Administration (TGA) has recently added ivermectin and nicotine for human consumption to </w:t>
      </w:r>
      <w:r w:rsidR="00ED0022" w:rsidRPr="00265FE9">
        <w:rPr>
          <w:rFonts w:asciiTheme="minorHAnsi" w:hAnsiTheme="minorHAnsi"/>
        </w:rPr>
        <w:t>A</w:t>
      </w:r>
      <w:r w:rsidRPr="00265FE9">
        <w:rPr>
          <w:rFonts w:asciiTheme="minorHAnsi" w:hAnsiTheme="minorHAnsi"/>
        </w:rPr>
        <w:t xml:space="preserve">ppendix D. Ivermectin was added to </w:t>
      </w:r>
      <w:r w:rsidR="00ED0022" w:rsidRPr="00265FE9">
        <w:rPr>
          <w:rFonts w:asciiTheme="minorHAnsi" w:hAnsiTheme="minorHAnsi"/>
        </w:rPr>
        <w:t>A</w:t>
      </w:r>
      <w:r w:rsidRPr="00265FE9">
        <w:rPr>
          <w:rFonts w:asciiTheme="minorHAnsi" w:hAnsiTheme="minorHAnsi"/>
        </w:rPr>
        <w:t xml:space="preserve">ppendix D due to </w:t>
      </w:r>
      <w:r w:rsidR="001B4DFD" w:rsidRPr="00265FE9">
        <w:rPr>
          <w:rFonts w:asciiTheme="minorHAnsi" w:hAnsiTheme="minorHAnsi"/>
        </w:rPr>
        <w:t xml:space="preserve">concerns that ivermectin was been used as a non-approved treatment for COVID-19. The addition of ivermectin to </w:t>
      </w:r>
      <w:r w:rsidR="00ED0022" w:rsidRPr="00265FE9">
        <w:rPr>
          <w:rFonts w:asciiTheme="minorHAnsi" w:hAnsiTheme="minorHAnsi"/>
        </w:rPr>
        <w:t>A</w:t>
      </w:r>
      <w:r w:rsidR="001B4DFD" w:rsidRPr="00265FE9">
        <w:rPr>
          <w:rFonts w:asciiTheme="minorHAnsi" w:hAnsiTheme="minorHAnsi"/>
        </w:rPr>
        <w:t xml:space="preserve">ppendix D, restricts its use by general practitioners to certain medical conditions. </w:t>
      </w:r>
      <w:r w:rsidR="002B5DF0">
        <w:rPr>
          <w:rFonts w:asciiTheme="minorHAnsi" w:hAnsiTheme="minorHAnsi"/>
        </w:rPr>
        <w:t>N</w:t>
      </w:r>
      <w:r w:rsidR="001B4DFD" w:rsidRPr="00265FE9">
        <w:rPr>
          <w:rFonts w:asciiTheme="minorHAnsi" w:hAnsiTheme="minorHAnsi"/>
        </w:rPr>
        <w:t xml:space="preserve">icotine </w:t>
      </w:r>
      <w:r w:rsidR="001B4DFD" w:rsidRPr="00265FE9">
        <w:rPr>
          <w:rFonts w:asciiTheme="minorHAnsi" w:hAnsiTheme="minorHAnsi"/>
        </w:rPr>
        <w:lastRenderedPageBreak/>
        <w:t xml:space="preserve">was added to </w:t>
      </w:r>
      <w:r w:rsidR="00ED0022" w:rsidRPr="00265FE9">
        <w:rPr>
          <w:rFonts w:asciiTheme="minorHAnsi" w:hAnsiTheme="minorHAnsi"/>
        </w:rPr>
        <w:t>A</w:t>
      </w:r>
      <w:r w:rsidR="001B4DFD" w:rsidRPr="00265FE9">
        <w:rPr>
          <w:rFonts w:asciiTheme="minorHAnsi" w:hAnsiTheme="minorHAnsi"/>
        </w:rPr>
        <w:t xml:space="preserve">ppendix D by the TGA as part of the Commonwealth Governments amendments. These amendments enable nicotine to be legally supplied in Australia under a prescription from an Australian medical practitioner. </w:t>
      </w:r>
    </w:p>
    <w:p w14:paraId="16B3DCA6" w14:textId="77777777" w:rsidR="00AF5BA0" w:rsidRPr="00265FE9" w:rsidRDefault="00AF5BA0" w:rsidP="004D6598">
      <w:pPr>
        <w:rPr>
          <w:rFonts w:asciiTheme="minorHAnsi" w:hAnsiTheme="minorHAnsi"/>
        </w:rPr>
      </w:pPr>
    </w:p>
    <w:p w14:paraId="4985EC97" w14:textId="0A4EF9DC" w:rsidR="00704D3E" w:rsidRPr="00265FE9" w:rsidRDefault="00890100" w:rsidP="004D6598">
      <w:pPr>
        <w:rPr>
          <w:rFonts w:asciiTheme="minorHAnsi" w:hAnsiTheme="minorHAnsi"/>
        </w:rPr>
      </w:pPr>
      <w:r w:rsidRPr="00265FE9">
        <w:rPr>
          <w:rFonts w:asciiTheme="minorHAnsi" w:hAnsiTheme="minorHAnsi"/>
        </w:rPr>
        <w:t xml:space="preserve">A detailed explanation of each clause of the </w:t>
      </w:r>
      <w:r w:rsidR="00061734" w:rsidRPr="00265FE9">
        <w:rPr>
          <w:rFonts w:asciiTheme="minorHAnsi" w:hAnsiTheme="minorHAnsi"/>
        </w:rPr>
        <w:t xml:space="preserve">Amendment </w:t>
      </w:r>
      <w:r w:rsidRPr="00265FE9">
        <w:rPr>
          <w:rFonts w:asciiTheme="minorHAnsi" w:hAnsiTheme="minorHAnsi"/>
        </w:rPr>
        <w:t>Regulation follows.</w:t>
      </w:r>
    </w:p>
    <w:p w14:paraId="5AB0F2A4" w14:textId="77777777" w:rsidR="00164BC4" w:rsidRPr="00265FE9" w:rsidRDefault="00164BC4" w:rsidP="00164BC4">
      <w:pPr>
        <w:rPr>
          <w:rFonts w:asciiTheme="minorHAnsi" w:hAnsiTheme="minorHAnsi"/>
          <w:b/>
          <w:bCs/>
        </w:rPr>
      </w:pPr>
    </w:p>
    <w:p w14:paraId="6413538C" w14:textId="4C8F30BE" w:rsidR="001B1505" w:rsidRPr="00265FE9" w:rsidRDefault="001B1505" w:rsidP="00164BC4">
      <w:pPr>
        <w:rPr>
          <w:rFonts w:asciiTheme="minorHAnsi" w:hAnsiTheme="minorHAnsi"/>
          <w:b/>
          <w:bCs/>
          <w:u w:val="single"/>
        </w:rPr>
      </w:pPr>
      <w:r w:rsidRPr="00265FE9">
        <w:rPr>
          <w:rFonts w:asciiTheme="minorHAnsi" w:hAnsiTheme="minorHAnsi"/>
          <w:b/>
          <w:bCs/>
          <w:u w:val="single"/>
        </w:rPr>
        <w:t>Regulatory Impact Statement</w:t>
      </w:r>
    </w:p>
    <w:p w14:paraId="5C45F66B" w14:textId="38D87BD4" w:rsidR="00164BC4" w:rsidRPr="00265FE9" w:rsidRDefault="00164BC4" w:rsidP="00164BC4">
      <w:pPr>
        <w:rPr>
          <w:rFonts w:asciiTheme="minorHAnsi" w:hAnsiTheme="minorHAnsi"/>
        </w:rPr>
      </w:pPr>
      <w:r w:rsidRPr="00265FE9">
        <w:rPr>
          <w:rFonts w:asciiTheme="minorHAnsi" w:hAnsiTheme="minorHAnsi"/>
        </w:rPr>
        <w:t xml:space="preserve">In accordance with the </w:t>
      </w:r>
      <w:r w:rsidRPr="00265FE9">
        <w:rPr>
          <w:rFonts w:asciiTheme="minorHAnsi" w:hAnsiTheme="minorHAnsi"/>
          <w:i/>
          <w:iCs/>
        </w:rPr>
        <w:t xml:space="preserve">Legislation Act 2001, </w:t>
      </w:r>
      <w:r w:rsidRPr="00265FE9">
        <w:rPr>
          <w:rFonts w:asciiTheme="minorHAnsi" w:hAnsiTheme="minorHAnsi"/>
        </w:rPr>
        <w:t>a regulatory impact statement was not required to be presented with th</w:t>
      </w:r>
      <w:r w:rsidR="0049462B" w:rsidRPr="00265FE9">
        <w:rPr>
          <w:rFonts w:asciiTheme="minorHAnsi" w:hAnsiTheme="minorHAnsi"/>
        </w:rPr>
        <w:t>e A</w:t>
      </w:r>
      <w:r w:rsidRPr="00265FE9">
        <w:rPr>
          <w:rFonts w:asciiTheme="minorHAnsi" w:hAnsiTheme="minorHAnsi"/>
        </w:rPr>
        <w:t xml:space="preserve">mendment </w:t>
      </w:r>
      <w:r w:rsidR="0049462B" w:rsidRPr="00265FE9">
        <w:rPr>
          <w:rFonts w:asciiTheme="minorHAnsi" w:hAnsiTheme="minorHAnsi"/>
        </w:rPr>
        <w:t>R</w:t>
      </w:r>
      <w:r w:rsidRPr="00265FE9">
        <w:rPr>
          <w:rFonts w:asciiTheme="minorHAnsi" w:hAnsiTheme="minorHAnsi"/>
        </w:rPr>
        <w:t xml:space="preserve">egulation as the amendments will not impose appreciable costs on the community. </w:t>
      </w:r>
    </w:p>
    <w:p w14:paraId="030B55C5" w14:textId="77777777" w:rsidR="00164BC4" w:rsidRPr="00265FE9" w:rsidRDefault="00164BC4" w:rsidP="00164BC4">
      <w:pPr>
        <w:rPr>
          <w:rFonts w:asciiTheme="minorHAnsi" w:hAnsiTheme="minorHAnsi"/>
        </w:rPr>
      </w:pPr>
    </w:p>
    <w:p w14:paraId="335EBCF5" w14:textId="1BCF5351" w:rsidR="001B1505" w:rsidRDefault="00164BC4" w:rsidP="00164BC4">
      <w:pPr>
        <w:rPr>
          <w:rFonts w:asciiTheme="minorHAnsi" w:hAnsiTheme="minorHAnsi"/>
        </w:rPr>
      </w:pPr>
      <w:r w:rsidRPr="00265FE9">
        <w:rPr>
          <w:rFonts w:asciiTheme="minorHAnsi" w:hAnsiTheme="minorHAnsi"/>
        </w:rPr>
        <w:t>The amendments made in the Amendment Regulation are predominantly technical in nature and are designed to reduce regulatory burden and red tape.</w:t>
      </w:r>
    </w:p>
    <w:p w14:paraId="615A6089" w14:textId="63365A2F" w:rsidR="001B1505" w:rsidRDefault="001B1505" w:rsidP="00164BC4">
      <w:pPr>
        <w:rPr>
          <w:rFonts w:asciiTheme="minorHAnsi" w:hAnsiTheme="minorHAnsi"/>
        </w:rPr>
      </w:pPr>
    </w:p>
    <w:p w14:paraId="7B3B9BE4" w14:textId="77777777" w:rsidR="001B1505" w:rsidRPr="00265FE9" w:rsidRDefault="001B1505" w:rsidP="001B1505">
      <w:pPr>
        <w:rPr>
          <w:rFonts w:asciiTheme="minorHAnsi" w:hAnsiTheme="minorHAnsi"/>
          <w:b/>
          <w:bCs/>
          <w:u w:val="single"/>
        </w:rPr>
      </w:pPr>
      <w:r w:rsidRPr="00265FE9">
        <w:rPr>
          <w:rFonts w:asciiTheme="minorHAnsi" w:hAnsiTheme="minorHAnsi"/>
          <w:b/>
          <w:bCs/>
          <w:u w:val="single"/>
        </w:rPr>
        <w:t>Human rights considerations</w:t>
      </w:r>
    </w:p>
    <w:p w14:paraId="372EA4ED" w14:textId="2A9B3249" w:rsidR="001B1505" w:rsidRDefault="001B1505" w:rsidP="00164BC4">
      <w:pPr>
        <w:rPr>
          <w:rFonts w:asciiTheme="minorHAnsi" w:hAnsiTheme="minorHAnsi"/>
        </w:rPr>
      </w:pPr>
      <w:r w:rsidRPr="00265FE9">
        <w:rPr>
          <w:rFonts w:asciiTheme="minorHAnsi" w:hAnsiTheme="minorHAnsi"/>
        </w:rPr>
        <w:t xml:space="preserve">During the development of the Amendment Regulation, due regard was given to its compatibility with the </w:t>
      </w:r>
      <w:r w:rsidRPr="00265FE9">
        <w:rPr>
          <w:rFonts w:asciiTheme="minorHAnsi" w:hAnsiTheme="minorHAnsi"/>
          <w:i/>
          <w:iCs/>
        </w:rPr>
        <w:t>Human Rights Act 2004</w:t>
      </w:r>
      <w:r w:rsidRPr="00265FE9">
        <w:rPr>
          <w:rFonts w:asciiTheme="minorHAnsi" w:hAnsiTheme="minorHAnsi"/>
        </w:rPr>
        <w:t xml:space="preserve"> (HR Act).</w:t>
      </w:r>
    </w:p>
    <w:p w14:paraId="1EE4E36D" w14:textId="1E031393" w:rsidR="001B1505" w:rsidRDefault="001B1505" w:rsidP="00164BC4">
      <w:pPr>
        <w:rPr>
          <w:rFonts w:asciiTheme="minorHAnsi" w:hAnsiTheme="minorHAnsi"/>
        </w:rPr>
      </w:pPr>
    </w:p>
    <w:p w14:paraId="26992857" w14:textId="77777777" w:rsidR="001B1505" w:rsidRPr="00265FE9" w:rsidRDefault="001B1505" w:rsidP="00164BC4">
      <w:pPr>
        <w:rPr>
          <w:rFonts w:asciiTheme="minorHAnsi" w:hAnsiTheme="minorHAnsi"/>
          <w:u w:val="single"/>
        </w:rPr>
      </w:pPr>
      <w:r w:rsidRPr="00265FE9">
        <w:rPr>
          <w:rFonts w:asciiTheme="minorHAnsi" w:hAnsiTheme="minorHAnsi"/>
          <w:u w:val="single"/>
        </w:rPr>
        <w:t>Rights Engaged</w:t>
      </w:r>
    </w:p>
    <w:p w14:paraId="4BD27697" w14:textId="77777777" w:rsidR="00B06FF5" w:rsidRDefault="001B1505" w:rsidP="00164BC4">
      <w:pPr>
        <w:rPr>
          <w:rFonts w:asciiTheme="minorHAnsi" w:hAnsiTheme="minorHAnsi"/>
        </w:rPr>
      </w:pPr>
      <w:r w:rsidRPr="00265FE9">
        <w:rPr>
          <w:rFonts w:asciiTheme="minorHAnsi" w:hAnsiTheme="minorHAnsi"/>
        </w:rPr>
        <w:t xml:space="preserve">The Amendment Regulation will </w:t>
      </w:r>
      <w:r>
        <w:rPr>
          <w:rFonts w:asciiTheme="minorHAnsi" w:hAnsiTheme="minorHAnsi"/>
        </w:rPr>
        <w:t xml:space="preserve">support the </w:t>
      </w:r>
      <w:r w:rsidR="00B06FF5">
        <w:rPr>
          <w:rFonts w:asciiTheme="minorHAnsi" w:hAnsiTheme="minorHAnsi"/>
        </w:rPr>
        <w:t xml:space="preserve">purposes of the MPTG Act, in particular </w:t>
      </w:r>
    </w:p>
    <w:p w14:paraId="1F760F83" w14:textId="77777777" w:rsidR="00B06FF5" w:rsidRDefault="00B06FF5" w:rsidP="00164BC4">
      <w:pPr>
        <w:rPr>
          <w:rFonts w:asciiTheme="minorHAnsi" w:hAnsiTheme="minorHAnsi"/>
        </w:rPr>
      </w:pPr>
      <w:r>
        <w:rPr>
          <w:rFonts w:asciiTheme="minorHAnsi" w:hAnsiTheme="minorHAnsi"/>
        </w:rPr>
        <w:t>t</w:t>
      </w:r>
      <w:r w:rsidRPr="00265FE9">
        <w:rPr>
          <w:rFonts w:asciiTheme="minorHAnsi" w:hAnsiTheme="minorHAnsi"/>
        </w:rPr>
        <w:t>o promote and protect public health and safety by</w:t>
      </w:r>
      <w:r>
        <w:rPr>
          <w:rFonts w:asciiTheme="minorHAnsi" w:hAnsiTheme="minorHAnsi"/>
        </w:rPr>
        <w:t xml:space="preserve"> </w:t>
      </w:r>
      <w:r w:rsidRPr="00265FE9">
        <w:rPr>
          <w:rFonts w:asciiTheme="minorHAnsi" w:hAnsiTheme="minorHAnsi"/>
        </w:rPr>
        <w:t>minimising</w:t>
      </w:r>
      <w:r>
        <w:rPr>
          <w:rFonts w:asciiTheme="minorHAnsi" w:hAnsiTheme="minorHAnsi"/>
        </w:rPr>
        <w:t>:</w:t>
      </w:r>
    </w:p>
    <w:p w14:paraId="555E2A3A" w14:textId="77777777" w:rsidR="00B06FF5" w:rsidRPr="00265FE9" w:rsidRDefault="00B06FF5" w:rsidP="00265FE9">
      <w:pPr>
        <w:pStyle w:val="ListParagraph"/>
        <w:numPr>
          <w:ilvl w:val="0"/>
          <w:numId w:val="21"/>
        </w:numPr>
        <w:rPr>
          <w:rFonts w:asciiTheme="minorHAnsi" w:hAnsiTheme="minorHAnsi"/>
        </w:rPr>
      </w:pPr>
      <w:r w:rsidRPr="00265FE9">
        <w:rPr>
          <w:rFonts w:asciiTheme="minorHAnsi" w:hAnsiTheme="minorHAnsi"/>
        </w:rPr>
        <w:t xml:space="preserve">the diversion of regulated substances for abuse and </w:t>
      </w:r>
    </w:p>
    <w:p w14:paraId="324E9474" w14:textId="1886DED2" w:rsidR="00B06FF5" w:rsidRPr="00265FE9" w:rsidRDefault="00B06FF5" w:rsidP="00265FE9">
      <w:pPr>
        <w:pStyle w:val="ListParagraph"/>
        <w:numPr>
          <w:ilvl w:val="0"/>
          <w:numId w:val="21"/>
        </w:numPr>
        <w:rPr>
          <w:rFonts w:asciiTheme="minorHAnsi" w:hAnsiTheme="minorHAnsi"/>
        </w:rPr>
      </w:pPr>
      <w:r w:rsidRPr="00265FE9">
        <w:rPr>
          <w:rFonts w:asciiTheme="minorHAnsi" w:hAnsiTheme="minorHAnsi"/>
        </w:rPr>
        <w:t>harm from regulated therapeutic goods.</w:t>
      </w:r>
    </w:p>
    <w:p w14:paraId="60D4D2A1" w14:textId="77777777" w:rsidR="00B06FF5" w:rsidRDefault="00B06FF5" w:rsidP="00164BC4">
      <w:pPr>
        <w:rPr>
          <w:rFonts w:asciiTheme="minorHAnsi" w:hAnsiTheme="minorHAnsi"/>
        </w:rPr>
      </w:pPr>
    </w:p>
    <w:p w14:paraId="7DEDD3C5" w14:textId="57457A3E" w:rsidR="00005AA2" w:rsidRDefault="00B06FF5" w:rsidP="00164BC4">
      <w:pPr>
        <w:rPr>
          <w:rFonts w:asciiTheme="minorHAnsi" w:hAnsiTheme="minorHAnsi"/>
        </w:rPr>
      </w:pPr>
      <w:r>
        <w:rPr>
          <w:rFonts w:asciiTheme="minorHAnsi" w:hAnsiTheme="minorHAnsi"/>
        </w:rPr>
        <w:t xml:space="preserve">Ensuring the effective administration of the regulation of medicines and poisons in the ACT through the Amendment Regulation </w:t>
      </w:r>
      <w:r w:rsidR="00005AA2">
        <w:rPr>
          <w:rFonts w:asciiTheme="minorHAnsi" w:hAnsiTheme="minorHAnsi"/>
        </w:rPr>
        <w:t xml:space="preserve">as described in the outline above </w:t>
      </w:r>
      <w:r>
        <w:rPr>
          <w:rFonts w:asciiTheme="minorHAnsi" w:hAnsiTheme="minorHAnsi"/>
        </w:rPr>
        <w:t xml:space="preserve">engages and promotes </w:t>
      </w:r>
      <w:r w:rsidR="00005AA2">
        <w:rPr>
          <w:rFonts w:asciiTheme="minorHAnsi" w:hAnsiTheme="minorHAnsi"/>
        </w:rPr>
        <w:t xml:space="preserve">human rights under the HR Act including </w:t>
      </w:r>
      <w:r>
        <w:rPr>
          <w:rFonts w:asciiTheme="minorHAnsi" w:hAnsiTheme="minorHAnsi"/>
        </w:rPr>
        <w:t>the</w:t>
      </w:r>
      <w:r w:rsidR="001B1505" w:rsidRPr="00265FE9">
        <w:rPr>
          <w:rFonts w:asciiTheme="minorHAnsi" w:hAnsiTheme="minorHAnsi"/>
        </w:rPr>
        <w:t xml:space="preserve"> right to privacy</w:t>
      </w:r>
      <w:r>
        <w:rPr>
          <w:rFonts w:asciiTheme="minorHAnsi" w:hAnsiTheme="minorHAnsi"/>
        </w:rPr>
        <w:t xml:space="preserve"> and the </w:t>
      </w:r>
      <w:r w:rsidR="001B1505" w:rsidRPr="00265FE9">
        <w:rPr>
          <w:rFonts w:asciiTheme="minorHAnsi" w:hAnsiTheme="minorHAnsi"/>
        </w:rPr>
        <w:t>right to life.</w:t>
      </w:r>
    </w:p>
    <w:p w14:paraId="2B5DAD6C" w14:textId="77777777" w:rsidR="00005AA2" w:rsidRDefault="00005AA2" w:rsidP="00164BC4">
      <w:pPr>
        <w:rPr>
          <w:rFonts w:asciiTheme="minorHAnsi" w:hAnsiTheme="minorHAnsi"/>
        </w:rPr>
      </w:pPr>
    </w:p>
    <w:p w14:paraId="7712B069" w14:textId="27E23024" w:rsidR="001B1505" w:rsidRDefault="001B1505" w:rsidP="00164BC4">
      <w:pPr>
        <w:rPr>
          <w:rFonts w:asciiTheme="minorHAnsi" w:hAnsiTheme="minorHAnsi"/>
        </w:rPr>
      </w:pPr>
      <w:r w:rsidRPr="00265FE9">
        <w:rPr>
          <w:rFonts w:asciiTheme="minorHAnsi" w:hAnsiTheme="minorHAnsi"/>
        </w:rPr>
        <w:t>The Amendment Regulation does not limit any rights under the HR Act.</w:t>
      </w:r>
    </w:p>
    <w:p w14:paraId="6791F411" w14:textId="4BAEADC3" w:rsidR="00B06FF5" w:rsidRDefault="00B06FF5">
      <w:pPr>
        <w:rPr>
          <w:rFonts w:asciiTheme="minorHAnsi" w:hAnsiTheme="minorHAnsi"/>
        </w:rPr>
      </w:pPr>
      <w:r>
        <w:rPr>
          <w:rFonts w:asciiTheme="minorHAnsi" w:hAnsiTheme="minorHAnsi"/>
        </w:rPr>
        <w:br w:type="page"/>
      </w:r>
    </w:p>
    <w:p w14:paraId="1648BFF1" w14:textId="192BFF99" w:rsidR="0049462B" w:rsidRPr="00265FE9" w:rsidRDefault="0049462B" w:rsidP="00265FE9">
      <w:pPr>
        <w:rPr>
          <w:rFonts w:asciiTheme="minorHAnsi" w:hAnsiTheme="minorHAnsi"/>
          <w:bCs/>
        </w:rPr>
      </w:pPr>
      <w:bookmarkStart w:id="1" w:name="_Hlk84317861"/>
      <w:r w:rsidRPr="00265FE9">
        <w:rPr>
          <w:rFonts w:asciiTheme="minorHAnsi" w:hAnsiTheme="minorHAnsi"/>
          <w:b/>
          <w:bCs/>
        </w:rPr>
        <w:lastRenderedPageBreak/>
        <w:t xml:space="preserve">Medicines, Poisons and Therapeutic Goods Amendment Regulation 2021 (No </w:t>
      </w:r>
      <w:r w:rsidR="00B808DA">
        <w:rPr>
          <w:rFonts w:asciiTheme="minorHAnsi" w:hAnsiTheme="minorHAnsi"/>
          <w:b/>
          <w:bCs/>
        </w:rPr>
        <w:t>2</w:t>
      </w:r>
      <w:r w:rsidRPr="00265FE9">
        <w:rPr>
          <w:rFonts w:asciiTheme="minorHAnsi" w:hAnsiTheme="minorHAnsi"/>
          <w:b/>
          <w:bCs/>
        </w:rPr>
        <w:t>)</w:t>
      </w:r>
    </w:p>
    <w:p w14:paraId="4AF313EA" w14:textId="77777777" w:rsidR="0049462B" w:rsidRPr="00265FE9" w:rsidRDefault="0049462B" w:rsidP="004D6598">
      <w:pPr>
        <w:rPr>
          <w:rFonts w:asciiTheme="minorHAnsi" w:hAnsiTheme="minorHAnsi"/>
          <w:b/>
          <w:bCs/>
        </w:rPr>
      </w:pPr>
    </w:p>
    <w:p w14:paraId="1BAEB517" w14:textId="12D43049" w:rsidR="00704D3E" w:rsidRPr="00265FE9" w:rsidRDefault="00704D3E" w:rsidP="004D6598">
      <w:pPr>
        <w:rPr>
          <w:rFonts w:asciiTheme="minorHAnsi" w:hAnsiTheme="minorHAnsi"/>
          <w:b/>
          <w:bCs/>
        </w:rPr>
      </w:pPr>
      <w:r w:rsidRPr="00265FE9">
        <w:rPr>
          <w:rFonts w:asciiTheme="minorHAnsi" w:hAnsiTheme="minorHAnsi"/>
          <w:b/>
          <w:bCs/>
        </w:rPr>
        <w:t>C</w:t>
      </w:r>
      <w:r w:rsidR="003A4F8F" w:rsidRPr="00265FE9">
        <w:rPr>
          <w:rFonts w:asciiTheme="minorHAnsi" w:hAnsiTheme="minorHAnsi"/>
          <w:b/>
          <w:bCs/>
        </w:rPr>
        <w:t>LAUSE</w:t>
      </w:r>
      <w:r w:rsidR="0049462B" w:rsidRPr="00265FE9">
        <w:rPr>
          <w:rFonts w:asciiTheme="minorHAnsi" w:hAnsiTheme="minorHAnsi"/>
          <w:b/>
          <w:bCs/>
        </w:rPr>
        <w:t xml:space="preserve"> NOTES</w:t>
      </w:r>
    </w:p>
    <w:p w14:paraId="7A14E400" w14:textId="77777777" w:rsidR="00704D3E" w:rsidRPr="00265FE9" w:rsidRDefault="00704D3E" w:rsidP="004D6598">
      <w:pPr>
        <w:rPr>
          <w:rFonts w:asciiTheme="minorHAnsi" w:hAnsiTheme="minorHAnsi"/>
        </w:rPr>
      </w:pPr>
    </w:p>
    <w:p w14:paraId="48DB1676" w14:textId="77777777" w:rsidR="00704D3E" w:rsidRPr="00265FE9" w:rsidRDefault="00704D3E" w:rsidP="004D6598">
      <w:pPr>
        <w:rPr>
          <w:rFonts w:asciiTheme="minorHAnsi" w:hAnsiTheme="minorHAnsi"/>
          <w:b/>
          <w:bCs/>
        </w:rPr>
      </w:pPr>
      <w:r w:rsidRPr="00265FE9">
        <w:rPr>
          <w:rFonts w:asciiTheme="minorHAnsi" w:hAnsiTheme="minorHAnsi"/>
          <w:b/>
          <w:bCs/>
        </w:rPr>
        <w:t xml:space="preserve">Clause 1 </w:t>
      </w:r>
      <w:r w:rsidRPr="00265FE9">
        <w:rPr>
          <w:rFonts w:asciiTheme="minorHAnsi" w:hAnsiTheme="minorHAnsi"/>
          <w:b/>
          <w:bCs/>
        </w:rPr>
        <w:tab/>
        <w:t xml:space="preserve">Name of Regulation </w:t>
      </w:r>
    </w:p>
    <w:p w14:paraId="7B473790" w14:textId="77777777" w:rsidR="0049462B" w:rsidRPr="00265FE9" w:rsidRDefault="0049462B" w:rsidP="004D6598">
      <w:pPr>
        <w:rPr>
          <w:rFonts w:asciiTheme="minorHAnsi" w:hAnsiTheme="minorHAnsi"/>
        </w:rPr>
      </w:pPr>
    </w:p>
    <w:p w14:paraId="105F3EA3" w14:textId="7D2F430B" w:rsidR="00323987" w:rsidRPr="00265FE9" w:rsidRDefault="00704D3E" w:rsidP="004D6598">
      <w:pPr>
        <w:rPr>
          <w:rFonts w:asciiTheme="minorHAnsi" w:hAnsiTheme="minorHAnsi"/>
        </w:rPr>
      </w:pPr>
      <w:r w:rsidRPr="00265FE9">
        <w:rPr>
          <w:rFonts w:asciiTheme="minorHAnsi" w:hAnsiTheme="minorHAnsi"/>
        </w:rPr>
        <w:t>The first clause of the Regulation declares the name of the Regulation to be the Medicines, Poisons and Therapeutic Goods Amendment Regulation 20</w:t>
      </w:r>
      <w:r w:rsidR="00323987" w:rsidRPr="00265FE9">
        <w:rPr>
          <w:rFonts w:asciiTheme="minorHAnsi" w:hAnsiTheme="minorHAnsi"/>
        </w:rPr>
        <w:t>21</w:t>
      </w:r>
      <w:r w:rsidRPr="00265FE9">
        <w:rPr>
          <w:rFonts w:asciiTheme="minorHAnsi" w:hAnsiTheme="minorHAnsi"/>
        </w:rPr>
        <w:t xml:space="preserve"> (No </w:t>
      </w:r>
      <w:r w:rsidR="00B808DA">
        <w:rPr>
          <w:rFonts w:asciiTheme="minorHAnsi" w:hAnsiTheme="minorHAnsi"/>
        </w:rPr>
        <w:t>2</w:t>
      </w:r>
      <w:r w:rsidRPr="00265FE9">
        <w:rPr>
          <w:rFonts w:asciiTheme="minorHAnsi" w:hAnsiTheme="minorHAnsi"/>
        </w:rPr>
        <w:t xml:space="preserve">). </w:t>
      </w:r>
    </w:p>
    <w:p w14:paraId="13BC8B30" w14:textId="77777777" w:rsidR="00323987" w:rsidRPr="00265FE9" w:rsidRDefault="00323987" w:rsidP="004D6598">
      <w:pPr>
        <w:rPr>
          <w:rFonts w:asciiTheme="minorHAnsi" w:hAnsiTheme="minorHAnsi"/>
        </w:rPr>
      </w:pPr>
    </w:p>
    <w:p w14:paraId="61B4CEF8" w14:textId="77777777" w:rsidR="00323987" w:rsidRPr="00265FE9" w:rsidRDefault="00704D3E" w:rsidP="004D6598">
      <w:pPr>
        <w:rPr>
          <w:rFonts w:asciiTheme="minorHAnsi" w:hAnsiTheme="minorHAnsi"/>
        </w:rPr>
      </w:pPr>
      <w:r w:rsidRPr="00265FE9">
        <w:rPr>
          <w:rFonts w:asciiTheme="minorHAnsi" w:hAnsiTheme="minorHAnsi"/>
          <w:b/>
          <w:bCs/>
        </w:rPr>
        <w:t>Clause 2</w:t>
      </w:r>
      <w:r w:rsidR="00323987" w:rsidRPr="00265FE9">
        <w:rPr>
          <w:rFonts w:asciiTheme="minorHAnsi" w:hAnsiTheme="minorHAnsi"/>
          <w:b/>
          <w:bCs/>
        </w:rPr>
        <w:tab/>
      </w:r>
      <w:r w:rsidRPr="00265FE9">
        <w:rPr>
          <w:rFonts w:asciiTheme="minorHAnsi" w:hAnsiTheme="minorHAnsi"/>
          <w:b/>
          <w:bCs/>
        </w:rPr>
        <w:t>Commencement</w:t>
      </w:r>
      <w:r w:rsidRPr="00265FE9">
        <w:rPr>
          <w:rFonts w:asciiTheme="minorHAnsi" w:hAnsiTheme="minorHAnsi"/>
        </w:rPr>
        <w:t xml:space="preserve"> </w:t>
      </w:r>
    </w:p>
    <w:p w14:paraId="7EE2FB7E" w14:textId="77777777" w:rsidR="0049462B" w:rsidRPr="00265FE9" w:rsidRDefault="0049462B" w:rsidP="004D6598">
      <w:pPr>
        <w:rPr>
          <w:rFonts w:asciiTheme="minorHAnsi" w:hAnsiTheme="minorHAnsi"/>
        </w:rPr>
      </w:pPr>
    </w:p>
    <w:p w14:paraId="320EC83E" w14:textId="762B86E5" w:rsidR="00704D3E" w:rsidRPr="00265FE9" w:rsidRDefault="00323987" w:rsidP="004D6598">
      <w:pPr>
        <w:rPr>
          <w:rFonts w:asciiTheme="minorHAnsi" w:hAnsiTheme="minorHAnsi"/>
        </w:rPr>
      </w:pPr>
      <w:r w:rsidRPr="00265FE9">
        <w:rPr>
          <w:rFonts w:asciiTheme="minorHAnsi" w:hAnsiTheme="minorHAnsi"/>
        </w:rPr>
        <w:t xml:space="preserve">Under </w:t>
      </w:r>
      <w:r w:rsidR="00704D3E" w:rsidRPr="00265FE9">
        <w:rPr>
          <w:rFonts w:asciiTheme="minorHAnsi" w:hAnsiTheme="minorHAnsi"/>
        </w:rPr>
        <w:t>this provision, the Regulation commence</w:t>
      </w:r>
      <w:r w:rsidRPr="00265FE9">
        <w:rPr>
          <w:rFonts w:asciiTheme="minorHAnsi" w:hAnsiTheme="minorHAnsi"/>
        </w:rPr>
        <w:t>s</w:t>
      </w:r>
      <w:r w:rsidR="00704D3E" w:rsidRPr="00265FE9">
        <w:rPr>
          <w:rFonts w:asciiTheme="minorHAnsi" w:hAnsiTheme="minorHAnsi"/>
        </w:rPr>
        <w:t xml:space="preserve"> the day after notification with exception to section 11. Section 11 is to commence on 1 October 2014. Due to the operation of section 75(1) of the </w:t>
      </w:r>
      <w:r w:rsidR="00704D3E" w:rsidRPr="00265FE9">
        <w:rPr>
          <w:rFonts w:asciiTheme="minorHAnsi" w:hAnsiTheme="minorHAnsi"/>
          <w:i/>
          <w:iCs/>
        </w:rPr>
        <w:t>Legislation Act 2001</w:t>
      </w:r>
      <w:r w:rsidR="00704D3E" w:rsidRPr="00265FE9">
        <w:rPr>
          <w:rFonts w:asciiTheme="minorHAnsi" w:hAnsiTheme="minorHAnsi"/>
        </w:rPr>
        <w:t xml:space="preserve"> (the Legislation Act) the naming and commencement provisions of this Regulation, clauses 1 and 2, commence automatically on the day the Regulation is notified. A note to that effect is included in the provision.</w:t>
      </w:r>
    </w:p>
    <w:p w14:paraId="5A9A382D" w14:textId="77777777" w:rsidR="00323987" w:rsidRPr="00265FE9" w:rsidRDefault="00323987" w:rsidP="004D6598">
      <w:pPr>
        <w:rPr>
          <w:rFonts w:asciiTheme="minorHAnsi" w:hAnsiTheme="minorHAnsi"/>
        </w:rPr>
      </w:pPr>
    </w:p>
    <w:p w14:paraId="70F76D2D" w14:textId="26936687" w:rsidR="00323987" w:rsidRPr="00265FE9" w:rsidRDefault="00323987" w:rsidP="004D6598">
      <w:pPr>
        <w:rPr>
          <w:rFonts w:asciiTheme="minorHAnsi" w:hAnsiTheme="minorHAnsi"/>
          <w:b/>
          <w:bCs/>
        </w:rPr>
      </w:pPr>
      <w:r w:rsidRPr="00265FE9">
        <w:rPr>
          <w:rFonts w:asciiTheme="minorHAnsi" w:hAnsiTheme="minorHAnsi"/>
          <w:b/>
          <w:bCs/>
        </w:rPr>
        <w:t>Clause 3</w:t>
      </w:r>
      <w:r w:rsidRPr="00265FE9">
        <w:rPr>
          <w:rFonts w:asciiTheme="minorHAnsi" w:hAnsiTheme="minorHAnsi"/>
          <w:b/>
          <w:bCs/>
        </w:rPr>
        <w:tab/>
        <w:t>Legislation amended</w:t>
      </w:r>
    </w:p>
    <w:p w14:paraId="2BAD01CF" w14:textId="77777777" w:rsidR="0049462B" w:rsidRPr="00265FE9" w:rsidRDefault="0049462B" w:rsidP="004D6598">
      <w:pPr>
        <w:rPr>
          <w:rFonts w:asciiTheme="minorHAnsi" w:hAnsiTheme="minorHAnsi"/>
        </w:rPr>
      </w:pPr>
    </w:p>
    <w:p w14:paraId="058F29E5" w14:textId="64D71E29" w:rsidR="00323987" w:rsidRPr="00265FE9" w:rsidRDefault="00323987" w:rsidP="004D6598">
      <w:pPr>
        <w:rPr>
          <w:rFonts w:asciiTheme="minorHAnsi" w:hAnsiTheme="minorHAnsi"/>
        </w:rPr>
      </w:pPr>
      <w:r w:rsidRPr="00265FE9">
        <w:rPr>
          <w:rFonts w:asciiTheme="minorHAnsi" w:hAnsiTheme="minorHAnsi"/>
        </w:rPr>
        <w:t>This clause advises that this Regulation amends the MPTG Regulation. Upon commencement, this Regulation will alter the MPTG Regulation in accordance with the provisions that this Regulation contains. This Regulation will then be immediately repealed. Consequentially, from the date that this Regulation commences, a new republication of the MPTG Regulation will be available. That new republication will feature the amendments made by this Regulation.</w:t>
      </w:r>
    </w:p>
    <w:p w14:paraId="04F9EB8F" w14:textId="02CE9110" w:rsidR="008A1D34" w:rsidRPr="00265FE9" w:rsidRDefault="008A1D34" w:rsidP="004D6598">
      <w:pPr>
        <w:rPr>
          <w:rFonts w:asciiTheme="minorHAnsi" w:hAnsiTheme="minorHAnsi"/>
        </w:rPr>
      </w:pPr>
    </w:p>
    <w:p w14:paraId="338F3DDA" w14:textId="0E694434" w:rsidR="00323987" w:rsidRPr="00265FE9" w:rsidRDefault="00416248" w:rsidP="004D6598">
      <w:pPr>
        <w:rPr>
          <w:rFonts w:asciiTheme="minorHAnsi" w:hAnsiTheme="minorHAnsi"/>
          <w:b/>
          <w:bCs/>
        </w:rPr>
      </w:pPr>
      <w:r w:rsidRPr="00265FE9">
        <w:rPr>
          <w:rFonts w:asciiTheme="minorHAnsi" w:hAnsiTheme="minorHAnsi"/>
          <w:b/>
          <w:bCs/>
        </w:rPr>
        <w:t>Clause 4</w:t>
      </w:r>
      <w:r w:rsidR="00323987" w:rsidRPr="00265FE9">
        <w:rPr>
          <w:rFonts w:asciiTheme="minorHAnsi" w:hAnsiTheme="minorHAnsi"/>
          <w:b/>
          <w:bCs/>
        </w:rPr>
        <w:tab/>
        <w:t>Section 31 (2) and note</w:t>
      </w:r>
    </w:p>
    <w:p w14:paraId="3C6F6E10" w14:textId="77777777" w:rsidR="0049462B" w:rsidRPr="00265FE9" w:rsidRDefault="0049462B" w:rsidP="00323987">
      <w:pPr>
        <w:rPr>
          <w:rFonts w:asciiTheme="minorHAnsi" w:hAnsiTheme="minorHAnsi"/>
        </w:rPr>
      </w:pPr>
    </w:p>
    <w:p w14:paraId="607A2307" w14:textId="272B1FCB" w:rsidR="00323987" w:rsidRPr="00265FE9" w:rsidRDefault="00323987" w:rsidP="00323987">
      <w:pPr>
        <w:rPr>
          <w:rFonts w:asciiTheme="minorHAnsi" w:hAnsiTheme="minorHAnsi"/>
        </w:rPr>
      </w:pPr>
      <w:r w:rsidRPr="00265FE9">
        <w:rPr>
          <w:rFonts w:asciiTheme="minorHAnsi" w:hAnsiTheme="minorHAnsi"/>
        </w:rPr>
        <w:t xml:space="preserve">The MPTG Regulation, section 31 (Authorisation conditions for prescribing medicines—Act, s 44 (1) (b) and (2) (b)) sets out the authorisation conditions for prescribing medicines via a NRMC prescription. </w:t>
      </w:r>
    </w:p>
    <w:bookmarkEnd w:id="1"/>
    <w:p w14:paraId="489EAE51" w14:textId="77777777" w:rsidR="00323987" w:rsidRPr="00265FE9" w:rsidRDefault="00323987" w:rsidP="00323987">
      <w:pPr>
        <w:rPr>
          <w:rFonts w:asciiTheme="minorHAnsi" w:hAnsiTheme="minorHAnsi"/>
        </w:rPr>
      </w:pPr>
    </w:p>
    <w:p w14:paraId="499FCA8F" w14:textId="5FA24B8F" w:rsidR="008A1D34" w:rsidRPr="00265FE9" w:rsidRDefault="00323987" w:rsidP="004D6598">
      <w:pPr>
        <w:rPr>
          <w:rFonts w:asciiTheme="minorHAnsi" w:hAnsiTheme="minorHAnsi"/>
        </w:rPr>
      </w:pPr>
      <w:r w:rsidRPr="00265FE9">
        <w:rPr>
          <w:rFonts w:asciiTheme="minorHAnsi" w:hAnsiTheme="minorHAnsi"/>
        </w:rPr>
        <w:t xml:space="preserve">This clause </w:t>
      </w:r>
      <w:r w:rsidR="00416248" w:rsidRPr="00265FE9">
        <w:rPr>
          <w:rFonts w:asciiTheme="minorHAnsi" w:hAnsiTheme="minorHAnsi"/>
        </w:rPr>
        <w:t xml:space="preserve">amends the </w:t>
      </w:r>
      <w:r w:rsidR="008A1D34" w:rsidRPr="00265FE9">
        <w:rPr>
          <w:rFonts w:asciiTheme="minorHAnsi" w:hAnsiTheme="minorHAnsi"/>
        </w:rPr>
        <w:t xml:space="preserve">definition of an NRMC to refer to current Australian Government legislation. This amendment was required as the prior legislation referred to in the MPTG Regulation was repealed. </w:t>
      </w:r>
    </w:p>
    <w:p w14:paraId="2B36BBCD" w14:textId="6DCF74DF" w:rsidR="008A1D34" w:rsidRPr="00265FE9" w:rsidRDefault="008A1D34" w:rsidP="004D6598">
      <w:pPr>
        <w:rPr>
          <w:rFonts w:asciiTheme="minorHAnsi" w:hAnsiTheme="minorHAnsi"/>
        </w:rPr>
      </w:pPr>
    </w:p>
    <w:p w14:paraId="6C674432" w14:textId="59468A8F" w:rsidR="00323987" w:rsidRPr="00265FE9" w:rsidRDefault="00323987" w:rsidP="004D6598">
      <w:pPr>
        <w:rPr>
          <w:rFonts w:asciiTheme="minorHAnsi" w:hAnsiTheme="minorHAnsi"/>
          <w:b/>
          <w:bCs/>
        </w:rPr>
      </w:pPr>
      <w:r w:rsidRPr="00265FE9">
        <w:rPr>
          <w:rFonts w:asciiTheme="minorHAnsi" w:hAnsiTheme="minorHAnsi"/>
          <w:b/>
          <w:bCs/>
        </w:rPr>
        <w:t>Clause 5</w:t>
      </w:r>
      <w:r w:rsidRPr="00265FE9">
        <w:rPr>
          <w:rFonts w:asciiTheme="minorHAnsi" w:hAnsiTheme="minorHAnsi"/>
          <w:b/>
          <w:bCs/>
        </w:rPr>
        <w:tab/>
        <w:t>Section 41 (4), definition of relevant approval particulars</w:t>
      </w:r>
    </w:p>
    <w:p w14:paraId="79C91B59" w14:textId="77777777" w:rsidR="0049462B" w:rsidRPr="00265FE9" w:rsidRDefault="0049462B" w:rsidP="004D6598">
      <w:pPr>
        <w:rPr>
          <w:rFonts w:asciiTheme="minorHAnsi" w:hAnsiTheme="minorHAnsi"/>
        </w:rPr>
      </w:pPr>
    </w:p>
    <w:p w14:paraId="7361DBD6" w14:textId="19DE21F3" w:rsidR="00416248" w:rsidRPr="00265FE9" w:rsidRDefault="00416248" w:rsidP="004D6598">
      <w:pPr>
        <w:rPr>
          <w:rFonts w:asciiTheme="minorHAnsi" w:hAnsiTheme="minorHAnsi"/>
        </w:rPr>
      </w:pPr>
      <w:r w:rsidRPr="00265FE9">
        <w:rPr>
          <w:rFonts w:asciiTheme="minorHAnsi" w:hAnsiTheme="minorHAnsi"/>
        </w:rPr>
        <w:t>The MPTG Regulation, s</w:t>
      </w:r>
      <w:r w:rsidR="008A1D34" w:rsidRPr="00265FE9">
        <w:rPr>
          <w:rFonts w:asciiTheme="minorHAnsi" w:hAnsiTheme="minorHAnsi"/>
        </w:rPr>
        <w:t xml:space="preserve">ection </w:t>
      </w:r>
      <w:r w:rsidR="002B3149" w:rsidRPr="00265FE9">
        <w:rPr>
          <w:rFonts w:asciiTheme="minorHAnsi" w:hAnsiTheme="minorHAnsi"/>
        </w:rPr>
        <w:t>41</w:t>
      </w:r>
      <w:r w:rsidRPr="00265FE9">
        <w:rPr>
          <w:rFonts w:asciiTheme="minorHAnsi" w:hAnsiTheme="minorHAnsi"/>
        </w:rPr>
        <w:t xml:space="preserve"> (Particulars for prescriptions)</w:t>
      </w:r>
      <w:r w:rsidR="002B3149" w:rsidRPr="00265FE9">
        <w:rPr>
          <w:rFonts w:asciiTheme="minorHAnsi" w:hAnsiTheme="minorHAnsi"/>
        </w:rPr>
        <w:t xml:space="preserve"> outlines the particulars for prescriptions</w:t>
      </w:r>
      <w:r w:rsidR="0062615A" w:rsidRPr="00265FE9">
        <w:rPr>
          <w:rFonts w:asciiTheme="minorHAnsi" w:hAnsiTheme="minorHAnsi"/>
        </w:rPr>
        <w:t xml:space="preserve"> and outlines</w:t>
      </w:r>
      <w:r w:rsidR="002B3149" w:rsidRPr="00265FE9">
        <w:rPr>
          <w:rFonts w:asciiTheme="minorHAnsi" w:hAnsiTheme="minorHAnsi"/>
        </w:rPr>
        <w:t xml:space="preserve"> the information that must be included on a prescription.</w:t>
      </w:r>
      <w:r w:rsidR="00602EEF" w:rsidRPr="00265FE9">
        <w:rPr>
          <w:rFonts w:asciiTheme="minorHAnsi" w:hAnsiTheme="minorHAnsi"/>
        </w:rPr>
        <w:t xml:space="preserve"> </w:t>
      </w:r>
    </w:p>
    <w:p w14:paraId="64D9C9D5" w14:textId="77777777" w:rsidR="00416248" w:rsidRPr="00265FE9" w:rsidRDefault="00416248" w:rsidP="004D6598">
      <w:pPr>
        <w:rPr>
          <w:rFonts w:asciiTheme="minorHAnsi" w:hAnsiTheme="minorHAnsi"/>
        </w:rPr>
      </w:pPr>
    </w:p>
    <w:p w14:paraId="4AC38134" w14:textId="5600D138" w:rsidR="008A1D34" w:rsidRPr="00265FE9" w:rsidRDefault="00416248" w:rsidP="004D6598">
      <w:pPr>
        <w:rPr>
          <w:rFonts w:asciiTheme="minorHAnsi" w:hAnsiTheme="minorHAnsi"/>
        </w:rPr>
      </w:pPr>
      <w:r w:rsidRPr="00265FE9">
        <w:rPr>
          <w:rFonts w:asciiTheme="minorHAnsi" w:hAnsiTheme="minorHAnsi"/>
        </w:rPr>
        <w:t>Clause 5 of the Amendment Regulation omits s</w:t>
      </w:r>
      <w:r w:rsidR="00602EEF" w:rsidRPr="00265FE9">
        <w:rPr>
          <w:rFonts w:asciiTheme="minorHAnsi" w:hAnsiTheme="minorHAnsi"/>
        </w:rPr>
        <w:t xml:space="preserve">ection 41 (4) </w:t>
      </w:r>
      <w:r w:rsidRPr="00265FE9">
        <w:rPr>
          <w:rFonts w:asciiTheme="minorHAnsi" w:hAnsiTheme="minorHAnsi"/>
        </w:rPr>
        <w:t xml:space="preserve">of the regulation which </w:t>
      </w:r>
      <w:r w:rsidR="00602EEF" w:rsidRPr="00265FE9">
        <w:rPr>
          <w:rFonts w:asciiTheme="minorHAnsi" w:hAnsiTheme="minorHAnsi"/>
        </w:rPr>
        <w:t>established the definition for ‘relevant approval particulars”.</w:t>
      </w:r>
      <w:r w:rsidR="002B3149" w:rsidRPr="00265FE9">
        <w:rPr>
          <w:rFonts w:asciiTheme="minorHAnsi" w:hAnsiTheme="minorHAnsi"/>
        </w:rPr>
        <w:t xml:space="preserve"> </w:t>
      </w:r>
      <w:r w:rsidRPr="00265FE9">
        <w:rPr>
          <w:rFonts w:asciiTheme="minorHAnsi" w:hAnsiTheme="minorHAnsi"/>
        </w:rPr>
        <w:t xml:space="preserve">This change brings section 42 into line with </w:t>
      </w:r>
      <w:r w:rsidR="002B3149" w:rsidRPr="00265FE9">
        <w:rPr>
          <w:rFonts w:asciiTheme="minorHAnsi" w:hAnsiTheme="minorHAnsi"/>
        </w:rPr>
        <w:t>2016</w:t>
      </w:r>
      <w:r w:rsidRPr="00265FE9">
        <w:rPr>
          <w:rFonts w:asciiTheme="minorHAnsi" w:hAnsiTheme="minorHAnsi"/>
        </w:rPr>
        <w:t xml:space="preserve"> changes to</w:t>
      </w:r>
      <w:r w:rsidR="002B3149" w:rsidRPr="00265FE9">
        <w:rPr>
          <w:rFonts w:asciiTheme="minorHAnsi" w:hAnsiTheme="minorHAnsi"/>
        </w:rPr>
        <w:t xml:space="preserve"> the MPTG Regulation </w:t>
      </w:r>
      <w:r w:rsidRPr="00265FE9">
        <w:rPr>
          <w:rFonts w:asciiTheme="minorHAnsi" w:hAnsiTheme="minorHAnsi"/>
        </w:rPr>
        <w:t xml:space="preserve">which </w:t>
      </w:r>
      <w:r w:rsidR="002B3149" w:rsidRPr="00265FE9">
        <w:rPr>
          <w:rFonts w:asciiTheme="minorHAnsi" w:hAnsiTheme="minorHAnsi"/>
        </w:rPr>
        <w:t>remove</w:t>
      </w:r>
      <w:r w:rsidRPr="00265FE9">
        <w:rPr>
          <w:rFonts w:asciiTheme="minorHAnsi" w:hAnsiTheme="minorHAnsi"/>
        </w:rPr>
        <w:t>d</w:t>
      </w:r>
      <w:r w:rsidR="002B3149" w:rsidRPr="00265FE9">
        <w:rPr>
          <w:rFonts w:asciiTheme="minorHAnsi" w:hAnsiTheme="minorHAnsi"/>
        </w:rPr>
        <w:t xml:space="preserve"> the requirement in section 41</w:t>
      </w:r>
      <w:r w:rsidR="00602EEF" w:rsidRPr="00265FE9">
        <w:rPr>
          <w:rFonts w:asciiTheme="minorHAnsi" w:hAnsiTheme="minorHAnsi"/>
        </w:rPr>
        <w:t>(4) to annotate the</w:t>
      </w:r>
      <w:r w:rsidR="0051555F" w:rsidRPr="00265FE9">
        <w:rPr>
          <w:rFonts w:asciiTheme="minorHAnsi" w:hAnsiTheme="minorHAnsi"/>
        </w:rPr>
        <w:t xml:space="preserve"> Chief Health Officer (</w:t>
      </w:r>
      <w:r w:rsidR="00602EEF" w:rsidRPr="00265FE9">
        <w:rPr>
          <w:rFonts w:asciiTheme="minorHAnsi" w:hAnsiTheme="minorHAnsi"/>
        </w:rPr>
        <w:t>CHO</w:t>
      </w:r>
      <w:r w:rsidR="0051555F" w:rsidRPr="00265FE9">
        <w:rPr>
          <w:rFonts w:asciiTheme="minorHAnsi" w:hAnsiTheme="minorHAnsi"/>
        </w:rPr>
        <w:t>)</w:t>
      </w:r>
      <w:r w:rsidR="00602EEF" w:rsidRPr="00265FE9">
        <w:rPr>
          <w:rFonts w:asciiTheme="minorHAnsi" w:hAnsiTheme="minorHAnsi"/>
        </w:rPr>
        <w:t xml:space="preserve"> approval </w:t>
      </w:r>
      <w:r w:rsidR="00602EEF" w:rsidRPr="00265FE9">
        <w:rPr>
          <w:rFonts w:asciiTheme="minorHAnsi" w:hAnsiTheme="minorHAnsi"/>
        </w:rPr>
        <w:lastRenderedPageBreak/>
        <w:t>number on a prescription when prescribing a controlled medicine</w:t>
      </w:r>
      <w:r w:rsidR="004106C0" w:rsidRPr="00265FE9">
        <w:rPr>
          <w:rFonts w:asciiTheme="minorHAnsi" w:hAnsiTheme="minorHAnsi"/>
        </w:rPr>
        <w:t>.</w:t>
      </w:r>
      <w:r w:rsidRPr="00265FE9">
        <w:rPr>
          <w:rFonts w:asciiTheme="minorHAnsi" w:hAnsiTheme="minorHAnsi"/>
        </w:rPr>
        <w:t xml:space="preserve"> Omitting section 41</w:t>
      </w:r>
      <w:r w:rsidR="0051555F" w:rsidRPr="00265FE9">
        <w:rPr>
          <w:rFonts w:asciiTheme="minorHAnsi" w:hAnsiTheme="minorHAnsi"/>
        </w:rPr>
        <w:t xml:space="preserve"> </w:t>
      </w:r>
      <w:r w:rsidRPr="00265FE9">
        <w:rPr>
          <w:rFonts w:asciiTheme="minorHAnsi" w:hAnsiTheme="minorHAnsi"/>
        </w:rPr>
        <w:t>(4) remo</w:t>
      </w:r>
      <w:r w:rsidR="00822722" w:rsidRPr="00265FE9">
        <w:rPr>
          <w:rFonts w:asciiTheme="minorHAnsi" w:hAnsiTheme="minorHAnsi"/>
        </w:rPr>
        <w:t>ves any doubt as the information to be included with approval particulars.</w:t>
      </w:r>
    </w:p>
    <w:p w14:paraId="7AEE47A0" w14:textId="223EAEED" w:rsidR="000A14DF" w:rsidRPr="00265FE9" w:rsidRDefault="000A14DF" w:rsidP="004D6598">
      <w:pPr>
        <w:rPr>
          <w:rFonts w:asciiTheme="minorHAnsi" w:hAnsiTheme="minorHAnsi"/>
        </w:rPr>
      </w:pPr>
    </w:p>
    <w:p w14:paraId="25D7B87B" w14:textId="3FF09098" w:rsidR="00323987" w:rsidRPr="00265FE9" w:rsidRDefault="00323987" w:rsidP="00492495">
      <w:pPr>
        <w:rPr>
          <w:rFonts w:asciiTheme="minorHAnsi" w:hAnsiTheme="minorHAnsi"/>
          <w:b/>
          <w:bCs/>
        </w:rPr>
      </w:pPr>
      <w:r w:rsidRPr="00265FE9">
        <w:rPr>
          <w:rFonts w:asciiTheme="minorHAnsi" w:hAnsiTheme="minorHAnsi"/>
          <w:b/>
          <w:bCs/>
        </w:rPr>
        <w:t>Clause 6</w:t>
      </w:r>
      <w:r w:rsidRPr="00265FE9">
        <w:rPr>
          <w:rFonts w:asciiTheme="minorHAnsi" w:hAnsiTheme="minorHAnsi"/>
          <w:b/>
          <w:bCs/>
        </w:rPr>
        <w:tab/>
        <w:t xml:space="preserve">Section 121 (3), definition of </w:t>
      </w:r>
      <w:r w:rsidRPr="00265FE9">
        <w:rPr>
          <w:rFonts w:asciiTheme="minorHAnsi" w:hAnsiTheme="minorHAnsi"/>
          <w:b/>
          <w:bCs/>
          <w:i/>
          <w:iCs/>
        </w:rPr>
        <w:t>authorised prescriber</w:t>
      </w:r>
      <w:r w:rsidRPr="00265FE9">
        <w:rPr>
          <w:rFonts w:asciiTheme="minorHAnsi" w:hAnsiTheme="minorHAnsi"/>
          <w:b/>
          <w:bCs/>
        </w:rPr>
        <w:t xml:space="preserve"> and examples</w:t>
      </w:r>
    </w:p>
    <w:p w14:paraId="1AAD5AB0" w14:textId="77777777" w:rsidR="0049462B" w:rsidRPr="00265FE9" w:rsidRDefault="0049462B" w:rsidP="00492495">
      <w:pPr>
        <w:rPr>
          <w:rFonts w:asciiTheme="minorHAnsi" w:hAnsiTheme="minorHAnsi"/>
        </w:rPr>
      </w:pPr>
    </w:p>
    <w:p w14:paraId="68CF8F05" w14:textId="332B2EC0" w:rsidR="004106C0" w:rsidRPr="00265FE9" w:rsidRDefault="00822722" w:rsidP="00492495">
      <w:pPr>
        <w:rPr>
          <w:rFonts w:asciiTheme="minorHAnsi" w:hAnsiTheme="minorHAnsi"/>
        </w:rPr>
      </w:pPr>
      <w:r w:rsidRPr="00265FE9">
        <w:rPr>
          <w:rFonts w:asciiTheme="minorHAnsi" w:hAnsiTheme="minorHAnsi"/>
        </w:rPr>
        <w:t>The MPTG Regulation, s</w:t>
      </w:r>
      <w:r w:rsidR="00602EEF" w:rsidRPr="00265FE9">
        <w:rPr>
          <w:rFonts w:asciiTheme="minorHAnsi" w:hAnsiTheme="minorHAnsi"/>
        </w:rPr>
        <w:t>ection 121</w:t>
      </w:r>
      <w:r w:rsidRPr="00265FE9">
        <w:rPr>
          <w:rFonts w:asciiTheme="minorHAnsi" w:hAnsiTheme="minorHAnsi"/>
        </w:rPr>
        <w:t xml:space="preserve"> (How medicines are dispensed)</w:t>
      </w:r>
      <w:r w:rsidR="00602EEF" w:rsidRPr="00265FE9">
        <w:rPr>
          <w:rFonts w:asciiTheme="minorHAnsi" w:hAnsiTheme="minorHAnsi"/>
        </w:rPr>
        <w:t xml:space="preserve"> </w:t>
      </w:r>
      <w:r w:rsidR="004106C0" w:rsidRPr="00265FE9">
        <w:rPr>
          <w:rFonts w:asciiTheme="minorHAnsi" w:hAnsiTheme="minorHAnsi"/>
        </w:rPr>
        <w:t xml:space="preserve">outlines how medicines are dispensed. This section has been amended </w:t>
      </w:r>
      <w:r w:rsidR="00323987" w:rsidRPr="00265FE9">
        <w:rPr>
          <w:rFonts w:asciiTheme="minorHAnsi" w:hAnsiTheme="minorHAnsi"/>
        </w:rPr>
        <w:t xml:space="preserve">to </w:t>
      </w:r>
      <w:r w:rsidR="004106C0" w:rsidRPr="00265FE9">
        <w:rPr>
          <w:rFonts w:asciiTheme="minorHAnsi" w:hAnsiTheme="minorHAnsi"/>
        </w:rPr>
        <w:t xml:space="preserve">define an authorised prescriber for this section for prescription only and controlled medicines to be a person who is authorised to issue the prescription under the Act or another territory law with the exception of methadone and buprenorphine for the treatment of OMT. An authorised prescriber </w:t>
      </w:r>
      <w:r w:rsidR="00492495" w:rsidRPr="00265FE9">
        <w:rPr>
          <w:rFonts w:asciiTheme="minorHAnsi" w:hAnsiTheme="minorHAnsi"/>
        </w:rPr>
        <w:t>prescribing m</w:t>
      </w:r>
      <w:r w:rsidR="004106C0" w:rsidRPr="00265FE9">
        <w:rPr>
          <w:rFonts w:asciiTheme="minorHAnsi" w:hAnsiTheme="minorHAnsi"/>
        </w:rPr>
        <w:t xml:space="preserve">ethadone and </w:t>
      </w:r>
      <w:r w:rsidR="00492495" w:rsidRPr="00265FE9">
        <w:rPr>
          <w:rFonts w:asciiTheme="minorHAnsi" w:hAnsiTheme="minorHAnsi"/>
        </w:rPr>
        <w:t>b</w:t>
      </w:r>
      <w:r w:rsidR="004106C0" w:rsidRPr="00265FE9">
        <w:rPr>
          <w:rFonts w:asciiTheme="minorHAnsi" w:hAnsiTheme="minorHAnsi"/>
        </w:rPr>
        <w:t xml:space="preserve">uprenorphine </w:t>
      </w:r>
      <w:r w:rsidR="00492495" w:rsidRPr="00265FE9">
        <w:rPr>
          <w:rFonts w:asciiTheme="minorHAnsi" w:hAnsiTheme="minorHAnsi"/>
        </w:rPr>
        <w:t xml:space="preserve">for OMT </w:t>
      </w:r>
      <w:r w:rsidR="004106C0" w:rsidRPr="00265FE9">
        <w:rPr>
          <w:rFonts w:asciiTheme="minorHAnsi" w:hAnsiTheme="minorHAnsi"/>
        </w:rPr>
        <w:t xml:space="preserve">will still </w:t>
      </w:r>
      <w:r w:rsidR="00492495" w:rsidRPr="00265FE9">
        <w:rPr>
          <w:rFonts w:asciiTheme="minorHAnsi" w:hAnsiTheme="minorHAnsi"/>
        </w:rPr>
        <w:t>be a person who is authorised to issue the prescription under part 13.1.</w:t>
      </w:r>
    </w:p>
    <w:p w14:paraId="1243FC25" w14:textId="552CC5E5" w:rsidR="002B3149" w:rsidRPr="00265FE9" w:rsidRDefault="002B3149" w:rsidP="004D6598">
      <w:pPr>
        <w:rPr>
          <w:rFonts w:asciiTheme="minorHAnsi" w:hAnsiTheme="minorHAnsi"/>
          <w:b/>
          <w:bCs/>
        </w:rPr>
      </w:pPr>
    </w:p>
    <w:p w14:paraId="47E0B55D" w14:textId="51B45B96" w:rsidR="00323987" w:rsidRPr="00265FE9" w:rsidRDefault="00323987" w:rsidP="004D6598">
      <w:pPr>
        <w:rPr>
          <w:rFonts w:asciiTheme="minorHAnsi" w:hAnsiTheme="minorHAnsi"/>
          <w:b/>
          <w:bCs/>
        </w:rPr>
      </w:pPr>
      <w:r w:rsidRPr="00265FE9">
        <w:rPr>
          <w:rFonts w:asciiTheme="minorHAnsi" w:hAnsiTheme="minorHAnsi"/>
          <w:b/>
          <w:bCs/>
        </w:rPr>
        <w:t>Clause 7</w:t>
      </w:r>
      <w:r w:rsidRPr="00265FE9">
        <w:rPr>
          <w:rFonts w:asciiTheme="minorHAnsi" w:hAnsiTheme="minorHAnsi"/>
          <w:b/>
          <w:bCs/>
        </w:rPr>
        <w:tab/>
        <w:t>Section 124</w:t>
      </w:r>
      <w:r w:rsidR="00376A4D" w:rsidRPr="00265FE9">
        <w:rPr>
          <w:rFonts w:asciiTheme="minorHAnsi" w:hAnsiTheme="minorHAnsi"/>
          <w:b/>
          <w:bCs/>
        </w:rPr>
        <w:t xml:space="preserve"> </w:t>
      </w:r>
      <w:r w:rsidRPr="00265FE9">
        <w:rPr>
          <w:rFonts w:asciiTheme="minorHAnsi" w:hAnsiTheme="minorHAnsi"/>
          <w:b/>
          <w:bCs/>
        </w:rPr>
        <w:t>(1)</w:t>
      </w:r>
    </w:p>
    <w:p w14:paraId="597A5BFF" w14:textId="77777777" w:rsidR="0049462B" w:rsidRPr="00265FE9" w:rsidRDefault="0049462B" w:rsidP="004D6598">
      <w:pPr>
        <w:rPr>
          <w:rFonts w:asciiTheme="minorHAnsi" w:hAnsiTheme="minorHAnsi"/>
        </w:rPr>
      </w:pPr>
    </w:p>
    <w:p w14:paraId="31B0D3B5" w14:textId="077CCABD" w:rsidR="002B3149" w:rsidRPr="00265FE9" w:rsidRDefault="00323987" w:rsidP="004D6598">
      <w:pPr>
        <w:rPr>
          <w:rFonts w:asciiTheme="minorHAnsi" w:hAnsiTheme="minorHAnsi"/>
        </w:rPr>
      </w:pPr>
      <w:r w:rsidRPr="00265FE9">
        <w:rPr>
          <w:rFonts w:asciiTheme="minorHAnsi" w:hAnsiTheme="minorHAnsi"/>
        </w:rPr>
        <w:t xml:space="preserve">Clause 7 </w:t>
      </w:r>
      <w:r w:rsidR="00822722" w:rsidRPr="00265FE9">
        <w:rPr>
          <w:rFonts w:asciiTheme="minorHAnsi" w:hAnsiTheme="minorHAnsi"/>
        </w:rPr>
        <w:t>amend</w:t>
      </w:r>
      <w:r w:rsidRPr="00265FE9">
        <w:rPr>
          <w:rFonts w:asciiTheme="minorHAnsi" w:hAnsiTheme="minorHAnsi"/>
        </w:rPr>
        <w:t>s</w:t>
      </w:r>
      <w:r w:rsidR="00822722" w:rsidRPr="00265FE9">
        <w:rPr>
          <w:rFonts w:asciiTheme="minorHAnsi" w:hAnsiTheme="minorHAnsi"/>
        </w:rPr>
        <w:t xml:space="preserve"> Section 124 to exempt electronic prescriptions from the requirement of 124</w:t>
      </w:r>
      <w:r w:rsidR="00376A4D" w:rsidRPr="00265FE9">
        <w:rPr>
          <w:rFonts w:asciiTheme="minorHAnsi" w:hAnsiTheme="minorHAnsi"/>
        </w:rPr>
        <w:t xml:space="preserve"> </w:t>
      </w:r>
      <w:r w:rsidR="00822722" w:rsidRPr="00265FE9">
        <w:rPr>
          <w:rFonts w:asciiTheme="minorHAnsi" w:hAnsiTheme="minorHAnsi"/>
        </w:rPr>
        <w:t>(3).</w:t>
      </w:r>
      <w:r w:rsidR="00376A4D" w:rsidRPr="00265FE9">
        <w:rPr>
          <w:rFonts w:asciiTheme="minorHAnsi" w:hAnsiTheme="minorHAnsi"/>
        </w:rPr>
        <w:t xml:space="preserve"> </w:t>
      </w:r>
      <w:r w:rsidR="00822722" w:rsidRPr="00265FE9">
        <w:rPr>
          <w:rFonts w:asciiTheme="minorHAnsi" w:hAnsiTheme="minorHAnsi"/>
        </w:rPr>
        <w:t>The MPTG Regulation, s</w:t>
      </w:r>
      <w:r w:rsidR="002B3149" w:rsidRPr="00265FE9">
        <w:rPr>
          <w:rFonts w:asciiTheme="minorHAnsi" w:hAnsiTheme="minorHAnsi"/>
        </w:rPr>
        <w:t xml:space="preserve">ection 124 </w:t>
      </w:r>
      <w:r w:rsidR="00822722" w:rsidRPr="00265FE9">
        <w:rPr>
          <w:rFonts w:asciiTheme="minorHAnsi" w:hAnsiTheme="minorHAnsi"/>
        </w:rPr>
        <w:t xml:space="preserve">(Marking dispensed prescriptions) </w:t>
      </w:r>
      <w:r w:rsidR="002B3149" w:rsidRPr="00265FE9">
        <w:rPr>
          <w:rFonts w:asciiTheme="minorHAnsi" w:hAnsiTheme="minorHAnsi"/>
        </w:rPr>
        <w:t>establishes the requirements regarding how medicines are dispensed. Section 124</w:t>
      </w:r>
      <w:r w:rsidR="00376A4D" w:rsidRPr="00265FE9">
        <w:rPr>
          <w:rFonts w:asciiTheme="minorHAnsi" w:hAnsiTheme="minorHAnsi"/>
        </w:rPr>
        <w:t xml:space="preserve"> </w:t>
      </w:r>
      <w:r w:rsidR="002B3149" w:rsidRPr="00265FE9">
        <w:rPr>
          <w:rFonts w:asciiTheme="minorHAnsi" w:hAnsiTheme="minorHAnsi"/>
        </w:rPr>
        <w:t xml:space="preserve">(3) required a pharmacist to mark an electronic prescription as “cancelled” in certain circumstances. Pharmacists </w:t>
      </w:r>
      <w:r w:rsidR="00492495" w:rsidRPr="00265FE9">
        <w:rPr>
          <w:rFonts w:asciiTheme="minorHAnsi" w:hAnsiTheme="minorHAnsi"/>
        </w:rPr>
        <w:t>are</w:t>
      </w:r>
      <w:r w:rsidR="002B3149" w:rsidRPr="00265FE9">
        <w:rPr>
          <w:rFonts w:asciiTheme="minorHAnsi" w:hAnsiTheme="minorHAnsi"/>
        </w:rPr>
        <w:t xml:space="preserve"> not able to meet this requirement as they are unable to </w:t>
      </w:r>
      <w:r w:rsidR="00492495" w:rsidRPr="00265FE9">
        <w:rPr>
          <w:rFonts w:asciiTheme="minorHAnsi" w:hAnsiTheme="minorHAnsi"/>
        </w:rPr>
        <w:t xml:space="preserve">mark an electronic prescription with the work </w:t>
      </w:r>
      <w:r w:rsidR="002B3149" w:rsidRPr="00265FE9">
        <w:rPr>
          <w:rFonts w:asciiTheme="minorHAnsi" w:hAnsiTheme="minorHAnsi"/>
        </w:rPr>
        <w:t>cancel</w:t>
      </w:r>
      <w:r w:rsidR="00492495" w:rsidRPr="00265FE9">
        <w:rPr>
          <w:rFonts w:asciiTheme="minorHAnsi" w:hAnsiTheme="minorHAnsi"/>
        </w:rPr>
        <w:t>led as required under Section 124 (3)</w:t>
      </w:r>
      <w:r w:rsidR="002B3149" w:rsidRPr="00265FE9">
        <w:rPr>
          <w:rFonts w:asciiTheme="minorHAnsi" w:hAnsiTheme="minorHAnsi"/>
        </w:rPr>
        <w:t xml:space="preserve"> </w:t>
      </w:r>
      <w:r w:rsidR="00492495" w:rsidRPr="00265FE9">
        <w:rPr>
          <w:rFonts w:asciiTheme="minorHAnsi" w:hAnsiTheme="minorHAnsi"/>
        </w:rPr>
        <w:t xml:space="preserve">because </w:t>
      </w:r>
      <w:r w:rsidR="002B3149" w:rsidRPr="00265FE9">
        <w:rPr>
          <w:rFonts w:asciiTheme="minorHAnsi" w:hAnsiTheme="minorHAnsi"/>
        </w:rPr>
        <w:t>the Australian Governments electronic prescription system or an electronic NRMC</w:t>
      </w:r>
      <w:r w:rsidR="00492495" w:rsidRPr="00265FE9">
        <w:rPr>
          <w:rFonts w:asciiTheme="minorHAnsi" w:hAnsiTheme="minorHAnsi"/>
        </w:rPr>
        <w:t xml:space="preserve"> prevent a prescription from being </w:t>
      </w:r>
      <w:r w:rsidR="007D0507" w:rsidRPr="00265FE9">
        <w:rPr>
          <w:rFonts w:asciiTheme="minorHAnsi" w:hAnsiTheme="minorHAnsi"/>
        </w:rPr>
        <w:t>reused</w:t>
      </w:r>
      <w:r w:rsidR="002B3149" w:rsidRPr="00265FE9">
        <w:rPr>
          <w:rFonts w:asciiTheme="minorHAnsi" w:hAnsiTheme="minorHAnsi"/>
        </w:rPr>
        <w:t>.</w:t>
      </w:r>
    </w:p>
    <w:p w14:paraId="3ABCD527" w14:textId="3A822ED0" w:rsidR="00323987" w:rsidRPr="00265FE9" w:rsidRDefault="00323987" w:rsidP="004D6598">
      <w:pPr>
        <w:rPr>
          <w:rFonts w:asciiTheme="minorHAnsi" w:hAnsiTheme="minorHAnsi"/>
        </w:rPr>
      </w:pPr>
    </w:p>
    <w:p w14:paraId="2F4AA320" w14:textId="74B3A46B" w:rsidR="00323987" w:rsidRPr="00265FE9" w:rsidRDefault="00323987" w:rsidP="004D6598">
      <w:pPr>
        <w:rPr>
          <w:rFonts w:asciiTheme="minorHAnsi" w:hAnsiTheme="minorHAnsi"/>
          <w:b/>
          <w:bCs/>
        </w:rPr>
      </w:pPr>
      <w:r w:rsidRPr="00265FE9">
        <w:rPr>
          <w:rFonts w:asciiTheme="minorHAnsi" w:hAnsiTheme="minorHAnsi"/>
          <w:b/>
          <w:bCs/>
        </w:rPr>
        <w:t>Clause 8</w:t>
      </w:r>
      <w:r w:rsidRPr="00265FE9">
        <w:rPr>
          <w:rFonts w:asciiTheme="minorHAnsi" w:hAnsiTheme="minorHAnsi"/>
          <w:b/>
          <w:bCs/>
        </w:rPr>
        <w:tab/>
        <w:t>Section 124 (3)</w:t>
      </w:r>
    </w:p>
    <w:p w14:paraId="0E602512" w14:textId="77777777" w:rsidR="0049462B" w:rsidRPr="00265FE9" w:rsidRDefault="0049462B" w:rsidP="004D6598">
      <w:pPr>
        <w:rPr>
          <w:rFonts w:asciiTheme="minorHAnsi" w:hAnsiTheme="minorHAnsi"/>
        </w:rPr>
      </w:pPr>
    </w:p>
    <w:p w14:paraId="78316FAC" w14:textId="46282D56" w:rsidR="00323987" w:rsidRPr="00265FE9" w:rsidRDefault="00323987" w:rsidP="004D6598">
      <w:pPr>
        <w:rPr>
          <w:rFonts w:asciiTheme="minorHAnsi" w:hAnsiTheme="minorHAnsi"/>
        </w:rPr>
      </w:pPr>
      <w:r w:rsidRPr="00265FE9">
        <w:rPr>
          <w:rFonts w:asciiTheme="minorHAnsi" w:hAnsiTheme="minorHAnsi"/>
        </w:rPr>
        <w:t>Clause 8 is consequential to the amendment in clause </w:t>
      </w:r>
      <w:r w:rsidR="003A4F8F" w:rsidRPr="00265FE9">
        <w:rPr>
          <w:rFonts w:asciiTheme="minorHAnsi" w:hAnsiTheme="minorHAnsi"/>
        </w:rPr>
        <w:t>7</w:t>
      </w:r>
      <w:r w:rsidRPr="00265FE9">
        <w:rPr>
          <w:rFonts w:asciiTheme="minorHAnsi" w:hAnsiTheme="minorHAnsi"/>
        </w:rPr>
        <w:t xml:space="preserve"> described above.</w:t>
      </w:r>
    </w:p>
    <w:p w14:paraId="47188E6C" w14:textId="77777777" w:rsidR="003A4F8F" w:rsidRPr="00265FE9" w:rsidRDefault="003A4F8F" w:rsidP="004D6598">
      <w:pPr>
        <w:rPr>
          <w:rFonts w:asciiTheme="minorHAnsi" w:hAnsiTheme="minorHAnsi"/>
          <w:b/>
          <w:bCs/>
        </w:rPr>
      </w:pPr>
    </w:p>
    <w:p w14:paraId="42AA338A" w14:textId="03E5216A" w:rsidR="003A4F8F" w:rsidRPr="00265FE9" w:rsidRDefault="00822722" w:rsidP="004D6598">
      <w:pPr>
        <w:rPr>
          <w:rFonts w:asciiTheme="minorHAnsi" w:hAnsiTheme="minorHAnsi"/>
          <w:b/>
          <w:bCs/>
        </w:rPr>
      </w:pPr>
      <w:r w:rsidRPr="00265FE9">
        <w:rPr>
          <w:rFonts w:asciiTheme="minorHAnsi" w:hAnsiTheme="minorHAnsi"/>
          <w:b/>
          <w:bCs/>
        </w:rPr>
        <w:t>Clause 9</w:t>
      </w:r>
      <w:r w:rsidR="003A4F8F" w:rsidRPr="00265FE9">
        <w:rPr>
          <w:rFonts w:asciiTheme="minorHAnsi" w:hAnsiTheme="minorHAnsi"/>
        </w:rPr>
        <w:tab/>
      </w:r>
      <w:r w:rsidR="003A4F8F" w:rsidRPr="00265FE9">
        <w:rPr>
          <w:rFonts w:asciiTheme="minorHAnsi" w:hAnsiTheme="minorHAnsi"/>
          <w:b/>
          <w:bCs/>
        </w:rPr>
        <w:t>Section 124 (4), new definition of national residential medication chart</w:t>
      </w:r>
    </w:p>
    <w:p w14:paraId="19411E7F" w14:textId="77777777" w:rsidR="0049462B" w:rsidRPr="00265FE9" w:rsidRDefault="0049462B" w:rsidP="004D6598">
      <w:pPr>
        <w:rPr>
          <w:rFonts w:asciiTheme="minorHAnsi" w:hAnsiTheme="minorHAnsi"/>
        </w:rPr>
      </w:pPr>
    </w:p>
    <w:p w14:paraId="1DFF7D56" w14:textId="197ADB70" w:rsidR="00822722" w:rsidRPr="00265FE9" w:rsidRDefault="003A4F8F" w:rsidP="004D6598">
      <w:pPr>
        <w:rPr>
          <w:rFonts w:asciiTheme="minorHAnsi" w:hAnsiTheme="minorHAnsi"/>
        </w:rPr>
      </w:pPr>
      <w:r w:rsidRPr="00265FE9">
        <w:rPr>
          <w:rFonts w:asciiTheme="minorHAnsi" w:hAnsiTheme="minorHAnsi"/>
        </w:rPr>
        <w:t xml:space="preserve">Clause 9 </w:t>
      </w:r>
      <w:r w:rsidR="00822722" w:rsidRPr="00265FE9">
        <w:rPr>
          <w:rFonts w:asciiTheme="minorHAnsi" w:hAnsiTheme="minorHAnsi"/>
        </w:rPr>
        <w:t>is consequential to the amendment in clause 4 described above.</w:t>
      </w:r>
    </w:p>
    <w:p w14:paraId="03DAB81F" w14:textId="78D630F6" w:rsidR="00822722" w:rsidRPr="00265FE9" w:rsidRDefault="00822722" w:rsidP="004D6598">
      <w:pPr>
        <w:rPr>
          <w:rFonts w:asciiTheme="minorHAnsi" w:hAnsiTheme="minorHAnsi"/>
          <w:b/>
          <w:bCs/>
        </w:rPr>
      </w:pPr>
    </w:p>
    <w:p w14:paraId="396FB04B" w14:textId="20E158E8" w:rsidR="003A4F8F" w:rsidRPr="00265FE9" w:rsidRDefault="00822722" w:rsidP="004D6598">
      <w:pPr>
        <w:rPr>
          <w:rFonts w:asciiTheme="minorHAnsi" w:hAnsiTheme="minorHAnsi"/>
          <w:b/>
          <w:bCs/>
        </w:rPr>
      </w:pPr>
      <w:r w:rsidRPr="00265FE9">
        <w:rPr>
          <w:rFonts w:asciiTheme="minorHAnsi" w:hAnsiTheme="minorHAnsi"/>
          <w:b/>
          <w:bCs/>
        </w:rPr>
        <w:t>Clause 10</w:t>
      </w:r>
      <w:r w:rsidR="003A4F8F" w:rsidRPr="00265FE9">
        <w:rPr>
          <w:rFonts w:asciiTheme="minorHAnsi" w:hAnsiTheme="minorHAnsi"/>
        </w:rPr>
        <w:tab/>
      </w:r>
      <w:r w:rsidR="003A4F8F" w:rsidRPr="00265FE9">
        <w:rPr>
          <w:rFonts w:asciiTheme="minorHAnsi" w:hAnsiTheme="minorHAnsi"/>
          <w:b/>
          <w:bCs/>
        </w:rPr>
        <w:t>Section 430 (4), definition of authorised activity, new paragraph (d)</w:t>
      </w:r>
    </w:p>
    <w:p w14:paraId="78710AA3" w14:textId="77777777" w:rsidR="0049462B" w:rsidRPr="00265FE9" w:rsidRDefault="0049462B" w:rsidP="004D6598">
      <w:pPr>
        <w:rPr>
          <w:rFonts w:asciiTheme="minorHAnsi" w:hAnsiTheme="minorHAnsi"/>
        </w:rPr>
      </w:pPr>
    </w:p>
    <w:p w14:paraId="4C2133F2" w14:textId="723BBA90" w:rsidR="00822722" w:rsidRPr="00265FE9" w:rsidRDefault="003A4F8F" w:rsidP="004D6598">
      <w:pPr>
        <w:rPr>
          <w:rFonts w:asciiTheme="minorHAnsi" w:hAnsiTheme="minorHAnsi"/>
        </w:rPr>
      </w:pPr>
      <w:r w:rsidRPr="00265FE9">
        <w:rPr>
          <w:rFonts w:asciiTheme="minorHAnsi" w:hAnsiTheme="minorHAnsi"/>
        </w:rPr>
        <w:t xml:space="preserve">Clause 10 </w:t>
      </w:r>
      <w:r w:rsidR="00822722" w:rsidRPr="00265FE9">
        <w:rPr>
          <w:rFonts w:asciiTheme="minorHAnsi" w:hAnsiTheme="minorHAnsi"/>
        </w:rPr>
        <w:t xml:space="preserve">inserts new paragraph (d) within the definition of an </w:t>
      </w:r>
      <w:r w:rsidR="00822722" w:rsidRPr="00265FE9">
        <w:rPr>
          <w:rFonts w:asciiTheme="minorHAnsi" w:hAnsiTheme="minorHAnsi"/>
          <w:b/>
          <w:bCs/>
          <w:i/>
          <w:iCs/>
        </w:rPr>
        <w:t>authorised activity</w:t>
      </w:r>
      <w:r w:rsidR="001F1185" w:rsidRPr="00265FE9">
        <w:rPr>
          <w:rFonts w:asciiTheme="minorHAnsi" w:hAnsiTheme="minorHAnsi"/>
          <w:b/>
          <w:bCs/>
          <w:i/>
          <w:iCs/>
        </w:rPr>
        <w:t xml:space="preserve"> </w:t>
      </w:r>
      <w:r w:rsidR="00627210" w:rsidRPr="00265FE9">
        <w:rPr>
          <w:rFonts w:asciiTheme="minorHAnsi" w:hAnsiTheme="minorHAnsi"/>
        </w:rPr>
        <w:t xml:space="preserve">in section 430 (Authorisations for non-controlled medicines research and education—Act, s 26 (1) and (2) (b)) </w:t>
      </w:r>
      <w:r w:rsidR="001F1185" w:rsidRPr="00265FE9">
        <w:rPr>
          <w:rFonts w:asciiTheme="minorHAnsi" w:hAnsiTheme="minorHAnsi"/>
        </w:rPr>
        <w:t xml:space="preserve">to include reasonable use of </w:t>
      </w:r>
      <w:r w:rsidR="0051555F" w:rsidRPr="00265FE9">
        <w:rPr>
          <w:rFonts w:asciiTheme="minorHAnsi" w:hAnsiTheme="minorHAnsi"/>
        </w:rPr>
        <w:t xml:space="preserve">a </w:t>
      </w:r>
      <w:r w:rsidR="00376A4D" w:rsidRPr="00265FE9">
        <w:rPr>
          <w:rFonts w:asciiTheme="minorHAnsi" w:hAnsiTheme="minorHAnsi"/>
        </w:rPr>
        <w:t xml:space="preserve">non-controlled </w:t>
      </w:r>
      <w:r w:rsidR="001F1185" w:rsidRPr="00265FE9">
        <w:rPr>
          <w:rFonts w:asciiTheme="minorHAnsi" w:hAnsiTheme="minorHAnsi"/>
        </w:rPr>
        <w:t xml:space="preserve">medicine to carry out the research if the relevant </w:t>
      </w:r>
      <w:r w:rsidR="00376A4D" w:rsidRPr="00265FE9">
        <w:rPr>
          <w:rFonts w:asciiTheme="minorHAnsi" w:hAnsiTheme="minorHAnsi"/>
        </w:rPr>
        <w:t xml:space="preserve">non-controlled </w:t>
      </w:r>
      <w:r w:rsidR="001F1185" w:rsidRPr="00265FE9">
        <w:rPr>
          <w:rFonts w:asciiTheme="minorHAnsi" w:hAnsiTheme="minorHAnsi"/>
        </w:rPr>
        <w:t>medicine is integral to genuine medical or scientific research at the institution</w:t>
      </w:r>
      <w:r w:rsidR="00585906" w:rsidRPr="00265FE9">
        <w:rPr>
          <w:rFonts w:asciiTheme="minorHAnsi" w:hAnsiTheme="minorHAnsi"/>
        </w:rPr>
        <w:t xml:space="preserve">. </w:t>
      </w:r>
      <w:r w:rsidR="00E30385" w:rsidRPr="00265FE9">
        <w:rPr>
          <w:rFonts w:asciiTheme="minorHAnsi" w:hAnsiTheme="minorHAnsi"/>
        </w:rPr>
        <w:t xml:space="preserve">This amendment was made following concerns by a research institution that the definition of an authorised activity was unclear on the auxiliary use of </w:t>
      </w:r>
      <w:r w:rsidR="00376A4D" w:rsidRPr="00265FE9">
        <w:rPr>
          <w:rFonts w:asciiTheme="minorHAnsi" w:hAnsiTheme="minorHAnsi"/>
        </w:rPr>
        <w:t>non-controlled medicines</w:t>
      </w:r>
      <w:r w:rsidR="00E30385" w:rsidRPr="00265FE9">
        <w:rPr>
          <w:rFonts w:asciiTheme="minorHAnsi" w:hAnsiTheme="minorHAnsi"/>
        </w:rPr>
        <w:t xml:space="preserve"> for research. </w:t>
      </w:r>
      <w:r w:rsidR="00627210" w:rsidRPr="00265FE9">
        <w:rPr>
          <w:rFonts w:asciiTheme="minorHAnsi" w:hAnsiTheme="minorHAnsi"/>
        </w:rPr>
        <w:t>This definition has been amended to ensure all research related purposes are capture</w:t>
      </w:r>
      <w:r w:rsidR="0051555F" w:rsidRPr="00265FE9">
        <w:rPr>
          <w:rFonts w:asciiTheme="minorHAnsi" w:hAnsiTheme="minorHAnsi"/>
        </w:rPr>
        <w:t>d</w:t>
      </w:r>
      <w:r w:rsidR="00627210" w:rsidRPr="00265FE9">
        <w:rPr>
          <w:rFonts w:asciiTheme="minorHAnsi" w:hAnsiTheme="minorHAnsi"/>
        </w:rPr>
        <w:t xml:space="preserve"> within the definition of an authorised activity. Prior to this amendment section 430 did not </w:t>
      </w:r>
      <w:r w:rsidR="00627210" w:rsidRPr="00265FE9">
        <w:rPr>
          <w:rFonts w:asciiTheme="minorHAnsi" w:hAnsiTheme="minorHAnsi"/>
        </w:rPr>
        <w:lastRenderedPageBreak/>
        <w:t xml:space="preserve">allow research institutions to use </w:t>
      </w:r>
      <w:r w:rsidR="00376A4D" w:rsidRPr="00265FE9">
        <w:rPr>
          <w:rFonts w:asciiTheme="minorHAnsi" w:hAnsiTheme="minorHAnsi"/>
        </w:rPr>
        <w:t xml:space="preserve">non-controlled medicines </w:t>
      </w:r>
      <w:r w:rsidR="00627210" w:rsidRPr="00265FE9">
        <w:rPr>
          <w:rFonts w:asciiTheme="minorHAnsi" w:hAnsiTheme="minorHAnsi"/>
        </w:rPr>
        <w:t xml:space="preserve">for auxiliary use in research. </w:t>
      </w:r>
    </w:p>
    <w:p w14:paraId="0ED14500" w14:textId="77777777" w:rsidR="00822722" w:rsidRPr="00265FE9" w:rsidRDefault="00822722" w:rsidP="004D6598">
      <w:pPr>
        <w:rPr>
          <w:rFonts w:asciiTheme="minorHAnsi" w:hAnsiTheme="minorHAnsi"/>
        </w:rPr>
      </w:pPr>
    </w:p>
    <w:p w14:paraId="1B885CA2" w14:textId="182E3FD5" w:rsidR="003A4F8F" w:rsidRPr="00265FE9" w:rsidRDefault="003A4F8F" w:rsidP="004D6598">
      <w:pPr>
        <w:rPr>
          <w:rFonts w:asciiTheme="minorHAnsi" w:hAnsiTheme="minorHAnsi"/>
          <w:b/>
          <w:bCs/>
        </w:rPr>
      </w:pPr>
      <w:r w:rsidRPr="00265FE9">
        <w:rPr>
          <w:rFonts w:asciiTheme="minorHAnsi" w:hAnsiTheme="minorHAnsi"/>
          <w:b/>
          <w:bCs/>
        </w:rPr>
        <w:t>Clause 11</w:t>
      </w:r>
      <w:r w:rsidRPr="00265FE9">
        <w:rPr>
          <w:rFonts w:asciiTheme="minorHAnsi" w:hAnsiTheme="minorHAnsi"/>
          <w:b/>
          <w:bCs/>
        </w:rPr>
        <w:tab/>
        <w:t>Sections 555 and 556</w:t>
      </w:r>
    </w:p>
    <w:p w14:paraId="02483F23" w14:textId="77777777" w:rsidR="0049462B" w:rsidRPr="00265FE9" w:rsidRDefault="0049462B" w:rsidP="004D6598">
      <w:pPr>
        <w:rPr>
          <w:rFonts w:asciiTheme="minorHAnsi" w:hAnsiTheme="minorHAnsi"/>
        </w:rPr>
      </w:pPr>
    </w:p>
    <w:p w14:paraId="0573BC52" w14:textId="23B217D0" w:rsidR="008F7E72" w:rsidRPr="00265FE9" w:rsidRDefault="00A42DA8" w:rsidP="004D6598">
      <w:pPr>
        <w:rPr>
          <w:rFonts w:asciiTheme="minorHAnsi" w:hAnsiTheme="minorHAnsi"/>
        </w:rPr>
      </w:pPr>
      <w:r w:rsidRPr="00265FE9">
        <w:rPr>
          <w:rFonts w:asciiTheme="minorHAnsi" w:hAnsiTheme="minorHAnsi"/>
        </w:rPr>
        <w:t>Clause 11 amends the MPTG Regulation s</w:t>
      </w:r>
      <w:r w:rsidR="008F7E72" w:rsidRPr="00265FE9">
        <w:rPr>
          <w:rFonts w:asciiTheme="minorHAnsi" w:hAnsiTheme="minorHAnsi"/>
        </w:rPr>
        <w:t xml:space="preserve">ection 555 </w:t>
      </w:r>
      <w:r w:rsidRPr="00265FE9">
        <w:rPr>
          <w:rFonts w:asciiTheme="minorHAnsi" w:hAnsiTheme="minorHAnsi"/>
        </w:rPr>
        <w:t xml:space="preserve">(Standing approval to prescribe controlled medicines for hospital in-patients) </w:t>
      </w:r>
      <w:r w:rsidR="008F7E72" w:rsidRPr="00265FE9">
        <w:rPr>
          <w:rFonts w:asciiTheme="minorHAnsi" w:hAnsiTheme="minorHAnsi"/>
        </w:rPr>
        <w:t xml:space="preserve">to include the prescription of controlled medicines for hospital </w:t>
      </w:r>
      <w:r w:rsidR="007D0507" w:rsidRPr="00265FE9">
        <w:rPr>
          <w:rFonts w:asciiTheme="minorHAnsi" w:hAnsiTheme="minorHAnsi"/>
        </w:rPr>
        <w:t>in-</w:t>
      </w:r>
      <w:r w:rsidR="008F7E72" w:rsidRPr="00265FE9">
        <w:rPr>
          <w:rFonts w:asciiTheme="minorHAnsi" w:hAnsiTheme="minorHAnsi"/>
        </w:rPr>
        <w:t xml:space="preserve">patients on discharge. This amendment clarifies the intent of section 555 of the MPTG </w:t>
      </w:r>
      <w:r w:rsidR="00585906" w:rsidRPr="00265FE9">
        <w:rPr>
          <w:rFonts w:asciiTheme="minorHAnsi" w:hAnsiTheme="minorHAnsi"/>
        </w:rPr>
        <w:t>R</w:t>
      </w:r>
      <w:r w:rsidR="008F7E72" w:rsidRPr="00265FE9">
        <w:rPr>
          <w:rFonts w:asciiTheme="minorHAnsi" w:hAnsiTheme="minorHAnsi"/>
        </w:rPr>
        <w:t>egulation as this section did not previously specif</w:t>
      </w:r>
      <w:r w:rsidR="0051555F" w:rsidRPr="00265FE9">
        <w:rPr>
          <w:rFonts w:asciiTheme="minorHAnsi" w:hAnsiTheme="minorHAnsi"/>
        </w:rPr>
        <w:t>y</w:t>
      </w:r>
      <w:r w:rsidR="008F7E72" w:rsidRPr="00265FE9">
        <w:rPr>
          <w:rFonts w:asciiTheme="minorHAnsi" w:hAnsiTheme="minorHAnsi"/>
        </w:rPr>
        <w:t xml:space="preserve"> if controlled medicines required for discharge were included in th</w:t>
      </w:r>
      <w:r w:rsidRPr="00265FE9">
        <w:rPr>
          <w:rFonts w:asciiTheme="minorHAnsi" w:hAnsiTheme="minorHAnsi"/>
        </w:rPr>
        <w:t>e</w:t>
      </w:r>
      <w:r w:rsidR="008F7E72" w:rsidRPr="00265FE9">
        <w:rPr>
          <w:rFonts w:asciiTheme="minorHAnsi" w:hAnsiTheme="minorHAnsi"/>
        </w:rPr>
        <w:t xml:space="preserve"> standing approval</w:t>
      </w:r>
      <w:r w:rsidRPr="00265FE9">
        <w:rPr>
          <w:rFonts w:asciiTheme="minorHAnsi" w:hAnsiTheme="minorHAnsi"/>
        </w:rPr>
        <w:t xml:space="preserve"> under th</w:t>
      </w:r>
      <w:r w:rsidR="0051555F" w:rsidRPr="00265FE9">
        <w:rPr>
          <w:rFonts w:asciiTheme="minorHAnsi" w:hAnsiTheme="minorHAnsi"/>
        </w:rPr>
        <w:t>is</w:t>
      </w:r>
      <w:r w:rsidRPr="00265FE9">
        <w:rPr>
          <w:rFonts w:asciiTheme="minorHAnsi" w:hAnsiTheme="minorHAnsi"/>
        </w:rPr>
        <w:t xml:space="preserve"> section</w:t>
      </w:r>
      <w:r w:rsidR="008F7E72" w:rsidRPr="00265FE9">
        <w:rPr>
          <w:rFonts w:asciiTheme="minorHAnsi" w:hAnsiTheme="minorHAnsi"/>
        </w:rPr>
        <w:t>.</w:t>
      </w:r>
    </w:p>
    <w:p w14:paraId="4CA98FBE" w14:textId="1FFC4411" w:rsidR="008F7E72" w:rsidRPr="00265FE9" w:rsidRDefault="008F7E72" w:rsidP="004D6598">
      <w:pPr>
        <w:rPr>
          <w:rFonts w:asciiTheme="minorHAnsi" w:hAnsiTheme="minorHAnsi"/>
        </w:rPr>
      </w:pPr>
    </w:p>
    <w:p w14:paraId="2BCC0410" w14:textId="523293CB" w:rsidR="008F7E72" w:rsidRPr="00265FE9" w:rsidRDefault="00A42DA8" w:rsidP="004D6598">
      <w:pPr>
        <w:rPr>
          <w:rFonts w:asciiTheme="minorHAnsi" w:hAnsiTheme="minorHAnsi"/>
        </w:rPr>
      </w:pPr>
      <w:r w:rsidRPr="00265FE9">
        <w:rPr>
          <w:rFonts w:asciiTheme="minorHAnsi" w:hAnsiTheme="minorHAnsi"/>
        </w:rPr>
        <w:t>Clause 11 also amends the MPTG Regulation, s</w:t>
      </w:r>
      <w:r w:rsidR="008F7E72" w:rsidRPr="00265FE9">
        <w:rPr>
          <w:rFonts w:asciiTheme="minorHAnsi" w:hAnsiTheme="minorHAnsi"/>
        </w:rPr>
        <w:t xml:space="preserve">ection 556 </w:t>
      </w:r>
      <w:r w:rsidRPr="00265FE9">
        <w:rPr>
          <w:rFonts w:asciiTheme="minorHAnsi" w:hAnsiTheme="minorHAnsi"/>
        </w:rPr>
        <w:t xml:space="preserve">(Standing approval to prescribe controlled medicines for short-term treatment) to </w:t>
      </w:r>
      <w:r w:rsidR="00D623A5" w:rsidRPr="00265FE9">
        <w:rPr>
          <w:rFonts w:asciiTheme="minorHAnsi" w:hAnsiTheme="minorHAnsi"/>
        </w:rPr>
        <w:t>clarif</w:t>
      </w:r>
      <w:r w:rsidRPr="00265FE9">
        <w:rPr>
          <w:rFonts w:asciiTheme="minorHAnsi" w:hAnsiTheme="minorHAnsi"/>
        </w:rPr>
        <w:t>y</w:t>
      </w:r>
      <w:r w:rsidR="00D623A5" w:rsidRPr="00265FE9">
        <w:rPr>
          <w:rFonts w:asciiTheme="minorHAnsi" w:hAnsiTheme="minorHAnsi"/>
        </w:rPr>
        <w:t xml:space="preserve"> the intent of section 556</w:t>
      </w:r>
      <w:r w:rsidR="0051555F" w:rsidRPr="00265FE9">
        <w:rPr>
          <w:rFonts w:asciiTheme="minorHAnsi" w:hAnsiTheme="minorHAnsi"/>
        </w:rPr>
        <w:t xml:space="preserve"> </w:t>
      </w:r>
      <w:r w:rsidR="00D623A5" w:rsidRPr="00265FE9">
        <w:rPr>
          <w:rFonts w:asciiTheme="minorHAnsi" w:hAnsiTheme="minorHAnsi"/>
        </w:rPr>
        <w:t xml:space="preserve">(b) to allow </w:t>
      </w:r>
      <w:r w:rsidR="007D0507" w:rsidRPr="00265FE9">
        <w:rPr>
          <w:rFonts w:asciiTheme="minorHAnsi" w:hAnsiTheme="minorHAnsi"/>
        </w:rPr>
        <w:t xml:space="preserve">a </w:t>
      </w:r>
      <w:r w:rsidR="00D623A5" w:rsidRPr="00265FE9">
        <w:rPr>
          <w:rFonts w:asciiTheme="minorHAnsi" w:hAnsiTheme="minorHAnsi"/>
        </w:rPr>
        <w:t xml:space="preserve">prescriber to prescribe a controlled medicine under </w:t>
      </w:r>
      <w:r w:rsidR="007D0507" w:rsidRPr="00265FE9">
        <w:rPr>
          <w:rFonts w:asciiTheme="minorHAnsi" w:hAnsiTheme="minorHAnsi"/>
        </w:rPr>
        <w:t xml:space="preserve">a standing </w:t>
      </w:r>
      <w:r w:rsidR="00D623A5" w:rsidRPr="00265FE9">
        <w:rPr>
          <w:rFonts w:asciiTheme="minorHAnsi" w:hAnsiTheme="minorHAnsi"/>
        </w:rPr>
        <w:t xml:space="preserve">short-term </w:t>
      </w:r>
      <w:r w:rsidR="007D0507" w:rsidRPr="00265FE9">
        <w:rPr>
          <w:rFonts w:asciiTheme="minorHAnsi" w:hAnsiTheme="minorHAnsi"/>
        </w:rPr>
        <w:t xml:space="preserve">approval for up to 2 months </w:t>
      </w:r>
      <w:r w:rsidR="001C169F" w:rsidRPr="00265FE9">
        <w:rPr>
          <w:rFonts w:asciiTheme="minorHAnsi" w:hAnsiTheme="minorHAnsi"/>
        </w:rPr>
        <w:t>in line with</w:t>
      </w:r>
      <w:r w:rsidR="00D623A5" w:rsidRPr="00265FE9">
        <w:rPr>
          <w:rFonts w:asciiTheme="minorHAnsi" w:hAnsiTheme="minorHAnsi"/>
        </w:rPr>
        <w:t xml:space="preserve"> established medicine practice involving </w:t>
      </w:r>
      <w:r w:rsidR="007D0507" w:rsidRPr="00265FE9">
        <w:rPr>
          <w:rFonts w:asciiTheme="minorHAnsi" w:hAnsiTheme="minorHAnsi"/>
        </w:rPr>
        <w:t>multiple single</w:t>
      </w:r>
      <w:r w:rsidR="00D623A5" w:rsidRPr="00265FE9">
        <w:rPr>
          <w:rFonts w:asciiTheme="minorHAnsi" w:hAnsiTheme="minorHAnsi"/>
        </w:rPr>
        <w:t xml:space="preserve"> prescriptions designed to support </w:t>
      </w:r>
      <w:r w:rsidR="007D0507" w:rsidRPr="00265FE9">
        <w:rPr>
          <w:rFonts w:asciiTheme="minorHAnsi" w:hAnsiTheme="minorHAnsi"/>
        </w:rPr>
        <w:t xml:space="preserve">patient </w:t>
      </w:r>
      <w:r w:rsidR="00D623A5" w:rsidRPr="00265FE9">
        <w:rPr>
          <w:rFonts w:asciiTheme="minorHAnsi" w:hAnsiTheme="minorHAnsi"/>
        </w:rPr>
        <w:t>safety and effectiveness.</w:t>
      </w:r>
    </w:p>
    <w:p w14:paraId="2E5F18B6" w14:textId="28AADA83" w:rsidR="00061734" w:rsidRPr="00265FE9" w:rsidRDefault="00061734">
      <w:pPr>
        <w:rPr>
          <w:rFonts w:asciiTheme="minorHAnsi" w:hAnsiTheme="minorHAnsi"/>
          <w:b/>
          <w:bCs/>
        </w:rPr>
      </w:pPr>
    </w:p>
    <w:p w14:paraId="1A5CB9C9" w14:textId="7EF8EB12" w:rsidR="003A4F8F" w:rsidRPr="00265FE9" w:rsidRDefault="00A42DA8" w:rsidP="004D6598">
      <w:pPr>
        <w:rPr>
          <w:rFonts w:asciiTheme="minorHAnsi" w:hAnsiTheme="minorHAnsi"/>
          <w:b/>
          <w:bCs/>
        </w:rPr>
      </w:pPr>
      <w:r w:rsidRPr="00265FE9">
        <w:rPr>
          <w:rFonts w:asciiTheme="minorHAnsi" w:hAnsiTheme="minorHAnsi"/>
          <w:b/>
          <w:bCs/>
        </w:rPr>
        <w:t>Clause</w:t>
      </w:r>
      <w:r w:rsidR="00570D6E" w:rsidRPr="00265FE9">
        <w:rPr>
          <w:rFonts w:asciiTheme="minorHAnsi" w:hAnsiTheme="minorHAnsi"/>
          <w:b/>
          <w:bCs/>
        </w:rPr>
        <w:t xml:space="preserve"> </w:t>
      </w:r>
      <w:r w:rsidRPr="00265FE9">
        <w:rPr>
          <w:rFonts w:asciiTheme="minorHAnsi" w:hAnsiTheme="minorHAnsi"/>
          <w:b/>
          <w:bCs/>
        </w:rPr>
        <w:t>12</w:t>
      </w:r>
      <w:r w:rsidR="003A4F8F" w:rsidRPr="00265FE9">
        <w:rPr>
          <w:rFonts w:asciiTheme="minorHAnsi" w:hAnsiTheme="minorHAnsi"/>
          <w:b/>
          <w:bCs/>
        </w:rPr>
        <w:tab/>
        <w:t xml:space="preserve">Section 561 (1) </w:t>
      </w:r>
      <w:r w:rsidR="0051555F" w:rsidRPr="00265FE9">
        <w:rPr>
          <w:rFonts w:asciiTheme="minorHAnsi" w:hAnsiTheme="minorHAnsi"/>
          <w:b/>
          <w:bCs/>
        </w:rPr>
        <w:t>(c)</w:t>
      </w:r>
      <w:r w:rsidR="003A4F8F" w:rsidRPr="00265FE9">
        <w:rPr>
          <w:rFonts w:asciiTheme="minorHAnsi" w:hAnsiTheme="minorHAnsi"/>
          <w:b/>
          <w:bCs/>
        </w:rPr>
        <w:t xml:space="preserve"> (i), except note</w:t>
      </w:r>
    </w:p>
    <w:p w14:paraId="7D719295" w14:textId="77777777" w:rsidR="0049462B" w:rsidRPr="00265FE9" w:rsidRDefault="0049462B" w:rsidP="004D6598">
      <w:pPr>
        <w:rPr>
          <w:rFonts w:asciiTheme="minorHAnsi" w:hAnsiTheme="minorHAnsi"/>
        </w:rPr>
      </w:pPr>
    </w:p>
    <w:p w14:paraId="06BA16B0" w14:textId="3D8DA14B" w:rsidR="000A14DF" w:rsidRPr="00265FE9" w:rsidRDefault="003A4F8F" w:rsidP="004D6598">
      <w:pPr>
        <w:rPr>
          <w:rFonts w:asciiTheme="minorHAnsi" w:hAnsiTheme="minorHAnsi"/>
        </w:rPr>
      </w:pPr>
      <w:r w:rsidRPr="00265FE9">
        <w:rPr>
          <w:rFonts w:asciiTheme="minorHAnsi" w:hAnsiTheme="minorHAnsi"/>
        </w:rPr>
        <w:t xml:space="preserve">Clause 12 </w:t>
      </w:r>
      <w:r w:rsidR="00A42DA8" w:rsidRPr="00265FE9">
        <w:rPr>
          <w:rFonts w:asciiTheme="minorHAnsi" w:hAnsiTheme="minorHAnsi"/>
        </w:rPr>
        <w:t>amends the MPTG Regulation, s</w:t>
      </w:r>
      <w:r w:rsidR="000A14DF" w:rsidRPr="00265FE9">
        <w:rPr>
          <w:rFonts w:asciiTheme="minorHAnsi" w:hAnsiTheme="minorHAnsi"/>
        </w:rPr>
        <w:t>ection 561</w:t>
      </w:r>
      <w:r w:rsidR="00A42DA8" w:rsidRPr="00265FE9">
        <w:rPr>
          <w:rFonts w:asciiTheme="minorHAnsi" w:hAnsiTheme="minorHAnsi"/>
        </w:rPr>
        <w:t xml:space="preserve"> (Requirements for CHO controlled medicines approval applications), subs</w:t>
      </w:r>
      <w:r w:rsidR="000A14DF" w:rsidRPr="00265FE9">
        <w:rPr>
          <w:rFonts w:asciiTheme="minorHAnsi" w:hAnsiTheme="minorHAnsi"/>
        </w:rPr>
        <w:t>ection 561</w:t>
      </w:r>
      <w:r w:rsidR="0051555F" w:rsidRPr="00265FE9">
        <w:rPr>
          <w:rFonts w:asciiTheme="minorHAnsi" w:hAnsiTheme="minorHAnsi"/>
        </w:rPr>
        <w:t xml:space="preserve"> (1) (c) </w:t>
      </w:r>
      <w:r w:rsidR="000A14DF" w:rsidRPr="00265FE9">
        <w:rPr>
          <w:rFonts w:asciiTheme="minorHAnsi" w:hAnsiTheme="minorHAnsi"/>
        </w:rPr>
        <w:t xml:space="preserve">(i) to allow a quantum of controlled medicine for the approval period to be expressed as a daily dose from a start to end date. This amendment will facilitate </w:t>
      </w:r>
      <w:r w:rsidR="00D623A5" w:rsidRPr="00265FE9">
        <w:rPr>
          <w:rFonts w:asciiTheme="minorHAnsi" w:hAnsiTheme="minorHAnsi"/>
        </w:rPr>
        <w:t>prescribers to apply for CHO approvals for a defined duration without specifying the quantity of controlled medicines</w:t>
      </w:r>
      <w:r w:rsidR="00A42DA8" w:rsidRPr="00265FE9">
        <w:rPr>
          <w:rFonts w:asciiTheme="minorHAnsi" w:hAnsiTheme="minorHAnsi"/>
        </w:rPr>
        <w:t>.</w:t>
      </w:r>
      <w:r w:rsidR="00D623A5" w:rsidRPr="00265FE9" w:rsidDel="00D623A5">
        <w:rPr>
          <w:rStyle w:val="CommentReference"/>
          <w:rFonts w:asciiTheme="minorHAnsi" w:hAnsiTheme="minorHAnsi"/>
        </w:rPr>
        <w:t xml:space="preserve"> </w:t>
      </w:r>
    </w:p>
    <w:p w14:paraId="7E1CD9AD" w14:textId="77777777" w:rsidR="003A4F8F" w:rsidRPr="00265FE9" w:rsidRDefault="003A4F8F" w:rsidP="004D6598">
      <w:pPr>
        <w:rPr>
          <w:rFonts w:asciiTheme="minorHAnsi" w:hAnsiTheme="minorHAnsi"/>
          <w:b/>
          <w:bCs/>
        </w:rPr>
      </w:pPr>
    </w:p>
    <w:p w14:paraId="2C3FEDB7" w14:textId="7F81CEA7" w:rsidR="003A4F8F" w:rsidRPr="00265FE9" w:rsidRDefault="003A4F8F" w:rsidP="00831592">
      <w:pPr>
        <w:rPr>
          <w:rFonts w:asciiTheme="minorHAnsi" w:hAnsiTheme="minorHAnsi"/>
          <w:b/>
          <w:bCs/>
        </w:rPr>
      </w:pPr>
      <w:r w:rsidRPr="00265FE9">
        <w:rPr>
          <w:rFonts w:asciiTheme="minorHAnsi" w:hAnsiTheme="minorHAnsi"/>
          <w:b/>
          <w:bCs/>
        </w:rPr>
        <w:t>Clause 1</w:t>
      </w:r>
      <w:r w:rsidR="00AB397B" w:rsidRPr="00265FE9">
        <w:rPr>
          <w:rFonts w:asciiTheme="minorHAnsi" w:hAnsiTheme="minorHAnsi"/>
          <w:b/>
          <w:bCs/>
        </w:rPr>
        <w:t>3</w:t>
      </w:r>
      <w:r w:rsidRPr="00265FE9">
        <w:rPr>
          <w:rFonts w:asciiTheme="minorHAnsi" w:hAnsiTheme="minorHAnsi"/>
          <w:b/>
          <w:bCs/>
        </w:rPr>
        <w:tab/>
        <w:t>Section 635 (1)</w:t>
      </w:r>
    </w:p>
    <w:p w14:paraId="7B3FCA7B" w14:textId="77777777" w:rsidR="0049462B" w:rsidRPr="00265FE9" w:rsidRDefault="0049462B" w:rsidP="00831592">
      <w:pPr>
        <w:rPr>
          <w:rFonts w:asciiTheme="minorHAnsi" w:hAnsiTheme="minorHAnsi"/>
        </w:rPr>
      </w:pPr>
    </w:p>
    <w:p w14:paraId="69C37A56" w14:textId="6A568327" w:rsidR="00831592" w:rsidRPr="00265FE9" w:rsidRDefault="00831592" w:rsidP="00831592">
      <w:pPr>
        <w:rPr>
          <w:rFonts w:asciiTheme="minorHAnsi" w:hAnsiTheme="minorHAnsi"/>
        </w:rPr>
      </w:pPr>
      <w:r w:rsidRPr="00265FE9">
        <w:rPr>
          <w:rFonts w:asciiTheme="minorHAnsi" w:hAnsiTheme="minorHAnsi"/>
        </w:rPr>
        <w:t>Clauses 1</w:t>
      </w:r>
      <w:r w:rsidR="00AB397B" w:rsidRPr="00265FE9">
        <w:rPr>
          <w:rFonts w:asciiTheme="minorHAnsi" w:hAnsiTheme="minorHAnsi"/>
        </w:rPr>
        <w:t>3</w:t>
      </w:r>
      <w:r w:rsidR="003A4F8F" w:rsidRPr="00265FE9">
        <w:rPr>
          <w:rFonts w:asciiTheme="minorHAnsi" w:hAnsiTheme="minorHAnsi"/>
        </w:rPr>
        <w:t xml:space="preserve"> to </w:t>
      </w:r>
      <w:r w:rsidRPr="00265FE9">
        <w:rPr>
          <w:rFonts w:asciiTheme="minorHAnsi" w:hAnsiTheme="minorHAnsi"/>
        </w:rPr>
        <w:t>1</w:t>
      </w:r>
      <w:r w:rsidR="00AB397B" w:rsidRPr="00265FE9">
        <w:rPr>
          <w:rFonts w:asciiTheme="minorHAnsi" w:hAnsiTheme="minorHAnsi"/>
        </w:rPr>
        <w:t>5</w:t>
      </w:r>
      <w:r w:rsidRPr="00265FE9">
        <w:rPr>
          <w:rFonts w:asciiTheme="minorHAnsi" w:hAnsiTheme="minorHAnsi"/>
        </w:rPr>
        <w:t xml:space="preserve"> amend </w:t>
      </w:r>
      <w:r w:rsidR="000B35AD" w:rsidRPr="00265FE9">
        <w:rPr>
          <w:rFonts w:asciiTheme="minorHAnsi" w:hAnsiTheme="minorHAnsi"/>
        </w:rPr>
        <w:t xml:space="preserve">relevant sections in </w:t>
      </w:r>
      <w:r w:rsidR="00196873" w:rsidRPr="00265FE9">
        <w:rPr>
          <w:rFonts w:asciiTheme="minorHAnsi" w:hAnsiTheme="minorHAnsi"/>
        </w:rPr>
        <w:t xml:space="preserve">the MPTG Regulation, </w:t>
      </w:r>
      <w:r w:rsidRPr="00265FE9">
        <w:rPr>
          <w:rFonts w:asciiTheme="minorHAnsi" w:hAnsiTheme="minorHAnsi"/>
        </w:rPr>
        <w:t xml:space="preserve">Part 15.2 (Medicines advisory committee) to change responsibility for the appointment of MAC members from the Minister to the Director-General </w:t>
      </w:r>
      <w:r w:rsidR="00196873" w:rsidRPr="00265FE9">
        <w:rPr>
          <w:rFonts w:asciiTheme="minorHAnsi" w:hAnsiTheme="minorHAnsi"/>
        </w:rPr>
        <w:t xml:space="preserve">for the </w:t>
      </w:r>
      <w:r w:rsidR="00061734" w:rsidRPr="00265FE9">
        <w:rPr>
          <w:rFonts w:asciiTheme="minorHAnsi" w:hAnsiTheme="minorHAnsi"/>
        </w:rPr>
        <w:t xml:space="preserve">MPTG </w:t>
      </w:r>
      <w:r w:rsidR="00196873" w:rsidRPr="00265FE9">
        <w:rPr>
          <w:rFonts w:asciiTheme="minorHAnsi" w:hAnsiTheme="minorHAnsi"/>
        </w:rPr>
        <w:t>Act</w:t>
      </w:r>
      <w:r w:rsidRPr="00265FE9">
        <w:rPr>
          <w:rFonts w:asciiTheme="minorHAnsi" w:hAnsiTheme="minorHAnsi"/>
        </w:rPr>
        <w:t xml:space="preserve">. This change aligns appointment processes for the MAC with comparable </w:t>
      </w:r>
      <w:r w:rsidR="00061734" w:rsidRPr="00265FE9">
        <w:rPr>
          <w:rFonts w:asciiTheme="minorHAnsi" w:hAnsiTheme="minorHAnsi"/>
        </w:rPr>
        <w:t xml:space="preserve">advisory </w:t>
      </w:r>
      <w:r w:rsidRPr="00265FE9">
        <w:rPr>
          <w:rFonts w:asciiTheme="minorHAnsi" w:hAnsiTheme="minorHAnsi"/>
        </w:rPr>
        <w:t>bo</w:t>
      </w:r>
      <w:r w:rsidR="00061734" w:rsidRPr="00265FE9">
        <w:rPr>
          <w:rFonts w:asciiTheme="minorHAnsi" w:hAnsiTheme="minorHAnsi"/>
        </w:rPr>
        <w:t>ards and committees</w:t>
      </w:r>
      <w:r w:rsidRPr="00265FE9">
        <w:rPr>
          <w:rFonts w:asciiTheme="minorHAnsi" w:hAnsiTheme="minorHAnsi"/>
        </w:rPr>
        <w:t xml:space="preserve"> across the ACT Government. Prescribing the Director-General as the appointer of the MAC is appropriate </w:t>
      </w:r>
      <w:r w:rsidR="000B35AD" w:rsidRPr="00265FE9">
        <w:rPr>
          <w:rFonts w:asciiTheme="minorHAnsi" w:hAnsiTheme="minorHAnsi"/>
        </w:rPr>
        <w:t>given the body’s role is</w:t>
      </w:r>
      <w:r w:rsidR="00A9409A" w:rsidRPr="00265FE9">
        <w:rPr>
          <w:rFonts w:asciiTheme="minorHAnsi" w:hAnsiTheme="minorHAnsi"/>
        </w:rPr>
        <w:t xml:space="preserve"> responsible for provides advice and recommendations to the Chief Health Officer</w:t>
      </w:r>
      <w:r w:rsidRPr="00265FE9">
        <w:rPr>
          <w:rFonts w:asciiTheme="minorHAnsi" w:hAnsiTheme="minorHAnsi"/>
        </w:rPr>
        <w:t xml:space="preserve"> </w:t>
      </w:r>
      <w:r w:rsidR="000B35AD" w:rsidRPr="00265FE9">
        <w:rPr>
          <w:rFonts w:asciiTheme="minorHAnsi" w:hAnsiTheme="minorHAnsi"/>
        </w:rPr>
        <w:t xml:space="preserve">and </w:t>
      </w:r>
      <w:r w:rsidR="00A9409A" w:rsidRPr="00265FE9">
        <w:rPr>
          <w:rFonts w:asciiTheme="minorHAnsi" w:hAnsiTheme="minorHAnsi"/>
        </w:rPr>
        <w:t xml:space="preserve">is </w:t>
      </w:r>
      <w:r w:rsidRPr="00265FE9">
        <w:rPr>
          <w:rFonts w:asciiTheme="minorHAnsi" w:hAnsiTheme="minorHAnsi"/>
        </w:rPr>
        <w:t>made up of individuals with professional expertise and qualifications</w:t>
      </w:r>
      <w:r w:rsidR="000B35AD" w:rsidRPr="00265FE9">
        <w:rPr>
          <w:rFonts w:asciiTheme="minorHAnsi" w:hAnsiTheme="minorHAnsi"/>
        </w:rPr>
        <w:t xml:space="preserve"> specified by the MPTG Regulation</w:t>
      </w:r>
      <w:r w:rsidRPr="00265FE9">
        <w:rPr>
          <w:rFonts w:asciiTheme="minorHAnsi" w:hAnsiTheme="minorHAnsi"/>
        </w:rPr>
        <w:t>.</w:t>
      </w:r>
    </w:p>
    <w:p w14:paraId="74887F41" w14:textId="77777777" w:rsidR="00831592" w:rsidRPr="00265FE9" w:rsidRDefault="00831592" w:rsidP="009279AF">
      <w:pPr>
        <w:rPr>
          <w:rFonts w:asciiTheme="minorHAnsi" w:hAnsiTheme="minorHAnsi"/>
        </w:rPr>
      </w:pPr>
    </w:p>
    <w:p w14:paraId="6157EB6E" w14:textId="5393C49E" w:rsidR="008F7E72" w:rsidRPr="00265FE9" w:rsidRDefault="009279AF" w:rsidP="009279AF">
      <w:pPr>
        <w:rPr>
          <w:rFonts w:asciiTheme="minorHAnsi" w:hAnsiTheme="minorHAnsi"/>
        </w:rPr>
      </w:pPr>
      <w:r w:rsidRPr="00265FE9">
        <w:rPr>
          <w:rFonts w:asciiTheme="minorHAnsi" w:hAnsiTheme="minorHAnsi"/>
        </w:rPr>
        <w:t xml:space="preserve">The MAC is established by section 194 of the MPTG Act. The MAC is established to provide expert advice to the </w:t>
      </w:r>
      <w:r w:rsidR="000A14DF" w:rsidRPr="00265FE9">
        <w:rPr>
          <w:rFonts w:asciiTheme="minorHAnsi" w:hAnsiTheme="minorHAnsi"/>
        </w:rPr>
        <w:t>C</w:t>
      </w:r>
      <w:r w:rsidR="00A9409A" w:rsidRPr="00265FE9">
        <w:rPr>
          <w:rFonts w:asciiTheme="minorHAnsi" w:hAnsiTheme="minorHAnsi"/>
        </w:rPr>
        <w:t>hief Health Officer</w:t>
      </w:r>
      <w:r w:rsidR="000A14DF" w:rsidRPr="00265FE9">
        <w:rPr>
          <w:rFonts w:asciiTheme="minorHAnsi" w:hAnsiTheme="minorHAnsi"/>
        </w:rPr>
        <w:t xml:space="preserve"> </w:t>
      </w:r>
      <w:r w:rsidRPr="00265FE9">
        <w:rPr>
          <w:rFonts w:asciiTheme="minorHAnsi" w:hAnsiTheme="minorHAnsi"/>
        </w:rPr>
        <w:t>on matters involving the prescription and supply of medicines in the ACT. This includes advice regarding controlled medicine approvals and applications for endorsement to treat drug dependency.</w:t>
      </w:r>
    </w:p>
    <w:p w14:paraId="21C28548" w14:textId="77777777" w:rsidR="009279AF" w:rsidRPr="00265FE9" w:rsidRDefault="009279AF" w:rsidP="009279AF">
      <w:pPr>
        <w:rPr>
          <w:rFonts w:asciiTheme="minorHAnsi" w:hAnsiTheme="minorHAnsi"/>
        </w:rPr>
      </w:pPr>
    </w:p>
    <w:p w14:paraId="2664A6F2" w14:textId="268DBB41" w:rsidR="003A4F8F" w:rsidRPr="00265FE9" w:rsidRDefault="000B35AD" w:rsidP="009279AF">
      <w:pPr>
        <w:rPr>
          <w:rFonts w:asciiTheme="minorHAnsi" w:hAnsiTheme="minorHAnsi"/>
        </w:rPr>
      </w:pPr>
      <w:r w:rsidRPr="00265FE9">
        <w:rPr>
          <w:rFonts w:asciiTheme="minorHAnsi" w:hAnsiTheme="minorHAnsi"/>
        </w:rPr>
        <w:lastRenderedPageBreak/>
        <w:t>The MPTG Act, s</w:t>
      </w:r>
      <w:r w:rsidR="009279AF" w:rsidRPr="00265FE9">
        <w:rPr>
          <w:rFonts w:asciiTheme="minorHAnsi" w:hAnsiTheme="minorHAnsi"/>
        </w:rPr>
        <w:t xml:space="preserve">ection 188 </w:t>
      </w:r>
      <w:r w:rsidRPr="00265FE9">
        <w:rPr>
          <w:rFonts w:asciiTheme="minorHAnsi" w:hAnsiTheme="minorHAnsi"/>
        </w:rPr>
        <w:t>(Regulations—medicines advisory committee) provides that a r</w:t>
      </w:r>
      <w:r w:rsidR="009279AF" w:rsidRPr="00265FE9">
        <w:rPr>
          <w:rFonts w:asciiTheme="minorHAnsi" w:hAnsiTheme="minorHAnsi"/>
        </w:rPr>
        <w:t>egulation may make provision in relation to the appointment and procedures of the MAC.</w:t>
      </w:r>
    </w:p>
    <w:p w14:paraId="11EA1510" w14:textId="0F9CDDBF" w:rsidR="003A4F8F" w:rsidRPr="00265FE9" w:rsidRDefault="003A4F8F" w:rsidP="009279AF">
      <w:pPr>
        <w:rPr>
          <w:rFonts w:asciiTheme="minorHAnsi" w:hAnsiTheme="minorHAnsi"/>
        </w:rPr>
      </w:pPr>
    </w:p>
    <w:p w14:paraId="0FF3AAED" w14:textId="1CADFA50" w:rsidR="003A4F8F" w:rsidRPr="00265FE9" w:rsidRDefault="003A4F8F" w:rsidP="009279AF">
      <w:pPr>
        <w:rPr>
          <w:rFonts w:asciiTheme="minorHAnsi" w:hAnsiTheme="minorHAnsi"/>
          <w:b/>
          <w:bCs/>
        </w:rPr>
      </w:pPr>
      <w:r w:rsidRPr="00265FE9">
        <w:rPr>
          <w:rFonts w:asciiTheme="minorHAnsi" w:hAnsiTheme="minorHAnsi"/>
          <w:b/>
          <w:bCs/>
        </w:rPr>
        <w:t>Clause 1</w:t>
      </w:r>
      <w:r w:rsidR="00AB397B" w:rsidRPr="00265FE9">
        <w:rPr>
          <w:rFonts w:asciiTheme="minorHAnsi" w:hAnsiTheme="minorHAnsi"/>
          <w:b/>
          <w:bCs/>
        </w:rPr>
        <w:t>4</w:t>
      </w:r>
      <w:r w:rsidRPr="00265FE9">
        <w:rPr>
          <w:rFonts w:asciiTheme="minorHAnsi" w:hAnsiTheme="minorHAnsi"/>
          <w:b/>
          <w:bCs/>
        </w:rPr>
        <w:tab/>
        <w:t>Section 635 (1), note 2</w:t>
      </w:r>
    </w:p>
    <w:p w14:paraId="37DAFAA4" w14:textId="77777777" w:rsidR="001B1505" w:rsidRPr="00265FE9" w:rsidRDefault="001B1505" w:rsidP="009279AF">
      <w:pPr>
        <w:rPr>
          <w:rFonts w:asciiTheme="minorHAnsi" w:hAnsiTheme="minorHAnsi"/>
        </w:rPr>
      </w:pPr>
    </w:p>
    <w:p w14:paraId="49B156B2" w14:textId="0F4DD46C" w:rsidR="003A4F8F" w:rsidRPr="00265FE9" w:rsidRDefault="003A4F8F" w:rsidP="009279AF">
      <w:pPr>
        <w:rPr>
          <w:rFonts w:asciiTheme="minorHAnsi" w:hAnsiTheme="minorHAnsi"/>
        </w:rPr>
      </w:pPr>
      <w:r w:rsidRPr="00265FE9">
        <w:rPr>
          <w:rFonts w:asciiTheme="minorHAnsi" w:hAnsiTheme="minorHAnsi"/>
        </w:rPr>
        <w:t>This clause is explained under clause 1</w:t>
      </w:r>
      <w:r w:rsidR="00AB397B" w:rsidRPr="00265FE9">
        <w:rPr>
          <w:rFonts w:asciiTheme="minorHAnsi" w:hAnsiTheme="minorHAnsi"/>
        </w:rPr>
        <w:t>3</w:t>
      </w:r>
      <w:r w:rsidRPr="00265FE9">
        <w:rPr>
          <w:rFonts w:asciiTheme="minorHAnsi" w:hAnsiTheme="minorHAnsi"/>
        </w:rPr>
        <w:t xml:space="preserve"> above.</w:t>
      </w:r>
    </w:p>
    <w:p w14:paraId="56238B6D" w14:textId="77777777" w:rsidR="003A4F8F" w:rsidRPr="00265FE9" w:rsidRDefault="003A4F8F" w:rsidP="009279AF">
      <w:pPr>
        <w:rPr>
          <w:rFonts w:asciiTheme="minorHAnsi" w:hAnsiTheme="minorHAnsi"/>
        </w:rPr>
      </w:pPr>
    </w:p>
    <w:p w14:paraId="35E3A8E1" w14:textId="1A4AAF76" w:rsidR="002B3149" w:rsidRPr="00265FE9" w:rsidRDefault="003A4F8F" w:rsidP="009279AF">
      <w:pPr>
        <w:rPr>
          <w:rFonts w:asciiTheme="minorHAnsi" w:hAnsiTheme="minorHAnsi"/>
          <w:b/>
          <w:bCs/>
        </w:rPr>
      </w:pPr>
      <w:r w:rsidRPr="00265FE9">
        <w:rPr>
          <w:rFonts w:asciiTheme="minorHAnsi" w:hAnsiTheme="minorHAnsi"/>
          <w:b/>
          <w:bCs/>
        </w:rPr>
        <w:t>Clause 1</w:t>
      </w:r>
      <w:r w:rsidR="00AB397B" w:rsidRPr="00265FE9">
        <w:rPr>
          <w:rFonts w:asciiTheme="minorHAnsi" w:hAnsiTheme="minorHAnsi"/>
          <w:b/>
          <w:bCs/>
        </w:rPr>
        <w:t>5</w:t>
      </w:r>
      <w:r w:rsidRPr="00265FE9">
        <w:rPr>
          <w:rFonts w:asciiTheme="minorHAnsi" w:hAnsiTheme="minorHAnsi"/>
          <w:b/>
          <w:bCs/>
        </w:rPr>
        <w:tab/>
        <w:t>Sections 637 and 644</w:t>
      </w:r>
    </w:p>
    <w:p w14:paraId="11FC16B1" w14:textId="77777777" w:rsidR="001B1505" w:rsidRPr="00265FE9" w:rsidRDefault="001B1505" w:rsidP="00E6024E">
      <w:pPr>
        <w:rPr>
          <w:rFonts w:asciiTheme="minorHAnsi" w:hAnsiTheme="minorHAnsi"/>
        </w:rPr>
      </w:pPr>
    </w:p>
    <w:p w14:paraId="0E7F648B" w14:textId="66CE4363" w:rsidR="00E6024E" w:rsidRPr="00265FE9" w:rsidRDefault="00E6024E" w:rsidP="00E6024E">
      <w:pPr>
        <w:rPr>
          <w:rFonts w:asciiTheme="minorHAnsi" w:hAnsiTheme="minorHAnsi"/>
        </w:rPr>
      </w:pPr>
      <w:r w:rsidRPr="00265FE9">
        <w:rPr>
          <w:rFonts w:asciiTheme="minorHAnsi" w:hAnsiTheme="minorHAnsi"/>
        </w:rPr>
        <w:t>This clause is explained under clause 13 above.</w:t>
      </w:r>
    </w:p>
    <w:p w14:paraId="1A857FAA" w14:textId="77777777" w:rsidR="00E6024E" w:rsidRPr="00265FE9" w:rsidRDefault="00E6024E" w:rsidP="009279AF">
      <w:pPr>
        <w:rPr>
          <w:rFonts w:asciiTheme="minorHAnsi" w:hAnsiTheme="minorHAnsi"/>
        </w:rPr>
      </w:pPr>
    </w:p>
    <w:p w14:paraId="026095D3" w14:textId="3E3A047B" w:rsidR="003A4F8F" w:rsidRPr="00265FE9" w:rsidRDefault="003A4F8F" w:rsidP="009279AF">
      <w:pPr>
        <w:rPr>
          <w:rFonts w:asciiTheme="minorHAnsi" w:hAnsiTheme="minorHAnsi"/>
          <w:b/>
          <w:bCs/>
        </w:rPr>
      </w:pPr>
      <w:r w:rsidRPr="00265FE9">
        <w:rPr>
          <w:rFonts w:asciiTheme="minorHAnsi" w:hAnsiTheme="minorHAnsi"/>
          <w:b/>
          <w:bCs/>
        </w:rPr>
        <w:t>Clause 1</w:t>
      </w:r>
      <w:r w:rsidR="00AB397B" w:rsidRPr="00265FE9">
        <w:rPr>
          <w:rFonts w:asciiTheme="minorHAnsi" w:hAnsiTheme="minorHAnsi"/>
          <w:b/>
          <w:bCs/>
        </w:rPr>
        <w:t>6</w:t>
      </w:r>
      <w:r w:rsidRPr="00265FE9">
        <w:rPr>
          <w:rFonts w:asciiTheme="minorHAnsi" w:hAnsiTheme="minorHAnsi"/>
          <w:b/>
          <w:bCs/>
        </w:rPr>
        <w:tab/>
        <w:t>Section 695 (3), definition of authorised activity, new paragraph (d)</w:t>
      </w:r>
    </w:p>
    <w:p w14:paraId="71BDAB6F" w14:textId="77777777" w:rsidR="001B1505" w:rsidRPr="00265FE9" w:rsidRDefault="001B1505" w:rsidP="009279AF">
      <w:pPr>
        <w:rPr>
          <w:rFonts w:asciiTheme="minorHAnsi" w:hAnsiTheme="minorHAnsi"/>
        </w:rPr>
      </w:pPr>
    </w:p>
    <w:p w14:paraId="2A904E54" w14:textId="0EFF4318" w:rsidR="0046102F" w:rsidRPr="00265FE9" w:rsidRDefault="000B35AD" w:rsidP="009279AF">
      <w:pPr>
        <w:rPr>
          <w:rFonts w:asciiTheme="minorHAnsi" w:hAnsiTheme="minorHAnsi"/>
        </w:rPr>
      </w:pPr>
      <w:r w:rsidRPr="00265FE9">
        <w:rPr>
          <w:rFonts w:asciiTheme="minorHAnsi" w:hAnsiTheme="minorHAnsi"/>
        </w:rPr>
        <w:t>Clause 1</w:t>
      </w:r>
      <w:r w:rsidR="00AB397B" w:rsidRPr="00265FE9">
        <w:rPr>
          <w:rFonts w:asciiTheme="minorHAnsi" w:hAnsiTheme="minorHAnsi"/>
        </w:rPr>
        <w:t>6</w:t>
      </w:r>
      <w:r w:rsidRPr="00265FE9">
        <w:rPr>
          <w:rFonts w:asciiTheme="minorHAnsi" w:hAnsiTheme="minorHAnsi"/>
        </w:rPr>
        <w:t xml:space="preserve"> amends the MPTG Regulation, s</w:t>
      </w:r>
      <w:r w:rsidR="0046102F" w:rsidRPr="00265FE9">
        <w:rPr>
          <w:rFonts w:asciiTheme="minorHAnsi" w:hAnsiTheme="minorHAnsi"/>
        </w:rPr>
        <w:t xml:space="preserve">ection 695 </w:t>
      </w:r>
      <w:r w:rsidRPr="00265FE9">
        <w:rPr>
          <w:rFonts w:asciiTheme="minorHAnsi" w:hAnsiTheme="minorHAnsi"/>
        </w:rPr>
        <w:t xml:space="preserve">(Authorisations for dangerous poisons research and education—Act, s 26 (1) and (2) (b)) </w:t>
      </w:r>
      <w:r w:rsidR="00627210" w:rsidRPr="00265FE9">
        <w:rPr>
          <w:rFonts w:asciiTheme="minorHAnsi" w:hAnsiTheme="minorHAnsi"/>
        </w:rPr>
        <w:t xml:space="preserve">to include within the definition of an </w:t>
      </w:r>
      <w:r w:rsidR="00627210" w:rsidRPr="00265FE9">
        <w:rPr>
          <w:rFonts w:asciiTheme="minorHAnsi" w:hAnsiTheme="minorHAnsi"/>
          <w:b/>
          <w:bCs/>
          <w:i/>
          <w:iCs/>
        </w:rPr>
        <w:t>authorised activity</w:t>
      </w:r>
      <w:r w:rsidR="00627210" w:rsidRPr="00265FE9">
        <w:rPr>
          <w:rFonts w:asciiTheme="minorHAnsi" w:hAnsiTheme="minorHAnsi"/>
        </w:rPr>
        <w:t xml:space="preserve"> the ‘reasonable use of the poison to carry out the research if the poison is integral to genuine medical or scientific research at the institution’. </w:t>
      </w:r>
      <w:r w:rsidR="0046102F" w:rsidRPr="00265FE9">
        <w:rPr>
          <w:rFonts w:asciiTheme="minorHAnsi" w:hAnsiTheme="minorHAnsi"/>
        </w:rPr>
        <w:t xml:space="preserve">This definition has been amended to </w:t>
      </w:r>
      <w:r w:rsidR="00627210" w:rsidRPr="00265FE9">
        <w:rPr>
          <w:rFonts w:asciiTheme="minorHAnsi" w:hAnsiTheme="minorHAnsi"/>
        </w:rPr>
        <w:t xml:space="preserve">ensure </w:t>
      </w:r>
      <w:r w:rsidR="0046102F" w:rsidRPr="00265FE9">
        <w:rPr>
          <w:rFonts w:asciiTheme="minorHAnsi" w:hAnsiTheme="minorHAnsi"/>
        </w:rPr>
        <w:t>all research related purposes</w:t>
      </w:r>
      <w:r w:rsidR="00627210" w:rsidRPr="00265FE9">
        <w:rPr>
          <w:rFonts w:asciiTheme="minorHAnsi" w:hAnsiTheme="minorHAnsi"/>
        </w:rPr>
        <w:t xml:space="preserve"> are captures within the definition of an authorised activity</w:t>
      </w:r>
      <w:r w:rsidR="0046102F" w:rsidRPr="00265FE9">
        <w:rPr>
          <w:rFonts w:asciiTheme="minorHAnsi" w:hAnsiTheme="minorHAnsi"/>
        </w:rPr>
        <w:t xml:space="preserve">. </w:t>
      </w:r>
      <w:r w:rsidR="008A1D34" w:rsidRPr="00265FE9">
        <w:rPr>
          <w:rFonts w:asciiTheme="minorHAnsi" w:hAnsiTheme="minorHAnsi"/>
        </w:rPr>
        <w:t xml:space="preserve">Prior to this amendment section 695 did not allow research institutions to use dangerous poisons for auxiliary use in research. </w:t>
      </w:r>
      <w:r w:rsidR="00627210" w:rsidRPr="00265FE9">
        <w:rPr>
          <w:rFonts w:asciiTheme="minorHAnsi" w:hAnsiTheme="minorHAnsi"/>
        </w:rPr>
        <w:t>This amendment relates to the amendment to section 430 in Clause 10 described above.</w:t>
      </w:r>
    </w:p>
    <w:p w14:paraId="74A63358" w14:textId="5E18131A" w:rsidR="00A9409A" w:rsidRPr="00265FE9" w:rsidRDefault="00A9409A">
      <w:pPr>
        <w:rPr>
          <w:rFonts w:asciiTheme="minorHAnsi" w:hAnsiTheme="minorHAnsi"/>
          <w:b/>
          <w:bCs/>
        </w:rPr>
      </w:pPr>
    </w:p>
    <w:p w14:paraId="060F60AD" w14:textId="204E3DD1" w:rsidR="003A4F8F" w:rsidRPr="00265FE9" w:rsidRDefault="003A4F8F" w:rsidP="009279AF">
      <w:pPr>
        <w:rPr>
          <w:rFonts w:asciiTheme="minorHAnsi" w:hAnsiTheme="minorHAnsi"/>
          <w:b/>
          <w:bCs/>
        </w:rPr>
      </w:pPr>
      <w:r w:rsidRPr="00265FE9">
        <w:rPr>
          <w:rFonts w:asciiTheme="minorHAnsi" w:hAnsiTheme="minorHAnsi"/>
          <w:b/>
          <w:bCs/>
        </w:rPr>
        <w:t>Clause 1</w:t>
      </w:r>
      <w:r w:rsidR="00AB397B" w:rsidRPr="00265FE9">
        <w:rPr>
          <w:rFonts w:asciiTheme="minorHAnsi" w:hAnsiTheme="minorHAnsi"/>
          <w:b/>
          <w:bCs/>
        </w:rPr>
        <w:t>7</w:t>
      </w:r>
      <w:r w:rsidRPr="00265FE9">
        <w:rPr>
          <w:rFonts w:asciiTheme="minorHAnsi" w:hAnsiTheme="minorHAnsi"/>
          <w:b/>
          <w:bCs/>
        </w:rPr>
        <w:tab/>
        <w:t>Section 863 (d)</w:t>
      </w:r>
    </w:p>
    <w:p w14:paraId="2146E9ED" w14:textId="46BB0F47" w:rsidR="00627210" w:rsidRPr="00265FE9" w:rsidRDefault="00627210" w:rsidP="009279AF">
      <w:pPr>
        <w:rPr>
          <w:rFonts w:asciiTheme="minorHAnsi" w:hAnsiTheme="minorHAnsi"/>
        </w:rPr>
      </w:pPr>
      <w:r w:rsidRPr="00265FE9">
        <w:rPr>
          <w:rFonts w:asciiTheme="minorHAnsi" w:hAnsiTheme="minorHAnsi"/>
        </w:rPr>
        <w:t>Clause 1</w:t>
      </w:r>
      <w:r w:rsidR="00AB397B" w:rsidRPr="00265FE9">
        <w:rPr>
          <w:rFonts w:asciiTheme="minorHAnsi" w:hAnsiTheme="minorHAnsi"/>
        </w:rPr>
        <w:t>7</w:t>
      </w:r>
      <w:r w:rsidRPr="00265FE9">
        <w:rPr>
          <w:rFonts w:asciiTheme="minorHAnsi" w:hAnsiTheme="minorHAnsi"/>
        </w:rPr>
        <w:t xml:space="preserve"> </w:t>
      </w:r>
      <w:r w:rsidR="00E04E26" w:rsidRPr="00265FE9">
        <w:rPr>
          <w:rFonts w:asciiTheme="minorHAnsi" w:hAnsiTheme="minorHAnsi"/>
        </w:rPr>
        <w:t xml:space="preserve">amends the MPTG Regulation, section 863 (Disapplication of Legislation Act, s 47 (6)) to </w:t>
      </w:r>
      <w:r w:rsidRPr="00265FE9">
        <w:rPr>
          <w:rFonts w:asciiTheme="minorHAnsi" w:hAnsiTheme="minorHAnsi"/>
        </w:rPr>
        <w:t>update</w:t>
      </w:r>
      <w:r w:rsidR="00E04E26" w:rsidRPr="00265FE9">
        <w:rPr>
          <w:rFonts w:asciiTheme="minorHAnsi" w:hAnsiTheme="minorHAnsi"/>
        </w:rPr>
        <w:t xml:space="preserve"> the</w:t>
      </w:r>
      <w:r w:rsidRPr="00265FE9">
        <w:rPr>
          <w:rFonts w:asciiTheme="minorHAnsi" w:hAnsiTheme="minorHAnsi"/>
        </w:rPr>
        <w:t xml:space="preserve"> </w:t>
      </w:r>
      <w:r w:rsidR="00E04E26" w:rsidRPr="00265FE9">
        <w:rPr>
          <w:rFonts w:asciiTheme="minorHAnsi" w:hAnsiTheme="minorHAnsi"/>
        </w:rPr>
        <w:t>reference to the remade National Health (Pharmaceutical Benefits Regulations 2017 (Cwlth).</w:t>
      </w:r>
    </w:p>
    <w:p w14:paraId="5EF89409" w14:textId="01540DAB" w:rsidR="00266DCD" w:rsidRPr="00265FE9" w:rsidRDefault="00266DCD" w:rsidP="009279AF">
      <w:pPr>
        <w:rPr>
          <w:rFonts w:asciiTheme="minorHAnsi" w:hAnsiTheme="minorHAnsi"/>
        </w:rPr>
      </w:pPr>
    </w:p>
    <w:p w14:paraId="635D77CA" w14:textId="1145F415" w:rsidR="00704D3E" w:rsidRPr="00265FE9" w:rsidRDefault="00E04E26" w:rsidP="00266DCD">
      <w:pPr>
        <w:rPr>
          <w:rFonts w:asciiTheme="minorHAnsi" w:hAnsiTheme="minorHAnsi"/>
          <w:b/>
          <w:bCs/>
        </w:rPr>
      </w:pPr>
      <w:r w:rsidRPr="00265FE9">
        <w:rPr>
          <w:rFonts w:asciiTheme="minorHAnsi" w:hAnsiTheme="minorHAnsi"/>
          <w:b/>
          <w:bCs/>
        </w:rPr>
        <w:t>Clause 1</w:t>
      </w:r>
      <w:r w:rsidR="00AB397B" w:rsidRPr="00265FE9">
        <w:rPr>
          <w:rFonts w:asciiTheme="minorHAnsi" w:hAnsiTheme="minorHAnsi"/>
          <w:b/>
          <w:bCs/>
        </w:rPr>
        <w:t>8</w:t>
      </w:r>
      <w:r w:rsidR="003A4F8F" w:rsidRPr="00265FE9">
        <w:rPr>
          <w:rFonts w:asciiTheme="minorHAnsi" w:hAnsiTheme="minorHAnsi"/>
          <w:b/>
          <w:bCs/>
        </w:rPr>
        <w:tab/>
        <w:t>New section 863 (g) to (k)</w:t>
      </w:r>
    </w:p>
    <w:p w14:paraId="6F56267F" w14:textId="536541A8" w:rsidR="00704D3E" w:rsidRPr="00265FE9" w:rsidRDefault="00704D3E" w:rsidP="00266DCD">
      <w:pPr>
        <w:rPr>
          <w:rFonts w:asciiTheme="minorHAnsi" w:hAnsiTheme="minorHAnsi"/>
        </w:rPr>
      </w:pPr>
      <w:r w:rsidRPr="00265FE9">
        <w:rPr>
          <w:rFonts w:asciiTheme="minorHAnsi" w:hAnsiTheme="minorHAnsi"/>
        </w:rPr>
        <w:t xml:space="preserve">This clause amends the MPTG Regulation, section 863 (Disapplication of Legislation Act, s 47 (6)) to displace the operation of section 47(6) of the </w:t>
      </w:r>
      <w:r w:rsidRPr="00265FE9">
        <w:rPr>
          <w:rFonts w:asciiTheme="minorHAnsi" w:hAnsiTheme="minorHAnsi"/>
          <w:i/>
          <w:iCs/>
        </w:rPr>
        <w:t>Legislation Act 2001</w:t>
      </w:r>
      <w:r w:rsidRPr="00265FE9">
        <w:rPr>
          <w:rFonts w:asciiTheme="minorHAnsi" w:hAnsiTheme="minorHAnsi"/>
        </w:rPr>
        <w:t xml:space="preserve"> in regard to a range of publications made by the Australian Government or one of its agencies. Displacing the operation of section 47(6) of the Legislation Act 2001 removes the requirement that the applied documents be a notifiable instrument under the MPTG Regulation as they are remade or updated</w:t>
      </w:r>
      <w:r w:rsidR="00A9409A" w:rsidRPr="00265FE9">
        <w:rPr>
          <w:rFonts w:asciiTheme="minorHAnsi" w:hAnsiTheme="minorHAnsi"/>
        </w:rPr>
        <w:t xml:space="preserve"> thereby allowing for an ambulatory application of the instruments</w:t>
      </w:r>
      <w:r w:rsidRPr="00265FE9">
        <w:rPr>
          <w:rFonts w:asciiTheme="minorHAnsi" w:hAnsiTheme="minorHAnsi"/>
        </w:rPr>
        <w:t>.</w:t>
      </w:r>
    </w:p>
    <w:p w14:paraId="79A56F42" w14:textId="77777777" w:rsidR="00FE72DF" w:rsidRPr="00265FE9" w:rsidRDefault="00FE72DF" w:rsidP="00266DCD">
      <w:pPr>
        <w:rPr>
          <w:rFonts w:asciiTheme="minorHAnsi" w:hAnsiTheme="minorHAnsi"/>
        </w:rPr>
      </w:pPr>
    </w:p>
    <w:p w14:paraId="23A47C4C" w14:textId="6D226E33" w:rsidR="00704D3E" w:rsidRPr="00265FE9" w:rsidRDefault="00266DCD" w:rsidP="00266DCD">
      <w:pPr>
        <w:rPr>
          <w:rFonts w:asciiTheme="minorHAnsi" w:hAnsiTheme="minorHAnsi"/>
        </w:rPr>
      </w:pPr>
      <w:r w:rsidRPr="00265FE9">
        <w:rPr>
          <w:rFonts w:asciiTheme="minorHAnsi" w:hAnsiTheme="minorHAnsi"/>
        </w:rPr>
        <w:t>Section 189(1) of the MPTG A</w:t>
      </w:r>
      <w:r w:rsidR="00ED0022" w:rsidRPr="00265FE9">
        <w:rPr>
          <w:rFonts w:asciiTheme="minorHAnsi" w:hAnsiTheme="minorHAnsi"/>
        </w:rPr>
        <w:t>ct</w:t>
      </w:r>
      <w:r w:rsidRPr="00265FE9">
        <w:rPr>
          <w:rFonts w:asciiTheme="minorHAnsi" w:hAnsiTheme="minorHAnsi"/>
        </w:rPr>
        <w:t xml:space="preserve"> prov</w:t>
      </w:r>
      <w:r w:rsidR="00384C35" w:rsidRPr="00265FE9">
        <w:rPr>
          <w:rFonts w:asciiTheme="minorHAnsi" w:hAnsiTheme="minorHAnsi"/>
        </w:rPr>
        <w:t>ides</w:t>
      </w:r>
      <w:r w:rsidRPr="00265FE9">
        <w:rPr>
          <w:rFonts w:asciiTheme="minorHAnsi" w:hAnsiTheme="minorHAnsi"/>
        </w:rPr>
        <w:t xml:space="preserve"> that a regulation may adopt or incorporate an instrument as in force from time to time as outlined in section 47 of the Legislation Act 2001. Section 863 of the MPTG Regulation allows for disapplication of section 47 (6) of the </w:t>
      </w:r>
      <w:r w:rsidRPr="00265FE9">
        <w:rPr>
          <w:rFonts w:asciiTheme="minorHAnsi" w:hAnsiTheme="minorHAnsi"/>
          <w:i/>
          <w:iCs/>
        </w:rPr>
        <w:t>Legislation Act 2001</w:t>
      </w:r>
      <w:r w:rsidR="000A14DF" w:rsidRPr="00265FE9">
        <w:rPr>
          <w:rFonts w:asciiTheme="minorHAnsi" w:hAnsiTheme="minorHAnsi"/>
        </w:rPr>
        <w:t xml:space="preserve">, </w:t>
      </w:r>
      <w:r w:rsidR="00A9409A" w:rsidRPr="00265FE9">
        <w:rPr>
          <w:rFonts w:asciiTheme="minorHAnsi" w:hAnsiTheme="minorHAnsi"/>
        </w:rPr>
        <w:t xml:space="preserve">so </w:t>
      </w:r>
      <w:r w:rsidR="000A14DF" w:rsidRPr="00265FE9">
        <w:rPr>
          <w:rFonts w:asciiTheme="minorHAnsi" w:hAnsiTheme="minorHAnsi"/>
        </w:rPr>
        <w:t xml:space="preserve">that the adopted law </w:t>
      </w:r>
      <w:r w:rsidR="00164BC4" w:rsidRPr="00265FE9">
        <w:rPr>
          <w:rFonts w:asciiTheme="minorHAnsi" w:hAnsiTheme="minorHAnsi"/>
        </w:rPr>
        <w:t xml:space="preserve">as in force </w:t>
      </w:r>
      <w:r w:rsidR="00A9409A" w:rsidRPr="00265FE9">
        <w:rPr>
          <w:rFonts w:asciiTheme="minorHAnsi" w:hAnsiTheme="minorHAnsi"/>
        </w:rPr>
        <w:t xml:space="preserve">from time to time (ambulatory application) without </w:t>
      </w:r>
      <w:r w:rsidR="000A14DF" w:rsidRPr="00265FE9">
        <w:rPr>
          <w:rFonts w:asciiTheme="minorHAnsi" w:hAnsiTheme="minorHAnsi"/>
        </w:rPr>
        <w:t>requir</w:t>
      </w:r>
      <w:r w:rsidR="00A9409A" w:rsidRPr="00265FE9">
        <w:rPr>
          <w:rFonts w:asciiTheme="minorHAnsi" w:hAnsiTheme="minorHAnsi"/>
        </w:rPr>
        <w:t xml:space="preserve">ing that a new version of instrument is </w:t>
      </w:r>
      <w:r w:rsidR="000A14DF" w:rsidRPr="00265FE9">
        <w:rPr>
          <w:rFonts w:asciiTheme="minorHAnsi" w:hAnsiTheme="minorHAnsi"/>
        </w:rPr>
        <w:t>notifi</w:t>
      </w:r>
      <w:r w:rsidR="00A9409A" w:rsidRPr="00265FE9">
        <w:rPr>
          <w:rFonts w:asciiTheme="minorHAnsi" w:hAnsiTheme="minorHAnsi"/>
        </w:rPr>
        <w:t>ed</w:t>
      </w:r>
      <w:r w:rsidR="000A14DF" w:rsidRPr="00265FE9">
        <w:rPr>
          <w:rFonts w:asciiTheme="minorHAnsi" w:hAnsiTheme="minorHAnsi"/>
        </w:rPr>
        <w:t xml:space="preserve"> on the Legislation Register.</w:t>
      </w:r>
    </w:p>
    <w:p w14:paraId="32422581" w14:textId="77777777" w:rsidR="00704D3E" w:rsidRPr="00265FE9" w:rsidRDefault="00704D3E" w:rsidP="00266DCD">
      <w:pPr>
        <w:rPr>
          <w:rFonts w:asciiTheme="minorHAnsi" w:hAnsiTheme="minorHAnsi"/>
        </w:rPr>
      </w:pPr>
    </w:p>
    <w:p w14:paraId="70DFBEF2" w14:textId="0BEB1D0B" w:rsidR="00266DCD" w:rsidRPr="00265FE9" w:rsidRDefault="00704D3E" w:rsidP="00266DCD">
      <w:pPr>
        <w:rPr>
          <w:rFonts w:asciiTheme="minorHAnsi" w:hAnsiTheme="minorHAnsi"/>
        </w:rPr>
      </w:pPr>
      <w:r w:rsidRPr="00265FE9">
        <w:rPr>
          <w:rFonts w:asciiTheme="minorHAnsi" w:hAnsiTheme="minorHAnsi"/>
        </w:rPr>
        <w:t>Clause 1</w:t>
      </w:r>
      <w:r w:rsidR="00AB397B" w:rsidRPr="00265FE9">
        <w:rPr>
          <w:rFonts w:asciiTheme="minorHAnsi" w:hAnsiTheme="minorHAnsi"/>
        </w:rPr>
        <w:t>8</w:t>
      </w:r>
      <w:r w:rsidRPr="00265FE9">
        <w:rPr>
          <w:rFonts w:asciiTheme="minorHAnsi" w:hAnsiTheme="minorHAnsi"/>
        </w:rPr>
        <w:t xml:space="preserve"> amends s</w:t>
      </w:r>
      <w:r w:rsidR="00266DCD" w:rsidRPr="00265FE9">
        <w:rPr>
          <w:rFonts w:asciiTheme="minorHAnsi" w:hAnsiTheme="minorHAnsi"/>
        </w:rPr>
        <w:t>ection 863 to allow for disapplication of the following:</w:t>
      </w:r>
    </w:p>
    <w:p w14:paraId="52AD47AE" w14:textId="505183A5" w:rsidR="00266DCD" w:rsidRPr="00265FE9" w:rsidRDefault="005E42D4" w:rsidP="00266DCD">
      <w:pPr>
        <w:pStyle w:val="ListParagraph"/>
        <w:widowControl/>
        <w:numPr>
          <w:ilvl w:val="0"/>
          <w:numId w:val="12"/>
        </w:numPr>
        <w:rPr>
          <w:rStyle w:val="Hyperlink"/>
          <w:rFonts w:asciiTheme="minorHAnsi" w:hAnsiTheme="minorHAnsi"/>
          <w:color w:val="000000" w:themeColor="text1"/>
        </w:rPr>
      </w:pPr>
      <w:hyperlink r:id="rId8" w:history="1">
        <w:r w:rsidR="00266DCD" w:rsidRPr="00265FE9">
          <w:rPr>
            <w:rStyle w:val="Hyperlink"/>
            <w:rFonts w:asciiTheme="minorHAnsi" w:hAnsiTheme="minorHAnsi"/>
            <w:color w:val="000000" w:themeColor="text1"/>
          </w:rPr>
          <w:t>National Immunisation Education Framework for Health Professionals</w:t>
        </w:r>
      </w:hyperlink>
    </w:p>
    <w:p w14:paraId="5CA3C6E2" w14:textId="62343977" w:rsidR="00266DCD" w:rsidRPr="00265FE9" w:rsidRDefault="005E42D4" w:rsidP="00266DCD">
      <w:pPr>
        <w:pStyle w:val="ListParagraph"/>
        <w:widowControl/>
        <w:numPr>
          <w:ilvl w:val="0"/>
          <w:numId w:val="12"/>
        </w:numPr>
        <w:rPr>
          <w:rFonts w:asciiTheme="minorHAnsi" w:hAnsiTheme="minorHAnsi"/>
          <w:color w:val="000000" w:themeColor="text1"/>
        </w:rPr>
      </w:pPr>
      <w:hyperlink r:id="rId9" w:history="1">
        <w:r w:rsidR="00266DCD" w:rsidRPr="00265FE9">
          <w:rPr>
            <w:rStyle w:val="Hyperlink"/>
            <w:rFonts w:asciiTheme="minorHAnsi" w:hAnsiTheme="minorHAnsi"/>
            <w:color w:val="000000" w:themeColor="text1"/>
          </w:rPr>
          <w:t>Australian Immunisation Handbook</w:t>
        </w:r>
      </w:hyperlink>
    </w:p>
    <w:p w14:paraId="1211C2CB" w14:textId="088D72FC" w:rsidR="00266DCD" w:rsidRPr="00265FE9" w:rsidRDefault="005E42D4" w:rsidP="00266DCD">
      <w:pPr>
        <w:pStyle w:val="ListParagraph"/>
        <w:widowControl/>
        <w:numPr>
          <w:ilvl w:val="0"/>
          <w:numId w:val="12"/>
        </w:numPr>
        <w:rPr>
          <w:rStyle w:val="Hyperlink"/>
          <w:rFonts w:asciiTheme="minorHAnsi" w:hAnsiTheme="minorHAnsi"/>
          <w:color w:val="000000" w:themeColor="text1"/>
          <w:u w:val="none"/>
        </w:rPr>
      </w:pPr>
      <w:hyperlink r:id="rId10" w:history="1">
        <w:r w:rsidR="00266DCD" w:rsidRPr="00265FE9">
          <w:rPr>
            <w:rStyle w:val="Hyperlink"/>
            <w:rFonts w:asciiTheme="minorHAnsi" w:hAnsiTheme="minorHAnsi"/>
            <w:color w:val="000000" w:themeColor="text1"/>
          </w:rPr>
          <w:t>National Vaccine storage guidelines: Strive for 5</w:t>
        </w:r>
      </w:hyperlink>
    </w:p>
    <w:p w14:paraId="4104A484" w14:textId="3580DE7A" w:rsidR="00266DCD" w:rsidRPr="00265FE9" w:rsidRDefault="005E42D4" w:rsidP="00704D3E">
      <w:pPr>
        <w:pStyle w:val="ListParagraph"/>
        <w:widowControl/>
        <w:numPr>
          <w:ilvl w:val="0"/>
          <w:numId w:val="12"/>
        </w:numPr>
        <w:rPr>
          <w:rStyle w:val="Hyperlink"/>
          <w:rFonts w:asciiTheme="minorHAnsi" w:hAnsiTheme="minorHAnsi"/>
          <w:color w:val="000000" w:themeColor="text1"/>
        </w:rPr>
      </w:pPr>
      <w:hyperlink r:id="rId11" w:history="1">
        <w:r w:rsidR="00266DCD" w:rsidRPr="00265FE9">
          <w:rPr>
            <w:rStyle w:val="Hyperlink"/>
            <w:rFonts w:asciiTheme="minorHAnsi" w:hAnsiTheme="minorHAnsi"/>
            <w:color w:val="000000" w:themeColor="text1"/>
          </w:rPr>
          <w:t>Australian Technical Advisory Group on Immunisation (ATAGI) Clinical guidance on use of COVID-19 vaccine in Australia</w:t>
        </w:r>
      </w:hyperlink>
    </w:p>
    <w:p w14:paraId="6A283019" w14:textId="77777777" w:rsidR="00266DCD" w:rsidRPr="00265FE9" w:rsidRDefault="00266DCD" w:rsidP="00266DCD">
      <w:pPr>
        <w:pStyle w:val="ListParagraph"/>
        <w:widowControl/>
        <w:numPr>
          <w:ilvl w:val="0"/>
          <w:numId w:val="12"/>
        </w:numPr>
        <w:rPr>
          <w:rStyle w:val="Hyperlink"/>
          <w:rFonts w:asciiTheme="minorHAnsi" w:hAnsiTheme="minorHAnsi"/>
          <w:color w:val="000000" w:themeColor="text1"/>
        </w:rPr>
      </w:pPr>
      <w:r w:rsidRPr="00265FE9">
        <w:rPr>
          <w:rStyle w:val="Hyperlink"/>
          <w:rFonts w:asciiTheme="minorHAnsi" w:hAnsiTheme="minorHAnsi"/>
          <w:color w:val="000000" w:themeColor="text1"/>
        </w:rPr>
        <w:t xml:space="preserve">National Guidelines for Medication-Assisted Treatment of Opioid Dependence </w:t>
      </w:r>
    </w:p>
    <w:p w14:paraId="109CF7EB" w14:textId="028A5D14" w:rsidR="00266DCD" w:rsidRPr="00265FE9" w:rsidRDefault="00266DCD" w:rsidP="009279AF">
      <w:pPr>
        <w:rPr>
          <w:rFonts w:asciiTheme="minorHAnsi" w:hAnsiTheme="minorHAnsi"/>
        </w:rPr>
      </w:pPr>
    </w:p>
    <w:p w14:paraId="112185C9" w14:textId="5CEA8C44" w:rsidR="00704D3E" w:rsidRPr="00265FE9" w:rsidRDefault="00704D3E" w:rsidP="009279AF">
      <w:pPr>
        <w:rPr>
          <w:rFonts w:asciiTheme="minorHAnsi" w:hAnsiTheme="minorHAnsi"/>
        </w:rPr>
      </w:pPr>
      <w:r w:rsidRPr="00265FE9">
        <w:rPr>
          <w:rFonts w:asciiTheme="minorHAnsi" w:hAnsiTheme="minorHAnsi"/>
        </w:rPr>
        <w:t>Disapplying the Legislation Act 2001, section 47(</w:t>
      </w:r>
      <w:r w:rsidR="00A9409A" w:rsidRPr="00265FE9">
        <w:rPr>
          <w:rFonts w:asciiTheme="minorHAnsi" w:hAnsiTheme="minorHAnsi"/>
        </w:rPr>
        <w:t>6</w:t>
      </w:r>
      <w:r w:rsidRPr="00265FE9">
        <w:rPr>
          <w:rFonts w:asciiTheme="minorHAnsi" w:hAnsiTheme="minorHAnsi"/>
        </w:rPr>
        <w:t>) for each instrument is appropriate as the Australian Government or the relevant agency publishe</w:t>
      </w:r>
      <w:r w:rsidR="003A4F8F" w:rsidRPr="00265FE9">
        <w:rPr>
          <w:rFonts w:asciiTheme="minorHAnsi" w:hAnsiTheme="minorHAnsi"/>
        </w:rPr>
        <w:t>s</w:t>
      </w:r>
      <w:r w:rsidRPr="00265FE9">
        <w:rPr>
          <w:rFonts w:asciiTheme="minorHAnsi" w:hAnsiTheme="minorHAnsi"/>
        </w:rPr>
        <w:t xml:space="preserve"> the instrument on a website. This ensures the document is readily available to anyone affected by the instrument.</w:t>
      </w:r>
    </w:p>
    <w:p w14:paraId="0023DA82" w14:textId="329D9BD0" w:rsidR="00704D3E" w:rsidRPr="00265FE9" w:rsidRDefault="00704D3E" w:rsidP="009279AF">
      <w:pPr>
        <w:rPr>
          <w:rFonts w:asciiTheme="minorHAnsi" w:hAnsiTheme="minorHAnsi"/>
        </w:rPr>
      </w:pPr>
    </w:p>
    <w:p w14:paraId="636F59CB" w14:textId="55C5E817" w:rsidR="003A4F8F" w:rsidRPr="00265FE9" w:rsidRDefault="003A4F8F" w:rsidP="009279AF">
      <w:pPr>
        <w:rPr>
          <w:rFonts w:asciiTheme="minorHAnsi" w:hAnsiTheme="minorHAnsi"/>
          <w:b/>
          <w:bCs/>
        </w:rPr>
      </w:pPr>
      <w:r w:rsidRPr="00265FE9">
        <w:rPr>
          <w:rFonts w:asciiTheme="minorHAnsi" w:hAnsiTheme="minorHAnsi"/>
          <w:b/>
          <w:bCs/>
        </w:rPr>
        <w:t xml:space="preserve">Clause </w:t>
      </w:r>
      <w:r w:rsidR="00AB397B" w:rsidRPr="00265FE9">
        <w:rPr>
          <w:rFonts w:asciiTheme="minorHAnsi" w:hAnsiTheme="minorHAnsi"/>
          <w:b/>
          <w:bCs/>
        </w:rPr>
        <w:t>19</w:t>
      </w:r>
      <w:r w:rsidRPr="00265FE9">
        <w:rPr>
          <w:rFonts w:asciiTheme="minorHAnsi" w:hAnsiTheme="minorHAnsi"/>
          <w:b/>
          <w:bCs/>
        </w:rPr>
        <w:tab/>
        <w:t>Section 863, new note</w:t>
      </w:r>
    </w:p>
    <w:p w14:paraId="61EEEC7E" w14:textId="3DAA2715" w:rsidR="003A4F8F" w:rsidRPr="00265FE9" w:rsidRDefault="003A4F8F" w:rsidP="009279AF">
      <w:pPr>
        <w:rPr>
          <w:rFonts w:asciiTheme="minorHAnsi" w:hAnsiTheme="minorHAnsi"/>
        </w:rPr>
      </w:pPr>
      <w:r w:rsidRPr="00265FE9">
        <w:rPr>
          <w:rFonts w:asciiTheme="minorHAnsi" w:hAnsiTheme="minorHAnsi"/>
        </w:rPr>
        <w:t xml:space="preserve">This clause inserts a new note signposting </w:t>
      </w:r>
      <w:r w:rsidR="007C768A" w:rsidRPr="00265FE9">
        <w:rPr>
          <w:rFonts w:asciiTheme="minorHAnsi" w:hAnsiTheme="minorHAnsi"/>
        </w:rPr>
        <w:t>www.health.gov.au.</w:t>
      </w:r>
    </w:p>
    <w:p w14:paraId="5AB0E98C" w14:textId="77777777" w:rsidR="009279AF" w:rsidRPr="00265FE9" w:rsidRDefault="009279AF" w:rsidP="009279AF">
      <w:pPr>
        <w:rPr>
          <w:rFonts w:asciiTheme="minorHAnsi" w:hAnsiTheme="minorHAnsi"/>
        </w:rPr>
      </w:pPr>
    </w:p>
    <w:p w14:paraId="7BED45C4" w14:textId="2465A3EE" w:rsidR="007C768A" w:rsidRPr="00265FE9" w:rsidRDefault="007C768A" w:rsidP="00CC5689">
      <w:pPr>
        <w:rPr>
          <w:rFonts w:asciiTheme="minorHAnsi" w:hAnsiTheme="minorHAnsi"/>
          <w:b/>
          <w:bCs/>
        </w:rPr>
      </w:pPr>
      <w:r w:rsidRPr="00265FE9">
        <w:rPr>
          <w:rFonts w:asciiTheme="minorHAnsi" w:hAnsiTheme="minorHAnsi"/>
          <w:b/>
          <w:bCs/>
        </w:rPr>
        <w:t>Clause 2</w:t>
      </w:r>
      <w:r w:rsidR="00AB397B" w:rsidRPr="00265FE9">
        <w:rPr>
          <w:rFonts w:asciiTheme="minorHAnsi" w:hAnsiTheme="minorHAnsi"/>
          <w:b/>
          <w:bCs/>
        </w:rPr>
        <w:t>0</w:t>
      </w:r>
      <w:r w:rsidRPr="00265FE9">
        <w:rPr>
          <w:rFonts w:asciiTheme="minorHAnsi" w:hAnsiTheme="minorHAnsi"/>
          <w:b/>
          <w:bCs/>
        </w:rPr>
        <w:tab/>
        <w:t>Schedule 1, part 1.11, item 1, column 3, paragraph (a) (ii)</w:t>
      </w:r>
    </w:p>
    <w:p w14:paraId="45D9F1F4" w14:textId="2D1402B7" w:rsidR="0037016E" w:rsidRPr="00265FE9" w:rsidRDefault="0037016E" w:rsidP="00CC5689">
      <w:pPr>
        <w:rPr>
          <w:rFonts w:asciiTheme="minorHAnsi" w:hAnsiTheme="minorHAnsi"/>
        </w:rPr>
      </w:pPr>
      <w:r w:rsidRPr="00265FE9">
        <w:rPr>
          <w:rFonts w:asciiTheme="minorHAnsi" w:hAnsiTheme="minorHAnsi"/>
        </w:rPr>
        <w:t xml:space="preserve">Part 3.3 of the MPTG Regulation authorises </w:t>
      </w:r>
      <w:r w:rsidR="00F75447" w:rsidRPr="00265FE9">
        <w:rPr>
          <w:rFonts w:asciiTheme="minorHAnsi" w:hAnsiTheme="minorHAnsi"/>
        </w:rPr>
        <w:t>a person to issue purchase orders, obtain, possess and supply medicines that are outlined in Schedule 1 of the MPTG Regulation. Schedule 1, Part 1.11 authorises the director of nursing or medical superintendent of a residential care facility to issue a purchase order, obtain, possess and supply not more than 5 ampoules, each of 1m</w:t>
      </w:r>
      <w:r w:rsidR="00A9409A" w:rsidRPr="00265FE9">
        <w:rPr>
          <w:rFonts w:asciiTheme="minorHAnsi" w:hAnsiTheme="minorHAnsi"/>
        </w:rPr>
        <w:t>L</w:t>
      </w:r>
      <w:r w:rsidR="00F75447" w:rsidRPr="00265FE9">
        <w:rPr>
          <w:rFonts w:asciiTheme="minorHAnsi" w:hAnsiTheme="minorHAnsi"/>
        </w:rPr>
        <w:t xml:space="preserve"> or less of morphine sulfate, at a concentration of 30mg or less of morphine </w:t>
      </w:r>
      <w:r w:rsidR="00D70028" w:rsidRPr="00265FE9">
        <w:rPr>
          <w:rFonts w:asciiTheme="minorHAnsi" w:hAnsiTheme="minorHAnsi"/>
        </w:rPr>
        <w:t xml:space="preserve">sulfate </w:t>
      </w:r>
      <w:r w:rsidR="00F75447" w:rsidRPr="00265FE9">
        <w:rPr>
          <w:rFonts w:asciiTheme="minorHAnsi" w:hAnsiTheme="minorHAnsi"/>
        </w:rPr>
        <w:t xml:space="preserve">per mL. </w:t>
      </w:r>
    </w:p>
    <w:p w14:paraId="45963CAF" w14:textId="2FA2E974" w:rsidR="00F75447" w:rsidRPr="00265FE9" w:rsidRDefault="00F75447" w:rsidP="00CC5689">
      <w:pPr>
        <w:rPr>
          <w:rFonts w:asciiTheme="minorHAnsi" w:hAnsiTheme="minorHAnsi"/>
        </w:rPr>
      </w:pPr>
    </w:p>
    <w:p w14:paraId="0F57761B" w14:textId="6A4EB8AD" w:rsidR="00CC5689" w:rsidRPr="00265FE9" w:rsidRDefault="007C768A" w:rsidP="00CC5689">
      <w:pPr>
        <w:rPr>
          <w:rFonts w:asciiTheme="minorHAnsi" w:hAnsiTheme="minorHAnsi"/>
        </w:rPr>
      </w:pPr>
      <w:r w:rsidRPr="00265FE9">
        <w:rPr>
          <w:rFonts w:asciiTheme="minorHAnsi" w:hAnsiTheme="minorHAnsi"/>
        </w:rPr>
        <w:t>Clause 2</w:t>
      </w:r>
      <w:r w:rsidR="00AB397B" w:rsidRPr="00265FE9">
        <w:rPr>
          <w:rFonts w:asciiTheme="minorHAnsi" w:hAnsiTheme="minorHAnsi"/>
        </w:rPr>
        <w:t>0</w:t>
      </w:r>
      <w:r w:rsidR="009E44A7" w:rsidRPr="00265FE9">
        <w:rPr>
          <w:rFonts w:asciiTheme="minorHAnsi" w:hAnsiTheme="minorHAnsi"/>
        </w:rPr>
        <w:t xml:space="preserve"> </w:t>
      </w:r>
      <w:r w:rsidR="00F75447" w:rsidRPr="00265FE9">
        <w:rPr>
          <w:rFonts w:asciiTheme="minorHAnsi" w:hAnsiTheme="minorHAnsi"/>
        </w:rPr>
        <w:t>increase</w:t>
      </w:r>
      <w:r w:rsidR="00B25F97" w:rsidRPr="00265FE9">
        <w:rPr>
          <w:rFonts w:asciiTheme="minorHAnsi" w:hAnsiTheme="minorHAnsi"/>
        </w:rPr>
        <w:t>s</w:t>
      </w:r>
      <w:r w:rsidR="00F75447" w:rsidRPr="00265FE9">
        <w:rPr>
          <w:rFonts w:asciiTheme="minorHAnsi" w:hAnsiTheme="minorHAnsi"/>
        </w:rPr>
        <w:t xml:space="preserve"> the amount of morphine sulfate </w:t>
      </w:r>
      <w:r w:rsidR="00B25F97" w:rsidRPr="00265FE9">
        <w:rPr>
          <w:rFonts w:asciiTheme="minorHAnsi" w:hAnsiTheme="minorHAnsi"/>
        </w:rPr>
        <w:t xml:space="preserve">ampoules </w:t>
      </w:r>
      <w:r w:rsidR="00F75447" w:rsidRPr="00265FE9">
        <w:rPr>
          <w:rFonts w:asciiTheme="minorHAnsi" w:hAnsiTheme="minorHAnsi"/>
        </w:rPr>
        <w:t xml:space="preserve">and </w:t>
      </w:r>
      <w:r w:rsidR="00B25F97" w:rsidRPr="00265FE9">
        <w:rPr>
          <w:rFonts w:asciiTheme="minorHAnsi" w:hAnsiTheme="minorHAnsi"/>
        </w:rPr>
        <w:t xml:space="preserve">adds </w:t>
      </w:r>
      <w:r w:rsidR="00F75447" w:rsidRPr="00265FE9">
        <w:rPr>
          <w:rFonts w:asciiTheme="minorHAnsi" w:hAnsiTheme="minorHAnsi"/>
        </w:rPr>
        <w:t xml:space="preserve">a small quantity of </w:t>
      </w:r>
      <w:r w:rsidR="00B25F97" w:rsidRPr="00265FE9">
        <w:rPr>
          <w:rFonts w:asciiTheme="minorHAnsi" w:hAnsiTheme="minorHAnsi"/>
        </w:rPr>
        <w:t xml:space="preserve">the lowest available strength of </w:t>
      </w:r>
      <w:r w:rsidR="00F75447" w:rsidRPr="00265FE9">
        <w:rPr>
          <w:rFonts w:asciiTheme="minorHAnsi" w:hAnsiTheme="minorHAnsi"/>
        </w:rPr>
        <w:t xml:space="preserve">hydromorphone </w:t>
      </w:r>
      <w:r w:rsidR="00B25F97" w:rsidRPr="00265FE9">
        <w:rPr>
          <w:rFonts w:asciiTheme="minorHAnsi" w:hAnsiTheme="minorHAnsi"/>
        </w:rPr>
        <w:t>ampoules</w:t>
      </w:r>
      <w:r w:rsidR="009E570D" w:rsidRPr="00265FE9">
        <w:rPr>
          <w:rFonts w:asciiTheme="minorHAnsi" w:hAnsiTheme="minorHAnsi"/>
        </w:rPr>
        <w:t>,</w:t>
      </w:r>
      <w:r w:rsidR="00B25F97" w:rsidRPr="00265FE9">
        <w:rPr>
          <w:rFonts w:asciiTheme="minorHAnsi" w:hAnsiTheme="minorHAnsi"/>
        </w:rPr>
        <w:t xml:space="preserve"> </w:t>
      </w:r>
      <w:r w:rsidR="00F75447" w:rsidRPr="00265FE9">
        <w:rPr>
          <w:rFonts w:asciiTheme="minorHAnsi" w:hAnsiTheme="minorHAnsi"/>
        </w:rPr>
        <w:t>that the</w:t>
      </w:r>
      <w:r w:rsidR="00CC5689" w:rsidRPr="00265FE9">
        <w:rPr>
          <w:rFonts w:asciiTheme="minorHAnsi" w:hAnsiTheme="minorHAnsi"/>
        </w:rPr>
        <w:t xml:space="preserve"> director of nursing or medical superintendent of a residential care facility</w:t>
      </w:r>
      <w:r w:rsidR="009E570D" w:rsidRPr="00265FE9">
        <w:rPr>
          <w:rFonts w:asciiTheme="minorHAnsi" w:hAnsiTheme="minorHAnsi"/>
        </w:rPr>
        <w:t>,</w:t>
      </w:r>
      <w:r w:rsidR="00CC5689" w:rsidRPr="00265FE9">
        <w:rPr>
          <w:rFonts w:asciiTheme="minorHAnsi" w:hAnsiTheme="minorHAnsi"/>
        </w:rPr>
        <w:t xml:space="preserve"> </w:t>
      </w:r>
      <w:r w:rsidR="009E570D" w:rsidRPr="00265FE9">
        <w:rPr>
          <w:rFonts w:asciiTheme="minorHAnsi" w:hAnsiTheme="minorHAnsi"/>
        </w:rPr>
        <w:t xml:space="preserve">which allows them to </w:t>
      </w:r>
      <w:r w:rsidR="00CC5689" w:rsidRPr="00265FE9">
        <w:rPr>
          <w:rFonts w:asciiTheme="minorHAnsi" w:hAnsiTheme="minorHAnsi"/>
        </w:rPr>
        <w:t xml:space="preserve">issue a purchase order, obtain, possess and supply </w:t>
      </w:r>
      <w:r w:rsidR="00B25F97" w:rsidRPr="00265FE9">
        <w:rPr>
          <w:rFonts w:asciiTheme="minorHAnsi" w:hAnsiTheme="minorHAnsi"/>
        </w:rPr>
        <w:t xml:space="preserve">for </w:t>
      </w:r>
      <w:r w:rsidR="009E44A7" w:rsidRPr="00265FE9">
        <w:rPr>
          <w:rFonts w:asciiTheme="minorHAnsi" w:hAnsiTheme="minorHAnsi"/>
        </w:rPr>
        <w:t xml:space="preserve">emergency </w:t>
      </w:r>
      <w:r w:rsidR="00CC5689" w:rsidRPr="00265FE9">
        <w:rPr>
          <w:rFonts w:asciiTheme="minorHAnsi" w:hAnsiTheme="minorHAnsi"/>
        </w:rPr>
        <w:t xml:space="preserve">administration to residents. </w:t>
      </w:r>
    </w:p>
    <w:p w14:paraId="295A9040" w14:textId="77777777" w:rsidR="00CC5689" w:rsidRPr="00265FE9" w:rsidRDefault="00CC5689" w:rsidP="00CC5689">
      <w:pPr>
        <w:rPr>
          <w:rFonts w:asciiTheme="minorHAnsi" w:hAnsiTheme="minorHAnsi"/>
        </w:rPr>
      </w:pPr>
    </w:p>
    <w:p w14:paraId="125CA1B2" w14:textId="77777777" w:rsidR="00CC5689" w:rsidRPr="00265FE9" w:rsidRDefault="00CC5689" w:rsidP="00CC5689">
      <w:pPr>
        <w:rPr>
          <w:rFonts w:asciiTheme="minorHAnsi" w:hAnsiTheme="minorHAnsi"/>
        </w:rPr>
      </w:pPr>
      <w:r w:rsidRPr="00265FE9">
        <w:rPr>
          <w:rFonts w:asciiTheme="minorHAnsi" w:hAnsiTheme="minorHAnsi"/>
        </w:rPr>
        <w:t>The amendment changes Schedule 1 Part 1.11 to:</w:t>
      </w:r>
    </w:p>
    <w:p w14:paraId="06B3F738" w14:textId="73B9038A" w:rsidR="00CC5689" w:rsidRPr="00265FE9" w:rsidRDefault="00A9409A" w:rsidP="00CC5689">
      <w:pPr>
        <w:pStyle w:val="ListParagraph"/>
        <w:numPr>
          <w:ilvl w:val="0"/>
          <w:numId w:val="11"/>
        </w:numPr>
        <w:rPr>
          <w:rFonts w:asciiTheme="minorHAnsi" w:hAnsiTheme="minorHAnsi"/>
        </w:rPr>
      </w:pPr>
      <w:r w:rsidRPr="00265FE9">
        <w:rPr>
          <w:rFonts w:asciiTheme="minorHAnsi" w:hAnsiTheme="minorHAnsi"/>
        </w:rPr>
        <w:t>not</w:t>
      </w:r>
      <w:r w:rsidR="00CC5689" w:rsidRPr="00265FE9">
        <w:rPr>
          <w:rFonts w:asciiTheme="minorHAnsi" w:hAnsiTheme="minorHAnsi"/>
        </w:rPr>
        <w:t xml:space="preserve"> more than 30 ampoules, each of 1mL or less, of morphine sulfate, at a concentration of 30mg/mL of less; and </w:t>
      </w:r>
    </w:p>
    <w:p w14:paraId="411FD2BF" w14:textId="1BC9B5E7" w:rsidR="00CC5689" w:rsidRPr="00265FE9" w:rsidRDefault="00A9409A" w:rsidP="00CC5689">
      <w:pPr>
        <w:pStyle w:val="ListParagraph"/>
        <w:numPr>
          <w:ilvl w:val="0"/>
          <w:numId w:val="11"/>
        </w:numPr>
        <w:rPr>
          <w:rFonts w:asciiTheme="minorHAnsi" w:hAnsiTheme="minorHAnsi"/>
        </w:rPr>
      </w:pPr>
      <w:r w:rsidRPr="00265FE9">
        <w:rPr>
          <w:rFonts w:asciiTheme="minorHAnsi" w:hAnsiTheme="minorHAnsi"/>
        </w:rPr>
        <w:t>not</w:t>
      </w:r>
      <w:r w:rsidR="00CC5689" w:rsidRPr="00265FE9">
        <w:rPr>
          <w:rFonts w:asciiTheme="minorHAnsi" w:hAnsiTheme="minorHAnsi"/>
        </w:rPr>
        <w:t xml:space="preserve"> more than five ampoules, each of 1mL or less, of hydromorphone, at a concentration of 2mg/mL or less.</w:t>
      </w:r>
    </w:p>
    <w:p w14:paraId="54D44A3E" w14:textId="77777777" w:rsidR="009E44A7" w:rsidRPr="00265FE9" w:rsidRDefault="009E44A7">
      <w:pPr>
        <w:rPr>
          <w:rFonts w:asciiTheme="minorHAnsi" w:hAnsiTheme="minorHAnsi"/>
        </w:rPr>
      </w:pPr>
    </w:p>
    <w:p w14:paraId="10F6A365" w14:textId="47675563" w:rsidR="00B25F97" w:rsidRPr="00265FE9" w:rsidRDefault="00B25F97" w:rsidP="00A25EC3">
      <w:pPr>
        <w:rPr>
          <w:rFonts w:asciiTheme="minorHAnsi" w:hAnsiTheme="minorHAnsi"/>
        </w:rPr>
      </w:pPr>
      <w:r w:rsidRPr="00265FE9">
        <w:rPr>
          <w:rFonts w:asciiTheme="minorHAnsi" w:hAnsiTheme="minorHAnsi"/>
        </w:rPr>
        <w:t xml:space="preserve">The intent of this amendment is to facilitate improved access to controlled medicines for emergency administration to residents and to support end of life care. The quantity, type and strength of medicines included in the amendment has been limited to mitigate risks of harm </w:t>
      </w:r>
      <w:r w:rsidR="007C768A" w:rsidRPr="00265FE9">
        <w:rPr>
          <w:rFonts w:asciiTheme="minorHAnsi" w:hAnsiTheme="minorHAnsi"/>
        </w:rPr>
        <w:t xml:space="preserve">from the administration of a controlled medicine </w:t>
      </w:r>
      <w:r w:rsidRPr="00265FE9">
        <w:rPr>
          <w:rFonts w:asciiTheme="minorHAnsi" w:hAnsiTheme="minorHAnsi"/>
        </w:rPr>
        <w:t xml:space="preserve">at a facility due to </w:t>
      </w:r>
      <w:r w:rsidR="009E44A7" w:rsidRPr="00265FE9">
        <w:rPr>
          <w:rFonts w:asciiTheme="minorHAnsi" w:hAnsiTheme="minorHAnsi"/>
        </w:rPr>
        <w:t xml:space="preserve">potential </w:t>
      </w:r>
      <w:r w:rsidRPr="00265FE9">
        <w:rPr>
          <w:rFonts w:asciiTheme="minorHAnsi" w:hAnsiTheme="minorHAnsi"/>
        </w:rPr>
        <w:t xml:space="preserve">dosing or selection error </w:t>
      </w:r>
      <w:r w:rsidR="009E44A7" w:rsidRPr="00265FE9">
        <w:rPr>
          <w:rFonts w:asciiTheme="minorHAnsi" w:hAnsiTheme="minorHAnsi"/>
        </w:rPr>
        <w:t xml:space="preserve">arising from the storage of both morphine and hydromorphone at </w:t>
      </w:r>
      <w:r w:rsidR="00A9409A" w:rsidRPr="00265FE9">
        <w:rPr>
          <w:rFonts w:asciiTheme="minorHAnsi" w:hAnsiTheme="minorHAnsi"/>
        </w:rPr>
        <w:t xml:space="preserve">aged care </w:t>
      </w:r>
      <w:r w:rsidR="009E44A7" w:rsidRPr="00265FE9">
        <w:rPr>
          <w:rFonts w:asciiTheme="minorHAnsi" w:hAnsiTheme="minorHAnsi"/>
        </w:rPr>
        <w:t>facilities</w:t>
      </w:r>
      <w:r w:rsidR="00A9409A" w:rsidRPr="00265FE9">
        <w:rPr>
          <w:rFonts w:asciiTheme="minorHAnsi" w:hAnsiTheme="minorHAnsi"/>
        </w:rPr>
        <w:t xml:space="preserve">. The amendments </w:t>
      </w:r>
      <w:r w:rsidRPr="00265FE9">
        <w:rPr>
          <w:rFonts w:asciiTheme="minorHAnsi" w:hAnsiTheme="minorHAnsi"/>
        </w:rPr>
        <w:t>follow consultation with key stakeholders</w:t>
      </w:r>
      <w:r w:rsidR="00A9409A" w:rsidRPr="00265FE9">
        <w:rPr>
          <w:rFonts w:asciiTheme="minorHAnsi" w:hAnsiTheme="minorHAnsi"/>
        </w:rPr>
        <w:t xml:space="preserve"> and </w:t>
      </w:r>
      <w:r w:rsidR="00D70028" w:rsidRPr="00265FE9">
        <w:rPr>
          <w:rFonts w:asciiTheme="minorHAnsi" w:hAnsiTheme="minorHAnsi"/>
        </w:rPr>
        <w:t>reflect the current palliative care treatment</w:t>
      </w:r>
      <w:r w:rsidR="009E570D" w:rsidRPr="00265FE9">
        <w:rPr>
          <w:rFonts w:asciiTheme="minorHAnsi" w:hAnsiTheme="minorHAnsi"/>
        </w:rPr>
        <w:t xml:space="preserve"> practice</w:t>
      </w:r>
      <w:r w:rsidR="00D70028" w:rsidRPr="00265FE9">
        <w:rPr>
          <w:rFonts w:asciiTheme="minorHAnsi" w:hAnsiTheme="minorHAnsi"/>
        </w:rPr>
        <w:t>.</w:t>
      </w:r>
    </w:p>
    <w:p w14:paraId="79F773E6" w14:textId="77777777" w:rsidR="00AB397B" w:rsidRPr="00265FE9" w:rsidRDefault="00AB397B" w:rsidP="00A25EC3">
      <w:pPr>
        <w:rPr>
          <w:rFonts w:asciiTheme="minorHAnsi" w:hAnsiTheme="minorHAnsi"/>
        </w:rPr>
      </w:pPr>
    </w:p>
    <w:p w14:paraId="76BEA2E5" w14:textId="690FAF2B" w:rsidR="00266DCD" w:rsidRPr="00265FE9" w:rsidRDefault="007C768A" w:rsidP="00A25EC3">
      <w:pPr>
        <w:rPr>
          <w:rFonts w:asciiTheme="minorHAnsi" w:hAnsiTheme="minorHAnsi"/>
          <w:b/>
          <w:bCs/>
        </w:rPr>
      </w:pPr>
      <w:r w:rsidRPr="00265FE9">
        <w:rPr>
          <w:rFonts w:asciiTheme="minorHAnsi" w:hAnsiTheme="minorHAnsi"/>
          <w:b/>
          <w:bCs/>
        </w:rPr>
        <w:t>Clause 2</w:t>
      </w:r>
      <w:r w:rsidR="00AB397B" w:rsidRPr="00265FE9">
        <w:rPr>
          <w:rFonts w:asciiTheme="minorHAnsi" w:hAnsiTheme="minorHAnsi"/>
          <w:b/>
          <w:bCs/>
        </w:rPr>
        <w:t>1</w:t>
      </w:r>
      <w:r w:rsidRPr="00265FE9">
        <w:rPr>
          <w:rFonts w:asciiTheme="minorHAnsi" w:hAnsiTheme="minorHAnsi"/>
          <w:b/>
          <w:bCs/>
        </w:rPr>
        <w:tab/>
        <w:t>Schedule 3, section 3.1, new definition of approved indication</w:t>
      </w:r>
    </w:p>
    <w:p w14:paraId="7C8E3A71" w14:textId="15234870" w:rsidR="007C768A" w:rsidRPr="00265FE9" w:rsidRDefault="00234C09" w:rsidP="004D6598">
      <w:pPr>
        <w:rPr>
          <w:rFonts w:asciiTheme="minorHAnsi" w:hAnsiTheme="minorHAnsi"/>
        </w:rPr>
      </w:pPr>
      <w:r w:rsidRPr="00265FE9">
        <w:rPr>
          <w:rFonts w:asciiTheme="minorHAnsi" w:hAnsiTheme="minorHAnsi"/>
        </w:rPr>
        <w:t xml:space="preserve">Schedule 3 of the MPTG Regulation lists the </w:t>
      </w:r>
      <w:r w:rsidR="00D70028" w:rsidRPr="00265FE9">
        <w:rPr>
          <w:rFonts w:asciiTheme="minorHAnsi" w:hAnsiTheme="minorHAnsi"/>
        </w:rPr>
        <w:t>A</w:t>
      </w:r>
      <w:r w:rsidRPr="00265FE9">
        <w:rPr>
          <w:rFonts w:asciiTheme="minorHAnsi" w:hAnsiTheme="minorHAnsi"/>
        </w:rPr>
        <w:t xml:space="preserve">ppendix D medications with standing approvals in the ACT. </w:t>
      </w:r>
    </w:p>
    <w:p w14:paraId="43DF11D5" w14:textId="5748D785" w:rsidR="007C768A" w:rsidRPr="00265FE9" w:rsidRDefault="007C768A" w:rsidP="004D6598">
      <w:pPr>
        <w:rPr>
          <w:rFonts w:asciiTheme="minorHAnsi" w:hAnsiTheme="minorHAnsi"/>
        </w:rPr>
      </w:pPr>
    </w:p>
    <w:p w14:paraId="2080FE35" w14:textId="19BFFB29" w:rsidR="007C768A" w:rsidRPr="00265FE9" w:rsidRDefault="007C768A" w:rsidP="004D6598">
      <w:pPr>
        <w:rPr>
          <w:rFonts w:asciiTheme="minorHAnsi" w:hAnsiTheme="minorHAnsi"/>
        </w:rPr>
      </w:pPr>
      <w:r w:rsidRPr="00265FE9">
        <w:rPr>
          <w:rFonts w:asciiTheme="minorHAnsi" w:hAnsiTheme="minorHAnsi"/>
        </w:rPr>
        <w:t>Clause 2</w:t>
      </w:r>
      <w:r w:rsidR="00AB397B" w:rsidRPr="00265FE9">
        <w:rPr>
          <w:rFonts w:asciiTheme="minorHAnsi" w:hAnsiTheme="minorHAnsi"/>
        </w:rPr>
        <w:t>1</w:t>
      </w:r>
      <w:r w:rsidRPr="00265FE9">
        <w:rPr>
          <w:rFonts w:asciiTheme="minorHAnsi" w:hAnsiTheme="minorHAnsi"/>
        </w:rPr>
        <w:t xml:space="preserve"> inserts a new term in the definitions part for Schedule 3 being </w:t>
      </w:r>
      <w:r w:rsidRPr="00265FE9">
        <w:rPr>
          <w:rFonts w:asciiTheme="minorHAnsi" w:hAnsiTheme="minorHAnsi"/>
          <w:b/>
          <w:bCs/>
          <w:i/>
          <w:iCs/>
        </w:rPr>
        <w:t>approved indication</w:t>
      </w:r>
      <w:r w:rsidRPr="00265FE9">
        <w:rPr>
          <w:rFonts w:asciiTheme="minorHAnsi" w:hAnsiTheme="minorHAnsi"/>
        </w:rPr>
        <w:t>.</w:t>
      </w:r>
    </w:p>
    <w:p w14:paraId="5A952E6E" w14:textId="380A0ED3" w:rsidR="007C768A" w:rsidRPr="00265FE9" w:rsidRDefault="007C768A" w:rsidP="004D6598">
      <w:pPr>
        <w:rPr>
          <w:rFonts w:asciiTheme="minorHAnsi" w:hAnsiTheme="minorHAnsi"/>
        </w:rPr>
      </w:pPr>
    </w:p>
    <w:p w14:paraId="74E7917C" w14:textId="75131501" w:rsidR="007C768A" w:rsidRPr="00265FE9" w:rsidRDefault="007C768A" w:rsidP="004D6598">
      <w:pPr>
        <w:rPr>
          <w:rFonts w:asciiTheme="minorHAnsi" w:hAnsiTheme="minorHAnsi"/>
          <w:b/>
          <w:bCs/>
        </w:rPr>
      </w:pPr>
      <w:r w:rsidRPr="00265FE9">
        <w:rPr>
          <w:rFonts w:asciiTheme="minorHAnsi" w:hAnsiTheme="minorHAnsi"/>
          <w:b/>
          <w:bCs/>
        </w:rPr>
        <w:t>Clause 2</w:t>
      </w:r>
      <w:r w:rsidR="00AB397B" w:rsidRPr="00265FE9">
        <w:rPr>
          <w:rFonts w:asciiTheme="minorHAnsi" w:hAnsiTheme="minorHAnsi"/>
          <w:b/>
          <w:bCs/>
        </w:rPr>
        <w:t>2</w:t>
      </w:r>
      <w:r w:rsidRPr="00265FE9">
        <w:rPr>
          <w:rFonts w:asciiTheme="minorHAnsi" w:hAnsiTheme="minorHAnsi"/>
          <w:b/>
          <w:bCs/>
        </w:rPr>
        <w:tab/>
        <w:t>Schedule 3, part 3.2, item 5, column 2</w:t>
      </w:r>
    </w:p>
    <w:p w14:paraId="63C52245" w14:textId="554D9E0D" w:rsidR="005B4E28" w:rsidRPr="00265FE9" w:rsidRDefault="00327663" w:rsidP="005B4E28">
      <w:pPr>
        <w:rPr>
          <w:rFonts w:asciiTheme="minorHAnsi" w:hAnsiTheme="minorHAnsi"/>
        </w:rPr>
      </w:pPr>
      <w:r w:rsidRPr="00265FE9">
        <w:rPr>
          <w:rFonts w:asciiTheme="minorHAnsi" w:hAnsiTheme="minorHAnsi"/>
        </w:rPr>
        <w:t>Clauses 2</w:t>
      </w:r>
      <w:r w:rsidR="00AB397B" w:rsidRPr="00265FE9">
        <w:rPr>
          <w:rFonts w:asciiTheme="minorHAnsi" w:hAnsiTheme="minorHAnsi"/>
        </w:rPr>
        <w:t>2</w:t>
      </w:r>
      <w:r w:rsidRPr="00265FE9">
        <w:rPr>
          <w:rFonts w:asciiTheme="minorHAnsi" w:hAnsiTheme="minorHAnsi"/>
        </w:rPr>
        <w:t xml:space="preserve"> to 2</w:t>
      </w:r>
      <w:r w:rsidR="00570D6E" w:rsidRPr="00265FE9">
        <w:rPr>
          <w:rFonts w:asciiTheme="minorHAnsi" w:hAnsiTheme="minorHAnsi"/>
        </w:rPr>
        <w:t>5</w:t>
      </w:r>
      <w:r w:rsidRPr="00265FE9">
        <w:rPr>
          <w:rFonts w:asciiTheme="minorHAnsi" w:hAnsiTheme="minorHAnsi"/>
        </w:rPr>
        <w:t xml:space="preserve"> are relevant to</w:t>
      </w:r>
      <w:r w:rsidR="00A46AC6" w:rsidRPr="00265FE9">
        <w:rPr>
          <w:rFonts w:asciiTheme="minorHAnsi" w:hAnsiTheme="minorHAnsi"/>
        </w:rPr>
        <w:t xml:space="preserve"> Schedule 3 of the MPTG Regulation.</w:t>
      </w:r>
      <w:r w:rsidRPr="00265FE9">
        <w:rPr>
          <w:rFonts w:asciiTheme="minorHAnsi" w:hAnsiTheme="minorHAnsi"/>
        </w:rPr>
        <w:t xml:space="preserve"> </w:t>
      </w:r>
      <w:r w:rsidR="005B4E28" w:rsidRPr="00265FE9">
        <w:rPr>
          <w:rFonts w:asciiTheme="minorHAnsi" w:hAnsiTheme="minorHAnsi"/>
        </w:rPr>
        <w:t xml:space="preserve">Medicines listed in Appendix D of the Poisons Standard are schedule 4 and 8 medicines that require additional controls on the possession and supply. Examples of these additional controls include limitations on who can prescribe these medicines and/or restricting the indications for use. The MPTG Act adopts the Commonwealth </w:t>
      </w:r>
      <w:r w:rsidR="002B5DF0">
        <w:rPr>
          <w:rFonts w:asciiTheme="minorHAnsi" w:hAnsiTheme="minorHAnsi"/>
        </w:rPr>
        <w:t>P</w:t>
      </w:r>
      <w:r w:rsidRPr="00265FE9">
        <w:rPr>
          <w:rFonts w:asciiTheme="minorHAnsi" w:hAnsiTheme="minorHAnsi"/>
        </w:rPr>
        <w:t xml:space="preserve">oisons </w:t>
      </w:r>
      <w:r w:rsidR="002B5DF0">
        <w:rPr>
          <w:rFonts w:asciiTheme="minorHAnsi" w:hAnsiTheme="minorHAnsi"/>
        </w:rPr>
        <w:t>S</w:t>
      </w:r>
      <w:r w:rsidRPr="00265FE9">
        <w:rPr>
          <w:rFonts w:asciiTheme="minorHAnsi" w:hAnsiTheme="minorHAnsi"/>
        </w:rPr>
        <w:t>tandard</w:t>
      </w:r>
      <w:r w:rsidR="00ED0022" w:rsidRPr="00265FE9">
        <w:rPr>
          <w:rFonts w:asciiTheme="minorHAnsi" w:hAnsiTheme="minorHAnsi"/>
        </w:rPr>
        <w:t xml:space="preserve"> </w:t>
      </w:r>
      <w:r w:rsidR="005B4E28" w:rsidRPr="00265FE9">
        <w:rPr>
          <w:rFonts w:asciiTheme="minorHAnsi" w:hAnsiTheme="minorHAnsi"/>
        </w:rPr>
        <w:t>by reference.</w:t>
      </w:r>
    </w:p>
    <w:p w14:paraId="1CC092B3" w14:textId="77777777" w:rsidR="005B4E28" w:rsidRPr="00265FE9" w:rsidRDefault="005B4E28" w:rsidP="005B4E28">
      <w:pPr>
        <w:rPr>
          <w:rFonts w:asciiTheme="minorHAnsi" w:hAnsiTheme="minorHAnsi"/>
        </w:rPr>
      </w:pPr>
    </w:p>
    <w:p w14:paraId="63863585" w14:textId="1DB5308B" w:rsidR="00A46AC6" w:rsidRPr="00265FE9" w:rsidRDefault="005B4E28" w:rsidP="005B4E28">
      <w:pPr>
        <w:rPr>
          <w:rFonts w:asciiTheme="minorHAnsi" w:hAnsiTheme="minorHAnsi"/>
        </w:rPr>
      </w:pPr>
      <w:r w:rsidRPr="00265FE9">
        <w:rPr>
          <w:rFonts w:asciiTheme="minorHAnsi" w:hAnsiTheme="minorHAnsi"/>
        </w:rPr>
        <w:t xml:space="preserve">Under part 13.2 of the MPTG </w:t>
      </w:r>
      <w:r w:rsidR="00164BC4" w:rsidRPr="00265FE9">
        <w:rPr>
          <w:rFonts w:asciiTheme="minorHAnsi" w:hAnsiTheme="minorHAnsi"/>
        </w:rPr>
        <w:t>Act</w:t>
      </w:r>
      <w:r w:rsidRPr="00265FE9">
        <w:rPr>
          <w:rFonts w:asciiTheme="minorHAnsi" w:hAnsiTheme="minorHAnsi"/>
        </w:rPr>
        <w:t xml:space="preserve">, a prescriber must have approval to prescribe an </w:t>
      </w:r>
      <w:r w:rsidR="00ED0022" w:rsidRPr="00265FE9">
        <w:rPr>
          <w:rFonts w:asciiTheme="minorHAnsi" w:hAnsiTheme="minorHAnsi"/>
        </w:rPr>
        <w:t>A</w:t>
      </w:r>
      <w:r w:rsidRPr="00265FE9">
        <w:rPr>
          <w:rFonts w:asciiTheme="minorHAnsi" w:hAnsiTheme="minorHAnsi"/>
        </w:rPr>
        <w:t xml:space="preserve">ppendix D medicine. Schedule 3 of the MPTG Regulation provides a standing approval to authorised prescribers to prescribe Appendix D listed medicines. </w:t>
      </w:r>
    </w:p>
    <w:p w14:paraId="1CDA1C0F" w14:textId="77777777" w:rsidR="005B4E28" w:rsidRPr="00265FE9" w:rsidRDefault="005B4E28" w:rsidP="00FD3A52">
      <w:pPr>
        <w:rPr>
          <w:rFonts w:asciiTheme="minorHAnsi" w:hAnsiTheme="minorHAnsi"/>
        </w:rPr>
      </w:pPr>
    </w:p>
    <w:p w14:paraId="1E043775" w14:textId="5115E97A" w:rsidR="00FD3A52" w:rsidRPr="00265FE9" w:rsidRDefault="00FD3A52" w:rsidP="00A46AC6">
      <w:pPr>
        <w:rPr>
          <w:rFonts w:asciiTheme="minorHAnsi" w:hAnsiTheme="minorHAnsi"/>
        </w:rPr>
      </w:pPr>
      <w:r w:rsidRPr="00265FE9">
        <w:rPr>
          <w:rFonts w:asciiTheme="minorHAnsi" w:hAnsiTheme="minorHAnsi"/>
        </w:rPr>
        <w:t>Minor amendments were made to hydroxychloroquine</w:t>
      </w:r>
      <w:r w:rsidR="005B4E28" w:rsidRPr="00265FE9">
        <w:rPr>
          <w:rFonts w:asciiTheme="minorHAnsi" w:hAnsiTheme="minorHAnsi"/>
        </w:rPr>
        <w:t xml:space="preserve"> in Schedule 3, part 3.2, items 5 and 6.</w:t>
      </w:r>
      <w:r w:rsidRPr="00265FE9">
        <w:rPr>
          <w:rFonts w:asciiTheme="minorHAnsi" w:hAnsiTheme="minorHAnsi"/>
        </w:rPr>
        <w:t xml:space="preserve"> </w:t>
      </w:r>
      <w:r w:rsidR="005B4E28" w:rsidRPr="00265FE9">
        <w:rPr>
          <w:rFonts w:asciiTheme="minorHAnsi" w:hAnsiTheme="minorHAnsi"/>
        </w:rPr>
        <w:t xml:space="preserve">On 2 April 2020 the </w:t>
      </w:r>
      <w:r w:rsidR="00327663" w:rsidRPr="00265FE9">
        <w:rPr>
          <w:rFonts w:asciiTheme="minorHAnsi" w:hAnsiTheme="minorHAnsi"/>
        </w:rPr>
        <w:t>Commonwealth</w:t>
      </w:r>
      <w:r w:rsidR="005B4E28" w:rsidRPr="00265FE9">
        <w:rPr>
          <w:rFonts w:asciiTheme="minorHAnsi" w:hAnsiTheme="minorHAnsi"/>
        </w:rPr>
        <w:t xml:space="preserve"> Government amended the </w:t>
      </w:r>
      <w:r w:rsidR="00A46AC6" w:rsidRPr="00265FE9">
        <w:rPr>
          <w:rFonts w:asciiTheme="minorHAnsi" w:hAnsiTheme="minorHAnsi"/>
        </w:rPr>
        <w:t xml:space="preserve">Poison Standard </w:t>
      </w:r>
      <w:r w:rsidR="00327663" w:rsidRPr="00265FE9">
        <w:rPr>
          <w:rFonts w:asciiTheme="minorHAnsi" w:hAnsiTheme="minorHAnsi"/>
        </w:rPr>
        <w:t xml:space="preserve">to allow a specialist dental practitioner in the recognised speciality of oral health medicine to prescribe hydroxychloroquine. </w:t>
      </w:r>
      <w:r w:rsidR="005B4E28" w:rsidRPr="00265FE9">
        <w:rPr>
          <w:rFonts w:asciiTheme="minorHAnsi" w:hAnsiTheme="minorHAnsi"/>
        </w:rPr>
        <w:t xml:space="preserve">Schedule 3, part 3.2, item 5, column 2. </w:t>
      </w:r>
      <w:r w:rsidR="00A46AC6" w:rsidRPr="00265FE9">
        <w:rPr>
          <w:rFonts w:asciiTheme="minorHAnsi" w:hAnsiTheme="minorHAnsi"/>
        </w:rPr>
        <w:t xml:space="preserve">has been </w:t>
      </w:r>
      <w:r w:rsidRPr="00265FE9">
        <w:rPr>
          <w:rFonts w:asciiTheme="minorHAnsi" w:hAnsiTheme="minorHAnsi"/>
        </w:rPr>
        <w:t xml:space="preserve">amendment </w:t>
      </w:r>
      <w:r w:rsidR="00A46AC6" w:rsidRPr="00265FE9">
        <w:rPr>
          <w:rFonts w:asciiTheme="minorHAnsi" w:hAnsiTheme="minorHAnsi"/>
        </w:rPr>
        <w:t xml:space="preserve">to allow </w:t>
      </w:r>
      <w:r w:rsidRPr="00265FE9">
        <w:rPr>
          <w:rFonts w:asciiTheme="minorHAnsi" w:hAnsiTheme="minorHAnsi"/>
        </w:rPr>
        <w:t xml:space="preserve">dental health practitioners </w:t>
      </w:r>
      <w:r w:rsidR="00A46AC6" w:rsidRPr="00265FE9">
        <w:rPr>
          <w:rFonts w:asciiTheme="minorHAnsi" w:hAnsiTheme="minorHAnsi"/>
        </w:rPr>
        <w:t xml:space="preserve">to prescribe hydroxychloroquine. </w:t>
      </w:r>
    </w:p>
    <w:p w14:paraId="793C187B" w14:textId="77777777" w:rsidR="007C768A" w:rsidRPr="00265FE9" w:rsidRDefault="007C768A" w:rsidP="004D6598">
      <w:pPr>
        <w:rPr>
          <w:rFonts w:asciiTheme="minorHAnsi" w:hAnsiTheme="minorHAnsi"/>
        </w:rPr>
      </w:pPr>
    </w:p>
    <w:p w14:paraId="0DDBA8F8" w14:textId="50AADEB0" w:rsidR="007C768A" w:rsidRPr="00265FE9" w:rsidRDefault="007C768A" w:rsidP="004D6598">
      <w:pPr>
        <w:rPr>
          <w:rFonts w:asciiTheme="minorHAnsi" w:hAnsiTheme="minorHAnsi"/>
          <w:b/>
          <w:bCs/>
        </w:rPr>
      </w:pPr>
      <w:r w:rsidRPr="00265FE9">
        <w:rPr>
          <w:rFonts w:asciiTheme="minorHAnsi" w:hAnsiTheme="minorHAnsi"/>
          <w:b/>
          <w:bCs/>
        </w:rPr>
        <w:t>Clause 2</w:t>
      </w:r>
      <w:r w:rsidR="004C66EF" w:rsidRPr="00265FE9">
        <w:rPr>
          <w:rFonts w:asciiTheme="minorHAnsi" w:hAnsiTheme="minorHAnsi"/>
          <w:b/>
          <w:bCs/>
        </w:rPr>
        <w:t>3</w:t>
      </w:r>
      <w:r w:rsidRPr="00265FE9">
        <w:rPr>
          <w:rFonts w:asciiTheme="minorHAnsi" w:hAnsiTheme="minorHAnsi"/>
          <w:b/>
          <w:bCs/>
        </w:rPr>
        <w:tab/>
        <w:t>Schedule 3, part 3.2, item 6, column 2</w:t>
      </w:r>
    </w:p>
    <w:p w14:paraId="546F094D" w14:textId="577064E3" w:rsidR="00945998" w:rsidRPr="00265FE9" w:rsidRDefault="005B4E28" w:rsidP="00945998">
      <w:pPr>
        <w:rPr>
          <w:rFonts w:asciiTheme="minorHAnsi" w:hAnsiTheme="minorHAnsi"/>
        </w:rPr>
      </w:pPr>
      <w:r w:rsidRPr="00265FE9">
        <w:rPr>
          <w:rFonts w:asciiTheme="minorHAnsi" w:hAnsiTheme="minorHAnsi"/>
        </w:rPr>
        <w:t xml:space="preserve">Schedule 3, part 3.2, </w:t>
      </w:r>
      <w:r w:rsidR="00945998" w:rsidRPr="00265FE9">
        <w:rPr>
          <w:rFonts w:asciiTheme="minorHAnsi" w:hAnsiTheme="minorHAnsi"/>
        </w:rPr>
        <w:t>item 6</w:t>
      </w:r>
      <w:r w:rsidRPr="00265FE9">
        <w:rPr>
          <w:rFonts w:asciiTheme="minorHAnsi" w:hAnsiTheme="minorHAnsi"/>
        </w:rPr>
        <w:t>, column 2</w:t>
      </w:r>
      <w:r w:rsidR="00945998" w:rsidRPr="00265FE9">
        <w:rPr>
          <w:rFonts w:asciiTheme="minorHAnsi" w:hAnsiTheme="minorHAnsi"/>
        </w:rPr>
        <w:t xml:space="preserve"> stated that a designated prescriber could prescribe hydroxychloroquine. </w:t>
      </w:r>
      <w:r w:rsidR="005A5216" w:rsidRPr="00265FE9">
        <w:rPr>
          <w:rFonts w:asciiTheme="minorHAnsi" w:hAnsiTheme="minorHAnsi"/>
        </w:rPr>
        <w:t xml:space="preserve">The definition of a designated prescriber in the MPTG Regulation applies for part 13.1 Controlled Medicine </w:t>
      </w:r>
      <w:r w:rsidR="00ED0022" w:rsidRPr="00265FE9">
        <w:rPr>
          <w:rFonts w:asciiTheme="minorHAnsi" w:hAnsiTheme="minorHAnsi"/>
        </w:rPr>
        <w:t>A</w:t>
      </w:r>
      <w:r w:rsidR="005A5216" w:rsidRPr="00265FE9">
        <w:rPr>
          <w:rFonts w:asciiTheme="minorHAnsi" w:hAnsiTheme="minorHAnsi"/>
        </w:rPr>
        <w:t>pprovals. As there is no definition for a designated prescriber for schedule 3, it was unclear who was able to prescribe h</w:t>
      </w:r>
      <w:r w:rsidRPr="00265FE9">
        <w:rPr>
          <w:rFonts w:asciiTheme="minorHAnsi" w:hAnsiTheme="minorHAnsi"/>
        </w:rPr>
        <w:t>ydroxychloroquine</w:t>
      </w:r>
      <w:r w:rsidR="005A5216" w:rsidRPr="00265FE9">
        <w:rPr>
          <w:rFonts w:asciiTheme="minorHAnsi" w:hAnsiTheme="minorHAnsi"/>
        </w:rPr>
        <w:t xml:space="preserve">. </w:t>
      </w:r>
      <w:r w:rsidR="00164BC4" w:rsidRPr="00265FE9">
        <w:rPr>
          <w:rFonts w:asciiTheme="minorHAnsi" w:hAnsiTheme="minorHAnsi"/>
        </w:rPr>
        <w:t xml:space="preserve">Clause 23 amends </w:t>
      </w:r>
      <w:r w:rsidRPr="00265FE9">
        <w:rPr>
          <w:rFonts w:asciiTheme="minorHAnsi" w:hAnsiTheme="minorHAnsi"/>
        </w:rPr>
        <w:t xml:space="preserve">Schedule 3, part 3.2, item 6, column 2 </w:t>
      </w:r>
      <w:r w:rsidR="00164BC4" w:rsidRPr="00265FE9">
        <w:rPr>
          <w:rFonts w:asciiTheme="minorHAnsi" w:hAnsiTheme="minorHAnsi"/>
        </w:rPr>
        <w:t>to omit</w:t>
      </w:r>
      <w:r w:rsidRPr="00265FE9">
        <w:rPr>
          <w:rFonts w:asciiTheme="minorHAnsi" w:hAnsiTheme="minorHAnsi"/>
        </w:rPr>
        <w:t xml:space="preserve"> the word </w:t>
      </w:r>
      <w:r w:rsidR="00164BC4" w:rsidRPr="00265FE9">
        <w:rPr>
          <w:rFonts w:asciiTheme="minorHAnsi" w:hAnsiTheme="minorHAnsi"/>
        </w:rPr>
        <w:t>‘</w:t>
      </w:r>
      <w:r w:rsidRPr="00265FE9">
        <w:rPr>
          <w:rFonts w:asciiTheme="minorHAnsi" w:hAnsiTheme="minorHAnsi"/>
        </w:rPr>
        <w:t>designated</w:t>
      </w:r>
      <w:r w:rsidR="00164BC4" w:rsidRPr="00265FE9">
        <w:rPr>
          <w:rFonts w:asciiTheme="minorHAnsi" w:hAnsiTheme="minorHAnsi"/>
        </w:rPr>
        <w:t>’</w:t>
      </w:r>
      <w:r w:rsidRPr="00265FE9">
        <w:rPr>
          <w:rFonts w:asciiTheme="minorHAnsi" w:hAnsiTheme="minorHAnsi"/>
        </w:rPr>
        <w:t xml:space="preserve"> and enable a prescriber to prescribe hydroxychloroquine.</w:t>
      </w:r>
    </w:p>
    <w:p w14:paraId="2F4A4D34" w14:textId="75B96AAB" w:rsidR="007C768A" w:rsidRPr="00265FE9" w:rsidRDefault="007C768A" w:rsidP="004D6598">
      <w:pPr>
        <w:rPr>
          <w:rFonts w:asciiTheme="minorHAnsi" w:hAnsiTheme="minorHAnsi"/>
        </w:rPr>
      </w:pPr>
    </w:p>
    <w:p w14:paraId="53BB3856" w14:textId="67E912BB" w:rsidR="0046102F" w:rsidRPr="00265FE9" w:rsidRDefault="007C768A" w:rsidP="004D6598">
      <w:pPr>
        <w:rPr>
          <w:rFonts w:asciiTheme="minorHAnsi" w:hAnsiTheme="minorHAnsi"/>
        </w:rPr>
      </w:pPr>
      <w:r w:rsidRPr="00265FE9">
        <w:rPr>
          <w:rFonts w:asciiTheme="minorHAnsi" w:hAnsiTheme="minorHAnsi"/>
          <w:b/>
          <w:bCs/>
        </w:rPr>
        <w:t>Clause 2</w:t>
      </w:r>
      <w:r w:rsidR="004C66EF" w:rsidRPr="00265FE9">
        <w:rPr>
          <w:rFonts w:asciiTheme="minorHAnsi" w:hAnsiTheme="minorHAnsi"/>
          <w:b/>
          <w:bCs/>
        </w:rPr>
        <w:t>4</w:t>
      </w:r>
      <w:r w:rsidRPr="00265FE9">
        <w:rPr>
          <w:rFonts w:asciiTheme="minorHAnsi" w:hAnsiTheme="minorHAnsi"/>
          <w:b/>
          <w:bCs/>
        </w:rPr>
        <w:tab/>
        <w:t>Schedule 3, part 3.2, new items 7 to 9</w:t>
      </w:r>
    </w:p>
    <w:p w14:paraId="3130FCC8" w14:textId="2FA3CF4C" w:rsidR="00FD3A52" w:rsidRPr="00265FE9" w:rsidRDefault="00A46AC6" w:rsidP="008F3D38">
      <w:pPr>
        <w:rPr>
          <w:rFonts w:asciiTheme="minorHAnsi" w:hAnsiTheme="minorHAnsi"/>
        </w:rPr>
      </w:pPr>
      <w:r w:rsidRPr="00265FE9">
        <w:rPr>
          <w:rFonts w:asciiTheme="minorHAnsi" w:hAnsiTheme="minorHAnsi"/>
        </w:rPr>
        <w:t>Clause 2</w:t>
      </w:r>
      <w:r w:rsidR="004C66EF" w:rsidRPr="00265FE9">
        <w:rPr>
          <w:rFonts w:asciiTheme="minorHAnsi" w:hAnsiTheme="minorHAnsi"/>
        </w:rPr>
        <w:t>4</w:t>
      </w:r>
      <w:r w:rsidRPr="00265FE9">
        <w:rPr>
          <w:rFonts w:asciiTheme="minorHAnsi" w:hAnsiTheme="minorHAnsi"/>
        </w:rPr>
        <w:t xml:space="preserve"> inserts both </w:t>
      </w:r>
      <w:r w:rsidR="00ED0022" w:rsidRPr="00265FE9">
        <w:rPr>
          <w:rFonts w:asciiTheme="minorHAnsi" w:hAnsiTheme="minorHAnsi"/>
        </w:rPr>
        <w:t>i</w:t>
      </w:r>
      <w:r w:rsidRPr="00265FE9">
        <w:rPr>
          <w:rFonts w:asciiTheme="minorHAnsi" w:hAnsiTheme="minorHAnsi"/>
        </w:rPr>
        <w:t xml:space="preserve">vermectin and nicotine for human use into the table in </w:t>
      </w:r>
      <w:r w:rsidR="006471CA" w:rsidRPr="00265FE9">
        <w:rPr>
          <w:rFonts w:asciiTheme="minorHAnsi" w:hAnsiTheme="minorHAnsi"/>
        </w:rPr>
        <w:t>P</w:t>
      </w:r>
      <w:r w:rsidRPr="00265FE9">
        <w:rPr>
          <w:rFonts w:asciiTheme="minorHAnsi" w:hAnsiTheme="minorHAnsi"/>
        </w:rPr>
        <w:t>art</w:t>
      </w:r>
      <w:r w:rsidR="00164BC4" w:rsidRPr="00265FE9">
        <w:rPr>
          <w:rFonts w:asciiTheme="minorHAnsi" w:hAnsiTheme="minorHAnsi"/>
        </w:rPr>
        <w:t> </w:t>
      </w:r>
      <w:r w:rsidRPr="00265FE9">
        <w:rPr>
          <w:rFonts w:asciiTheme="minorHAnsi" w:hAnsiTheme="minorHAnsi"/>
        </w:rPr>
        <w:t xml:space="preserve">3.2. </w:t>
      </w:r>
      <w:r w:rsidR="00FD3A52" w:rsidRPr="00265FE9">
        <w:rPr>
          <w:rFonts w:asciiTheme="minorHAnsi" w:hAnsiTheme="minorHAnsi"/>
        </w:rPr>
        <w:t xml:space="preserve">The listing of </w:t>
      </w:r>
      <w:r w:rsidR="00164BC4" w:rsidRPr="00265FE9">
        <w:rPr>
          <w:rFonts w:asciiTheme="minorHAnsi" w:hAnsiTheme="minorHAnsi"/>
        </w:rPr>
        <w:t>i</w:t>
      </w:r>
      <w:r w:rsidR="00FD3A52" w:rsidRPr="00265FE9">
        <w:rPr>
          <w:rFonts w:asciiTheme="minorHAnsi" w:hAnsiTheme="minorHAnsi"/>
        </w:rPr>
        <w:t xml:space="preserve">vermectin in </w:t>
      </w:r>
      <w:r w:rsidR="00ED0022" w:rsidRPr="00265FE9">
        <w:rPr>
          <w:rFonts w:asciiTheme="minorHAnsi" w:hAnsiTheme="minorHAnsi"/>
        </w:rPr>
        <w:t>A</w:t>
      </w:r>
      <w:r w:rsidR="00FD3A52" w:rsidRPr="00265FE9">
        <w:rPr>
          <w:rFonts w:asciiTheme="minorHAnsi" w:hAnsiTheme="minorHAnsi"/>
        </w:rPr>
        <w:t xml:space="preserve">ppendix D was introduced by the Therapeutic Goods Administration because of concerns with the prescribing of oral </w:t>
      </w:r>
      <w:r w:rsidR="006471CA" w:rsidRPr="00265FE9">
        <w:rPr>
          <w:rFonts w:asciiTheme="minorHAnsi" w:hAnsiTheme="minorHAnsi"/>
        </w:rPr>
        <w:t>i</w:t>
      </w:r>
      <w:r w:rsidR="00FD3A52" w:rsidRPr="00265FE9">
        <w:rPr>
          <w:rFonts w:asciiTheme="minorHAnsi" w:hAnsiTheme="minorHAnsi"/>
        </w:rPr>
        <w:t xml:space="preserve">vermectin for the claimed prevention or treatment of COVID-19. Ivermectin is not approved for use in COVID-19 in Australia or in other developed countries, and its use by the general public for COVID-19 is currently strongly discouraged by the National COVID Clinical Evidence Taskforce, the World Health Organisation and the US Food and Drug Administration. </w:t>
      </w:r>
    </w:p>
    <w:p w14:paraId="0F7AD593" w14:textId="77777777" w:rsidR="00FD3A52" w:rsidRPr="00265FE9" w:rsidRDefault="00FD3A52" w:rsidP="004D6598">
      <w:pPr>
        <w:rPr>
          <w:rFonts w:asciiTheme="minorHAnsi" w:hAnsiTheme="minorHAnsi"/>
        </w:rPr>
      </w:pPr>
    </w:p>
    <w:p w14:paraId="033B2E35" w14:textId="7012561D" w:rsidR="00FD3A52" w:rsidRPr="00265FE9" w:rsidRDefault="00FD3A52" w:rsidP="004D6598">
      <w:pPr>
        <w:rPr>
          <w:rFonts w:asciiTheme="minorHAnsi" w:hAnsiTheme="minorHAnsi"/>
        </w:rPr>
      </w:pPr>
      <w:r w:rsidRPr="00265FE9">
        <w:rPr>
          <w:rFonts w:asciiTheme="minorHAnsi" w:hAnsiTheme="minorHAnsi"/>
        </w:rPr>
        <w:t>Clause 2</w:t>
      </w:r>
      <w:r w:rsidR="004C66EF" w:rsidRPr="00265FE9">
        <w:rPr>
          <w:rFonts w:asciiTheme="minorHAnsi" w:hAnsiTheme="minorHAnsi"/>
        </w:rPr>
        <w:t>4</w:t>
      </w:r>
      <w:r w:rsidRPr="00265FE9">
        <w:rPr>
          <w:rFonts w:asciiTheme="minorHAnsi" w:hAnsiTheme="minorHAnsi"/>
        </w:rPr>
        <w:t xml:space="preserve"> inserts </w:t>
      </w:r>
      <w:r w:rsidR="006471CA" w:rsidRPr="00265FE9">
        <w:rPr>
          <w:rFonts w:asciiTheme="minorHAnsi" w:hAnsiTheme="minorHAnsi"/>
        </w:rPr>
        <w:t>i</w:t>
      </w:r>
      <w:r w:rsidR="0046102F" w:rsidRPr="00265FE9">
        <w:rPr>
          <w:rFonts w:asciiTheme="minorHAnsi" w:hAnsiTheme="minorHAnsi"/>
        </w:rPr>
        <w:t xml:space="preserve">vermectin </w:t>
      </w:r>
      <w:r w:rsidRPr="00265FE9">
        <w:rPr>
          <w:rFonts w:asciiTheme="minorHAnsi" w:hAnsiTheme="minorHAnsi"/>
        </w:rPr>
        <w:t xml:space="preserve">at new items 7 and 8 in the table in Part 3,2 (Standing approvals for ACT listed </w:t>
      </w:r>
      <w:r w:rsidR="00ED0022" w:rsidRPr="00265FE9">
        <w:rPr>
          <w:rFonts w:asciiTheme="minorHAnsi" w:hAnsiTheme="minorHAnsi"/>
        </w:rPr>
        <w:t>A</w:t>
      </w:r>
      <w:r w:rsidRPr="00265FE9">
        <w:rPr>
          <w:rFonts w:asciiTheme="minorHAnsi" w:hAnsiTheme="minorHAnsi"/>
        </w:rPr>
        <w:t>ppendix D medicines)</w:t>
      </w:r>
      <w:r w:rsidR="0046102F" w:rsidRPr="00265FE9">
        <w:rPr>
          <w:rFonts w:asciiTheme="minorHAnsi" w:hAnsiTheme="minorHAnsi"/>
        </w:rPr>
        <w:t xml:space="preserve">. This amendment </w:t>
      </w:r>
      <w:r w:rsidR="00D70028" w:rsidRPr="00265FE9">
        <w:rPr>
          <w:rFonts w:asciiTheme="minorHAnsi" w:hAnsiTheme="minorHAnsi"/>
        </w:rPr>
        <w:t xml:space="preserve">provides a standing approval for </w:t>
      </w:r>
      <w:r w:rsidR="0046102F" w:rsidRPr="00265FE9">
        <w:rPr>
          <w:rFonts w:asciiTheme="minorHAnsi" w:hAnsiTheme="minorHAnsi"/>
        </w:rPr>
        <w:t xml:space="preserve">specialists from dermatology, gastroenterology and hepatology, infectious diseases, paediatric gastroenterology and hepatology, paediatric infectious diseases </w:t>
      </w:r>
      <w:r w:rsidR="00D70028" w:rsidRPr="00265FE9">
        <w:rPr>
          <w:rFonts w:asciiTheme="minorHAnsi" w:hAnsiTheme="minorHAnsi"/>
        </w:rPr>
        <w:t xml:space="preserve">to prescribe ivermectin for any indication, </w:t>
      </w:r>
      <w:r w:rsidR="0046102F" w:rsidRPr="00265FE9">
        <w:rPr>
          <w:rFonts w:asciiTheme="minorHAnsi" w:hAnsiTheme="minorHAnsi"/>
        </w:rPr>
        <w:t xml:space="preserve">and for use </w:t>
      </w:r>
      <w:r w:rsidR="0046102F" w:rsidRPr="00265FE9">
        <w:rPr>
          <w:rFonts w:asciiTheme="minorHAnsi" w:hAnsiTheme="minorHAnsi"/>
        </w:rPr>
        <w:lastRenderedPageBreak/>
        <w:t xml:space="preserve">in clinical trials. </w:t>
      </w:r>
      <w:r w:rsidR="00D70028" w:rsidRPr="00265FE9">
        <w:rPr>
          <w:rFonts w:asciiTheme="minorHAnsi" w:hAnsiTheme="minorHAnsi"/>
        </w:rPr>
        <w:t xml:space="preserve">The amendment also provides an Appendix D standing approval </w:t>
      </w:r>
      <w:r w:rsidR="00427BDC" w:rsidRPr="00265FE9">
        <w:rPr>
          <w:rFonts w:asciiTheme="minorHAnsi" w:hAnsiTheme="minorHAnsi"/>
        </w:rPr>
        <w:t>for i</w:t>
      </w:r>
      <w:r w:rsidR="00D0746C" w:rsidRPr="00265FE9">
        <w:rPr>
          <w:rFonts w:asciiTheme="minorHAnsi" w:hAnsiTheme="minorHAnsi"/>
        </w:rPr>
        <w:t xml:space="preserve">vermectin </w:t>
      </w:r>
      <w:r w:rsidR="00427BDC" w:rsidRPr="00265FE9">
        <w:rPr>
          <w:rFonts w:asciiTheme="minorHAnsi" w:hAnsiTheme="minorHAnsi"/>
        </w:rPr>
        <w:t>to</w:t>
      </w:r>
      <w:r w:rsidR="00D0746C" w:rsidRPr="00265FE9">
        <w:rPr>
          <w:rFonts w:asciiTheme="minorHAnsi" w:hAnsiTheme="minorHAnsi"/>
        </w:rPr>
        <w:t xml:space="preserve"> be prescribed</w:t>
      </w:r>
      <w:r w:rsidR="00427BDC" w:rsidRPr="00265FE9">
        <w:rPr>
          <w:rFonts w:asciiTheme="minorHAnsi" w:hAnsiTheme="minorHAnsi"/>
        </w:rPr>
        <w:t>,</w:t>
      </w:r>
      <w:r w:rsidR="00D0746C" w:rsidRPr="00265FE9">
        <w:rPr>
          <w:rFonts w:asciiTheme="minorHAnsi" w:hAnsiTheme="minorHAnsi"/>
        </w:rPr>
        <w:t xml:space="preserve"> by </w:t>
      </w:r>
      <w:r w:rsidR="00427BDC" w:rsidRPr="00265FE9">
        <w:rPr>
          <w:rFonts w:asciiTheme="minorHAnsi" w:hAnsiTheme="minorHAnsi"/>
        </w:rPr>
        <w:t>a health practitioner authorised under their scope of practice to prescribe,</w:t>
      </w:r>
      <w:r w:rsidR="00D0746C" w:rsidRPr="00265FE9">
        <w:rPr>
          <w:rFonts w:asciiTheme="minorHAnsi" w:hAnsiTheme="minorHAnsi"/>
        </w:rPr>
        <w:t xml:space="preserve"> for an approved indication.</w:t>
      </w:r>
    </w:p>
    <w:p w14:paraId="47C8CFDD" w14:textId="77777777" w:rsidR="00FD3A52" w:rsidRPr="00265FE9" w:rsidRDefault="00FD3A52" w:rsidP="00FD3A52">
      <w:pPr>
        <w:rPr>
          <w:rFonts w:asciiTheme="minorHAnsi" w:hAnsiTheme="minorHAnsi"/>
        </w:rPr>
      </w:pPr>
    </w:p>
    <w:p w14:paraId="6FA1D873" w14:textId="3A5475D8" w:rsidR="00FD3A52" w:rsidRPr="00265FE9" w:rsidRDefault="00FD3A52" w:rsidP="008F3D38">
      <w:pPr>
        <w:rPr>
          <w:rFonts w:asciiTheme="minorHAnsi" w:hAnsiTheme="minorHAnsi"/>
        </w:rPr>
      </w:pPr>
      <w:r w:rsidRPr="00265FE9">
        <w:rPr>
          <w:rFonts w:asciiTheme="minorHAnsi" w:hAnsiTheme="minorHAnsi"/>
        </w:rPr>
        <w:t xml:space="preserve">The listing of </w:t>
      </w:r>
      <w:r w:rsidR="000779D1" w:rsidRPr="00265FE9">
        <w:rPr>
          <w:rFonts w:asciiTheme="minorHAnsi" w:hAnsiTheme="minorHAnsi"/>
        </w:rPr>
        <w:t>n</w:t>
      </w:r>
      <w:r w:rsidRPr="00265FE9">
        <w:rPr>
          <w:rFonts w:asciiTheme="minorHAnsi" w:hAnsiTheme="minorHAnsi"/>
        </w:rPr>
        <w:t xml:space="preserve">icotine in </w:t>
      </w:r>
      <w:r w:rsidR="00ED0022" w:rsidRPr="00265FE9">
        <w:rPr>
          <w:rFonts w:asciiTheme="minorHAnsi" w:hAnsiTheme="minorHAnsi"/>
        </w:rPr>
        <w:t>A</w:t>
      </w:r>
      <w:r w:rsidRPr="00265FE9">
        <w:rPr>
          <w:rFonts w:asciiTheme="minorHAnsi" w:hAnsiTheme="minorHAnsi"/>
        </w:rPr>
        <w:t xml:space="preserve">ppendix D was introduced by the Therapeutic Goods Administration as part of the Australian Governments amendments to the Poisons Standard to make </w:t>
      </w:r>
      <w:r w:rsidR="000779D1" w:rsidRPr="00265FE9">
        <w:rPr>
          <w:rFonts w:asciiTheme="minorHAnsi" w:hAnsiTheme="minorHAnsi"/>
        </w:rPr>
        <w:t>n</w:t>
      </w:r>
      <w:r w:rsidRPr="00265FE9">
        <w:rPr>
          <w:rFonts w:asciiTheme="minorHAnsi" w:hAnsiTheme="minorHAnsi"/>
        </w:rPr>
        <w:t>icotine, in liquid preparations, a Schedule 4 medication. As of 1</w:t>
      </w:r>
      <w:r w:rsidR="00164BC4" w:rsidRPr="00265FE9">
        <w:rPr>
          <w:rFonts w:asciiTheme="minorHAnsi" w:hAnsiTheme="minorHAnsi"/>
        </w:rPr>
        <w:t> </w:t>
      </w:r>
      <w:r w:rsidRPr="00265FE9">
        <w:rPr>
          <w:rFonts w:asciiTheme="minorHAnsi" w:hAnsiTheme="minorHAnsi"/>
        </w:rPr>
        <w:t xml:space="preserve">October 2021, liquid </w:t>
      </w:r>
      <w:r w:rsidR="000779D1" w:rsidRPr="00265FE9">
        <w:rPr>
          <w:rFonts w:asciiTheme="minorHAnsi" w:hAnsiTheme="minorHAnsi"/>
        </w:rPr>
        <w:t>n</w:t>
      </w:r>
      <w:r w:rsidRPr="00265FE9">
        <w:rPr>
          <w:rFonts w:asciiTheme="minorHAnsi" w:hAnsiTheme="minorHAnsi"/>
        </w:rPr>
        <w:t>icotine may be legally supplied in Australia under a prescription from an Australian medical practitioner.</w:t>
      </w:r>
    </w:p>
    <w:p w14:paraId="62F0CDD5" w14:textId="77777777" w:rsidR="00FD3A52" w:rsidRPr="00265FE9" w:rsidRDefault="00FD3A52" w:rsidP="004D6598">
      <w:pPr>
        <w:rPr>
          <w:rFonts w:asciiTheme="minorHAnsi" w:hAnsiTheme="minorHAnsi"/>
        </w:rPr>
      </w:pPr>
    </w:p>
    <w:p w14:paraId="0C9D6AF8" w14:textId="55091702" w:rsidR="00234C09" w:rsidRPr="00265FE9" w:rsidRDefault="00FD3A52" w:rsidP="00E450A1">
      <w:pPr>
        <w:rPr>
          <w:rFonts w:asciiTheme="minorHAnsi" w:hAnsiTheme="minorHAnsi"/>
        </w:rPr>
      </w:pPr>
      <w:r w:rsidRPr="00265FE9">
        <w:rPr>
          <w:rFonts w:asciiTheme="minorHAnsi" w:hAnsiTheme="minorHAnsi"/>
        </w:rPr>
        <w:t>Clause 2</w:t>
      </w:r>
      <w:r w:rsidR="004C66EF" w:rsidRPr="00265FE9">
        <w:rPr>
          <w:rFonts w:asciiTheme="minorHAnsi" w:hAnsiTheme="minorHAnsi"/>
        </w:rPr>
        <w:t>4</w:t>
      </w:r>
      <w:r w:rsidRPr="00265FE9">
        <w:rPr>
          <w:rFonts w:asciiTheme="minorHAnsi" w:hAnsiTheme="minorHAnsi"/>
        </w:rPr>
        <w:t xml:space="preserve"> inserts </w:t>
      </w:r>
      <w:r w:rsidR="000779D1" w:rsidRPr="00265FE9">
        <w:rPr>
          <w:rFonts w:asciiTheme="minorHAnsi" w:hAnsiTheme="minorHAnsi"/>
        </w:rPr>
        <w:t>n</w:t>
      </w:r>
      <w:r w:rsidRPr="00265FE9">
        <w:rPr>
          <w:rFonts w:asciiTheme="minorHAnsi" w:hAnsiTheme="minorHAnsi"/>
        </w:rPr>
        <w:t xml:space="preserve">icotine at new item 9 in the table in Part 3,2 (Standing approvals for ACT listed </w:t>
      </w:r>
      <w:r w:rsidR="00ED0022" w:rsidRPr="00265FE9">
        <w:rPr>
          <w:rFonts w:asciiTheme="minorHAnsi" w:hAnsiTheme="minorHAnsi"/>
        </w:rPr>
        <w:t>A</w:t>
      </w:r>
      <w:r w:rsidRPr="00265FE9">
        <w:rPr>
          <w:rFonts w:asciiTheme="minorHAnsi" w:hAnsiTheme="minorHAnsi"/>
        </w:rPr>
        <w:t>ppendix D medicines).</w:t>
      </w:r>
    </w:p>
    <w:p w14:paraId="16955AF0" w14:textId="7ACE5E75" w:rsidR="00570D6E" w:rsidRPr="00265FE9" w:rsidRDefault="00570D6E" w:rsidP="00E450A1">
      <w:pPr>
        <w:rPr>
          <w:rFonts w:asciiTheme="minorHAnsi" w:hAnsiTheme="minorHAnsi"/>
        </w:rPr>
      </w:pPr>
    </w:p>
    <w:p w14:paraId="5A0AB453" w14:textId="390F38C7" w:rsidR="00570D6E" w:rsidRPr="00265FE9" w:rsidRDefault="00570D6E" w:rsidP="00E450A1">
      <w:pPr>
        <w:rPr>
          <w:rFonts w:asciiTheme="minorHAnsi" w:hAnsiTheme="minorHAnsi"/>
          <w:b/>
          <w:bCs/>
        </w:rPr>
      </w:pPr>
      <w:r w:rsidRPr="00265FE9">
        <w:rPr>
          <w:rFonts w:asciiTheme="minorHAnsi" w:hAnsiTheme="minorHAnsi"/>
          <w:b/>
          <w:bCs/>
        </w:rPr>
        <w:t>Clause 25</w:t>
      </w:r>
      <w:r w:rsidRPr="00265FE9">
        <w:rPr>
          <w:rFonts w:asciiTheme="minorHAnsi" w:hAnsiTheme="minorHAnsi"/>
          <w:b/>
          <w:bCs/>
        </w:rPr>
        <w:tab/>
        <w:t>Schedule 3, part 3.2, new note</w:t>
      </w:r>
    </w:p>
    <w:p w14:paraId="1801FA2B" w14:textId="5539B423" w:rsidR="00570D6E" w:rsidRPr="00265FE9" w:rsidRDefault="00570D6E" w:rsidP="00E450A1">
      <w:pPr>
        <w:rPr>
          <w:rFonts w:asciiTheme="minorHAnsi" w:hAnsiTheme="minorHAnsi"/>
        </w:rPr>
      </w:pPr>
      <w:r w:rsidRPr="00265FE9">
        <w:rPr>
          <w:rFonts w:asciiTheme="minorHAnsi" w:hAnsiTheme="minorHAnsi"/>
        </w:rPr>
        <w:t xml:space="preserve">Clause 25 inserts a note with the </w:t>
      </w:r>
      <w:r w:rsidRPr="00265FE9">
        <w:rPr>
          <w:rFonts w:asciiTheme="minorHAnsi" w:hAnsiTheme="minorHAnsi"/>
          <w:i/>
          <w:iCs/>
        </w:rPr>
        <w:t>Poisons Standard Amendment (Hydroxychloroquine and Salbutamol) instrument 2020</w:t>
      </w:r>
      <w:r w:rsidRPr="00265FE9">
        <w:rPr>
          <w:rFonts w:asciiTheme="minorHAnsi" w:hAnsiTheme="minorHAnsi"/>
        </w:rPr>
        <w:t xml:space="preserve"> (Cwlth)</w:t>
      </w:r>
      <w:r w:rsidR="00164BC4" w:rsidRPr="00265FE9">
        <w:rPr>
          <w:rFonts w:asciiTheme="minorHAnsi" w:hAnsiTheme="minorHAnsi"/>
        </w:rPr>
        <w:t xml:space="preserve"> to signpost the relevant instrument.</w:t>
      </w:r>
    </w:p>
    <w:p w14:paraId="449DAD34" w14:textId="700A7C14" w:rsidR="00570D6E" w:rsidRPr="00265FE9" w:rsidRDefault="00570D6E" w:rsidP="00E450A1">
      <w:pPr>
        <w:rPr>
          <w:rFonts w:asciiTheme="minorHAnsi" w:hAnsiTheme="minorHAnsi"/>
        </w:rPr>
      </w:pPr>
    </w:p>
    <w:p w14:paraId="5D470373" w14:textId="20A59A45" w:rsidR="00570D6E" w:rsidRPr="00265FE9" w:rsidRDefault="00570D6E" w:rsidP="00E450A1">
      <w:pPr>
        <w:rPr>
          <w:rFonts w:asciiTheme="minorHAnsi" w:hAnsiTheme="minorHAnsi"/>
          <w:b/>
          <w:bCs/>
          <w:i/>
          <w:iCs/>
        </w:rPr>
      </w:pPr>
      <w:r w:rsidRPr="00265FE9">
        <w:rPr>
          <w:rFonts w:asciiTheme="minorHAnsi" w:hAnsiTheme="minorHAnsi"/>
          <w:b/>
          <w:bCs/>
        </w:rPr>
        <w:t xml:space="preserve">Clause 26 </w:t>
      </w:r>
      <w:r w:rsidRPr="00265FE9">
        <w:rPr>
          <w:rFonts w:asciiTheme="minorHAnsi" w:hAnsiTheme="minorHAnsi"/>
          <w:b/>
          <w:bCs/>
        </w:rPr>
        <w:tab/>
        <w:t xml:space="preserve">Dictionary, definition of </w:t>
      </w:r>
      <w:r w:rsidRPr="00265FE9">
        <w:rPr>
          <w:rFonts w:asciiTheme="minorHAnsi" w:hAnsiTheme="minorHAnsi"/>
          <w:b/>
          <w:bCs/>
          <w:i/>
          <w:iCs/>
        </w:rPr>
        <w:t>national residential medication chart prescription</w:t>
      </w:r>
    </w:p>
    <w:p w14:paraId="747B29C8" w14:textId="72EAE105" w:rsidR="00AB397B" w:rsidRPr="00265FE9" w:rsidRDefault="00570D6E" w:rsidP="00E450A1">
      <w:pPr>
        <w:rPr>
          <w:rFonts w:asciiTheme="minorHAnsi" w:hAnsiTheme="minorHAnsi"/>
          <w:i/>
          <w:iCs/>
        </w:rPr>
      </w:pPr>
      <w:r w:rsidRPr="00265FE9">
        <w:rPr>
          <w:rFonts w:asciiTheme="minorHAnsi" w:hAnsiTheme="minorHAnsi"/>
        </w:rPr>
        <w:t>Clause 26 updates the MPTG Regulation dictionary definition of the national residential medication chart.</w:t>
      </w:r>
    </w:p>
    <w:sectPr w:rsidR="00AB397B" w:rsidRPr="00265FE9" w:rsidSect="007346AC">
      <w:headerReference w:type="even" r:id="rId12"/>
      <w:headerReference w:type="default" r:id="rId13"/>
      <w:footerReference w:type="even" r:id="rId14"/>
      <w:footerReference w:type="default" r:id="rId15"/>
      <w:headerReference w:type="first" r:id="rId16"/>
      <w:footerReference w:type="first" r:id="rId17"/>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34391" w14:textId="77777777" w:rsidR="00A163C3" w:rsidRDefault="00A163C3" w:rsidP="00C17FAB">
      <w:r>
        <w:separator/>
      </w:r>
    </w:p>
  </w:endnote>
  <w:endnote w:type="continuationSeparator" w:id="0">
    <w:p w14:paraId="77E92E7A" w14:textId="77777777" w:rsidR="00A163C3" w:rsidRDefault="00A163C3"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A00A" w14:textId="77777777" w:rsidR="00874E80" w:rsidRDefault="00874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440589"/>
      <w:docPartObj>
        <w:docPartGallery w:val="Page Numbers (Bottom of Page)"/>
        <w:docPartUnique/>
      </w:docPartObj>
    </w:sdtPr>
    <w:sdtEndPr>
      <w:rPr>
        <w:noProof/>
      </w:rPr>
    </w:sdtEndPr>
    <w:sdtContent>
      <w:p w14:paraId="3194170B" w14:textId="7E1C7CFC" w:rsidR="001B2FB7" w:rsidRDefault="001B2F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5BA3D3" w14:textId="06D0DAC6" w:rsidR="00DA3B00" w:rsidRPr="005E42D4" w:rsidRDefault="005E42D4" w:rsidP="005E42D4">
    <w:pPr>
      <w:pStyle w:val="Footer"/>
      <w:jc w:val="center"/>
      <w:rPr>
        <w:rFonts w:cs="Arial"/>
        <w:sz w:val="14"/>
      </w:rPr>
    </w:pPr>
    <w:r w:rsidRPr="005E42D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E8A4" w14:textId="77777777" w:rsidR="00874E80" w:rsidRDefault="00874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F4618" w14:textId="77777777" w:rsidR="00A163C3" w:rsidRDefault="00A163C3" w:rsidP="00C17FAB">
      <w:r>
        <w:separator/>
      </w:r>
    </w:p>
  </w:footnote>
  <w:footnote w:type="continuationSeparator" w:id="0">
    <w:p w14:paraId="1F27C932" w14:textId="77777777" w:rsidR="00A163C3" w:rsidRDefault="00A163C3"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4590" w14:textId="77777777" w:rsidR="00874E80" w:rsidRDefault="00874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770A" w14:textId="77777777" w:rsidR="00874E80" w:rsidRDefault="00874E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6502" w14:textId="77777777" w:rsidR="00874E80" w:rsidRDefault="00874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B06EC4"/>
    <w:multiLevelType w:val="hybridMultilevel"/>
    <w:tmpl w:val="35347A22"/>
    <w:lvl w:ilvl="0" w:tplc="0C090003">
      <w:start w:val="1"/>
      <w:numFmt w:val="bullet"/>
      <w:lvlText w:val="o"/>
      <w:lvlJc w:val="left"/>
      <w:pPr>
        <w:ind w:left="938" w:hanging="360"/>
      </w:pPr>
      <w:rPr>
        <w:rFonts w:ascii="Courier New" w:hAnsi="Courier New" w:cs="Courier New" w:hint="default"/>
      </w:rPr>
    </w:lvl>
    <w:lvl w:ilvl="1" w:tplc="0C090003">
      <w:start w:val="1"/>
      <w:numFmt w:val="bullet"/>
      <w:lvlText w:val="o"/>
      <w:lvlJc w:val="left"/>
      <w:pPr>
        <w:ind w:left="1658" w:hanging="360"/>
      </w:pPr>
      <w:rPr>
        <w:rFonts w:ascii="Courier New" w:hAnsi="Courier New" w:cs="Courier New" w:hint="default"/>
      </w:rPr>
    </w:lvl>
    <w:lvl w:ilvl="2" w:tplc="0C09001B">
      <w:start w:val="1"/>
      <w:numFmt w:val="lowerRoman"/>
      <w:lvlText w:val="%3."/>
      <w:lvlJc w:val="right"/>
      <w:pPr>
        <w:ind w:left="2378" w:hanging="180"/>
      </w:pPr>
    </w:lvl>
    <w:lvl w:ilvl="3" w:tplc="0C09000F">
      <w:start w:val="1"/>
      <w:numFmt w:val="decimal"/>
      <w:lvlText w:val="%4."/>
      <w:lvlJc w:val="left"/>
      <w:pPr>
        <w:ind w:left="3098" w:hanging="360"/>
      </w:pPr>
    </w:lvl>
    <w:lvl w:ilvl="4" w:tplc="0C090019">
      <w:start w:val="1"/>
      <w:numFmt w:val="lowerLetter"/>
      <w:lvlText w:val="%5."/>
      <w:lvlJc w:val="left"/>
      <w:pPr>
        <w:ind w:left="3818" w:hanging="360"/>
      </w:pPr>
    </w:lvl>
    <w:lvl w:ilvl="5" w:tplc="0C09001B">
      <w:start w:val="1"/>
      <w:numFmt w:val="lowerRoman"/>
      <w:lvlText w:val="%6."/>
      <w:lvlJc w:val="right"/>
      <w:pPr>
        <w:ind w:left="4538" w:hanging="180"/>
      </w:pPr>
    </w:lvl>
    <w:lvl w:ilvl="6" w:tplc="0C09000F">
      <w:start w:val="1"/>
      <w:numFmt w:val="decimal"/>
      <w:lvlText w:val="%7."/>
      <w:lvlJc w:val="left"/>
      <w:pPr>
        <w:ind w:left="5258" w:hanging="360"/>
      </w:pPr>
    </w:lvl>
    <w:lvl w:ilvl="7" w:tplc="0C090019">
      <w:start w:val="1"/>
      <w:numFmt w:val="lowerLetter"/>
      <w:lvlText w:val="%8."/>
      <w:lvlJc w:val="left"/>
      <w:pPr>
        <w:ind w:left="5978" w:hanging="360"/>
      </w:pPr>
    </w:lvl>
    <w:lvl w:ilvl="8" w:tplc="0C09001B">
      <w:start w:val="1"/>
      <w:numFmt w:val="lowerRoman"/>
      <w:lvlText w:val="%9."/>
      <w:lvlJc w:val="right"/>
      <w:pPr>
        <w:ind w:left="6698" w:hanging="180"/>
      </w:pPr>
    </w:lvl>
  </w:abstractNum>
  <w:abstractNum w:abstractNumId="5" w15:restartNumberingAfterBreak="0">
    <w:nsid w:val="2DBA7477"/>
    <w:multiLevelType w:val="hybridMultilevel"/>
    <w:tmpl w:val="B060C3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35872B8"/>
    <w:multiLevelType w:val="hybridMultilevel"/>
    <w:tmpl w:val="2AB0FA18"/>
    <w:lvl w:ilvl="0" w:tplc="6DBAF65E">
      <w:start w:val="1"/>
      <w:numFmt w:val="decimal"/>
      <w:pStyle w:val="CS-Paragraphnumbering"/>
      <w:lvlText w:val="%1."/>
      <w:lvlJc w:val="left"/>
      <w:pPr>
        <w:ind w:left="720" w:hanging="360"/>
      </w:pPr>
      <w:rPr>
        <w:sz w:val="24"/>
        <w:szCs w:val="24"/>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6DF417B"/>
    <w:multiLevelType w:val="multilevel"/>
    <w:tmpl w:val="97D40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41092713"/>
    <w:multiLevelType w:val="hybridMultilevel"/>
    <w:tmpl w:val="FFC6E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B84B62"/>
    <w:multiLevelType w:val="hybridMultilevel"/>
    <w:tmpl w:val="6358B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E44025"/>
    <w:multiLevelType w:val="hybridMultilevel"/>
    <w:tmpl w:val="2B6C30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2887FF3"/>
    <w:multiLevelType w:val="hybridMultilevel"/>
    <w:tmpl w:val="C90EBA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62A52828"/>
    <w:multiLevelType w:val="hybridMultilevel"/>
    <w:tmpl w:val="6472C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696D27"/>
    <w:multiLevelType w:val="hybridMultilevel"/>
    <w:tmpl w:val="7BB65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6F931D99"/>
    <w:multiLevelType w:val="multilevel"/>
    <w:tmpl w:val="535C67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10"/>
  </w:num>
  <w:num w:numId="5">
    <w:abstractNumId w:val="17"/>
  </w:num>
  <w:num w:numId="6">
    <w:abstractNumId w:val="1"/>
  </w:num>
  <w:num w:numId="7">
    <w:abstractNumId w:val="7"/>
  </w:num>
  <w:num w:numId="8">
    <w:abstractNumId w:val="8"/>
  </w:num>
  <w:num w:numId="9">
    <w:abstractNumId w:val="19"/>
  </w:num>
  <w:num w:numId="10">
    <w:abstractNumId w:val="11"/>
  </w:num>
  <w:num w:numId="11">
    <w:abstractNumId w:val="15"/>
  </w:num>
  <w:num w:numId="12">
    <w:abstractNumId w:val="16"/>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9"/>
  </w:num>
  <w:num w:numId="17">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12"/>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5AA2"/>
    <w:rsid w:val="00061734"/>
    <w:rsid w:val="000779D1"/>
    <w:rsid w:val="000A14DF"/>
    <w:rsid w:val="000B35AD"/>
    <w:rsid w:val="000C0B77"/>
    <w:rsid w:val="000C5222"/>
    <w:rsid w:val="000E2E53"/>
    <w:rsid w:val="00164BC4"/>
    <w:rsid w:val="00196873"/>
    <w:rsid w:val="001B1505"/>
    <w:rsid w:val="001B2FB7"/>
    <w:rsid w:val="001B4DFD"/>
    <w:rsid w:val="001B5919"/>
    <w:rsid w:val="001C169F"/>
    <w:rsid w:val="001F1185"/>
    <w:rsid w:val="00234C09"/>
    <w:rsid w:val="00265FE9"/>
    <w:rsid w:val="00266DCD"/>
    <w:rsid w:val="0027180A"/>
    <w:rsid w:val="002B3149"/>
    <w:rsid w:val="002B5DF0"/>
    <w:rsid w:val="002D7C60"/>
    <w:rsid w:val="00323987"/>
    <w:rsid w:val="00327663"/>
    <w:rsid w:val="00363BD7"/>
    <w:rsid w:val="0037016E"/>
    <w:rsid w:val="003707E0"/>
    <w:rsid w:val="003718B4"/>
    <w:rsid w:val="00376A4D"/>
    <w:rsid w:val="003775E1"/>
    <w:rsid w:val="00384C35"/>
    <w:rsid w:val="003A4F8F"/>
    <w:rsid w:val="003F0193"/>
    <w:rsid w:val="00400FBB"/>
    <w:rsid w:val="00403AC8"/>
    <w:rsid w:val="004106C0"/>
    <w:rsid w:val="00416248"/>
    <w:rsid w:val="00426C58"/>
    <w:rsid w:val="00427BDC"/>
    <w:rsid w:val="00443C71"/>
    <w:rsid w:val="00457A2D"/>
    <w:rsid w:val="0046102F"/>
    <w:rsid w:val="00492495"/>
    <w:rsid w:val="0049462B"/>
    <w:rsid w:val="004951AB"/>
    <w:rsid w:val="004A7F2B"/>
    <w:rsid w:val="004B4D68"/>
    <w:rsid w:val="004C66EF"/>
    <w:rsid w:val="004C7626"/>
    <w:rsid w:val="004D6598"/>
    <w:rsid w:val="00507ADC"/>
    <w:rsid w:val="0051555F"/>
    <w:rsid w:val="005604AE"/>
    <w:rsid w:val="00570D6E"/>
    <w:rsid w:val="00585906"/>
    <w:rsid w:val="005A5216"/>
    <w:rsid w:val="005B4E28"/>
    <w:rsid w:val="005C0EE8"/>
    <w:rsid w:val="005E42D4"/>
    <w:rsid w:val="00602EEF"/>
    <w:rsid w:val="0062615A"/>
    <w:rsid w:val="00627210"/>
    <w:rsid w:val="006471CA"/>
    <w:rsid w:val="00651C5F"/>
    <w:rsid w:val="006D5F92"/>
    <w:rsid w:val="006E3C8F"/>
    <w:rsid w:val="00704D3E"/>
    <w:rsid w:val="007346AC"/>
    <w:rsid w:val="00780050"/>
    <w:rsid w:val="007C768A"/>
    <w:rsid w:val="007D0507"/>
    <w:rsid w:val="007F7517"/>
    <w:rsid w:val="00822722"/>
    <w:rsid w:val="00831592"/>
    <w:rsid w:val="00860F72"/>
    <w:rsid w:val="0087335E"/>
    <w:rsid w:val="00874E80"/>
    <w:rsid w:val="00883DE4"/>
    <w:rsid w:val="00890100"/>
    <w:rsid w:val="008A1D34"/>
    <w:rsid w:val="008F3D38"/>
    <w:rsid w:val="008F7E72"/>
    <w:rsid w:val="009208D4"/>
    <w:rsid w:val="00922F1E"/>
    <w:rsid w:val="009279AF"/>
    <w:rsid w:val="009455EF"/>
    <w:rsid w:val="00945998"/>
    <w:rsid w:val="009508A5"/>
    <w:rsid w:val="009E44A7"/>
    <w:rsid w:val="009E570D"/>
    <w:rsid w:val="009F3BBC"/>
    <w:rsid w:val="00A163C3"/>
    <w:rsid w:val="00A25EC3"/>
    <w:rsid w:val="00A42DA8"/>
    <w:rsid w:val="00A46AC6"/>
    <w:rsid w:val="00A9409A"/>
    <w:rsid w:val="00AB397B"/>
    <w:rsid w:val="00AC5CAA"/>
    <w:rsid w:val="00AF5BA0"/>
    <w:rsid w:val="00B06FF5"/>
    <w:rsid w:val="00B15BFC"/>
    <w:rsid w:val="00B25F97"/>
    <w:rsid w:val="00B44870"/>
    <w:rsid w:val="00B808DA"/>
    <w:rsid w:val="00B96EE0"/>
    <w:rsid w:val="00C1163C"/>
    <w:rsid w:val="00C17B44"/>
    <w:rsid w:val="00C17FAB"/>
    <w:rsid w:val="00C45CB0"/>
    <w:rsid w:val="00CC5689"/>
    <w:rsid w:val="00CE3D01"/>
    <w:rsid w:val="00CE599C"/>
    <w:rsid w:val="00CF5C61"/>
    <w:rsid w:val="00D0746C"/>
    <w:rsid w:val="00D16BC5"/>
    <w:rsid w:val="00D22B09"/>
    <w:rsid w:val="00D368FA"/>
    <w:rsid w:val="00D623A5"/>
    <w:rsid w:val="00D70028"/>
    <w:rsid w:val="00DA3B00"/>
    <w:rsid w:val="00DE1395"/>
    <w:rsid w:val="00E04E26"/>
    <w:rsid w:val="00E30385"/>
    <w:rsid w:val="00E3093A"/>
    <w:rsid w:val="00E450A1"/>
    <w:rsid w:val="00E57DFF"/>
    <w:rsid w:val="00E6024E"/>
    <w:rsid w:val="00E93909"/>
    <w:rsid w:val="00EB7B74"/>
    <w:rsid w:val="00ED0022"/>
    <w:rsid w:val="00F3429F"/>
    <w:rsid w:val="00F54F34"/>
    <w:rsid w:val="00F75447"/>
    <w:rsid w:val="00FB6D3E"/>
    <w:rsid w:val="00FD3A52"/>
    <w:rsid w:val="00FD75CE"/>
    <w:rsid w:val="00FE72DF"/>
    <w:rsid w:val="00FF5B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0E353"/>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403AC8"/>
    <w:pPr>
      <w:widowControl w:val="0"/>
      <w:ind w:left="720"/>
      <w:contextualSpacing/>
    </w:pPr>
    <w:rPr>
      <w:iCs/>
      <w:szCs w:val="24"/>
      <w:lang w:val="en-US"/>
    </w:rPr>
  </w:style>
  <w:style w:type="character" w:styleId="CommentReference">
    <w:name w:val="annotation reference"/>
    <w:basedOn w:val="DefaultParagraphFont"/>
    <w:uiPriority w:val="99"/>
    <w:semiHidden/>
    <w:unhideWhenUsed/>
    <w:rsid w:val="00E450A1"/>
    <w:rPr>
      <w:sz w:val="16"/>
      <w:szCs w:val="16"/>
    </w:rPr>
  </w:style>
  <w:style w:type="paragraph" w:styleId="CommentText">
    <w:name w:val="annotation text"/>
    <w:basedOn w:val="Normal"/>
    <w:link w:val="CommentTextChar"/>
    <w:uiPriority w:val="99"/>
    <w:semiHidden/>
    <w:unhideWhenUsed/>
    <w:rsid w:val="00E450A1"/>
    <w:rPr>
      <w:sz w:val="20"/>
    </w:rPr>
  </w:style>
  <w:style w:type="character" w:customStyle="1" w:styleId="CommentTextChar">
    <w:name w:val="Comment Text Char"/>
    <w:basedOn w:val="DefaultParagraphFont"/>
    <w:link w:val="CommentText"/>
    <w:uiPriority w:val="99"/>
    <w:semiHidden/>
    <w:rsid w:val="00E450A1"/>
    <w:rPr>
      <w:lang w:eastAsia="en-US"/>
    </w:rPr>
  </w:style>
  <w:style w:type="paragraph" w:styleId="CommentSubject">
    <w:name w:val="annotation subject"/>
    <w:basedOn w:val="CommentText"/>
    <w:next w:val="CommentText"/>
    <w:link w:val="CommentSubjectChar"/>
    <w:uiPriority w:val="99"/>
    <w:semiHidden/>
    <w:unhideWhenUsed/>
    <w:rsid w:val="00E450A1"/>
    <w:rPr>
      <w:b/>
      <w:bCs/>
    </w:rPr>
  </w:style>
  <w:style w:type="character" w:customStyle="1" w:styleId="CommentSubjectChar">
    <w:name w:val="Comment Subject Char"/>
    <w:basedOn w:val="CommentTextChar"/>
    <w:link w:val="CommentSubject"/>
    <w:uiPriority w:val="99"/>
    <w:semiHidden/>
    <w:rsid w:val="00E450A1"/>
    <w:rPr>
      <w:b/>
      <w:bCs/>
      <w:lang w:eastAsia="en-US"/>
    </w:rPr>
  </w:style>
  <w:style w:type="paragraph" w:styleId="NormalWeb">
    <w:name w:val="Normal (Web)"/>
    <w:basedOn w:val="Normal"/>
    <w:uiPriority w:val="99"/>
    <w:unhideWhenUsed/>
    <w:rsid w:val="005C0EE8"/>
    <w:rPr>
      <w:szCs w:val="24"/>
    </w:rPr>
  </w:style>
  <w:style w:type="paragraph" w:customStyle="1" w:styleId="CS-Paragraphnumbering">
    <w:name w:val="CS - Paragraph numbering"/>
    <w:basedOn w:val="Normal"/>
    <w:rsid w:val="00C1163C"/>
    <w:pPr>
      <w:numPr>
        <w:numId w:val="15"/>
      </w:numPr>
      <w:tabs>
        <w:tab w:val="num" w:pos="360"/>
      </w:tabs>
      <w:spacing w:after="120" w:line="276" w:lineRule="auto"/>
      <w:ind w:left="360" w:right="-45"/>
    </w:pPr>
    <w:rPr>
      <w:rFonts w:ascii="Calibri" w:eastAsia="Calibri" w:hAnsi="Calibri"/>
      <w:szCs w:val="24"/>
    </w:rPr>
  </w:style>
  <w:style w:type="character" w:styleId="UnresolvedMention">
    <w:name w:val="Unresolved Mention"/>
    <w:basedOn w:val="DefaultParagraphFont"/>
    <w:uiPriority w:val="99"/>
    <w:semiHidden/>
    <w:unhideWhenUsed/>
    <w:rsid w:val="00C1163C"/>
    <w:rPr>
      <w:color w:val="605E5C"/>
      <w:shd w:val="clear" w:color="auto" w:fill="E1DFDD"/>
    </w:rPr>
  </w:style>
  <w:style w:type="paragraph" w:styleId="Revision">
    <w:name w:val="Revision"/>
    <w:hidden/>
    <w:uiPriority w:val="99"/>
    <w:semiHidden/>
    <w:rsid w:val="00585906"/>
    <w:rPr>
      <w:sz w:val="24"/>
      <w:lang w:eastAsia="en-US"/>
    </w:rPr>
  </w:style>
  <w:style w:type="character" w:customStyle="1" w:styleId="FooterChar">
    <w:name w:val="Footer Char"/>
    <w:basedOn w:val="DefaultParagraphFont"/>
    <w:link w:val="Footer"/>
    <w:uiPriority w:val="99"/>
    <w:rsid w:val="001B2FB7"/>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9130">
      <w:bodyDiv w:val="1"/>
      <w:marLeft w:val="0"/>
      <w:marRight w:val="0"/>
      <w:marTop w:val="0"/>
      <w:marBottom w:val="0"/>
      <w:divBdr>
        <w:top w:val="none" w:sz="0" w:space="0" w:color="auto"/>
        <w:left w:val="none" w:sz="0" w:space="0" w:color="auto"/>
        <w:bottom w:val="none" w:sz="0" w:space="0" w:color="auto"/>
        <w:right w:val="none" w:sz="0" w:space="0" w:color="auto"/>
      </w:divBdr>
    </w:div>
    <w:div w:id="338846698">
      <w:bodyDiv w:val="1"/>
      <w:marLeft w:val="0"/>
      <w:marRight w:val="0"/>
      <w:marTop w:val="0"/>
      <w:marBottom w:val="0"/>
      <w:divBdr>
        <w:top w:val="none" w:sz="0" w:space="0" w:color="auto"/>
        <w:left w:val="none" w:sz="0" w:space="0" w:color="auto"/>
        <w:bottom w:val="none" w:sz="0" w:space="0" w:color="auto"/>
        <w:right w:val="none" w:sz="0" w:space="0" w:color="auto"/>
      </w:divBdr>
    </w:div>
    <w:div w:id="484277098">
      <w:bodyDiv w:val="1"/>
      <w:marLeft w:val="0"/>
      <w:marRight w:val="0"/>
      <w:marTop w:val="0"/>
      <w:marBottom w:val="0"/>
      <w:divBdr>
        <w:top w:val="none" w:sz="0" w:space="0" w:color="auto"/>
        <w:left w:val="none" w:sz="0" w:space="0" w:color="auto"/>
        <w:bottom w:val="none" w:sz="0" w:space="0" w:color="auto"/>
        <w:right w:val="none" w:sz="0" w:space="0" w:color="auto"/>
      </w:divBdr>
      <w:divsChild>
        <w:div w:id="1656372219">
          <w:marLeft w:val="0"/>
          <w:marRight w:val="0"/>
          <w:marTop w:val="0"/>
          <w:marBottom w:val="0"/>
          <w:divBdr>
            <w:top w:val="none" w:sz="0" w:space="0" w:color="auto"/>
            <w:left w:val="none" w:sz="0" w:space="0" w:color="auto"/>
            <w:bottom w:val="none" w:sz="0" w:space="0" w:color="auto"/>
            <w:right w:val="none" w:sz="0" w:space="0" w:color="auto"/>
          </w:divBdr>
        </w:div>
      </w:divsChild>
    </w:div>
    <w:div w:id="1479541918">
      <w:bodyDiv w:val="1"/>
      <w:marLeft w:val="0"/>
      <w:marRight w:val="0"/>
      <w:marTop w:val="0"/>
      <w:marBottom w:val="0"/>
      <w:divBdr>
        <w:top w:val="none" w:sz="0" w:space="0" w:color="auto"/>
        <w:left w:val="none" w:sz="0" w:space="0" w:color="auto"/>
        <w:bottom w:val="none" w:sz="0" w:space="0" w:color="auto"/>
        <w:right w:val="none" w:sz="0" w:space="0" w:color="auto"/>
      </w:divBdr>
    </w:div>
    <w:div w:id="1480919219">
      <w:bodyDiv w:val="1"/>
      <w:marLeft w:val="0"/>
      <w:marRight w:val="0"/>
      <w:marTop w:val="0"/>
      <w:marBottom w:val="0"/>
      <w:divBdr>
        <w:top w:val="none" w:sz="0" w:space="0" w:color="auto"/>
        <w:left w:val="none" w:sz="0" w:space="0" w:color="auto"/>
        <w:bottom w:val="none" w:sz="0" w:space="0" w:color="auto"/>
        <w:right w:val="none" w:sz="0" w:space="0" w:color="auto"/>
      </w:divBdr>
    </w:div>
    <w:div w:id="1525827232">
      <w:bodyDiv w:val="1"/>
      <w:marLeft w:val="0"/>
      <w:marRight w:val="0"/>
      <w:marTop w:val="0"/>
      <w:marBottom w:val="0"/>
      <w:divBdr>
        <w:top w:val="none" w:sz="0" w:space="0" w:color="auto"/>
        <w:left w:val="none" w:sz="0" w:space="0" w:color="auto"/>
        <w:bottom w:val="none" w:sz="0" w:space="0" w:color="auto"/>
        <w:right w:val="none" w:sz="0" w:space="0" w:color="auto"/>
      </w:divBdr>
    </w:div>
    <w:div w:id="1657343166">
      <w:bodyDiv w:val="1"/>
      <w:marLeft w:val="0"/>
      <w:marRight w:val="0"/>
      <w:marTop w:val="0"/>
      <w:marBottom w:val="0"/>
      <w:divBdr>
        <w:top w:val="none" w:sz="0" w:space="0" w:color="auto"/>
        <w:left w:val="none" w:sz="0" w:space="0" w:color="auto"/>
        <w:bottom w:val="none" w:sz="0" w:space="0" w:color="auto"/>
        <w:right w:val="none" w:sz="0" w:space="0" w:color="auto"/>
      </w:divBdr>
    </w:div>
    <w:div w:id="1781794962">
      <w:bodyDiv w:val="1"/>
      <w:marLeft w:val="0"/>
      <w:marRight w:val="0"/>
      <w:marTop w:val="0"/>
      <w:marBottom w:val="0"/>
      <w:divBdr>
        <w:top w:val="none" w:sz="0" w:space="0" w:color="auto"/>
        <w:left w:val="none" w:sz="0" w:space="0" w:color="auto"/>
        <w:bottom w:val="none" w:sz="0" w:space="0" w:color="auto"/>
        <w:right w:val="none" w:sz="0" w:space="0" w:color="auto"/>
      </w:divBdr>
    </w:div>
    <w:div w:id="1977835163">
      <w:bodyDiv w:val="1"/>
      <w:marLeft w:val="0"/>
      <w:marRight w:val="0"/>
      <w:marTop w:val="0"/>
      <w:marBottom w:val="0"/>
      <w:divBdr>
        <w:top w:val="none" w:sz="0" w:space="0" w:color="auto"/>
        <w:left w:val="none" w:sz="0" w:space="0" w:color="auto"/>
        <w:bottom w:val="none" w:sz="0" w:space="0" w:color="auto"/>
        <w:right w:val="none" w:sz="0" w:space="0" w:color="auto"/>
      </w:divBdr>
    </w:div>
    <w:div w:id="201171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resources/publications/national-immunisation-education-framework-for-health-professional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resources/publications/covid-19-vaccination-atagi-clinical-guidance-on-covid-19-vaccine-in-australia-in-202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ealth.gov.au/sites/default/files/national-vaccine-storage-guidelines-strive-for-5_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mmunisationhandbook.health.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A91F8-A615-48D4-8FB7-F1244715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3365</Words>
  <Characters>18874</Characters>
  <Application>Microsoft Office Word</Application>
  <DocSecurity>0</DocSecurity>
  <Lines>415</Lines>
  <Paragraphs>118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2021-11-03T22:22:00Z</dcterms:created>
  <dcterms:modified xsi:type="dcterms:W3CDTF">2021-11-03T22:22:00Z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1406576</vt:lpwstr>
  </property>
  <property fmtid="{D5CDD505-2E9C-101B-9397-08002B2CF9AE}" pid="4" name="JMSREQUIREDCHECKIN">
    <vt:lpwstr/>
  </property>
</Properties>
</file>