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D9EEE" w14:textId="77777777" w:rsidR="007A2A8B" w:rsidRDefault="007A2A8B" w:rsidP="0072165A">
      <w:pPr>
        <w:pStyle w:val="Header"/>
        <w:spacing w:before="120"/>
        <w:rPr>
          <w:rFonts w:ascii="Arial" w:hAnsi="Arial" w:cs="Arial"/>
        </w:rPr>
      </w:pPr>
      <w:smartTag w:uri="urn:schemas-microsoft-com:office:smarttags" w:element="State">
        <w:smartTag w:uri="urn:schemas-microsoft-com:office:smarttags" w:element="place">
          <w:r>
            <w:rPr>
              <w:rFonts w:ascii="Arial" w:hAnsi="Arial" w:cs="Arial"/>
            </w:rPr>
            <w:t>Australian Capital Territory</w:t>
          </w:r>
        </w:smartTag>
      </w:smartTag>
    </w:p>
    <w:p w14:paraId="7D06FEE7" w14:textId="26067DA0" w:rsidR="007A2A8B" w:rsidRDefault="007A2A8B" w:rsidP="0072165A">
      <w:pPr>
        <w:pStyle w:val="Billname"/>
        <w:tabs>
          <w:tab w:val="left" w:pos="3828"/>
        </w:tabs>
        <w:spacing w:before="700"/>
        <w:rPr>
          <w:szCs w:val="32"/>
        </w:rPr>
      </w:pPr>
      <w:r>
        <w:rPr>
          <w:szCs w:val="32"/>
        </w:rPr>
        <w:t xml:space="preserve">Construction Occupations </w:t>
      </w:r>
      <w:r w:rsidR="0072165A">
        <w:rPr>
          <w:szCs w:val="32"/>
        </w:rPr>
        <w:t>(</w:t>
      </w:r>
      <w:r>
        <w:rPr>
          <w:szCs w:val="32"/>
        </w:rPr>
        <w:t>Licensing</w:t>
      </w:r>
      <w:r w:rsidR="0072165A">
        <w:rPr>
          <w:szCs w:val="32"/>
        </w:rPr>
        <w:t>)</w:t>
      </w:r>
      <w:r>
        <w:rPr>
          <w:szCs w:val="32"/>
        </w:rPr>
        <w:t xml:space="preserve"> (Fees) Determination </w:t>
      </w:r>
      <w:r w:rsidR="00A36468">
        <w:rPr>
          <w:szCs w:val="32"/>
        </w:rPr>
        <w:t>2021</w:t>
      </w:r>
      <w:r w:rsidR="008C05D0">
        <w:rPr>
          <w:szCs w:val="32"/>
        </w:rPr>
        <w:t xml:space="preserve"> (No 2)</w:t>
      </w:r>
    </w:p>
    <w:p w14:paraId="106DDA15" w14:textId="60537E4E" w:rsidR="007A2A8B" w:rsidRDefault="008F4F49" w:rsidP="0072165A">
      <w:pPr>
        <w:spacing w:before="340"/>
        <w:outlineLvl w:val="0"/>
        <w:rPr>
          <w:rFonts w:ascii="Arial" w:hAnsi="Arial" w:cs="Arial"/>
          <w:b/>
          <w:bCs/>
          <w:vertAlign w:val="superscript"/>
        </w:rPr>
      </w:pPr>
      <w:r>
        <w:rPr>
          <w:rFonts w:ascii="Arial" w:hAnsi="Arial" w:cs="Arial"/>
          <w:b/>
          <w:bCs/>
        </w:rPr>
        <w:t xml:space="preserve">Disallowable </w:t>
      </w:r>
      <w:r w:rsidR="00F53625">
        <w:rPr>
          <w:rFonts w:ascii="Arial" w:hAnsi="Arial" w:cs="Arial"/>
          <w:b/>
          <w:bCs/>
        </w:rPr>
        <w:t>i</w:t>
      </w:r>
      <w:r>
        <w:rPr>
          <w:rFonts w:ascii="Arial" w:hAnsi="Arial" w:cs="Arial"/>
          <w:b/>
          <w:bCs/>
        </w:rPr>
        <w:t>nstrument DI20</w:t>
      </w:r>
      <w:r w:rsidR="00A36468">
        <w:rPr>
          <w:rFonts w:ascii="Arial" w:hAnsi="Arial" w:cs="Arial"/>
          <w:b/>
          <w:bCs/>
        </w:rPr>
        <w:t>21</w:t>
      </w:r>
      <w:r w:rsidR="007A2A8B">
        <w:rPr>
          <w:rFonts w:ascii="Arial" w:hAnsi="Arial" w:cs="Arial"/>
          <w:b/>
          <w:bCs/>
        </w:rPr>
        <w:t>-</w:t>
      </w:r>
      <w:r w:rsidR="00832F78">
        <w:rPr>
          <w:rFonts w:ascii="Arial" w:hAnsi="Arial" w:cs="Arial"/>
          <w:b/>
          <w:bCs/>
        </w:rPr>
        <w:t>253</w:t>
      </w:r>
    </w:p>
    <w:p w14:paraId="61541C56" w14:textId="77777777" w:rsidR="007A2A8B" w:rsidRDefault="007A2A8B" w:rsidP="0072165A">
      <w:pPr>
        <w:pStyle w:val="madeunder"/>
        <w:spacing w:before="300" w:after="0"/>
      </w:pPr>
      <w:r>
        <w:t>made under the</w:t>
      </w:r>
    </w:p>
    <w:p w14:paraId="72CFFEBC" w14:textId="77777777" w:rsidR="007A2A8B" w:rsidRDefault="007A2A8B" w:rsidP="0072165A">
      <w:pPr>
        <w:pStyle w:val="CoverActName"/>
        <w:spacing w:before="320" w:after="0"/>
        <w:rPr>
          <w:rFonts w:ascii="Times New Roman" w:hAnsi="Times New Roman" w:cs="Times New Roman"/>
          <w:vertAlign w:val="superscript"/>
        </w:rPr>
      </w:pPr>
      <w:r w:rsidRPr="00F20ABC">
        <w:rPr>
          <w:sz w:val="20"/>
          <w:szCs w:val="20"/>
        </w:rPr>
        <w:t>Construction Occupations (Licensing) Act 2004</w:t>
      </w:r>
      <w:r>
        <w:rPr>
          <w:sz w:val="20"/>
          <w:szCs w:val="20"/>
        </w:rPr>
        <w:t>, s 127 (Determination of fees)</w:t>
      </w:r>
    </w:p>
    <w:p w14:paraId="306C56ED" w14:textId="77777777" w:rsidR="007A2A8B" w:rsidRDefault="007A2A8B" w:rsidP="0072165A">
      <w:pPr>
        <w:pStyle w:val="Header"/>
        <w:tabs>
          <w:tab w:val="clear" w:pos="4153"/>
          <w:tab w:val="clear" w:pos="8306"/>
        </w:tabs>
        <w:spacing w:before="360"/>
        <w:rPr>
          <w:rFonts w:ascii="Arial" w:hAnsi="Arial" w:cs="Arial"/>
          <w:b/>
          <w:bCs/>
          <w:sz w:val="28"/>
          <w:szCs w:val="28"/>
        </w:rPr>
      </w:pPr>
      <w:r>
        <w:rPr>
          <w:rFonts w:ascii="Arial" w:hAnsi="Arial" w:cs="Arial"/>
          <w:b/>
          <w:bCs/>
          <w:sz w:val="28"/>
          <w:szCs w:val="28"/>
        </w:rPr>
        <w:t>EXPLANATORY STATEMENT</w:t>
      </w:r>
    </w:p>
    <w:p w14:paraId="474F99D7" w14:textId="77777777" w:rsidR="007A2A8B" w:rsidRPr="0072165A" w:rsidRDefault="007A2A8B">
      <w:pPr>
        <w:pStyle w:val="Header"/>
        <w:pBdr>
          <w:bottom w:val="single" w:sz="12" w:space="1" w:color="auto"/>
        </w:pBdr>
        <w:tabs>
          <w:tab w:val="clear" w:pos="4153"/>
          <w:tab w:val="clear" w:pos="8306"/>
        </w:tabs>
        <w:rPr>
          <w:rFonts w:ascii="Arial" w:hAnsi="Arial" w:cs="Arial"/>
          <w:bCs/>
        </w:rPr>
      </w:pPr>
    </w:p>
    <w:p w14:paraId="53CD9B7B" w14:textId="77777777" w:rsidR="007A2A8B" w:rsidRPr="0072165A" w:rsidRDefault="007A2A8B">
      <w:pPr>
        <w:pStyle w:val="Header"/>
        <w:tabs>
          <w:tab w:val="clear" w:pos="4153"/>
          <w:tab w:val="clear" w:pos="8306"/>
        </w:tabs>
        <w:rPr>
          <w:bCs/>
        </w:rPr>
      </w:pPr>
    </w:p>
    <w:p w14:paraId="11D29760" w14:textId="77777777" w:rsidR="00F20ABC" w:rsidRDefault="00F20ABC" w:rsidP="00C95817">
      <w:pPr>
        <w:pStyle w:val="LongTitle"/>
        <w:spacing w:before="0" w:after="240"/>
        <w:jc w:val="left"/>
        <w:rPr>
          <w:color w:val="000000"/>
        </w:rPr>
      </w:pPr>
      <w:r>
        <w:rPr>
          <w:color w:val="000000"/>
        </w:rPr>
        <w:t xml:space="preserve">Section 127 of the </w:t>
      </w:r>
      <w:r>
        <w:rPr>
          <w:i/>
          <w:iCs/>
          <w:szCs w:val="20"/>
        </w:rPr>
        <w:t>Construction Occupations (Licensing) Act 2004</w:t>
      </w:r>
      <w:r>
        <w:rPr>
          <w:rFonts w:ascii="Arial" w:hAnsi="Arial" w:cs="Arial"/>
          <w:szCs w:val="20"/>
        </w:rPr>
        <w:t xml:space="preserve"> </w:t>
      </w:r>
      <w:r>
        <w:rPr>
          <w:color w:val="000000"/>
        </w:rPr>
        <w:t xml:space="preserve">(the </w:t>
      </w:r>
      <w:r w:rsidRPr="0072165A">
        <w:rPr>
          <w:b/>
          <w:i/>
          <w:color w:val="000000"/>
        </w:rPr>
        <w:t>Act</w:t>
      </w:r>
      <w:r>
        <w:rPr>
          <w:color w:val="000000"/>
        </w:rPr>
        <w:t>)</w:t>
      </w:r>
      <w:r>
        <w:rPr>
          <w:i/>
          <w:color w:val="000000"/>
        </w:rPr>
        <w:t xml:space="preserve"> </w:t>
      </w:r>
      <w:r>
        <w:rPr>
          <w:color w:val="000000"/>
        </w:rPr>
        <w:t>permits the Minister to determine fees for the purposes of the Act.</w:t>
      </w:r>
    </w:p>
    <w:p w14:paraId="5706019C" w14:textId="0CDA5A8D" w:rsidR="00F20ABC" w:rsidRDefault="00F20ABC" w:rsidP="00C95817">
      <w:pPr>
        <w:pStyle w:val="LongTitle"/>
        <w:spacing w:before="0" w:after="240"/>
        <w:jc w:val="left"/>
        <w:rPr>
          <w:color w:val="000000"/>
        </w:rPr>
      </w:pPr>
      <w:r>
        <w:rPr>
          <w:color w:val="000000"/>
        </w:rPr>
        <w:t xml:space="preserve">The purpose of this instrument is to </w:t>
      </w:r>
      <w:r w:rsidR="005B740F">
        <w:rPr>
          <w:color w:val="000000"/>
        </w:rPr>
        <w:t xml:space="preserve">determine the fees for goods and services under the Act for the </w:t>
      </w:r>
      <w:r w:rsidR="00A36468">
        <w:rPr>
          <w:color w:val="000000"/>
        </w:rPr>
        <w:t>2021-22</w:t>
      </w:r>
      <w:r w:rsidR="005B740F">
        <w:rPr>
          <w:color w:val="000000"/>
        </w:rPr>
        <w:t xml:space="preserve"> financial year.</w:t>
      </w:r>
      <w:r w:rsidR="00F02373">
        <w:rPr>
          <w:color w:val="000000"/>
        </w:rPr>
        <w:t xml:space="preserve"> </w:t>
      </w:r>
    </w:p>
    <w:p w14:paraId="70C56A65" w14:textId="7EC5E32F" w:rsidR="009113C5" w:rsidRDefault="009113C5" w:rsidP="005B740F">
      <w:r>
        <w:t>As per the 2021-22 Budget Outlook, the Government is providing support to occupations that have been significantly affected during the COVID-19 pandemic by reducing licence renewal fees for construction occupational licences.</w:t>
      </w:r>
    </w:p>
    <w:p w14:paraId="08A976E4" w14:textId="6842C332" w:rsidR="009113C5" w:rsidRDefault="009113C5" w:rsidP="005B740F"/>
    <w:p w14:paraId="6447421C" w14:textId="4BFDB3A0" w:rsidR="009113C5" w:rsidRDefault="009113C5" w:rsidP="005B740F">
      <w:r>
        <w:t>The Government will waive late renewal fees for the construction sector and provide a 20 per cent reduction in annual licence renewal fees for a range of construction occupational licences in 2021-22. These licences include:</w:t>
      </w:r>
    </w:p>
    <w:p w14:paraId="48918A37" w14:textId="4BA62DD0" w:rsidR="00A335A2" w:rsidRDefault="00A335A2" w:rsidP="009113C5">
      <w:pPr>
        <w:pStyle w:val="ListParagraph"/>
        <w:numPr>
          <w:ilvl w:val="0"/>
          <w:numId w:val="11"/>
        </w:numPr>
      </w:pPr>
      <w:r>
        <w:t>Builder;</w:t>
      </w:r>
    </w:p>
    <w:p w14:paraId="41385808" w14:textId="3C591B32" w:rsidR="00A335A2" w:rsidRPr="0060793C" w:rsidRDefault="00A335A2" w:rsidP="009113C5">
      <w:pPr>
        <w:pStyle w:val="ListParagraph"/>
        <w:numPr>
          <w:ilvl w:val="0"/>
          <w:numId w:val="11"/>
        </w:numPr>
      </w:pPr>
      <w:r w:rsidRPr="0060793C">
        <w:t>Building Surveyor;</w:t>
      </w:r>
    </w:p>
    <w:p w14:paraId="41752402" w14:textId="1702E443" w:rsidR="00A335A2" w:rsidRDefault="00A335A2" w:rsidP="009113C5">
      <w:pPr>
        <w:pStyle w:val="ListParagraph"/>
        <w:numPr>
          <w:ilvl w:val="0"/>
          <w:numId w:val="11"/>
        </w:numPr>
      </w:pPr>
      <w:r>
        <w:t>Building Assessor, Electrician, Gas Appliance Worker, Plumbing Plan Certifier</w:t>
      </w:r>
      <w:r w:rsidR="0060793C">
        <w:t xml:space="preserve"> or</w:t>
      </w:r>
      <w:r>
        <w:t xml:space="preserve"> Work Assessor</w:t>
      </w:r>
      <w:r w:rsidR="0060793C">
        <w:t>; and</w:t>
      </w:r>
    </w:p>
    <w:p w14:paraId="2EA773F1" w14:textId="3817169B" w:rsidR="0060793C" w:rsidRDefault="0060793C" w:rsidP="009113C5">
      <w:pPr>
        <w:pStyle w:val="ListParagraph"/>
        <w:numPr>
          <w:ilvl w:val="0"/>
          <w:numId w:val="11"/>
        </w:numPr>
      </w:pPr>
      <w:r>
        <w:t>Drainer, Gasfitter and Plumber.</w:t>
      </w:r>
    </w:p>
    <w:p w14:paraId="7E8B1B68" w14:textId="77777777" w:rsidR="009113C5" w:rsidRDefault="009113C5" w:rsidP="005B740F"/>
    <w:p w14:paraId="44100FE9" w14:textId="7FA678B6" w:rsidR="00D771CB" w:rsidRDefault="005B740F" w:rsidP="005B740F">
      <w:pPr>
        <w:pStyle w:val="Header"/>
        <w:tabs>
          <w:tab w:val="clear" w:pos="4153"/>
          <w:tab w:val="clear" w:pos="8306"/>
        </w:tabs>
      </w:pPr>
      <w:r>
        <w:t xml:space="preserve">The instrument commences on </w:t>
      </w:r>
      <w:r w:rsidR="00D91BAA">
        <w:t>the day after its notification day</w:t>
      </w:r>
      <w:r w:rsidR="008C05D0">
        <w:t xml:space="preserve">, </w:t>
      </w:r>
      <w:r w:rsidR="00D91BAA">
        <w:t xml:space="preserve">and </w:t>
      </w:r>
      <w:r w:rsidR="008C05D0">
        <w:t>retrospectively appl</w:t>
      </w:r>
      <w:r w:rsidR="00D91BAA">
        <w:t>ies</w:t>
      </w:r>
      <w:r w:rsidR="008C05D0">
        <w:t xml:space="preserve"> the 20 per cent reduction in annual licence renewal fees </w:t>
      </w:r>
      <w:r w:rsidR="00D91BAA">
        <w:t>to the start of the 2021-22 financial year</w:t>
      </w:r>
      <w:r>
        <w:t>.</w:t>
      </w:r>
    </w:p>
    <w:p w14:paraId="117F47DB" w14:textId="77777777" w:rsidR="00D771CB" w:rsidRDefault="00D771CB" w:rsidP="005B740F">
      <w:pPr>
        <w:pStyle w:val="Header"/>
        <w:tabs>
          <w:tab w:val="clear" w:pos="4153"/>
          <w:tab w:val="clear" w:pos="8306"/>
        </w:tabs>
      </w:pPr>
    </w:p>
    <w:p w14:paraId="0A3433FA" w14:textId="174EF11E" w:rsidR="005B740F" w:rsidRDefault="008C05D0" w:rsidP="00D771CB">
      <w:pPr>
        <w:pStyle w:val="Header"/>
        <w:widowControl/>
        <w:tabs>
          <w:tab w:val="clear" w:pos="4153"/>
          <w:tab w:val="clear" w:pos="8306"/>
        </w:tabs>
      </w:pPr>
      <w:r>
        <w:t xml:space="preserve">Section 76 (1) of the </w:t>
      </w:r>
      <w:r w:rsidRPr="008C05D0">
        <w:rPr>
          <w:i/>
          <w:iCs/>
        </w:rPr>
        <w:t>Legislation Act 2001</w:t>
      </w:r>
      <w:r>
        <w:t xml:space="preserve"> provides that a statutory instrument may provide that a non-prejudicial provision of the instrument commences retrospectively. In this case, reducing certain annual licence fees by 20 per cent is non-prejudicial </w:t>
      </w:r>
      <w:r w:rsidR="007E3174">
        <w:t xml:space="preserve">and does not operate to the disadvantage of a person by adversely affecting the person’s rights or imposing liabilities on the person. The introduction of a 20 per cent fee reduction for certain annual licences is intended to benefit the construction sector that has been affected by the COVID-19 lockdown. The Government </w:t>
      </w:r>
      <w:r w:rsidR="00D771CB">
        <w:t>will arrange</w:t>
      </w:r>
      <w:r w:rsidR="007E3174">
        <w:t xml:space="preserve"> reimbursement to any person who ha</w:t>
      </w:r>
      <w:r w:rsidR="00D91BAA">
        <w:t>d</w:t>
      </w:r>
      <w:r w:rsidR="007E3174">
        <w:t xml:space="preserve"> paid the previous </w:t>
      </w:r>
      <w:r w:rsidR="00D91BAA">
        <w:t xml:space="preserve">(non-reduced) </w:t>
      </w:r>
      <w:r w:rsidR="00D771CB">
        <w:t>fee between 1</w:t>
      </w:r>
      <w:r w:rsidR="00D91BAA">
        <w:t> </w:t>
      </w:r>
      <w:r w:rsidR="00D771CB">
        <w:t xml:space="preserve">July 2021 and the </w:t>
      </w:r>
      <w:r w:rsidR="00D91BAA">
        <w:t>commencement of this instrument</w:t>
      </w:r>
      <w:r w:rsidR="00D771CB">
        <w:t>.</w:t>
      </w:r>
    </w:p>
    <w:p w14:paraId="0FBAB233" w14:textId="77777777" w:rsidR="005B740F" w:rsidRDefault="005B740F" w:rsidP="005B740F">
      <w:pPr>
        <w:pStyle w:val="Header"/>
        <w:tabs>
          <w:tab w:val="clear" w:pos="4153"/>
          <w:tab w:val="clear" w:pos="8306"/>
        </w:tabs>
      </w:pPr>
    </w:p>
    <w:p w14:paraId="085300BC" w14:textId="0BED9A09" w:rsidR="005B740F" w:rsidRPr="00543F67" w:rsidRDefault="005B740F" w:rsidP="005B740F">
      <w:pPr>
        <w:pStyle w:val="Header"/>
        <w:tabs>
          <w:tab w:val="clear" w:pos="4153"/>
          <w:tab w:val="clear" w:pos="8306"/>
        </w:tabs>
      </w:pPr>
      <w:r>
        <w:t xml:space="preserve">This instrument revokes the </w:t>
      </w:r>
      <w:r>
        <w:rPr>
          <w:i/>
        </w:rPr>
        <w:t xml:space="preserve">Construction Occupations (Licensing) (Fees) Determination </w:t>
      </w:r>
      <w:r w:rsidR="008C05D0">
        <w:rPr>
          <w:i/>
        </w:rPr>
        <w:t>2021</w:t>
      </w:r>
      <w:r>
        <w:rPr>
          <w:i/>
        </w:rPr>
        <w:t xml:space="preserve"> </w:t>
      </w:r>
      <w:r>
        <w:t>(DI</w:t>
      </w:r>
      <w:r w:rsidR="008C05D0">
        <w:t>2021-74</w:t>
      </w:r>
      <w:r>
        <w:t>).</w:t>
      </w:r>
    </w:p>
    <w:p w14:paraId="734FD43B" w14:textId="77777777" w:rsidR="005B740F" w:rsidRDefault="005B740F" w:rsidP="005B740F">
      <w:pPr>
        <w:pStyle w:val="Header"/>
        <w:tabs>
          <w:tab w:val="clear" w:pos="4153"/>
          <w:tab w:val="clear" w:pos="8306"/>
        </w:tabs>
      </w:pPr>
    </w:p>
    <w:p w14:paraId="588DD484" w14:textId="493C7C88" w:rsidR="005B740F" w:rsidRDefault="005B740F" w:rsidP="005B740F">
      <w:pPr>
        <w:pStyle w:val="LongTitle"/>
        <w:spacing w:before="0" w:after="0"/>
      </w:pPr>
      <w:r>
        <w:t xml:space="preserve">The determination under section 127 of the Act is a disallowable instrument </w:t>
      </w:r>
      <w:r>
        <w:rPr>
          <w:lang w:eastAsia="en-AU"/>
        </w:rPr>
        <w:t xml:space="preserve">and must be presented to the Legislative Assembly within 6 sitting days after its notification pursuant to section 64 of the </w:t>
      </w:r>
      <w:r>
        <w:rPr>
          <w:iCs/>
          <w:lang w:eastAsia="en-AU"/>
        </w:rPr>
        <w:t>Legislation Act</w:t>
      </w:r>
      <w:r>
        <w:rPr>
          <w:lang w:eastAsia="en-AU"/>
        </w:rPr>
        <w:t>.</w:t>
      </w:r>
    </w:p>
    <w:p w14:paraId="541EBA2C" w14:textId="77777777" w:rsidR="005B740F" w:rsidRDefault="005B740F" w:rsidP="005B740F">
      <w:pPr>
        <w:pStyle w:val="Header"/>
        <w:tabs>
          <w:tab w:val="left" w:pos="720"/>
        </w:tabs>
      </w:pPr>
    </w:p>
    <w:p w14:paraId="39D90B3E" w14:textId="77777777" w:rsidR="005B740F" w:rsidRDefault="005B740F" w:rsidP="005B740F">
      <w:pPr>
        <w:keepNext/>
        <w:autoSpaceDE w:val="0"/>
        <w:autoSpaceDN w:val="0"/>
        <w:adjustRightInd w:val="0"/>
        <w:rPr>
          <w:b/>
          <w:lang w:eastAsia="en-AU"/>
        </w:rPr>
      </w:pPr>
      <w:r>
        <w:rPr>
          <w:b/>
          <w:lang w:eastAsia="en-AU"/>
        </w:rPr>
        <w:t>Regulatory Impact Statement (RIS)</w:t>
      </w:r>
    </w:p>
    <w:p w14:paraId="56911A85" w14:textId="77777777" w:rsidR="005B740F" w:rsidRDefault="005B740F" w:rsidP="005B740F">
      <w:pPr>
        <w:autoSpaceDE w:val="0"/>
        <w:autoSpaceDN w:val="0"/>
        <w:adjustRightInd w:val="0"/>
        <w:rPr>
          <w:lang w:eastAsia="en-AU"/>
        </w:rPr>
      </w:pPr>
      <w:r>
        <w:rPr>
          <w:lang w:eastAsia="en-AU"/>
        </w:rPr>
        <w:t xml:space="preserve">A RIS is not required for this fee determination due to section 36 (1) (k) of the Legislation Act, which provides that a RIS need not be prepared for an amendment of a fee consistent with announced government policy. </w:t>
      </w:r>
    </w:p>
    <w:p w14:paraId="17B347B8" w14:textId="77777777" w:rsidR="005B740F" w:rsidRDefault="005B740F" w:rsidP="005B740F">
      <w:pPr>
        <w:autoSpaceDE w:val="0"/>
        <w:autoSpaceDN w:val="0"/>
        <w:adjustRightInd w:val="0"/>
        <w:rPr>
          <w:lang w:eastAsia="en-AU"/>
        </w:rPr>
      </w:pPr>
    </w:p>
    <w:p w14:paraId="53D32ACB" w14:textId="77777777" w:rsidR="005B740F" w:rsidRDefault="005B740F" w:rsidP="005B740F">
      <w:pPr>
        <w:autoSpaceDE w:val="0"/>
        <w:autoSpaceDN w:val="0"/>
        <w:adjustRightInd w:val="0"/>
        <w:rPr>
          <w:b/>
          <w:color w:val="000000"/>
        </w:rPr>
      </w:pPr>
      <w:r>
        <w:rPr>
          <w:b/>
          <w:color w:val="000000"/>
        </w:rPr>
        <w:t>Human Rights</w:t>
      </w:r>
    </w:p>
    <w:p w14:paraId="671D9C7D" w14:textId="77777777" w:rsidR="005B740F" w:rsidRDefault="005B740F" w:rsidP="005B740F">
      <w:pPr>
        <w:pStyle w:val="Header"/>
        <w:tabs>
          <w:tab w:val="left" w:pos="720"/>
        </w:tabs>
      </w:pPr>
      <w:r>
        <w:t>The Standing Committee on Justice and Community Safety (Legislative Scrutiny Role) terms of reference require consideration of human rights impacts, among other matters. In this case, no human rights are impacted.</w:t>
      </w:r>
    </w:p>
    <w:p w14:paraId="76095314" w14:textId="77777777" w:rsidR="003C4CB7" w:rsidRDefault="003C4CB7" w:rsidP="00F53625">
      <w:pPr>
        <w:pStyle w:val="Header"/>
        <w:widowControl/>
        <w:tabs>
          <w:tab w:val="clear" w:pos="4153"/>
          <w:tab w:val="clear" w:pos="8306"/>
        </w:tabs>
        <w:spacing w:after="240"/>
      </w:pPr>
    </w:p>
    <w:sectPr w:rsidR="003C4CB7" w:rsidSect="0072165A">
      <w:headerReference w:type="even" r:id="rId8"/>
      <w:headerReference w:type="default" r:id="rId9"/>
      <w:footerReference w:type="even" r:id="rId10"/>
      <w:footerReference w:type="default" r:id="rId11"/>
      <w:headerReference w:type="first" r:id="rId12"/>
      <w:footerReference w:type="first" r:id="rId13"/>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EE2AC" w14:textId="77777777" w:rsidR="004573E0" w:rsidRDefault="004573E0" w:rsidP="0072165A">
      <w:r>
        <w:separator/>
      </w:r>
    </w:p>
  </w:endnote>
  <w:endnote w:type="continuationSeparator" w:id="0">
    <w:p w14:paraId="628998ED" w14:textId="77777777" w:rsidR="004573E0" w:rsidRDefault="004573E0" w:rsidP="0072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7637" w14:textId="77777777" w:rsidR="003338AA" w:rsidRDefault="00333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3BA4B" w14:textId="1F953955" w:rsidR="00FF28C4" w:rsidRPr="003338AA" w:rsidRDefault="003338AA" w:rsidP="003338AA">
    <w:pPr>
      <w:pStyle w:val="Footer"/>
      <w:jc w:val="center"/>
      <w:rPr>
        <w:rFonts w:ascii="Arial" w:hAnsi="Arial" w:cs="Arial"/>
        <w:sz w:val="14"/>
      </w:rPr>
    </w:pPr>
    <w:r w:rsidRPr="003338AA">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24A32" w14:textId="77777777" w:rsidR="003338AA" w:rsidRDefault="00333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7C2CF" w14:textId="77777777" w:rsidR="004573E0" w:rsidRDefault="004573E0" w:rsidP="0072165A">
      <w:r>
        <w:separator/>
      </w:r>
    </w:p>
  </w:footnote>
  <w:footnote w:type="continuationSeparator" w:id="0">
    <w:p w14:paraId="4FFD3E9E" w14:textId="77777777" w:rsidR="004573E0" w:rsidRDefault="004573E0" w:rsidP="00721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B5D0F" w14:textId="77777777" w:rsidR="003338AA" w:rsidRDefault="00333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BF05" w14:textId="77777777" w:rsidR="003338AA" w:rsidRDefault="003338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0C131" w14:textId="77777777" w:rsidR="003338AA" w:rsidRDefault="003338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Chapter %1"/>
      <w:legacy w:legacy="1" w:legacySpace="120" w:legacyIndent="360"/>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15:restartNumberingAfterBreak="0">
    <w:nsid w:val="0FAF5F6E"/>
    <w:multiLevelType w:val="singleLevel"/>
    <w:tmpl w:val="0C09000F"/>
    <w:lvl w:ilvl="0">
      <w:start w:val="1"/>
      <w:numFmt w:val="decimal"/>
      <w:lvlText w:val="%1."/>
      <w:lvlJc w:val="left"/>
      <w:pPr>
        <w:tabs>
          <w:tab w:val="num" w:pos="360"/>
        </w:tabs>
        <w:ind w:left="360" w:hanging="360"/>
      </w:pPr>
      <w:rPr>
        <w:rFonts w:cs="Times New Roman"/>
      </w:rPr>
    </w:lvl>
  </w:abstractNum>
  <w:abstractNum w:abstractNumId="2" w15:restartNumberingAfterBreak="0">
    <w:nsid w:val="31C8780C"/>
    <w:multiLevelType w:val="singleLevel"/>
    <w:tmpl w:val="0C09000F"/>
    <w:lvl w:ilvl="0">
      <w:start w:val="1"/>
      <w:numFmt w:val="decimal"/>
      <w:lvlText w:val="%1."/>
      <w:lvlJc w:val="left"/>
      <w:pPr>
        <w:tabs>
          <w:tab w:val="num" w:pos="360"/>
        </w:tabs>
        <w:ind w:left="360" w:hanging="360"/>
      </w:pPr>
      <w:rPr>
        <w:rFonts w:cs="Times New Roman"/>
      </w:rPr>
    </w:lvl>
  </w:abstractNum>
  <w:abstractNum w:abstractNumId="3" w15:restartNumberingAfterBreak="0">
    <w:nsid w:val="346C3F30"/>
    <w:multiLevelType w:val="hybridMultilevel"/>
    <w:tmpl w:val="9D821FEE"/>
    <w:lvl w:ilvl="0" w:tplc="F6AA744A">
      <w:start w:val="1"/>
      <w:numFmt w:val="bullet"/>
      <w:lvlText w:val=""/>
      <w:lvlJc w:val="left"/>
      <w:pPr>
        <w:tabs>
          <w:tab w:val="num" w:pos="340"/>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A27359"/>
    <w:multiLevelType w:val="hybridMultilevel"/>
    <w:tmpl w:val="BE2C4B78"/>
    <w:lvl w:ilvl="0" w:tplc="5136D70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102938"/>
    <w:multiLevelType w:val="hybridMultilevel"/>
    <w:tmpl w:val="2640AF9E"/>
    <w:lvl w:ilvl="0" w:tplc="E592CCDA">
      <w:start w:val="1"/>
      <w:numFmt w:val="bullet"/>
      <w:pStyle w:val="dot2"/>
      <w:lvlText w:val="-"/>
      <w:lvlJc w:val="left"/>
      <w:pPr>
        <w:tabs>
          <w:tab w:val="num" w:pos="1134"/>
        </w:tabs>
        <w:ind w:left="1134" w:hanging="567"/>
      </w:pPr>
      <w:rPr>
        <w:rFonts w:ascii="Arial" w:hAnsi="Aria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173158"/>
    <w:multiLevelType w:val="singleLevel"/>
    <w:tmpl w:val="64243594"/>
    <w:lvl w:ilvl="0">
      <w:start w:val="45"/>
      <w:numFmt w:val="bullet"/>
      <w:lvlText w:val="-"/>
      <w:lvlJc w:val="left"/>
      <w:pPr>
        <w:tabs>
          <w:tab w:val="num" w:pos="360"/>
        </w:tabs>
        <w:ind w:left="360" w:hanging="360"/>
      </w:pPr>
      <w:rPr>
        <w:rFonts w:hint="default"/>
      </w:rPr>
    </w:lvl>
  </w:abstractNum>
  <w:abstractNum w:abstractNumId="7" w15:restartNumberingAfterBreak="0">
    <w:nsid w:val="5C9D2A29"/>
    <w:multiLevelType w:val="hybridMultilevel"/>
    <w:tmpl w:val="3BCEA0D4"/>
    <w:lvl w:ilvl="0" w:tplc="9C0C0C78">
      <w:start w:val="1"/>
      <w:numFmt w:val="bullet"/>
      <w:pStyle w:val="Dotpoint"/>
      <w:lvlText w:val=""/>
      <w:lvlJc w:val="left"/>
      <w:pPr>
        <w:tabs>
          <w:tab w:val="num" w:pos="567"/>
        </w:tabs>
        <w:ind w:left="567" w:hanging="567"/>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3416E6"/>
    <w:multiLevelType w:val="hybridMultilevel"/>
    <w:tmpl w:val="71FEB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11A503F"/>
    <w:multiLevelType w:val="hybridMultilevel"/>
    <w:tmpl w:val="780E2224"/>
    <w:lvl w:ilvl="0" w:tplc="D2187980">
      <w:start w:val="1"/>
      <w:numFmt w:val="bullet"/>
      <w:pStyle w:val="dot"/>
      <w:lvlText w:val=""/>
      <w:lvlJc w:val="left"/>
      <w:pPr>
        <w:tabs>
          <w:tab w:val="num" w:pos="567"/>
        </w:tabs>
        <w:ind w:left="567" w:hanging="567"/>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
  </w:num>
  <w:num w:numId="3">
    <w:abstractNumId w:val="7"/>
  </w:num>
  <w:num w:numId="4">
    <w:abstractNumId w:val="7"/>
  </w:num>
  <w:num w:numId="5">
    <w:abstractNumId w:val="6"/>
  </w:num>
  <w:num w:numId="6">
    <w:abstractNumId w:val="0"/>
  </w:num>
  <w:num w:numId="7">
    <w:abstractNumId w:val="1"/>
  </w:num>
  <w:num w:numId="8">
    <w:abstractNumId w:val="2"/>
  </w:num>
  <w:num w:numId="9">
    <w:abstractNumId w:val="3"/>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B33"/>
    <w:rsid w:val="00021B33"/>
    <w:rsid w:val="00030978"/>
    <w:rsid w:val="00042B71"/>
    <w:rsid w:val="00060A33"/>
    <w:rsid w:val="00064D84"/>
    <w:rsid w:val="0007102B"/>
    <w:rsid w:val="0007274D"/>
    <w:rsid w:val="000A1A53"/>
    <w:rsid w:val="000A6A00"/>
    <w:rsid w:val="000C511F"/>
    <w:rsid w:val="000D5C43"/>
    <w:rsid w:val="000D7A02"/>
    <w:rsid w:val="000E2514"/>
    <w:rsid w:val="00110808"/>
    <w:rsid w:val="00140735"/>
    <w:rsid w:val="001673C6"/>
    <w:rsid w:val="00187DEA"/>
    <w:rsid w:val="001C6B61"/>
    <w:rsid w:val="001E44E9"/>
    <w:rsid w:val="00226B08"/>
    <w:rsid w:val="00245CDA"/>
    <w:rsid w:val="002653F2"/>
    <w:rsid w:val="002675EF"/>
    <w:rsid w:val="00287BDE"/>
    <w:rsid w:val="002924EA"/>
    <w:rsid w:val="002B0395"/>
    <w:rsid w:val="002B0424"/>
    <w:rsid w:val="002C16C9"/>
    <w:rsid w:val="002C7E2A"/>
    <w:rsid w:val="002E0E5F"/>
    <w:rsid w:val="002E70BC"/>
    <w:rsid w:val="003338AA"/>
    <w:rsid w:val="00363207"/>
    <w:rsid w:val="00367713"/>
    <w:rsid w:val="00377AF7"/>
    <w:rsid w:val="003908BD"/>
    <w:rsid w:val="003C4CB7"/>
    <w:rsid w:val="003C5B94"/>
    <w:rsid w:val="003D00F2"/>
    <w:rsid w:val="003E0B7E"/>
    <w:rsid w:val="004172C1"/>
    <w:rsid w:val="004268B4"/>
    <w:rsid w:val="004573E0"/>
    <w:rsid w:val="004F71B8"/>
    <w:rsid w:val="00517DF8"/>
    <w:rsid w:val="00543F67"/>
    <w:rsid w:val="005B740F"/>
    <w:rsid w:val="005F3DAA"/>
    <w:rsid w:val="0060793C"/>
    <w:rsid w:val="0064249B"/>
    <w:rsid w:val="00672A62"/>
    <w:rsid w:val="00673694"/>
    <w:rsid w:val="006803D3"/>
    <w:rsid w:val="00692DD3"/>
    <w:rsid w:val="006C0535"/>
    <w:rsid w:val="006C1CEC"/>
    <w:rsid w:val="006E080A"/>
    <w:rsid w:val="006E40A4"/>
    <w:rsid w:val="006E76F2"/>
    <w:rsid w:val="006F3430"/>
    <w:rsid w:val="006F5CEE"/>
    <w:rsid w:val="007154B0"/>
    <w:rsid w:val="0072165A"/>
    <w:rsid w:val="00723AEB"/>
    <w:rsid w:val="0075507C"/>
    <w:rsid w:val="007644D3"/>
    <w:rsid w:val="00797477"/>
    <w:rsid w:val="007A2A8B"/>
    <w:rsid w:val="007D3D99"/>
    <w:rsid w:val="007D7D7C"/>
    <w:rsid w:val="007E3174"/>
    <w:rsid w:val="0080011C"/>
    <w:rsid w:val="0080286E"/>
    <w:rsid w:val="00832A81"/>
    <w:rsid w:val="00832F78"/>
    <w:rsid w:val="008B2BFA"/>
    <w:rsid w:val="008C05D0"/>
    <w:rsid w:val="008D062E"/>
    <w:rsid w:val="008D497B"/>
    <w:rsid w:val="008D751F"/>
    <w:rsid w:val="008E45F5"/>
    <w:rsid w:val="008E62C8"/>
    <w:rsid w:val="008F381F"/>
    <w:rsid w:val="008F4F49"/>
    <w:rsid w:val="008F7402"/>
    <w:rsid w:val="009113C5"/>
    <w:rsid w:val="009152DB"/>
    <w:rsid w:val="009201A2"/>
    <w:rsid w:val="009572C2"/>
    <w:rsid w:val="00964895"/>
    <w:rsid w:val="0099441E"/>
    <w:rsid w:val="009B03F3"/>
    <w:rsid w:val="009B6376"/>
    <w:rsid w:val="009C1CD5"/>
    <w:rsid w:val="009F7B50"/>
    <w:rsid w:val="00A01459"/>
    <w:rsid w:val="00A10D81"/>
    <w:rsid w:val="00A23625"/>
    <w:rsid w:val="00A335A2"/>
    <w:rsid w:val="00A36468"/>
    <w:rsid w:val="00A70C28"/>
    <w:rsid w:val="00A82EB1"/>
    <w:rsid w:val="00AC5D3E"/>
    <w:rsid w:val="00AE43BD"/>
    <w:rsid w:val="00B00A05"/>
    <w:rsid w:val="00B234BF"/>
    <w:rsid w:val="00B424AD"/>
    <w:rsid w:val="00B64D44"/>
    <w:rsid w:val="00B800EB"/>
    <w:rsid w:val="00B81534"/>
    <w:rsid w:val="00BB5B38"/>
    <w:rsid w:val="00BC7D82"/>
    <w:rsid w:val="00BD4042"/>
    <w:rsid w:val="00C1504A"/>
    <w:rsid w:val="00C456D1"/>
    <w:rsid w:val="00C57E61"/>
    <w:rsid w:val="00C620F0"/>
    <w:rsid w:val="00C91BBE"/>
    <w:rsid w:val="00C95817"/>
    <w:rsid w:val="00CE4425"/>
    <w:rsid w:val="00CF68D5"/>
    <w:rsid w:val="00D11C69"/>
    <w:rsid w:val="00D367C6"/>
    <w:rsid w:val="00D61E80"/>
    <w:rsid w:val="00D659EE"/>
    <w:rsid w:val="00D771CB"/>
    <w:rsid w:val="00D9185A"/>
    <w:rsid w:val="00D91BAA"/>
    <w:rsid w:val="00DF73B1"/>
    <w:rsid w:val="00E4002B"/>
    <w:rsid w:val="00E622EE"/>
    <w:rsid w:val="00E679CC"/>
    <w:rsid w:val="00E865F5"/>
    <w:rsid w:val="00E94D2B"/>
    <w:rsid w:val="00EA4279"/>
    <w:rsid w:val="00EA61B2"/>
    <w:rsid w:val="00EC1B63"/>
    <w:rsid w:val="00EC7D6A"/>
    <w:rsid w:val="00EF1AE9"/>
    <w:rsid w:val="00F02373"/>
    <w:rsid w:val="00F0413B"/>
    <w:rsid w:val="00F1053C"/>
    <w:rsid w:val="00F20ABC"/>
    <w:rsid w:val="00F2786D"/>
    <w:rsid w:val="00F37D26"/>
    <w:rsid w:val="00F53625"/>
    <w:rsid w:val="00F62746"/>
    <w:rsid w:val="00F64A07"/>
    <w:rsid w:val="00FD1726"/>
    <w:rsid w:val="00FD5650"/>
    <w:rsid w:val="00FF28C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86A7BCF"/>
  <w14:defaultImageDpi w14:val="0"/>
  <w15:docId w15:val="{B9956A1D-6941-4DC9-8CA1-B9FE67CF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pPr>
      <w:keepNext/>
      <w:tabs>
        <w:tab w:val="left" w:pos="2880"/>
      </w:tabs>
      <w:autoSpaceDE w:val="0"/>
      <w:autoSpaceDN w:val="0"/>
      <w:spacing w:before="240" w:after="60"/>
      <w:outlineLvl w:val="0"/>
    </w:pPr>
    <w:rPr>
      <w:rFonts w:ascii="Arial" w:hAnsi="Arial" w:cs="Arial"/>
      <w:b/>
      <w:bCs/>
      <w:kern w:val="28"/>
      <w:sz w:val="28"/>
      <w:szCs w:val="28"/>
      <w:lang w:val="en-US"/>
    </w:rPr>
  </w:style>
  <w:style w:type="paragraph" w:styleId="Heading2">
    <w:name w:val="heading 2"/>
    <w:basedOn w:val="Normal"/>
    <w:next w:val="Normal"/>
    <w:link w:val="Heading2Char"/>
    <w:uiPriority w:val="9"/>
    <w:qFormat/>
    <w:pPr>
      <w:keepNext/>
      <w:tabs>
        <w:tab w:val="left" w:pos="2880"/>
      </w:tabs>
      <w:autoSpaceDE w:val="0"/>
      <w:autoSpaceDN w:val="0"/>
      <w:spacing w:before="240" w:after="60"/>
      <w:outlineLvl w:val="1"/>
    </w:pPr>
    <w:rPr>
      <w:rFonts w:ascii="Arial" w:hAnsi="Arial" w:cs="Arial"/>
      <w:b/>
      <w:bCs/>
      <w:i/>
      <w:iCs/>
      <w:sz w:val="20"/>
      <w:lang w:val="en-US"/>
    </w:rPr>
  </w:style>
  <w:style w:type="paragraph" w:styleId="Heading3">
    <w:name w:val="heading 3"/>
    <w:basedOn w:val="Normal"/>
    <w:next w:val="Normal"/>
    <w:link w:val="Heading3Char"/>
    <w:uiPriority w:val="9"/>
    <w:qFormat/>
    <w:pPr>
      <w:keepNext/>
      <w:tabs>
        <w:tab w:val="left" w:pos="2880"/>
      </w:tabs>
      <w:autoSpaceDE w:val="0"/>
      <w:autoSpaceDN w:val="0"/>
      <w:spacing w:before="240" w:after="60"/>
      <w:outlineLvl w:val="2"/>
    </w:pPr>
    <w:rPr>
      <w:rFonts w:ascii="Arial" w:hAnsi="Arial" w:cs="Arial"/>
      <w:sz w:val="20"/>
      <w:lang w:val="en-US"/>
    </w:rPr>
  </w:style>
  <w:style w:type="paragraph" w:styleId="Heading4">
    <w:name w:val="heading 4"/>
    <w:basedOn w:val="Normal"/>
    <w:next w:val="Normal"/>
    <w:link w:val="Heading4Char"/>
    <w:uiPriority w:val="9"/>
    <w:qFormat/>
    <w:pPr>
      <w:keepNext/>
      <w:tabs>
        <w:tab w:val="left" w:pos="2880"/>
      </w:tabs>
      <w:autoSpaceDE w:val="0"/>
      <w:autoSpaceDN w:val="0"/>
      <w:spacing w:before="240" w:after="60"/>
      <w:outlineLvl w:val="3"/>
    </w:pPr>
    <w:rPr>
      <w:rFonts w:ascii="Arial" w:hAnsi="Arial" w:cs="Arial"/>
      <w:b/>
      <w:bCs/>
      <w:sz w:val="20"/>
      <w:lang w:val="en-US"/>
    </w:rPr>
  </w:style>
  <w:style w:type="paragraph" w:styleId="Heading5">
    <w:name w:val="heading 5"/>
    <w:basedOn w:val="Normal"/>
    <w:next w:val="Normal"/>
    <w:link w:val="Heading5Char"/>
    <w:uiPriority w:val="9"/>
    <w:qFormat/>
    <w:pPr>
      <w:tabs>
        <w:tab w:val="left" w:pos="2880"/>
      </w:tabs>
      <w:autoSpaceDE w:val="0"/>
      <w:autoSpaceDN w:val="0"/>
      <w:spacing w:before="240" w:after="60"/>
      <w:outlineLvl w:val="4"/>
    </w:pPr>
    <w:rPr>
      <w:sz w:val="22"/>
      <w:szCs w:val="22"/>
      <w:lang w:val="en-US"/>
    </w:rPr>
  </w:style>
  <w:style w:type="paragraph" w:styleId="Heading6">
    <w:name w:val="heading 6"/>
    <w:basedOn w:val="Normal"/>
    <w:next w:val="Normal"/>
    <w:link w:val="Heading6Char"/>
    <w:uiPriority w:val="9"/>
    <w:qFormat/>
    <w:pPr>
      <w:keepNext/>
      <w:outlineLvl w:val="5"/>
    </w:pPr>
    <w:rPr>
      <w:b/>
      <w:bCs/>
    </w:rPr>
  </w:style>
  <w:style w:type="paragraph" w:styleId="Heading7">
    <w:name w:val="heading 7"/>
    <w:basedOn w:val="Normal"/>
    <w:next w:val="Normal"/>
    <w:link w:val="Heading7Char"/>
    <w:uiPriority w:val="9"/>
    <w:qFormat/>
    <w:pPr>
      <w:tabs>
        <w:tab w:val="left" w:pos="2880"/>
      </w:tabs>
      <w:autoSpaceDE w:val="0"/>
      <w:autoSpaceDN w:val="0"/>
      <w:spacing w:before="240" w:after="60"/>
      <w:outlineLvl w:val="6"/>
    </w:pPr>
    <w:rPr>
      <w:rFonts w:ascii="Arial" w:hAnsi="Arial" w:cs="Arial"/>
      <w:sz w:val="20"/>
      <w:szCs w:val="20"/>
      <w:lang w:val="en-US"/>
    </w:rPr>
  </w:style>
  <w:style w:type="paragraph" w:styleId="Heading8">
    <w:name w:val="heading 8"/>
    <w:basedOn w:val="Normal"/>
    <w:next w:val="Normal"/>
    <w:link w:val="Heading8Char"/>
    <w:uiPriority w:val="9"/>
    <w:qFormat/>
    <w:pPr>
      <w:tabs>
        <w:tab w:val="left" w:pos="2880"/>
      </w:tabs>
      <w:autoSpaceDE w:val="0"/>
      <w:autoSpaceDN w:val="0"/>
      <w:spacing w:before="240" w:after="60"/>
      <w:outlineLvl w:val="7"/>
    </w:pPr>
    <w:rPr>
      <w:rFonts w:ascii="Arial" w:hAnsi="Arial" w:cs="Arial"/>
      <w:i/>
      <w:iCs/>
      <w:sz w:val="20"/>
      <w:szCs w:val="20"/>
      <w:lang w:val="en-US"/>
    </w:rPr>
  </w:style>
  <w:style w:type="paragraph" w:styleId="Heading9">
    <w:name w:val="heading 9"/>
    <w:basedOn w:val="Normal"/>
    <w:next w:val="Normal"/>
    <w:link w:val="Heading9Char"/>
    <w:uiPriority w:val="9"/>
    <w:qFormat/>
    <w:pPr>
      <w:tabs>
        <w:tab w:val="left" w:pos="2880"/>
      </w:tabs>
      <w:autoSpaceDE w:val="0"/>
      <w:autoSpaceDN w:val="0"/>
      <w:spacing w:before="240" w:after="60"/>
      <w:outlineLvl w:val="8"/>
    </w:pPr>
    <w:rPr>
      <w:rFonts w:ascii="Arial" w:hAnsi="Arial" w:cs="Arial"/>
      <w:b/>
      <w:bCs/>
      <w:i/>
      <w:i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lang w:val="x-none" w:eastAsia="en-US"/>
    </w:rPr>
  </w:style>
  <w:style w:type="paragraph" w:styleId="Header">
    <w:name w:val="header"/>
    <w:basedOn w:val="Normal"/>
    <w:link w:val="HeaderChar"/>
    <w:uiPriority w:val="99"/>
    <w:pPr>
      <w:widowControl w:val="0"/>
      <w:tabs>
        <w:tab w:val="center" w:pos="4153"/>
        <w:tab w:val="right" w:pos="8306"/>
      </w:tabs>
    </w:pPr>
    <w:rPr>
      <w:lang w:val="en-US"/>
    </w:rPr>
  </w:style>
  <w:style w:type="character" w:customStyle="1" w:styleId="HeaderChar">
    <w:name w:val="Header Char"/>
    <w:basedOn w:val="DefaultParagraphFont"/>
    <w:link w:val="Header"/>
    <w:uiPriority w:val="99"/>
    <w:locked/>
    <w:rsid w:val="00F20ABC"/>
    <w:rPr>
      <w:rFonts w:cs="Times New Roman"/>
      <w:sz w:val="24"/>
      <w:lang w:val="en-US" w:eastAsia="en-US"/>
    </w:rPr>
  </w:style>
  <w:style w:type="paragraph" w:customStyle="1" w:styleId="Billname">
    <w:name w:val="Billname"/>
    <w:basedOn w:val="Normal"/>
    <w:pPr>
      <w:tabs>
        <w:tab w:val="left" w:pos="2400"/>
        <w:tab w:val="left" w:pos="2880"/>
      </w:tabs>
      <w:spacing w:before="1220" w:after="100"/>
    </w:pPr>
    <w:rPr>
      <w:rFonts w:ascii="Arial" w:hAnsi="Arial" w:cs="Arial"/>
      <w:b/>
      <w:bCs/>
      <w:sz w:val="40"/>
      <w:szCs w:val="40"/>
    </w:rPr>
  </w:style>
  <w:style w:type="paragraph" w:customStyle="1" w:styleId="dot">
    <w:name w:val="dot"/>
    <w:basedOn w:val="Normal"/>
    <w:pPr>
      <w:numPr>
        <w:numId w:val="1"/>
      </w:numPr>
    </w:pPr>
    <w:rPr>
      <w:rFonts w:ascii="Arial" w:hAnsi="Arial" w:cs="Arial"/>
    </w:rPr>
  </w:style>
  <w:style w:type="paragraph" w:customStyle="1" w:styleId="dot2">
    <w:name w:val="dot 2"/>
    <w:basedOn w:val="Normal"/>
    <w:pPr>
      <w:numPr>
        <w:numId w:val="2"/>
      </w:numPr>
    </w:pPr>
    <w:rPr>
      <w:rFonts w:ascii="Arial" w:hAnsi="Arial" w:cs="Arial"/>
    </w:rPr>
  </w:style>
  <w:style w:type="paragraph" w:customStyle="1" w:styleId="para">
    <w:name w:val="para"/>
    <w:basedOn w:val="Normal"/>
    <w:pPr>
      <w:spacing w:before="120" w:after="120"/>
    </w:pPr>
    <w:rPr>
      <w:rFonts w:ascii="Arial" w:hAnsi="Arial" w:cs="Arial"/>
    </w:rPr>
  </w:style>
  <w:style w:type="paragraph" w:customStyle="1" w:styleId="textbox">
    <w:name w:val="text box"/>
    <w:basedOn w:val="Normal"/>
    <w:pPr>
      <w:spacing w:before="60" w:after="60"/>
    </w:pPr>
    <w:rPr>
      <w:rFonts w:ascii="Tahoma" w:hAnsi="Tahoma" w:cs="Tahoma"/>
    </w:rPr>
  </w:style>
  <w:style w:type="paragraph" w:customStyle="1" w:styleId="Dotpoint">
    <w:name w:val="Dot point"/>
    <w:basedOn w:val="Normal"/>
    <w:pPr>
      <w:numPr>
        <w:numId w:val="4"/>
      </w:numPr>
      <w:tabs>
        <w:tab w:val="left" w:pos="851"/>
      </w:tabs>
      <w:spacing w:before="60" w:after="60"/>
    </w:pPr>
    <w:rPr>
      <w:rFonts w:ascii="Arial" w:hAnsi="Arial" w:cs="Arial"/>
      <w:lang w:val="en-US"/>
    </w:rPr>
  </w:style>
  <w:style w:type="paragraph" w:customStyle="1" w:styleId="madeunder">
    <w:name w:val="made under"/>
    <w:basedOn w:val="Normal"/>
    <w:pPr>
      <w:spacing w:before="180" w:after="60"/>
      <w:jc w:val="both"/>
    </w:pPr>
  </w:style>
  <w:style w:type="paragraph" w:customStyle="1" w:styleId="CoverActName">
    <w:name w:val="CoverActName"/>
    <w:basedOn w:val="Normal"/>
    <w:pPr>
      <w:tabs>
        <w:tab w:val="left" w:pos="2600"/>
      </w:tabs>
      <w:spacing w:before="200" w:after="60"/>
      <w:jc w:val="both"/>
    </w:pPr>
    <w:rPr>
      <w:rFonts w:ascii="Arial" w:hAnsi="Arial" w:cs="Arial"/>
      <w:b/>
      <w:bCs/>
    </w:rPr>
  </w:style>
  <w:style w:type="paragraph" w:customStyle="1" w:styleId="N-line3">
    <w:name w:val="N-line3"/>
    <w:basedOn w:val="Normal"/>
    <w:next w:val="Normal"/>
    <w:pPr>
      <w:pBdr>
        <w:bottom w:val="single" w:sz="12" w:space="1" w:color="auto"/>
      </w:pBdr>
      <w:jc w:val="both"/>
    </w:pPr>
  </w:style>
  <w:style w:type="paragraph" w:customStyle="1" w:styleId="LongTitle">
    <w:name w:val="LongTitle"/>
    <w:basedOn w:val="Normal"/>
    <w:pPr>
      <w:spacing w:before="240" w:after="60"/>
      <w:jc w:val="both"/>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lang w:val="x-none" w:eastAsia="en-US"/>
    </w:rPr>
  </w:style>
  <w:style w:type="paragraph" w:customStyle="1" w:styleId="ChronTableBold">
    <w:name w:val="ChronTableBold"/>
    <w:basedOn w:val="Normal"/>
    <w:pPr>
      <w:keepNext/>
      <w:spacing w:before="180"/>
    </w:pPr>
    <w:rPr>
      <w:rFonts w:ascii="Arial" w:hAnsi="Arial" w:cs="Arial"/>
      <w:b/>
      <w:bCs/>
      <w:sz w:val="18"/>
      <w:szCs w:val="18"/>
      <w:lang w:val="en-US"/>
    </w:rPr>
  </w:style>
  <w:style w:type="paragraph" w:customStyle="1" w:styleId="Amain">
    <w:name w:val="A main"/>
    <w:basedOn w:val="Normal"/>
    <w:pPr>
      <w:tabs>
        <w:tab w:val="right" w:pos="500"/>
        <w:tab w:val="left" w:pos="700"/>
      </w:tabs>
      <w:autoSpaceDE w:val="0"/>
      <w:autoSpaceDN w:val="0"/>
      <w:spacing w:before="80" w:after="60"/>
      <w:ind w:left="700" w:hanging="700"/>
      <w:jc w:val="both"/>
    </w:pPr>
    <w:rPr>
      <w:sz w:val="20"/>
    </w:rPr>
  </w:style>
  <w:style w:type="paragraph" w:customStyle="1" w:styleId="AH5Sec">
    <w:name w:val="A H5 Sec"/>
    <w:basedOn w:val="Normal"/>
    <w:next w:val="Amain"/>
    <w:pPr>
      <w:keepNext/>
      <w:tabs>
        <w:tab w:val="left" w:pos="700"/>
      </w:tabs>
      <w:autoSpaceDE w:val="0"/>
      <w:autoSpaceDN w:val="0"/>
      <w:spacing w:before="180" w:after="60"/>
      <w:ind w:left="700" w:hanging="700"/>
    </w:pPr>
    <w:rPr>
      <w:rFonts w:ascii="Arial" w:hAnsi="Arial" w:cs="Arial"/>
      <w:b/>
      <w:bCs/>
      <w:sz w:val="20"/>
    </w:rPr>
  </w:style>
  <w:style w:type="paragraph" w:styleId="Caption">
    <w:name w:val="caption"/>
    <w:basedOn w:val="Normal"/>
    <w:next w:val="Normal"/>
    <w:uiPriority w:val="35"/>
    <w:qFormat/>
    <w:rPr>
      <w:rFonts w:ascii="Arial" w:hAnsi="Arial" w:cs="Arial"/>
      <w:lang w:val="en-GB"/>
    </w:rPr>
  </w:style>
  <w:style w:type="paragraph" w:styleId="BalloonText">
    <w:name w:val="Balloon Text"/>
    <w:basedOn w:val="Normal"/>
    <w:link w:val="BalloonTextChar"/>
    <w:uiPriority w:val="99"/>
    <w:rsid w:val="00287BDE"/>
    <w:rPr>
      <w:rFonts w:ascii="Tahoma" w:hAnsi="Tahoma"/>
      <w:sz w:val="16"/>
      <w:szCs w:val="16"/>
    </w:rPr>
  </w:style>
  <w:style w:type="character" w:customStyle="1" w:styleId="BalloonTextChar">
    <w:name w:val="Balloon Text Char"/>
    <w:basedOn w:val="DefaultParagraphFont"/>
    <w:link w:val="BalloonText"/>
    <w:uiPriority w:val="99"/>
    <w:locked/>
    <w:rsid w:val="00287BDE"/>
    <w:rPr>
      <w:rFonts w:ascii="Tahoma" w:hAnsi="Tahoma" w:cs="Times New Roman"/>
      <w:sz w:val="16"/>
      <w:lang w:val="x-none" w:eastAsia="en-US"/>
    </w:rPr>
  </w:style>
  <w:style w:type="character" w:styleId="CommentReference">
    <w:name w:val="annotation reference"/>
    <w:basedOn w:val="DefaultParagraphFont"/>
    <w:uiPriority w:val="99"/>
    <w:rsid w:val="0072165A"/>
    <w:rPr>
      <w:rFonts w:cs="Times New Roman"/>
      <w:sz w:val="16"/>
    </w:rPr>
  </w:style>
  <w:style w:type="paragraph" w:styleId="CommentText">
    <w:name w:val="annotation text"/>
    <w:basedOn w:val="Normal"/>
    <w:link w:val="CommentTextChar"/>
    <w:uiPriority w:val="99"/>
    <w:rsid w:val="0072165A"/>
    <w:rPr>
      <w:sz w:val="20"/>
      <w:szCs w:val="20"/>
    </w:rPr>
  </w:style>
  <w:style w:type="character" w:customStyle="1" w:styleId="CommentTextChar">
    <w:name w:val="Comment Text Char"/>
    <w:basedOn w:val="DefaultParagraphFont"/>
    <w:link w:val="CommentText"/>
    <w:uiPriority w:val="99"/>
    <w:locked/>
    <w:rsid w:val="0072165A"/>
    <w:rPr>
      <w:rFonts w:cs="Times New Roman"/>
      <w:lang w:val="x-none" w:eastAsia="en-US"/>
    </w:rPr>
  </w:style>
  <w:style w:type="paragraph" w:styleId="CommentSubject">
    <w:name w:val="annotation subject"/>
    <w:basedOn w:val="CommentText"/>
    <w:next w:val="CommentText"/>
    <w:link w:val="CommentSubjectChar"/>
    <w:uiPriority w:val="99"/>
    <w:rsid w:val="0072165A"/>
    <w:rPr>
      <w:b/>
      <w:bCs/>
    </w:rPr>
  </w:style>
  <w:style w:type="character" w:customStyle="1" w:styleId="CommentSubjectChar">
    <w:name w:val="Comment Subject Char"/>
    <w:basedOn w:val="CommentTextChar"/>
    <w:link w:val="CommentSubject"/>
    <w:uiPriority w:val="99"/>
    <w:locked/>
    <w:rsid w:val="0072165A"/>
    <w:rPr>
      <w:rFonts w:cs="Times New Roman"/>
      <w:b/>
      <w:lang w:val="x-none" w:eastAsia="en-US"/>
    </w:rPr>
  </w:style>
  <w:style w:type="character" w:styleId="Hyperlink">
    <w:name w:val="Hyperlink"/>
    <w:basedOn w:val="DefaultParagraphFont"/>
    <w:uiPriority w:val="99"/>
    <w:rsid w:val="002675EF"/>
    <w:rPr>
      <w:rFonts w:cs="Times New Roman"/>
      <w:color w:val="0000FF" w:themeColor="hyperlink"/>
      <w:u w:val="single"/>
    </w:rPr>
  </w:style>
  <w:style w:type="paragraph" w:styleId="ListParagraph">
    <w:name w:val="List Paragraph"/>
    <w:basedOn w:val="Normal"/>
    <w:uiPriority w:val="34"/>
    <w:qFormat/>
    <w:rsid w:val="009113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114120">
      <w:marLeft w:val="0"/>
      <w:marRight w:val="0"/>
      <w:marTop w:val="0"/>
      <w:marBottom w:val="0"/>
      <w:divBdr>
        <w:top w:val="none" w:sz="0" w:space="0" w:color="auto"/>
        <w:left w:val="none" w:sz="0" w:space="0" w:color="auto"/>
        <w:bottom w:val="none" w:sz="0" w:space="0" w:color="auto"/>
        <w:right w:val="none" w:sz="0" w:space="0" w:color="auto"/>
      </w:divBdr>
    </w:div>
    <w:div w:id="10691141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F809B79B-98C2-4C17-A73F-27153D0273C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2421</Characters>
  <Application>Microsoft Office Word</Application>
  <DocSecurity>0</DocSecurity>
  <Lines>56</Lines>
  <Paragraphs>22</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ACT Government</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ACT Government</dc:creator>
  <cp:keywords/>
  <dc:description/>
  <cp:lastModifiedBy>Moxon, KarenL</cp:lastModifiedBy>
  <cp:revision>4</cp:revision>
  <cp:lastPrinted>2019-06-05T00:01:00Z</cp:lastPrinted>
  <dcterms:created xsi:type="dcterms:W3CDTF">2021-11-02T22:32:00Z</dcterms:created>
  <dcterms:modified xsi:type="dcterms:W3CDTF">2021-11-02T22:32:00Z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A30760983</vt:lpwstr>
  </property>
  <property fmtid="{D5CDD505-2E9C-101B-9397-08002B2CF9AE}" pid="3" name="Objective-Comment">
    <vt:lpwstr/>
  </property>
  <property fmtid="{D5CDD505-2E9C-101B-9397-08002B2CF9AE}" pid="4" name="Objective-CreationStamp">
    <vt:filetime>2021-10-08T01:26:44Z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2021-10-18T06:55:40Z</vt:filetime>
  </property>
  <property fmtid="{D5CDD505-2E9C-101B-9397-08002B2CF9AE}" pid="8" name="Objective-ModificationStamp">
    <vt:filetime>2021-10-24T21:26:12Z</vt:filetime>
  </property>
  <property fmtid="{D5CDD505-2E9C-101B-9397-08002B2CF9AE}" pid="9" name="Objective-Owner">
    <vt:lpwstr>Sara Banks</vt:lpwstr>
  </property>
  <property fmtid="{D5CDD505-2E9C-101B-9397-08002B2CF9AE}" pid="10" name="Objective-Path">
    <vt:lpwstr>Whole of ACT Government:EPSDD - Environment Planning and Sustainable Development Directorate:07. Ministerial, Cabinet and Government Relations:06. Ministerials:2021 - Ministerial and Chief Ministerial Briefs / Correspondence:Corporate Services and Operations  (Chief Operating Officer):10. October:21/92154 Ministerial-Information Brief - Vassarotti -  Construction Occupations (Licensing) (Fees) Determination 2021:</vt:lpwstr>
  </property>
  <property fmtid="{D5CDD505-2E9C-101B-9397-08002B2CF9AE}" pid="11" name="Objective-Parent">
    <vt:lpwstr>21/92154 Ministerial-Information Brief - Vassarotti -  Construction Occupations (Licensing) (Fees) Determination 2021</vt:lpwstr>
  </property>
  <property fmtid="{D5CDD505-2E9C-101B-9397-08002B2CF9AE}" pid="12" name="Objective-State">
    <vt:lpwstr>Published</vt:lpwstr>
  </property>
  <property fmtid="{D5CDD505-2E9C-101B-9397-08002B2CF9AE}" pid="13" name="Objective-Title">
    <vt:lpwstr>Att B - Explanatory Statement</vt:lpwstr>
  </property>
  <property fmtid="{D5CDD505-2E9C-101B-9397-08002B2CF9AE}" pid="14" name="Objective-Version">
    <vt:lpwstr>6.0</vt:lpwstr>
  </property>
  <property fmtid="{D5CDD505-2E9C-101B-9397-08002B2CF9AE}" pid="15" name="Objective-VersionComment">
    <vt:lpwstr/>
  </property>
  <property fmtid="{D5CDD505-2E9C-101B-9397-08002B2CF9AE}" pid="16" name="Objective-VersionNumber">
    <vt:r8>6</vt:r8>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Owner Agency [system]">
    <vt:lpwstr>EPSDD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Add Place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docIndexRef">
    <vt:lpwstr>623d6324-093d-4f46-a038-78c85457b607</vt:lpwstr>
  </property>
  <property fmtid="{D5CDD505-2E9C-101B-9397-08002B2CF9AE}" pid="33" name="bjSaver">
    <vt:lpwstr>CapjvNmSw8UGjc9t0jmcjFBRQxcNwbTe</vt:lpwstr>
  </property>
  <property fmtid="{D5CDD505-2E9C-101B-9397-08002B2CF9AE}" pid="3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5" name="bjDocumentLabelXML-0">
    <vt:lpwstr>nternal/label"&gt;&lt;element uid="a68a5297-83bb-4ba8-a7cd-4b62d6981a77" value="" /&gt;&lt;/sisl&gt;</vt:lpwstr>
  </property>
  <property fmtid="{D5CDD505-2E9C-101B-9397-08002B2CF9AE}" pid="36" name="bjDocumentSecurityLabel">
    <vt:lpwstr>UNCLASSIFIED - NO MARKING</vt:lpwstr>
  </property>
  <property fmtid="{D5CDD505-2E9C-101B-9397-08002B2CF9AE}" pid="37" name="bjDocumentLabelFieldCode">
    <vt:lpwstr>UNCLASSIFIED - NO MARKING</vt:lpwstr>
  </property>
  <property fmtid="{D5CDD505-2E9C-101B-9397-08002B2CF9AE}" pid="38" name="bjDocumentLabelFieldCodeHeaderFooter">
    <vt:lpwstr>UNCLASSIFIED - NO MARKING</vt:lpwstr>
  </property>
  <property fmtid="{D5CDD505-2E9C-101B-9397-08002B2CF9AE}" pid="39" name="Objective-Owner Agency">
    <vt:lpwstr>EPSDD</vt:lpwstr>
  </property>
  <property fmtid="{D5CDD505-2E9C-101B-9397-08002B2CF9AE}" pid="40" name="Objective-Document Type">
    <vt:lpwstr>0-Document</vt:lpwstr>
  </property>
  <property fmtid="{D5CDD505-2E9C-101B-9397-08002B2CF9AE}" pid="41" name="Objective-Language">
    <vt:lpwstr>English (en)</vt:lpwstr>
  </property>
  <property fmtid="{D5CDD505-2E9C-101B-9397-08002B2CF9AE}" pid="42" name="Objective-Jurisdiction">
    <vt:lpwstr>ACT</vt:lpwstr>
  </property>
  <property fmtid="{D5CDD505-2E9C-101B-9397-08002B2CF9AE}" pid="43" name="Objective-Customers">
    <vt:lpwstr/>
  </property>
  <property fmtid="{D5CDD505-2E9C-101B-9397-08002B2CF9AE}" pid="44" name="Objective-Places">
    <vt:lpwstr/>
  </property>
  <property fmtid="{D5CDD505-2E9C-101B-9397-08002B2CF9AE}" pid="45" name="Objective-Transaction Reference">
    <vt:lpwstr/>
  </property>
  <property fmtid="{D5CDD505-2E9C-101B-9397-08002B2CF9AE}" pid="46" name="Objective-Document Created By">
    <vt:lpwstr/>
  </property>
  <property fmtid="{D5CDD505-2E9C-101B-9397-08002B2CF9AE}" pid="47" name="Objective-Document Created On">
    <vt:lpwstr/>
  </property>
  <property fmtid="{D5CDD505-2E9C-101B-9397-08002B2CF9AE}" pid="48" name="Objective-Covers Period From">
    <vt:lpwstr/>
  </property>
  <property fmtid="{D5CDD505-2E9C-101B-9397-08002B2CF9AE}" pid="49" name="Objective-Covers Period To">
    <vt:lpwstr/>
  </property>
</Properties>
</file>