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8C7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190FBF7" w14:textId="0BB154D8" w:rsidR="006815C9" w:rsidRDefault="00830726">
      <w:pPr>
        <w:pStyle w:val="Billname"/>
        <w:spacing w:before="700"/>
      </w:pPr>
      <w:r>
        <w:t>Work</w:t>
      </w:r>
      <w:r w:rsidR="0007465F">
        <w:t>ers Compensation</w:t>
      </w:r>
      <w:r>
        <w:t xml:space="preserve"> Amendment Regulation 202</w:t>
      </w:r>
      <w:r w:rsidR="00746CB2">
        <w:t>1</w:t>
      </w:r>
      <w:r w:rsidR="006815C9">
        <w:t xml:space="preserve"> (No </w:t>
      </w:r>
      <w:r w:rsidR="005416FF">
        <w:t>1</w:t>
      </w:r>
      <w:r w:rsidR="006815C9">
        <w:t>)</w:t>
      </w:r>
    </w:p>
    <w:p w14:paraId="321ED4F9" w14:textId="48F65E41" w:rsidR="006815C9" w:rsidRPr="006D193D" w:rsidRDefault="00F5371D" w:rsidP="00091D34">
      <w:pPr>
        <w:spacing w:before="340"/>
        <w:rPr>
          <w:rFonts w:ascii="Arial" w:hAnsi="Arial" w:cs="Arial"/>
          <w:b/>
          <w:bCs/>
        </w:rPr>
      </w:pPr>
      <w:r w:rsidRPr="006D193D">
        <w:rPr>
          <w:rFonts w:ascii="Arial" w:hAnsi="Arial" w:cs="Arial"/>
          <w:b/>
          <w:bCs/>
        </w:rPr>
        <w:t>Subordinate law SL</w:t>
      </w:r>
      <w:r w:rsidR="00830726" w:rsidRPr="006D193D">
        <w:rPr>
          <w:rFonts w:ascii="Arial" w:hAnsi="Arial" w:cs="Arial"/>
          <w:b/>
          <w:bCs/>
        </w:rPr>
        <w:t>202</w:t>
      </w:r>
      <w:r w:rsidR="00746CB2">
        <w:rPr>
          <w:rFonts w:ascii="Arial" w:hAnsi="Arial" w:cs="Arial"/>
          <w:b/>
          <w:bCs/>
        </w:rPr>
        <w:t>1</w:t>
      </w:r>
      <w:r w:rsidR="006815C9" w:rsidRPr="006D193D">
        <w:rPr>
          <w:rFonts w:ascii="Arial" w:hAnsi="Arial" w:cs="Arial"/>
          <w:b/>
          <w:bCs/>
        </w:rPr>
        <w:t>–</w:t>
      </w:r>
      <w:r w:rsidR="00061351">
        <w:rPr>
          <w:rFonts w:ascii="Arial" w:hAnsi="Arial" w:cs="Arial"/>
          <w:b/>
          <w:bCs/>
        </w:rPr>
        <w:t>29</w:t>
      </w:r>
    </w:p>
    <w:p w14:paraId="44A48113" w14:textId="77777777" w:rsidR="00C86197" w:rsidRDefault="00C86197" w:rsidP="00C86197">
      <w:pPr>
        <w:pStyle w:val="Default"/>
        <w:ind w:left="720" w:hanging="720"/>
      </w:pPr>
    </w:p>
    <w:p w14:paraId="10E38C9D" w14:textId="77777777" w:rsidR="00C86197" w:rsidRDefault="006815C9" w:rsidP="00C86197">
      <w:pPr>
        <w:pStyle w:val="Default"/>
        <w:ind w:left="720" w:hanging="720"/>
      </w:pPr>
      <w:r>
        <w:t xml:space="preserve">made under the </w:t>
      </w:r>
    </w:p>
    <w:p w14:paraId="63DD2EAC" w14:textId="54E5D9DB" w:rsidR="006815C9" w:rsidRDefault="006815C9" w:rsidP="00C86197">
      <w:pPr>
        <w:pStyle w:val="Default"/>
        <w:ind w:left="720" w:hanging="720"/>
      </w:pPr>
      <w:r>
        <w:t xml:space="preserve"> </w:t>
      </w:r>
    </w:p>
    <w:p w14:paraId="37545623" w14:textId="0591CB76" w:rsidR="006815C9" w:rsidRPr="00746CB2" w:rsidRDefault="00830726" w:rsidP="00C86197">
      <w:pPr>
        <w:pStyle w:val="Default"/>
        <w:rPr>
          <w:b/>
          <w:bCs/>
        </w:rPr>
      </w:pPr>
      <w:bookmarkStart w:id="1" w:name="_Hlk46825720"/>
      <w:r w:rsidRPr="00746CB2">
        <w:rPr>
          <w:b/>
          <w:bCs/>
          <w:i/>
          <w:iCs/>
        </w:rPr>
        <w:t>Wor</w:t>
      </w:r>
      <w:r w:rsidR="0007465F" w:rsidRPr="00746CB2">
        <w:rPr>
          <w:b/>
          <w:bCs/>
          <w:i/>
          <w:iCs/>
        </w:rPr>
        <w:t>kers Compensation Act</w:t>
      </w:r>
      <w:r w:rsidRPr="00746CB2">
        <w:rPr>
          <w:b/>
          <w:bCs/>
          <w:i/>
          <w:iCs/>
        </w:rPr>
        <w:t xml:space="preserve"> </w:t>
      </w:r>
      <w:r w:rsidR="0007465F" w:rsidRPr="00746CB2">
        <w:rPr>
          <w:b/>
          <w:bCs/>
          <w:i/>
          <w:iCs/>
        </w:rPr>
        <w:t>195</w:t>
      </w:r>
      <w:r w:rsidRPr="00746CB2">
        <w:rPr>
          <w:b/>
          <w:bCs/>
          <w:i/>
          <w:iCs/>
        </w:rPr>
        <w:t>1</w:t>
      </w:r>
      <w:bookmarkEnd w:id="1"/>
      <w:r w:rsidR="006815C9" w:rsidRPr="00746CB2">
        <w:rPr>
          <w:b/>
          <w:bCs/>
        </w:rPr>
        <w:t xml:space="preserve">, </w:t>
      </w:r>
      <w:r w:rsidRPr="00746CB2">
        <w:rPr>
          <w:b/>
          <w:bCs/>
        </w:rPr>
        <w:t xml:space="preserve">section </w:t>
      </w:r>
      <w:r w:rsidR="001E0378" w:rsidRPr="00746CB2">
        <w:rPr>
          <w:b/>
          <w:bCs/>
        </w:rPr>
        <w:t>223</w:t>
      </w:r>
      <w:r w:rsidR="006815C9" w:rsidRPr="00746CB2">
        <w:rPr>
          <w:b/>
          <w:bCs/>
        </w:rPr>
        <w:t xml:space="preserve"> (</w:t>
      </w:r>
      <w:r w:rsidRPr="00746CB2">
        <w:rPr>
          <w:b/>
          <w:bCs/>
        </w:rPr>
        <w:t xml:space="preserve">Regulation-making </w:t>
      </w:r>
      <w:r w:rsidR="00C86197" w:rsidRPr="00746CB2">
        <w:rPr>
          <w:b/>
          <w:bCs/>
        </w:rPr>
        <w:t>p</w:t>
      </w:r>
      <w:r w:rsidRPr="00746CB2">
        <w:rPr>
          <w:b/>
          <w:bCs/>
        </w:rPr>
        <w:t>owers</w:t>
      </w:r>
      <w:r w:rsidR="006815C9" w:rsidRPr="00746CB2">
        <w:rPr>
          <w:b/>
          <w:bCs/>
        </w:rPr>
        <w:t>)</w:t>
      </w:r>
    </w:p>
    <w:p w14:paraId="39795030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E06023F" w14:textId="77777777" w:rsidR="006815C9" w:rsidRDefault="006815C9">
      <w:pPr>
        <w:pStyle w:val="N-line3"/>
        <w:pBdr>
          <w:bottom w:val="none" w:sz="0" w:space="0" w:color="auto"/>
        </w:pBdr>
      </w:pPr>
    </w:p>
    <w:p w14:paraId="47912FA9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51C0786" w14:textId="384D168E" w:rsidR="00830726" w:rsidRPr="000C3361" w:rsidRDefault="000C3361" w:rsidP="00830726">
      <w:pPr>
        <w:rPr>
          <w:rFonts w:ascii="Arial" w:hAnsi="Arial" w:cs="Arial"/>
          <w:b/>
          <w:bCs/>
          <w:szCs w:val="24"/>
        </w:rPr>
      </w:pPr>
      <w:r w:rsidRPr="000C3361">
        <w:rPr>
          <w:rFonts w:ascii="Arial" w:hAnsi="Arial" w:cs="Arial"/>
          <w:b/>
          <w:bCs/>
          <w:szCs w:val="24"/>
        </w:rPr>
        <w:t>PURPOSE AND OUTLINE</w:t>
      </w:r>
    </w:p>
    <w:p w14:paraId="6F596775" w14:textId="77777777" w:rsidR="00830726" w:rsidRPr="00C86197" w:rsidRDefault="00830726" w:rsidP="00830726">
      <w:pPr>
        <w:rPr>
          <w:rFonts w:asciiTheme="minorHAnsi" w:hAnsiTheme="minorHAnsi" w:cstheme="minorHAnsi"/>
        </w:rPr>
      </w:pPr>
    </w:p>
    <w:p w14:paraId="0B37F33C" w14:textId="7397C869" w:rsidR="00DC1315" w:rsidRDefault="00830726" w:rsidP="007528CC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 xml:space="preserve">The purpose of this Regulation is to amend the 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 xml:space="preserve">Workers </w:t>
      </w:r>
      <w:r w:rsidR="00AC6625">
        <w:rPr>
          <w:rFonts w:asciiTheme="minorHAnsi" w:hAnsiTheme="minorHAnsi" w:cstheme="minorHAnsi"/>
          <w:i/>
          <w:iCs/>
          <w:szCs w:val="24"/>
        </w:rPr>
        <w:t xml:space="preserve">Compensation 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>Regulation 2002</w:t>
      </w:r>
      <w:r w:rsidR="00AC6625">
        <w:rPr>
          <w:rFonts w:asciiTheme="minorHAnsi" w:hAnsiTheme="minorHAnsi" w:cstheme="minorHAnsi"/>
          <w:i/>
          <w:iCs/>
          <w:szCs w:val="24"/>
        </w:rPr>
        <w:t xml:space="preserve"> </w:t>
      </w:r>
      <w:r w:rsidR="00AC6625" w:rsidRPr="00AC6625">
        <w:rPr>
          <w:rFonts w:asciiTheme="minorHAnsi" w:hAnsiTheme="minorHAnsi" w:cstheme="minorHAnsi"/>
          <w:szCs w:val="24"/>
        </w:rPr>
        <w:t xml:space="preserve">(the </w:t>
      </w:r>
      <w:r w:rsidR="00392886">
        <w:rPr>
          <w:rFonts w:asciiTheme="minorHAnsi" w:hAnsiTheme="minorHAnsi" w:cstheme="minorHAnsi"/>
          <w:szCs w:val="24"/>
        </w:rPr>
        <w:t xml:space="preserve">WC </w:t>
      </w:r>
      <w:r w:rsidR="00AC6625" w:rsidRPr="00AC6625">
        <w:rPr>
          <w:rFonts w:asciiTheme="minorHAnsi" w:hAnsiTheme="minorHAnsi" w:cstheme="minorHAnsi"/>
          <w:szCs w:val="24"/>
        </w:rPr>
        <w:t>Regulation)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86197">
        <w:rPr>
          <w:rFonts w:asciiTheme="minorHAnsi" w:hAnsiTheme="minorHAnsi" w:cstheme="minorHAnsi"/>
          <w:szCs w:val="24"/>
        </w:rPr>
        <w:t xml:space="preserve">to </w:t>
      </w:r>
      <w:r w:rsidR="00EE5851">
        <w:rPr>
          <w:rFonts w:asciiTheme="minorHAnsi" w:hAnsiTheme="minorHAnsi" w:cstheme="minorHAnsi"/>
          <w:szCs w:val="24"/>
        </w:rPr>
        <w:t xml:space="preserve">facilitate </w:t>
      </w:r>
      <w:r w:rsidR="00746CB2">
        <w:rPr>
          <w:rFonts w:asciiTheme="minorHAnsi" w:hAnsiTheme="minorHAnsi" w:cstheme="minorHAnsi"/>
          <w:szCs w:val="24"/>
        </w:rPr>
        <w:t>a</w:t>
      </w:r>
      <w:r w:rsidR="00EE5851">
        <w:rPr>
          <w:rFonts w:asciiTheme="minorHAnsi" w:hAnsiTheme="minorHAnsi" w:cstheme="minorHAnsi"/>
          <w:szCs w:val="24"/>
        </w:rPr>
        <w:t xml:space="preserve"> </w:t>
      </w:r>
      <w:r w:rsidR="00746CB2">
        <w:rPr>
          <w:rFonts w:asciiTheme="minorHAnsi" w:hAnsiTheme="minorHAnsi" w:cstheme="minorHAnsi"/>
          <w:szCs w:val="24"/>
        </w:rPr>
        <w:t xml:space="preserve">further short-term </w:t>
      </w:r>
      <w:r w:rsidR="00EE5851">
        <w:rPr>
          <w:rFonts w:asciiTheme="minorHAnsi" w:hAnsiTheme="minorHAnsi" w:cstheme="minorHAnsi"/>
          <w:szCs w:val="24"/>
        </w:rPr>
        <w:t xml:space="preserve">extension </w:t>
      </w:r>
      <w:r w:rsidR="00746CB2">
        <w:rPr>
          <w:rFonts w:asciiTheme="minorHAnsi" w:hAnsiTheme="minorHAnsi" w:cstheme="minorHAnsi"/>
          <w:szCs w:val="24"/>
        </w:rPr>
        <w:t xml:space="preserve">to 31 May 2022 for </w:t>
      </w:r>
      <w:r w:rsidR="00EE5851">
        <w:rPr>
          <w:rFonts w:asciiTheme="minorHAnsi" w:hAnsiTheme="minorHAnsi" w:cstheme="minorHAnsi"/>
          <w:szCs w:val="24"/>
        </w:rPr>
        <w:t>current insurer</w:t>
      </w:r>
      <w:r w:rsidR="003C0CED">
        <w:rPr>
          <w:rFonts w:asciiTheme="minorHAnsi" w:hAnsiTheme="minorHAnsi" w:cstheme="minorHAnsi"/>
          <w:szCs w:val="24"/>
        </w:rPr>
        <w:t>s</w:t>
      </w:r>
      <w:r w:rsidR="00EE5851">
        <w:rPr>
          <w:rFonts w:asciiTheme="minorHAnsi" w:hAnsiTheme="minorHAnsi" w:cstheme="minorHAnsi"/>
          <w:szCs w:val="24"/>
        </w:rPr>
        <w:t xml:space="preserve"> and self</w:t>
      </w:r>
      <w:r w:rsidR="00181DD8">
        <w:rPr>
          <w:rFonts w:asciiTheme="minorHAnsi" w:hAnsiTheme="minorHAnsi" w:cstheme="minorHAnsi"/>
          <w:szCs w:val="24"/>
        </w:rPr>
        <w:noBreakHyphen/>
      </w:r>
      <w:r w:rsidR="00EE5851">
        <w:rPr>
          <w:rFonts w:asciiTheme="minorHAnsi" w:hAnsiTheme="minorHAnsi" w:cstheme="minorHAnsi"/>
          <w:szCs w:val="24"/>
        </w:rPr>
        <w:t>insurer</w:t>
      </w:r>
      <w:r w:rsidR="003C0CED">
        <w:rPr>
          <w:rFonts w:asciiTheme="minorHAnsi" w:hAnsiTheme="minorHAnsi" w:cstheme="minorHAnsi"/>
          <w:szCs w:val="24"/>
        </w:rPr>
        <w:t>s</w:t>
      </w:r>
      <w:r w:rsidR="00DC1315">
        <w:rPr>
          <w:rFonts w:asciiTheme="minorHAnsi" w:hAnsiTheme="minorHAnsi" w:cstheme="minorHAnsi"/>
          <w:szCs w:val="24"/>
        </w:rPr>
        <w:t>.</w:t>
      </w:r>
    </w:p>
    <w:p w14:paraId="688E00CF" w14:textId="2AC1FC30" w:rsidR="00AD0B2C" w:rsidRDefault="00AD0B2C" w:rsidP="007528CC">
      <w:pPr>
        <w:rPr>
          <w:rFonts w:asciiTheme="minorHAnsi" w:hAnsiTheme="minorHAnsi" w:cstheme="minorHAnsi"/>
          <w:szCs w:val="24"/>
        </w:rPr>
      </w:pPr>
    </w:p>
    <w:p w14:paraId="7451D1C8" w14:textId="126C54BE" w:rsidR="00D70175" w:rsidRDefault="00AD0B2C" w:rsidP="00143996">
      <w:pPr>
        <w:rPr>
          <w:rFonts w:asciiTheme="minorHAnsi" w:hAnsiTheme="minorHAnsi" w:cstheme="minorHAnsi"/>
          <w:szCs w:val="24"/>
        </w:rPr>
      </w:pPr>
      <w:bookmarkStart w:id="2" w:name="_Hlk49340758"/>
      <w:r w:rsidRPr="00C86197">
        <w:rPr>
          <w:rFonts w:asciiTheme="minorHAnsi" w:hAnsiTheme="minorHAnsi" w:cstheme="minorHAnsi"/>
          <w:szCs w:val="24"/>
        </w:rPr>
        <w:t>The extension</w:t>
      </w:r>
      <w:r>
        <w:rPr>
          <w:rFonts w:asciiTheme="minorHAnsi" w:hAnsiTheme="minorHAnsi" w:cstheme="minorHAnsi"/>
          <w:szCs w:val="24"/>
        </w:rPr>
        <w:t>s are</w:t>
      </w:r>
      <w:r w:rsidRPr="00C86197">
        <w:rPr>
          <w:rFonts w:asciiTheme="minorHAnsi" w:hAnsiTheme="minorHAnsi" w:cstheme="minorHAnsi"/>
          <w:szCs w:val="24"/>
        </w:rPr>
        <w:t xml:space="preserve"> required </w:t>
      </w:r>
      <w:r w:rsidR="00A520F4">
        <w:rPr>
          <w:rFonts w:asciiTheme="minorHAnsi" w:hAnsiTheme="minorHAnsi" w:cstheme="minorHAnsi"/>
          <w:szCs w:val="24"/>
        </w:rPr>
        <w:t xml:space="preserve">following the introduction of a new licensing framework </w:t>
      </w:r>
      <w:r w:rsidR="00181DD8">
        <w:rPr>
          <w:rFonts w:asciiTheme="minorHAnsi" w:hAnsiTheme="minorHAnsi" w:cstheme="minorHAnsi"/>
          <w:szCs w:val="24"/>
        </w:rPr>
        <w:t xml:space="preserve">that </w:t>
      </w:r>
      <w:r w:rsidR="003C0CED">
        <w:rPr>
          <w:rFonts w:asciiTheme="minorHAnsi" w:hAnsiTheme="minorHAnsi" w:cstheme="minorHAnsi"/>
          <w:szCs w:val="24"/>
        </w:rPr>
        <w:t xml:space="preserve">commenced </w:t>
      </w:r>
      <w:r w:rsidR="00181DD8">
        <w:rPr>
          <w:rFonts w:asciiTheme="minorHAnsi" w:hAnsiTheme="minorHAnsi" w:cstheme="minorHAnsi"/>
          <w:szCs w:val="24"/>
        </w:rPr>
        <w:t xml:space="preserve">under the </w:t>
      </w:r>
      <w:r w:rsidR="00A520F4">
        <w:rPr>
          <w:rFonts w:asciiTheme="minorHAnsi" w:hAnsiTheme="minorHAnsi" w:cstheme="minorHAnsi"/>
          <w:i/>
          <w:iCs/>
          <w:szCs w:val="24"/>
        </w:rPr>
        <w:t>Workers Compensation Act 1951</w:t>
      </w:r>
      <w:r w:rsidR="00A520F4" w:rsidRPr="00A520F4">
        <w:rPr>
          <w:rFonts w:asciiTheme="minorHAnsi" w:hAnsiTheme="minorHAnsi" w:cstheme="minorHAnsi"/>
          <w:szCs w:val="24"/>
        </w:rPr>
        <w:t xml:space="preserve"> </w:t>
      </w:r>
      <w:r w:rsidR="00A520F4">
        <w:rPr>
          <w:rFonts w:asciiTheme="minorHAnsi" w:hAnsiTheme="minorHAnsi" w:cstheme="minorHAnsi"/>
          <w:szCs w:val="24"/>
        </w:rPr>
        <w:t>(WC Act)</w:t>
      </w:r>
      <w:r w:rsidR="00181DD8">
        <w:rPr>
          <w:rFonts w:asciiTheme="minorHAnsi" w:hAnsiTheme="minorHAnsi" w:cstheme="minorHAnsi"/>
          <w:szCs w:val="24"/>
        </w:rPr>
        <w:t xml:space="preserve"> from 9 January 2021.</w:t>
      </w:r>
    </w:p>
    <w:p w14:paraId="057FF689" w14:textId="77777777" w:rsidR="00D70175" w:rsidRDefault="00D70175" w:rsidP="00143996">
      <w:pPr>
        <w:rPr>
          <w:rFonts w:asciiTheme="minorHAnsi" w:hAnsiTheme="minorHAnsi" w:cstheme="minorHAnsi"/>
          <w:szCs w:val="24"/>
        </w:rPr>
      </w:pPr>
    </w:p>
    <w:p w14:paraId="352BF532" w14:textId="5D20E187" w:rsidR="00AD0B2C" w:rsidRDefault="00454928" w:rsidP="001439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Workers’ compensation insurers and self-insurers that were approved/exempted as </w:t>
      </w:r>
      <w:r w:rsidR="003C0CED">
        <w:rPr>
          <w:rFonts w:asciiTheme="minorHAnsi" w:hAnsiTheme="minorHAnsi" w:cstheme="minorHAnsi"/>
          <w:szCs w:val="24"/>
        </w:rPr>
        <w:t>to operate</w:t>
      </w:r>
      <w:r>
        <w:rPr>
          <w:rFonts w:asciiTheme="minorHAnsi" w:hAnsiTheme="minorHAnsi" w:cstheme="minorHAnsi"/>
          <w:szCs w:val="24"/>
        </w:rPr>
        <w:t xml:space="preserve"> prior to 9 January 2021 </w:t>
      </w:r>
      <w:r w:rsidR="00D70175">
        <w:rPr>
          <w:rFonts w:asciiTheme="minorHAnsi" w:hAnsiTheme="minorHAnsi" w:cstheme="minorHAnsi"/>
          <w:szCs w:val="24"/>
        </w:rPr>
        <w:t xml:space="preserve">have been extended </w:t>
      </w:r>
      <w:r w:rsidR="00746CB2">
        <w:rPr>
          <w:rFonts w:asciiTheme="minorHAnsi" w:hAnsiTheme="minorHAnsi" w:cstheme="minorHAnsi"/>
          <w:szCs w:val="24"/>
        </w:rPr>
        <w:t>to 31</w:t>
      </w:r>
      <w:r w:rsidR="00D70175">
        <w:rPr>
          <w:rFonts w:asciiTheme="minorHAnsi" w:hAnsiTheme="minorHAnsi" w:cstheme="minorHAnsi"/>
          <w:szCs w:val="24"/>
        </w:rPr>
        <w:t> </w:t>
      </w:r>
      <w:r w:rsidR="00746CB2">
        <w:rPr>
          <w:rFonts w:asciiTheme="minorHAnsi" w:hAnsiTheme="minorHAnsi" w:cstheme="minorHAnsi"/>
          <w:szCs w:val="24"/>
        </w:rPr>
        <w:t xml:space="preserve">December 2021 under the </w:t>
      </w:r>
      <w:r w:rsidR="00746CB2" w:rsidRPr="00746CB2">
        <w:rPr>
          <w:rFonts w:asciiTheme="minorHAnsi" w:hAnsiTheme="minorHAnsi" w:cstheme="minorHAnsi"/>
          <w:i/>
          <w:iCs/>
          <w:szCs w:val="24"/>
        </w:rPr>
        <w:t>Workers Compensation Amendment Regulation 2020</w:t>
      </w:r>
      <w:r w:rsidR="00746CB2">
        <w:rPr>
          <w:rFonts w:asciiTheme="minorHAnsi" w:hAnsiTheme="minorHAnsi" w:cstheme="minorHAnsi"/>
          <w:szCs w:val="24"/>
        </w:rPr>
        <w:t xml:space="preserve"> (No 1) [SL2020-40]</w:t>
      </w:r>
      <w:r w:rsidR="00D70175">
        <w:rPr>
          <w:rFonts w:asciiTheme="minorHAnsi" w:hAnsiTheme="minorHAnsi" w:cstheme="minorHAnsi"/>
          <w:szCs w:val="24"/>
        </w:rPr>
        <w:t xml:space="preserve"> and are taken to be licensees under the WC Act. This was to allow time for the supporting instruments for the new licensing framework to be made</w:t>
      </w:r>
      <w:r w:rsidR="00EF3BD6">
        <w:rPr>
          <w:rFonts w:asciiTheme="minorHAnsi" w:hAnsiTheme="minorHAnsi" w:cstheme="minorHAnsi"/>
          <w:szCs w:val="24"/>
        </w:rPr>
        <w:t xml:space="preserve">. </w:t>
      </w:r>
      <w:r w:rsidR="00D70175">
        <w:rPr>
          <w:rFonts w:asciiTheme="minorHAnsi" w:hAnsiTheme="minorHAnsi" w:cstheme="minorHAnsi"/>
          <w:szCs w:val="24"/>
        </w:rPr>
        <w:t>These supporting instruments, including amending Regulations have not yet been finalised. Consequently,</w:t>
      </w:r>
      <w:r w:rsidR="00E71D29">
        <w:rPr>
          <w:rFonts w:asciiTheme="minorHAnsi" w:hAnsiTheme="minorHAnsi" w:cstheme="minorHAnsi"/>
          <w:szCs w:val="24"/>
        </w:rPr>
        <w:t xml:space="preserve"> and until the supporting instruments are implemented,</w:t>
      </w:r>
      <w:r w:rsidR="00D70175">
        <w:rPr>
          <w:rFonts w:asciiTheme="minorHAnsi" w:hAnsiTheme="minorHAnsi" w:cstheme="minorHAnsi"/>
          <w:szCs w:val="24"/>
        </w:rPr>
        <w:t xml:space="preserve"> this Regulation supports a further extension of the current arrangements for ACT workers’ compensation insurers and self-insurers for a further period to 31 May 2022.</w:t>
      </w:r>
    </w:p>
    <w:p w14:paraId="1F6E282A" w14:textId="577B235B" w:rsidR="00A520F4" w:rsidRDefault="00A520F4" w:rsidP="00143996">
      <w:pPr>
        <w:rPr>
          <w:rFonts w:asciiTheme="minorHAnsi" w:hAnsiTheme="minorHAnsi" w:cstheme="minorHAnsi"/>
          <w:szCs w:val="24"/>
        </w:rPr>
      </w:pPr>
    </w:p>
    <w:p w14:paraId="2A082F41" w14:textId="63BD877E" w:rsidR="00A520F4" w:rsidRDefault="00A520F4" w:rsidP="001439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amendments will </w:t>
      </w:r>
      <w:r w:rsidR="00392886">
        <w:rPr>
          <w:rFonts w:asciiTheme="minorHAnsi" w:hAnsiTheme="minorHAnsi" w:cstheme="minorHAnsi"/>
          <w:szCs w:val="24"/>
        </w:rPr>
        <w:t xml:space="preserve">establish a mechanism </w:t>
      </w:r>
      <w:r w:rsidR="00D70175">
        <w:rPr>
          <w:rFonts w:asciiTheme="minorHAnsi" w:hAnsiTheme="minorHAnsi" w:cstheme="minorHAnsi"/>
          <w:szCs w:val="24"/>
        </w:rPr>
        <w:t>to extend current insurer and self</w:t>
      </w:r>
      <w:r w:rsidR="00D70175">
        <w:rPr>
          <w:rFonts w:asciiTheme="minorHAnsi" w:hAnsiTheme="minorHAnsi" w:cstheme="minorHAnsi"/>
          <w:szCs w:val="24"/>
        </w:rPr>
        <w:noBreakHyphen/>
        <w:t xml:space="preserve">insurer licenses to 31 May 2022 </w:t>
      </w:r>
      <w:r w:rsidR="00392886">
        <w:rPr>
          <w:rFonts w:asciiTheme="minorHAnsi" w:hAnsiTheme="minorHAnsi" w:cstheme="minorHAnsi"/>
          <w:szCs w:val="24"/>
        </w:rPr>
        <w:t>to ensure they continue to meet their obligations under the WC</w:t>
      </w:r>
      <w:r w:rsidR="00737B12">
        <w:rPr>
          <w:rFonts w:asciiTheme="minorHAnsi" w:hAnsiTheme="minorHAnsi" w:cstheme="minorHAnsi"/>
          <w:szCs w:val="24"/>
        </w:rPr>
        <w:t> </w:t>
      </w:r>
      <w:r w:rsidR="00392886">
        <w:rPr>
          <w:rFonts w:asciiTheme="minorHAnsi" w:hAnsiTheme="minorHAnsi" w:cstheme="minorHAnsi"/>
          <w:szCs w:val="24"/>
        </w:rPr>
        <w:t>Act.</w:t>
      </w:r>
      <w:r w:rsidR="00647707">
        <w:rPr>
          <w:rFonts w:asciiTheme="minorHAnsi" w:hAnsiTheme="minorHAnsi" w:cstheme="minorHAnsi"/>
          <w:szCs w:val="24"/>
        </w:rPr>
        <w:t xml:space="preserve"> To allow the extension to operate</w:t>
      </w:r>
      <w:r w:rsidR="003C0CED">
        <w:rPr>
          <w:rFonts w:asciiTheme="minorHAnsi" w:hAnsiTheme="minorHAnsi" w:cstheme="minorHAnsi"/>
          <w:szCs w:val="24"/>
        </w:rPr>
        <w:t>,</w:t>
      </w:r>
      <w:r w:rsidR="00647707">
        <w:rPr>
          <w:rFonts w:asciiTheme="minorHAnsi" w:hAnsiTheme="minorHAnsi" w:cstheme="minorHAnsi"/>
          <w:szCs w:val="24"/>
        </w:rPr>
        <w:t xml:space="preserve"> technical amendments are </w:t>
      </w:r>
      <w:r w:rsidR="009E278E">
        <w:rPr>
          <w:rFonts w:asciiTheme="minorHAnsi" w:hAnsiTheme="minorHAnsi" w:cstheme="minorHAnsi"/>
          <w:szCs w:val="24"/>
        </w:rPr>
        <w:t xml:space="preserve">also </w:t>
      </w:r>
      <w:r w:rsidR="00647707">
        <w:rPr>
          <w:rFonts w:asciiTheme="minorHAnsi" w:hAnsiTheme="minorHAnsi" w:cstheme="minorHAnsi"/>
          <w:szCs w:val="24"/>
        </w:rPr>
        <w:t xml:space="preserve">made by this Regulation to </w:t>
      </w:r>
      <w:r w:rsidR="009E278E">
        <w:rPr>
          <w:rFonts w:asciiTheme="minorHAnsi" w:hAnsiTheme="minorHAnsi" w:cstheme="minorHAnsi"/>
          <w:szCs w:val="24"/>
        </w:rPr>
        <w:t xml:space="preserve">update </w:t>
      </w:r>
      <w:r w:rsidR="00647707">
        <w:rPr>
          <w:rFonts w:asciiTheme="minorHAnsi" w:hAnsiTheme="minorHAnsi" w:cstheme="minorHAnsi"/>
          <w:szCs w:val="24"/>
        </w:rPr>
        <w:t>terminology in the WC</w:t>
      </w:r>
      <w:r w:rsidR="009E278E">
        <w:rPr>
          <w:rFonts w:asciiTheme="minorHAnsi" w:hAnsiTheme="minorHAnsi" w:cstheme="minorHAnsi"/>
          <w:szCs w:val="24"/>
        </w:rPr>
        <w:t> </w:t>
      </w:r>
      <w:r w:rsidR="00647707">
        <w:rPr>
          <w:rFonts w:asciiTheme="minorHAnsi" w:hAnsiTheme="minorHAnsi" w:cstheme="minorHAnsi"/>
          <w:szCs w:val="24"/>
        </w:rPr>
        <w:t xml:space="preserve">Regulation </w:t>
      </w:r>
      <w:r w:rsidR="009E278E">
        <w:rPr>
          <w:rFonts w:asciiTheme="minorHAnsi" w:hAnsiTheme="minorHAnsi" w:cstheme="minorHAnsi"/>
          <w:szCs w:val="24"/>
        </w:rPr>
        <w:t>to align with the WC Act</w:t>
      </w:r>
      <w:r w:rsidR="003C0CED">
        <w:rPr>
          <w:rFonts w:asciiTheme="minorHAnsi" w:hAnsiTheme="minorHAnsi" w:cstheme="minorHAnsi"/>
          <w:szCs w:val="24"/>
        </w:rPr>
        <w:t>,</w:t>
      </w:r>
      <w:r w:rsidR="009E278E">
        <w:rPr>
          <w:rFonts w:asciiTheme="minorHAnsi" w:hAnsiTheme="minorHAnsi" w:cstheme="minorHAnsi"/>
          <w:szCs w:val="24"/>
        </w:rPr>
        <w:t xml:space="preserve"> by </w:t>
      </w:r>
      <w:r w:rsidR="00647707">
        <w:rPr>
          <w:rFonts w:asciiTheme="minorHAnsi" w:hAnsiTheme="minorHAnsi" w:cstheme="minorHAnsi"/>
          <w:szCs w:val="24"/>
        </w:rPr>
        <w:t>replac</w:t>
      </w:r>
      <w:r w:rsidR="009E278E">
        <w:rPr>
          <w:rFonts w:asciiTheme="minorHAnsi" w:hAnsiTheme="minorHAnsi" w:cstheme="minorHAnsi"/>
          <w:szCs w:val="24"/>
        </w:rPr>
        <w:t>ing references to</w:t>
      </w:r>
      <w:r w:rsidR="00647707">
        <w:rPr>
          <w:rFonts w:asciiTheme="minorHAnsi" w:hAnsiTheme="minorHAnsi" w:cstheme="minorHAnsi"/>
          <w:szCs w:val="24"/>
        </w:rPr>
        <w:t xml:space="preserve"> </w:t>
      </w:r>
      <w:r w:rsidR="00647707" w:rsidRPr="009E278E">
        <w:rPr>
          <w:rFonts w:asciiTheme="minorHAnsi" w:hAnsiTheme="minorHAnsi" w:cstheme="minorHAnsi"/>
          <w:i/>
          <w:iCs/>
          <w:szCs w:val="24"/>
        </w:rPr>
        <w:t>approval/exemption</w:t>
      </w:r>
      <w:r w:rsidR="00647707">
        <w:rPr>
          <w:rFonts w:asciiTheme="minorHAnsi" w:hAnsiTheme="minorHAnsi" w:cstheme="minorHAnsi"/>
          <w:szCs w:val="24"/>
        </w:rPr>
        <w:t xml:space="preserve"> with </w:t>
      </w:r>
      <w:r w:rsidR="00647707" w:rsidRPr="009E278E">
        <w:rPr>
          <w:rFonts w:asciiTheme="minorHAnsi" w:hAnsiTheme="minorHAnsi" w:cstheme="minorHAnsi"/>
          <w:i/>
          <w:iCs/>
          <w:szCs w:val="24"/>
        </w:rPr>
        <w:t>licence</w:t>
      </w:r>
      <w:r w:rsidR="00647707">
        <w:rPr>
          <w:rFonts w:asciiTheme="minorHAnsi" w:hAnsiTheme="minorHAnsi" w:cstheme="minorHAnsi"/>
          <w:szCs w:val="24"/>
        </w:rPr>
        <w:t xml:space="preserve"> and </w:t>
      </w:r>
      <w:r w:rsidR="009E278E">
        <w:rPr>
          <w:rFonts w:asciiTheme="minorHAnsi" w:hAnsiTheme="minorHAnsi" w:cstheme="minorHAnsi"/>
          <w:szCs w:val="24"/>
        </w:rPr>
        <w:t>plac</w:t>
      </w:r>
      <w:r w:rsidR="003C0CED">
        <w:rPr>
          <w:rFonts w:asciiTheme="minorHAnsi" w:hAnsiTheme="minorHAnsi" w:cstheme="minorHAnsi"/>
          <w:szCs w:val="24"/>
        </w:rPr>
        <w:t>ing</w:t>
      </w:r>
      <w:r w:rsidR="009E278E">
        <w:rPr>
          <w:rFonts w:asciiTheme="minorHAnsi" w:hAnsiTheme="minorHAnsi" w:cstheme="minorHAnsi"/>
          <w:szCs w:val="24"/>
        </w:rPr>
        <w:t xml:space="preserve"> the </w:t>
      </w:r>
      <w:r w:rsidR="00647707">
        <w:rPr>
          <w:rFonts w:asciiTheme="minorHAnsi" w:hAnsiTheme="minorHAnsi" w:cstheme="minorHAnsi"/>
          <w:szCs w:val="24"/>
        </w:rPr>
        <w:t xml:space="preserve">licensing functions </w:t>
      </w:r>
      <w:r w:rsidR="009E278E">
        <w:rPr>
          <w:rFonts w:asciiTheme="minorHAnsi" w:hAnsiTheme="minorHAnsi" w:cstheme="minorHAnsi"/>
          <w:szCs w:val="24"/>
        </w:rPr>
        <w:t xml:space="preserve">with </w:t>
      </w:r>
      <w:r w:rsidR="00647707">
        <w:rPr>
          <w:rFonts w:asciiTheme="minorHAnsi" w:hAnsiTheme="minorHAnsi" w:cstheme="minorHAnsi"/>
          <w:szCs w:val="24"/>
        </w:rPr>
        <w:t>the regulator.</w:t>
      </w:r>
      <w:r w:rsidR="009E278E">
        <w:rPr>
          <w:rFonts w:asciiTheme="minorHAnsi" w:hAnsiTheme="minorHAnsi" w:cstheme="minorHAnsi"/>
          <w:szCs w:val="24"/>
        </w:rPr>
        <w:t xml:space="preserve"> </w:t>
      </w:r>
    </w:p>
    <w:p w14:paraId="5B1C64B7" w14:textId="77777777" w:rsidR="00B133A0" w:rsidRPr="00C86197" w:rsidRDefault="00B133A0" w:rsidP="00143996">
      <w:pPr>
        <w:rPr>
          <w:rFonts w:asciiTheme="minorHAnsi" w:hAnsiTheme="minorHAnsi" w:cstheme="minorHAnsi"/>
          <w:szCs w:val="24"/>
        </w:rPr>
      </w:pPr>
    </w:p>
    <w:bookmarkEnd w:id="2"/>
    <w:p w14:paraId="66D5D05F" w14:textId="77777777" w:rsidR="00143996" w:rsidRPr="00153836" w:rsidRDefault="00143996" w:rsidP="00830726">
      <w:pPr>
        <w:rPr>
          <w:rFonts w:asciiTheme="minorHAnsi" w:hAnsiTheme="minorHAnsi" w:cstheme="minorHAnsi"/>
          <w:szCs w:val="24"/>
        </w:rPr>
      </w:pPr>
    </w:p>
    <w:p w14:paraId="7F005FD3" w14:textId="39D789EB" w:rsidR="00830726" w:rsidRPr="000C3361" w:rsidRDefault="000C3361" w:rsidP="00830726">
      <w:pPr>
        <w:rPr>
          <w:rFonts w:ascii="Arial" w:hAnsi="Arial" w:cs="Arial"/>
          <w:b/>
          <w:bCs/>
          <w:szCs w:val="24"/>
        </w:rPr>
      </w:pPr>
      <w:r w:rsidRPr="000C3361">
        <w:rPr>
          <w:rFonts w:ascii="Arial" w:hAnsi="Arial" w:cs="Arial"/>
          <w:b/>
          <w:bCs/>
          <w:szCs w:val="24"/>
        </w:rPr>
        <w:t>CONSISTENCY WITH HUMAN RIGHTS</w:t>
      </w:r>
    </w:p>
    <w:p w14:paraId="4C693064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0523331F" w14:textId="64B80ABD" w:rsidR="00830726" w:rsidRPr="000C3361" w:rsidRDefault="00830726" w:rsidP="0007465F">
      <w:pPr>
        <w:pStyle w:val="ESText"/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/>
          <w:szCs w:val="24"/>
        </w:rPr>
        <w:t>Th</w:t>
      </w:r>
      <w:r w:rsidR="0007465F">
        <w:rPr>
          <w:rFonts w:ascii="Calibri" w:hAnsi="Calibri"/>
          <w:szCs w:val="24"/>
        </w:rPr>
        <w:t xml:space="preserve">ese amendments do not engage </w:t>
      </w:r>
      <w:r w:rsidR="001E0378">
        <w:rPr>
          <w:rFonts w:ascii="Calibri" w:hAnsi="Calibri"/>
          <w:szCs w:val="24"/>
        </w:rPr>
        <w:t xml:space="preserve">the </w:t>
      </w:r>
      <w:r>
        <w:rPr>
          <w:rFonts w:asciiTheme="minorHAnsi" w:hAnsiTheme="minorHAnsi" w:cstheme="minorHAnsi"/>
          <w:i/>
          <w:iCs/>
          <w:szCs w:val="24"/>
        </w:rPr>
        <w:t>Human Rights Act 2004</w:t>
      </w:r>
      <w:r>
        <w:rPr>
          <w:rFonts w:asciiTheme="minorHAnsi" w:hAnsiTheme="minorHAnsi" w:cstheme="minorHAnsi"/>
          <w:szCs w:val="24"/>
        </w:rPr>
        <w:t xml:space="preserve"> (HR Act)</w:t>
      </w:r>
      <w:r w:rsidR="0007465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6CE8CE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4CD9BEFD" w14:textId="64764D2C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297B8666" w14:textId="77777777" w:rsidR="00360EA3" w:rsidRDefault="00360EA3" w:rsidP="00830726">
      <w:pPr>
        <w:rPr>
          <w:rFonts w:ascii="Arial" w:hAnsi="Arial" w:cs="Arial"/>
          <w:b/>
          <w:bCs/>
          <w:szCs w:val="24"/>
        </w:rPr>
      </w:pPr>
    </w:p>
    <w:p w14:paraId="2CBF80C7" w14:textId="77777777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46F40B79" w14:textId="360283CC" w:rsidR="00830726" w:rsidRDefault="00830726" w:rsidP="00830726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Work</w:t>
      </w:r>
      <w:r w:rsidR="005416FF">
        <w:rPr>
          <w:rFonts w:ascii="Arial" w:hAnsi="Arial" w:cs="Arial"/>
          <w:b/>
          <w:bCs/>
          <w:szCs w:val="24"/>
        </w:rPr>
        <w:t>ers Compensation</w:t>
      </w:r>
      <w:r>
        <w:rPr>
          <w:rFonts w:ascii="Arial" w:hAnsi="Arial" w:cs="Arial"/>
          <w:b/>
          <w:bCs/>
          <w:szCs w:val="24"/>
        </w:rPr>
        <w:t xml:space="preserve"> Amendment</w:t>
      </w:r>
      <w:r w:rsidR="00B82D95">
        <w:rPr>
          <w:rFonts w:ascii="Arial" w:hAnsi="Arial" w:cs="Arial"/>
          <w:b/>
          <w:bCs/>
          <w:szCs w:val="24"/>
        </w:rPr>
        <w:t xml:space="preserve"> Regulation</w:t>
      </w:r>
      <w:r>
        <w:rPr>
          <w:rFonts w:ascii="Arial" w:hAnsi="Arial" w:cs="Arial"/>
          <w:b/>
          <w:bCs/>
          <w:szCs w:val="24"/>
        </w:rPr>
        <w:t xml:space="preserve"> 202</w:t>
      </w:r>
      <w:r w:rsidR="00EE3956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 xml:space="preserve"> (No </w:t>
      </w:r>
      <w:r w:rsidR="005416FF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 xml:space="preserve">) </w:t>
      </w:r>
    </w:p>
    <w:p w14:paraId="1B68F4E1" w14:textId="77777777" w:rsidR="00830726" w:rsidRDefault="00830726" w:rsidP="00830726">
      <w:pPr>
        <w:rPr>
          <w:rFonts w:ascii="Arial" w:hAnsi="Arial" w:cs="Arial"/>
          <w:b/>
          <w:bCs/>
          <w:szCs w:val="24"/>
        </w:rPr>
      </w:pPr>
    </w:p>
    <w:p w14:paraId="24872000" w14:textId="77777777" w:rsidR="00830726" w:rsidRPr="00153836" w:rsidRDefault="00830726" w:rsidP="00830726">
      <w:pPr>
        <w:rPr>
          <w:rFonts w:ascii="Arial" w:hAnsi="Arial" w:cs="Arial"/>
          <w:b/>
          <w:bCs/>
          <w:szCs w:val="24"/>
        </w:rPr>
      </w:pPr>
      <w:r w:rsidRPr="00153836">
        <w:rPr>
          <w:rFonts w:ascii="Arial" w:hAnsi="Arial" w:cs="Arial"/>
          <w:b/>
          <w:bCs/>
          <w:szCs w:val="24"/>
        </w:rPr>
        <w:t xml:space="preserve">CLAUSE NOTES </w:t>
      </w:r>
    </w:p>
    <w:p w14:paraId="6EE365AE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24C0C191" w14:textId="77777777" w:rsidR="00830726" w:rsidRPr="0015383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Name of Regulation </w:t>
      </w:r>
    </w:p>
    <w:p w14:paraId="11CEAD2C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73B463DA" w14:textId="629EB4A2" w:rsidR="00830726" w:rsidRPr="00C86197" w:rsidRDefault="00830726" w:rsidP="00830726">
      <w:pPr>
        <w:rPr>
          <w:rFonts w:ascii="Calibri" w:hAnsi="Calibri" w:cs="Calibri"/>
          <w:szCs w:val="24"/>
        </w:rPr>
      </w:pPr>
      <w:r w:rsidRPr="00C86197">
        <w:rPr>
          <w:rFonts w:ascii="Calibri" w:hAnsi="Calibri" w:cs="Calibri"/>
          <w:szCs w:val="24"/>
        </w:rPr>
        <w:t xml:space="preserve">This clause provides that the name of the </w:t>
      </w:r>
      <w:r w:rsidR="008F2FE1" w:rsidRPr="00C86197">
        <w:rPr>
          <w:rFonts w:ascii="Calibri" w:hAnsi="Calibri" w:cs="Calibri"/>
          <w:szCs w:val="24"/>
        </w:rPr>
        <w:t>r</w:t>
      </w:r>
      <w:r w:rsidRPr="00C86197">
        <w:rPr>
          <w:rFonts w:ascii="Calibri" w:hAnsi="Calibri" w:cs="Calibri"/>
          <w:szCs w:val="24"/>
        </w:rPr>
        <w:t xml:space="preserve">egulation is the </w:t>
      </w:r>
      <w:r w:rsidRPr="00C86197">
        <w:rPr>
          <w:rFonts w:ascii="Calibri" w:hAnsi="Calibri" w:cs="Calibri"/>
          <w:i/>
          <w:iCs/>
          <w:szCs w:val="24"/>
        </w:rPr>
        <w:t>Work</w:t>
      </w:r>
      <w:r w:rsidR="0007465F" w:rsidRPr="00C86197">
        <w:rPr>
          <w:rFonts w:ascii="Calibri" w:hAnsi="Calibri" w:cs="Calibri"/>
          <w:i/>
          <w:iCs/>
          <w:szCs w:val="24"/>
        </w:rPr>
        <w:t xml:space="preserve">ers Compensation </w:t>
      </w:r>
      <w:r w:rsidRPr="00C86197">
        <w:rPr>
          <w:rFonts w:ascii="Calibri" w:hAnsi="Calibri" w:cs="Calibri"/>
          <w:i/>
          <w:iCs/>
          <w:szCs w:val="24"/>
        </w:rPr>
        <w:t>Amendment Regulation 202</w:t>
      </w:r>
      <w:r w:rsidR="00E71D29">
        <w:rPr>
          <w:rFonts w:ascii="Calibri" w:hAnsi="Calibri" w:cs="Calibri"/>
          <w:i/>
          <w:iCs/>
          <w:szCs w:val="24"/>
        </w:rPr>
        <w:t>1</w:t>
      </w:r>
      <w:r w:rsidRPr="00C86197">
        <w:rPr>
          <w:rFonts w:ascii="Calibri" w:hAnsi="Calibri" w:cs="Calibri"/>
          <w:szCs w:val="24"/>
        </w:rPr>
        <w:t xml:space="preserve"> </w:t>
      </w:r>
      <w:r w:rsidRPr="00C86197">
        <w:rPr>
          <w:rFonts w:ascii="Calibri" w:hAnsi="Calibri" w:cs="Calibri"/>
          <w:i/>
          <w:iCs/>
          <w:szCs w:val="24"/>
        </w:rPr>
        <w:t xml:space="preserve">(No </w:t>
      </w:r>
      <w:r w:rsidR="005416FF">
        <w:rPr>
          <w:rFonts w:ascii="Calibri" w:hAnsi="Calibri" w:cs="Calibri"/>
          <w:i/>
          <w:iCs/>
          <w:szCs w:val="24"/>
        </w:rPr>
        <w:t>1</w:t>
      </w:r>
      <w:r w:rsidRPr="00C86197">
        <w:rPr>
          <w:rFonts w:ascii="Calibri" w:hAnsi="Calibri" w:cs="Calibri"/>
          <w:i/>
          <w:iCs/>
          <w:szCs w:val="24"/>
        </w:rPr>
        <w:t>)</w:t>
      </w:r>
      <w:r w:rsidRPr="00C86197">
        <w:rPr>
          <w:rFonts w:ascii="Calibri" w:hAnsi="Calibri" w:cs="Calibri"/>
          <w:szCs w:val="24"/>
        </w:rPr>
        <w:t xml:space="preserve">. </w:t>
      </w:r>
    </w:p>
    <w:p w14:paraId="6A67A76A" w14:textId="77777777" w:rsidR="00830726" w:rsidRDefault="00830726" w:rsidP="00830726">
      <w:pPr>
        <w:pStyle w:val="ListParagraph"/>
        <w:rPr>
          <w:rFonts w:asciiTheme="minorHAnsi" w:hAnsiTheme="minorHAnsi" w:cstheme="minorHAnsi"/>
          <w:szCs w:val="24"/>
        </w:rPr>
      </w:pPr>
    </w:p>
    <w:p w14:paraId="258E8C37" w14:textId="77777777" w:rsidR="0083072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Commencement </w:t>
      </w:r>
    </w:p>
    <w:p w14:paraId="68A5D360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03B7EC1A" w14:textId="74CED096" w:rsidR="00830726" w:rsidRPr="00C86197" w:rsidRDefault="00F309C9" w:rsidP="00830726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 xml:space="preserve">This regulation commences on </w:t>
      </w:r>
      <w:r w:rsidR="00EE5851">
        <w:rPr>
          <w:rFonts w:asciiTheme="minorHAnsi" w:hAnsiTheme="minorHAnsi" w:cstheme="minorHAnsi"/>
          <w:szCs w:val="24"/>
        </w:rPr>
        <w:t>25 November 2021</w:t>
      </w:r>
      <w:r w:rsidRPr="00C86197">
        <w:rPr>
          <w:rFonts w:asciiTheme="minorHAnsi" w:hAnsiTheme="minorHAnsi" w:cstheme="minorHAnsi"/>
          <w:szCs w:val="24"/>
        </w:rPr>
        <w:t>.</w:t>
      </w:r>
    </w:p>
    <w:p w14:paraId="093B5466" w14:textId="77777777" w:rsidR="00F309C9" w:rsidRPr="00153836" w:rsidRDefault="00F309C9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41E966E7" w14:textId="77777777" w:rsidR="0083072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Legislation amended </w:t>
      </w:r>
    </w:p>
    <w:p w14:paraId="321D945F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33D1BBEE" w14:textId="087B232A" w:rsidR="00830726" w:rsidRPr="00C86197" w:rsidRDefault="00830726" w:rsidP="00830726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 xml:space="preserve">This clause provides that the </w:t>
      </w:r>
      <w:r w:rsidR="005407C9" w:rsidRPr="00C86197">
        <w:rPr>
          <w:rFonts w:asciiTheme="minorHAnsi" w:hAnsiTheme="minorHAnsi" w:cstheme="minorHAnsi"/>
          <w:szCs w:val="24"/>
        </w:rPr>
        <w:t>r</w:t>
      </w:r>
      <w:r w:rsidRPr="00C86197">
        <w:rPr>
          <w:rFonts w:asciiTheme="minorHAnsi" w:hAnsiTheme="minorHAnsi" w:cstheme="minorHAnsi"/>
          <w:szCs w:val="24"/>
        </w:rPr>
        <w:t xml:space="preserve">egulation amends the </w:t>
      </w:r>
      <w:bookmarkStart w:id="3" w:name="_Hlk49338290"/>
      <w:r w:rsidRPr="00C86197">
        <w:rPr>
          <w:rFonts w:asciiTheme="minorHAnsi" w:hAnsiTheme="minorHAnsi" w:cstheme="minorHAnsi"/>
          <w:i/>
          <w:iCs/>
          <w:szCs w:val="24"/>
        </w:rPr>
        <w:t>Work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>ers Compensation Regulation 2002</w:t>
      </w:r>
      <w:bookmarkEnd w:id="3"/>
      <w:r w:rsidRPr="00C86197">
        <w:rPr>
          <w:rFonts w:asciiTheme="minorHAnsi" w:hAnsiTheme="minorHAnsi" w:cstheme="minorHAnsi"/>
          <w:szCs w:val="24"/>
        </w:rPr>
        <w:t xml:space="preserve">. </w:t>
      </w:r>
    </w:p>
    <w:p w14:paraId="102374E0" w14:textId="77777777" w:rsidR="00830726" w:rsidRPr="00F309C9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0A840A50" w14:textId="77777777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Section 62 (3)</w:t>
      </w:r>
    </w:p>
    <w:p w14:paraId="068C5889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512D3F75" w14:textId="396D9B31" w:rsidR="00EE3956" w:rsidRDefault="00EE3956" w:rsidP="00EE395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clause </w:t>
      </w:r>
      <w:r w:rsidR="00E71D29">
        <w:rPr>
          <w:rFonts w:asciiTheme="minorHAnsi" w:hAnsiTheme="minorHAnsi" w:cstheme="minorHAnsi"/>
          <w:szCs w:val="24"/>
        </w:rPr>
        <w:t xml:space="preserve">makes technical amendments to </w:t>
      </w:r>
      <w:r w:rsidR="00840074">
        <w:rPr>
          <w:rFonts w:asciiTheme="minorHAnsi" w:hAnsiTheme="minorHAnsi" w:cstheme="minorHAnsi"/>
          <w:szCs w:val="24"/>
        </w:rPr>
        <w:t>replace the term approved insurer with licensed insurer to align with the WC Act and facil</w:t>
      </w:r>
      <w:r w:rsidR="00E71D29">
        <w:rPr>
          <w:rFonts w:asciiTheme="minorHAnsi" w:hAnsiTheme="minorHAnsi" w:cstheme="minorHAnsi"/>
          <w:szCs w:val="24"/>
        </w:rPr>
        <w:t>itate the extension of insurer and self-insurer licenses.</w:t>
      </w:r>
    </w:p>
    <w:p w14:paraId="1EFDB885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3B477FEE" w14:textId="16104F82" w:rsidR="00830726" w:rsidRPr="00F309C9" w:rsidRDefault="00EE395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Parts 9 to 10A</w:t>
      </w:r>
    </w:p>
    <w:p w14:paraId="41039D09" w14:textId="23D283DB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333AD1AC" w14:textId="77777777" w:rsidR="00E71D29" w:rsidRDefault="00E71D29" w:rsidP="00E71D2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to:</w:t>
      </w:r>
    </w:p>
    <w:p w14:paraId="17AF24AF" w14:textId="77777777" w:rsidR="00E71D29" w:rsidRDefault="00E71D29" w:rsidP="00E71D2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E71D29">
        <w:rPr>
          <w:rFonts w:asciiTheme="minorHAnsi" w:hAnsiTheme="minorHAnsi" w:cstheme="minorHAnsi"/>
          <w:szCs w:val="24"/>
        </w:rPr>
        <w:t>replace the term approved insurer with licensed insurer to align with the WC Act and facilitate the extension of insurer and self-insurer licenses</w:t>
      </w:r>
      <w:r>
        <w:rPr>
          <w:rFonts w:asciiTheme="minorHAnsi" w:hAnsiTheme="minorHAnsi" w:cstheme="minorHAnsi"/>
          <w:szCs w:val="24"/>
        </w:rPr>
        <w:t>; and</w:t>
      </w:r>
    </w:p>
    <w:p w14:paraId="16780245" w14:textId="28AA3363" w:rsidR="00E71D29" w:rsidRPr="00E71D29" w:rsidRDefault="00E71D29" w:rsidP="00E71D2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replace Minister with the regulator for the purpose of carrying out insurer licensing functions consistent with the WC Act</w:t>
      </w:r>
      <w:r w:rsidRPr="00E71D29">
        <w:rPr>
          <w:rFonts w:asciiTheme="minorHAnsi" w:hAnsiTheme="minorHAnsi" w:cstheme="minorHAnsi"/>
          <w:szCs w:val="24"/>
        </w:rPr>
        <w:t>.</w:t>
      </w:r>
    </w:p>
    <w:p w14:paraId="1C9578CE" w14:textId="77777777" w:rsidR="00E71D29" w:rsidRDefault="00E71D29" w:rsidP="00830726">
      <w:pPr>
        <w:rPr>
          <w:rFonts w:asciiTheme="minorHAnsi" w:hAnsiTheme="minorHAnsi" w:cstheme="minorHAnsi"/>
          <w:szCs w:val="24"/>
        </w:rPr>
      </w:pPr>
    </w:p>
    <w:p w14:paraId="07433177" w14:textId="42999A03" w:rsidR="00E71D29" w:rsidRDefault="00E71D29" w:rsidP="008307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substantive amendments in this clause to facilitat</w:t>
      </w:r>
      <w:r w:rsidR="003C0CED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the extension of current insurer and self-insurer licen</w:t>
      </w:r>
      <w:r w:rsidR="003C0CED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 xml:space="preserve">es is found in the new sections 68(2), 71, 86(2) and 87A. These clauses allow for current insurers and self-insurers to apply for a licence that will, on the condition of licence, be cancelled on 31 May 2022. This purpose of this insertion is to provide a mechanism to extend the current arrangement to 31 May 2022 while the </w:t>
      </w:r>
      <w:r w:rsidR="003C0CED">
        <w:rPr>
          <w:rFonts w:asciiTheme="minorHAnsi" w:hAnsiTheme="minorHAnsi" w:cstheme="minorHAnsi"/>
          <w:szCs w:val="24"/>
        </w:rPr>
        <w:t xml:space="preserve">subordinate instruments to support the </w:t>
      </w:r>
      <w:r>
        <w:rPr>
          <w:rFonts w:asciiTheme="minorHAnsi" w:hAnsiTheme="minorHAnsi" w:cstheme="minorHAnsi"/>
          <w:szCs w:val="24"/>
        </w:rPr>
        <w:t xml:space="preserve">new licensing framework </w:t>
      </w:r>
      <w:r w:rsidR="003C0CED">
        <w:rPr>
          <w:rFonts w:asciiTheme="minorHAnsi" w:hAnsiTheme="minorHAnsi" w:cstheme="minorHAnsi"/>
          <w:szCs w:val="24"/>
        </w:rPr>
        <w:t xml:space="preserve">are </w:t>
      </w:r>
      <w:r>
        <w:rPr>
          <w:rFonts w:asciiTheme="minorHAnsi" w:hAnsiTheme="minorHAnsi" w:cstheme="minorHAnsi"/>
          <w:szCs w:val="24"/>
        </w:rPr>
        <w:t>finalised.</w:t>
      </w:r>
    </w:p>
    <w:p w14:paraId="5D3E6B4E" w14:textId="77777777" w:rsidR="00360EA3" w:rsidRDefault="00360EA3" w:rsidP="00830726">
      <w:pPr>
        <w:rPr>
          <w:rFonts w:asciiTheme="minorHAnsi" w:hAnsiTheme="minorHAnsi" w:cstheme="minorHAnsi"/>
          <w:szCs w:val="24"/>
        </w:rPr>
      </w:pPr>
    </w:p>
    <w:p w14:paraId="5E191BA8" w14:textId="011D270D" w:rsidR="00B133A0" w:rsidRDefault="00E71D29" w:rsidP="008307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information required for the extension licence is simplified to provide the necessary assurance that insurers and self-insurers will comply with their obligations under the WC Act for the period to 31 May 2022.</w:t>
      </w:r>
    </w:p>
    <w:p w14:paraId="543793DC" w14:textId="77777777" w:rsidR="00EE3956" w:rsidRDefault="00EE3956" w:rsidP="00B24C55">
      <w:pPr>
        <w:rPr>
          <w:rFonts w:ascii="Calibri" w:hAnsi="Calibri" w:cs="Calibri"/>
        </w:rPr>
      </w:pPr>
    </w:p>
    <w:p w14:paraId="7CDBB11B" w14:textId="7CEA19CB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Section 101 heading</w:t>
      </w:r>
    </w:p>
    <w:p w14:paraId="1326484E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7F104D92" w14:textId="77777777" w:rsidR="00E71D29" w:rsidRDefault="00E71D29" w:rsidP="00E71D2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 replace the term approved insurer with licensed insurer to align with the WC Act and facilitate the extension of insurer and self-insurer licenses.</w:t>
      </w:r>
    </w:p>
    <w:p w14:paraId="178E699D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3BEC6AFF" w14:textId="6D22EC56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Section 101 (2) (a)</w:t>
      </w:r>
    </w:p>
    <w:p w14:paraId="77D181FD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38035303" w14:textId="77777777" w:rsidR="00360EA3" w:rsidRDefault="00360EA3" w:rsidP="00360EA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 replace the term approved insurer with licensed insurer to align with the WC Act and facilitate the extension of insurer and self-insurer licenses.</w:t>
      </w:r>
    </w:p>
    <w:p w14:paraId="0907A0DF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6FD19327" w14:textId="799A19E9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Section 101 (2) (d) (ii)</w:t>
      </w:r>
    </w:p>
    <w:p w14:paraId="56073F5F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72945BA6" w14:textId="77777777" w:rsidR="00360EA3" w:rsidRDefault="00360EA3" w:rsidP="00360EA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 replace the term approved insurer with licensed insurer to align with the WC Act and facilitate the extension of insurer and self-insurer licenses.</w:t>
      </w:r>
    </w:p>
    <w:p w14:paraId="7F1A0A43" w14:textId="25089BFC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10F7FAEB" w14:textId="67F217A0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Schedule 3, part 3.1, new items 15 to 18</w:t>
      </w:r>
    </w:p>
    <w:p w14:paraId="1461C94A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14E3C2CE" w14:textId="4E3E680B" w:rsidR="00360EA3" w:rsidRDefault="00360EA3" w:rsidP="00360EA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to:</w:t>
      </w:r>
    </w:p>
    <w:p w14:paraId="00B50AF8" w14:textId="77777777" w:rsidR="00360EA3" w:rsidRDefault="00360EA3" w:rsidP="00360EA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E71D29">
        <w:rPr>
          <w:rFonts w:asciiTheme="minorHAnsi" w:hAnsiTheme="minorHAnsi" w:cstheme="minorHAnsi"/>
          <w:szCs w:val="24"/>
        </w:rPr>
        <w:t>replace the term approved insurer with licensed insurer to align with the WC Act and facilitate the extension of insurer and self-insurer licenses</w:t>
      </w:r>
      <w:r>
        <w:rPr>
          <w:rFonts w:asciiTheme="minorHAnsi" w:hAnsiTheme="minorHAnsi" w:cstheme="minorHAnsi"/>
          <w:szCs w:val="24"/>
        </w:rPr>
        <w:t>; and</w:t>
      </w:r>
    </w:p>
    <w:p w14:paraId="3C726D10" w14:textId="77777777" w:rsidR="00360EA3" w:rsidRPr="00E71D29" w:rsidRDefault="00360EA3" w:rsidP="00360EA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replace Minister with the regulator for the purpose of carrying out insurer licensing functions consistent with the WC Act</w:t>
      </w:r>
      <w:r w:rsidRPr="00E71D29">
        <w:rPr>
          <w:rFonts w:asciiTheme="minorHAnsi" w:hAnsiTheme="minorHAnsi" w:cstheme="minorHAnsi"/>
          <w:szCs w:val="24"/>
        </w:rPr>
        <w:t>.</w:t>
      </w:r>
    </w:p>
    <w:p w14:paraId="238DB21B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4D813628" w14:textId="570E68AF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Dictionary, note 2</w:t>
      </w:r>
    </w:p>
    <w:p w14:paraId="71077EFC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479F7D50" w14:textId="0BA29F38" w:rsidR="00EE3956" w:rsidRDefault="00EE3956" w:rsidP="00EE395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clause </w:t>
      </w:r>
      <w:r w:rsidR="00360EA3">
        <w:rPr>
          <w:rFonts w:asciiTheme="minorHAnsi" w:hAnsiTheme="minorHAnsi" w:cstheme="minorHAnsi"/>
          <w:szCs w:val="24"/>
        </w:rPr>
        <w:t>makes a technical and consequential amendment.</w:t>
      </w:r>
    </w:p>
    <w:p w14:paraId="4C9731F7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5ED2E24E" w14:textId="4275E7BC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Dictionary, note 3</w:t>
      </w:r>
    </w:p>
    <w:p w14:paraId="5B40B748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2F4F3736" w14:textId="3EA77458" w:rsidR="00360EA3" w:rsidRDefault="00360EA3" w:rsidP="00360EA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 replace the term approved insurer with licensed insurer to align with the WC Act and facilitate the extension of insurer and self-insurer licenses.</w:t>
      </w:r>
    </w:p>
    <w:p w14:paraId="392718C1" w14:textId="2BED7437" w:rsidR="00360EA3" w:rsidRDefault="00360EA3" w:rsidP="00360EA3">
      <w:pPr>
        <w:rPr>
          <w:rFonts w:asciiTheme="minorHAnsi" w:hAnsiTheme="minorHAnsi" w:cstheme="minorHAnsi"/>
          <w:szCs w:val="24"/>
        </w:rPr>
      </w:pPr>
    </w:p>
    <w:p w14:paraId="7DD9F55D" w14:textId="709B10E9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Dictionary, note 3</w:t>
      </w:r>
    </w:p>
    <w:p w14:paraId="2DA6F5B6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67C16B68" w14:textId="77777777" w:rsidR="00360EA3" w:rsidRDefault="00360EA3" w:rsidP="00360EA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technical amendments only to replace the term approved insurer with licensed insurer to align with the WC Act and facilitate the extension of insurer and self-insurer licenses.</w:t>
      </w:r>
    </w:p>
    <w:p w14:paraId="4EEF5B5F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07E4B5DE" w14:textId="62573D6B" w:rsidR="00EE3956" w:rsidRPr="00F309C9" w:rsidRDefault="00EE3956" w:rsidP="00EE39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Dictionary, definition of </w:t>
      </w:r>
      <w:r>
        <w:rPr>
          <w:rFonts w:asciiTheme="minorHAnsi" w:hAnsiTheme="minorHAnsi" w:cstheme="minorHAnsi"/>
          <w:b/>
          <w:bCs/>
          <w:i/>
          <w:iCs/>
          <w:szCs w:val="24"/>
        </w:rPr>
        <w:t>exemption</w:t>
      </w:r>
    </w:p>
    <w:p w14:paraId="6C21C137" w14:textId="77777777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65FE4454" w14:textId="7602CCC3" w:rsidR="00EE3956" w:rsidRDefault="00360EA3" w:rsidP="00EE395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makes a technical and consequential amendment only to remove the definition of an exemption that is no longer required.</w:t>
      </w:r>
    </w:p>
    <w:p w14:paraId="66903357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5654DEE6" w14:textId="35E3C3C4" w:rsidR="00EE3956" w:rsidRDefault="00EE3956" w:rsidP="00EE3956">
      <w:pPr>
        <w:rPr>
          <w:rFonts w:asciiTheme="minorHAnsi" w:hAnsiTheme="minorHAnsi" w:cstheme="minorHAnsi"/>
          <w:szCs w:val="24"/>
        </w:rPr>
      </w:pPr>
    </w:p>
    <w:p w14:paraId="5E325155" w14:textId="77777777" w:rsidR="00EE3956" w:rsidRPr="00F309C9" w:rsidRDefault="00EE3956" w:rsidP="00EE3956">
      <w:pPr>
        <w:rPr>
          <w:rFonts w:asciiTheme="minorHAnsi" w:hAnsiTheme="minorHAnsi" w:cstheme="minorHAnsi"/>
          <w:szCs w:val="24"/>
        </w:rPr>
      </w:pPr>
    </w:p>
    <w:p w14:paraId="14C24B9E" w14:textId="77777777" w:rsidR="00EE3956" w:rsidRPr="00B133A0" w:rsidRDefault="00EE3956" w:rsidP="00B24C55">
      <w:pPr>
        <w:rPr>
          <w:rFonts w:ascii="Calibri" w:hAnsi="Calibri" w:cs="Calibri"/>
        </w:rPr>
      </w:pPr>
    </w:p>
    <w:sectPr w:rsidR="00EE3956" w:rsidRPr="00B133A0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C9F8" w14:textId="77777777" w:rsidR="0067446B" w:rsidRDefault="0067446B" w:rsidP="006815C9">
      <w:r>
        <w:separator/>
      </w:r>
    </w:p>
  </w:endnote>
  <w:endnote w:type="continuationSeparator" w:id="0">
    <w:p w14:paraId="469503C5" w14:textId="77777777" w:rsidR="0067446B" w:rsidRDefault="0067446B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6CF5" w14:textId="77777777" w:rsidR="00F8149D" w:rsidRDefault="00F8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5583" w14:textId="6826526F" w:rsidR="00F8149D" w:rsidRPr="00665603" w:rsidRDefault="00665603" w:rsidP="00665603">
    <w:pPr>
      <w:pStyle w:val="Footer"/>
      <w:jc w:val="center"/>
      <w:rPr>
        <w:rFonts w:cs="Arial"/>
        <w:sz w:val="14"/>
      </w:rPr>
    </w:pPr>
    <w:r w:rsidRPr="0066560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F5C1" w14:textId="77777777" w:rsidR="00F8149D" w:rsidRDefault="00F8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D180" w14:textId="77777777" w:rsidR="0067446B" w:rsidRDefault="0067446B" w:rsidP="006815C9">
      <w:r>
        <w:separator/>
      </w:r>
    </w:p>
  </w:footnote>
  <w:footnote w:type="continuationSeparator" w:id="0">
    <w:p w14:paraId="352962F3" w14:textId="77777777" w:rsidR="0067446B" w:rsidRDefault="0067446B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01B8" w14:textId="77777777" w:rsidR="00F8149D" w:rsidRDefault="00F8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057" w14:textId="77777777" w:rsidR="00F8149D" w:rsidRDefault="00F81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F4D" w14:textId="77777777" w:rsidR="00F8149D" w:rsidRDefault="00F8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12BA5"/>
    <w:multiLevelType w:val="hybridMultilevel"/>
    <w:tmpl w:val="047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D6C1602"/>
    <w:multiLevelType w:val="hybridMultilevel"/>
    <w:tmpl w:val="E8E41994"/>
    <w:lvl w:ilvl="0" w:tplc="39B8B7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14EFC"/>
    <w:multiLevelType w:val="hybridMultilevel"/>
    <w:tmpl w:val="DBC6D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3143"/>
    <w:multiLevelType w:val="hybridMultilevel"/>
    <w:tmpl w:val="05ECAA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146C"/>
    <w:multiLevelType w:val="hybridMultilevel"/>
    <w:tmpl w:val="5E403562"/>
    <w:lvl w:ilvl="0" w:tplc="0EB6C5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7FF1"/>
    <w:multiLevelType w:val="hybridMultilevel"/>
    <w:tmpl w:val="8ECCB9D0"/>
    <w:lvl w:ilvl="0" w:tplc="2410D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D1CA8"/>
    <w:multiLevelType w:val="hybridMultilevel"/>
    <w:tmpl w:val="2BB42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38A43AE5"/>
    <w:multiLevelType w:val="hybridMultilevel"/>
    <w:tmpl w:val="2F52D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49B2"/>
    <w:multiLevelType w:val="hybridMultilevel"/>
    <w:tmpl w:val="D3645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0475"/>
    <w:multiLevelType w:val="hybridMultilevel"/>
    <w:tmpl w:val="335A7534"/>
    <w:lvl w:ilvl="0" w:tplc="39B8B7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85C65"/>
    <w:multiLevelType w:val="hybridMultilevel"/>
    <w:tmpl w:val="B1DE2F66"/>
    <w:lvl w:ilvl="0" w:tplc="F6E6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34D41BE"/>
    <w:multiLevelType w:val="hybridMultilevel"/>
    <w:tmpl w:val="A028C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B90F0D"/>
    <w:multiLevelType w:val="hybridMultilevel"/>
    <w:tmpl w:val="205A8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75AC1"/>
    <w:multiLevelType w:val="hybridMultilevel"/>
    <w:tmpl w:val="E1C4A192"/>
    <w:lvl w:ilvl="0" w:tplc="FEFCB50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94528"/>
    <w:multiLevelType w:val="hybridMultilevel"/>
    <w:tmpl w:val="B4F80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F7879"/>
    <w:multiLevelType w:val="hybridMultilevel"/>
    <w:tmpl w:val="20B4D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44DD6"/>
    <w:multiLevelType w:val="hybridMultilevel"/>
    <w:tmpl w:val="5044C4FA"/>
    <w:lvl w:ilvl="0" w:tplc="9182AF08">
      <w:start w:val="1"/>
      <w:numFmt w:val="decimal"/>
      <w:lvlText w:val="Clause %1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2D2D96"/>
    <w:multiLevelType w:val="hybridMultilevel"/>
    <w:tmpl w:val="05A4C82C"/>
    <w:lvl w:ilvl="0" w:tplc="39B8B734">
      <w:numFmt w:val="bullet"/>
      <w:lvlText w:val="•"/>
      <w:lvlJc w:val="left"/>
      <w:pPr>
        <w:ind w:left="114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"/>
  </w:num>
  <w:num w:numId="12">
    <w:abstractNumId w:val="26"/>
  </w:num>
  <w:num w:numId="13">
    <w:abstractNumId w:val="22"/>
  </w:num>
  <w:num w:numId="14">
    <w:abstractNumId w:val="20"/>
  </w:num>
  <w:num w:numId="15">
    <w:abstractNumId w:val="15"/>
  </w:num>
  <w:num w:numId="16">
    <w:abstractNumId w:val="7"/>
  </w:num>
  <w:num w:numId="17">
    <w:abstractNumId w:val="8"/>
  </w:num>
  <w:num w:numId="18">
    <w:abstractNumId w:val="9"/>
  </w:num>
  <w:num w:numId="19">
    <w:abstractNumId w:val="16"/>
  </w:num>
  <w:num w:numId="20">
    <w:abstractNumId w:val="25"/>
  </w:num>
  <w:num w:numId="21">
    <w:abstractNumId w:val="23"/>
  </w:num>
  <w:num w:numId="22">
    <w:abstractNumId w:val="10"/>
  </w:num>
  <w:num w:numId="23">
    <w:abstractNumId w:val="6"/>
  </w:num>
  <w:num w:numId="24">
    <w:abstractNumId w:val="4"/>
  </w:num>
  <w:num w:numId="25">
    <w:abstractNumId w:val="17"/>
  </w:num>
  <w:num w:numId="26">
    <w:abstractNumId w:val="27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04BC9"/>
    <w:rsid w:val="00006C99"/>
    <w:rsid w:val="00013487"/>
    <w:rsid w:val="00023577"/>
    <w:rsid w:val="00040E22"/>
    <w:rsid w:val="00047BF2"/>
    <w:rsid w:val="000612FB"/>
    <w:rsid w:val="00061351"/>
    <w:rsid w:val="00071A51"/>
    <w:rsid w:val="0007465F"/>
    <w:rsid w:val="000915F7"/>
    <w:rsid w:val="00091D34"/>
    <w:rsid w:val="000B7049"/>
    <w:rsid w:val="000C3361"/>
    <w:rsid w:val="00111011"/>
    <w:rsid w:val="00143996"/>
    <w:rsid w:val="00150368"/>
    <w:rsid w:val="00171D95"/>
    <w:rsid w:val="00181DD8"/>
    <w:rsid w:val="0018657E"/>
    <w:rsid w:val="001E0378"/>
    <w:rsid w:val="0021296C"/>
    <w:rsid w:val="002724D7"/>
    <w:rsid w:val="00275CA9"/>
    <w:rsid w:val="002A5754"/>
    <w:rsid w:val="003104BB"/>
    <w:rsid w:val="003512D6"/>
    <w:rsid w:val="00355227"/>
    <w:rsid w:val="00360EA3"/>
    <w:rsid w:val="00384F5D"/>
    <w:rsid w:val="00392886"/>
    <w:rsid w:val="00395BD2"/>
    <w:rsid w:val="003C0CED"/>
    <w:rsid w:val="003D7B7B"/>
    <w:rsid w:val="00454928"/>
    <w:rsid w:val="00471AC1"/>
    <w:rsid w:val="00492703"/>
    <w:rsid w:val="004C478C"/>
    <w:rsid w:val="004D7B9B"/>
    <w:rsid w:val="004E3803"/>
    <w:rsid w:val="005407C9"/>
    <w:rsid w:val="005416FF"/>
    <w:rsid w:val="00590524"/>
    <w:rsid w:val="005A75F0"/>
    <w:rsid w:val="005C5393"/>
    <w:rsid w:val="005F176D"/>
    <w:rsid w:val="005F45A6"/>
    <w:rsid w:val="00602EED"/>
    <w:rsid w:val="0060750B"/>
    <w:rsid w:val="00647707"/>
    <w:rsid w:val="00665603"/>
    <w:rsid w:val="00670D56"/>
    <w:rsid w:val="00673158"/>
    <w:rsid w:val="0067446B"/>
    <w:rsid w:val="006815C9"/>
    <w:rsid w:val="006D193D"/>
    <w:rsid w:val="006D1B6D"/>
    <w:rsid w:val="006E7046"/>
    <w:rsid w:val="006F27B3"/>
    <w:rsid w:val="007341DD"/>
    <w:rsid w:val="00735312"/>
    <w:rsid w:val="00737358"/>
    <w:rsid w:val="00737B12"/>
    <w:rsid w:val="00746CB2"/>
    <w:rsid w:val="007528CC"/>
    <w:rsid w:val="007A2F3B"/>
    <w:rsid w:val="007B6782"/>
    <w:rsid w:val="007C3095"/>
    <w:rsid w:val="00830726"/>
    <w:rsid w:val="00840074"/>
    <w:rsid w:val="008511EC"/>
    <w:rsid w:val="00855C85"/>
    <w:rsid w:val="008F2FE1"/>
    <w:rsid w:val="00913159"/>
    <w:rsid w:val="00931D47"/>
    <w:rsid w:val="00941E77"/>
    <w:rsid w:val="00982787"/>
    <w:rsid w:val="009B2825"/>
    <w:rsid w:val="009B3CDC"/>
    <w:rsid w:val="009E278E"/>
    <w:rsid w:val="009F4215"/>
    <w:rsid w:val="00A2161A"/>
    <w:rsid w:val="00A34178"/>
    <w:rsid w:val="00A40EC2"/>
    <w:rsid w:val="00A520F4"/>
    <w:rsid w:val="00A658F8"/>
    <w:rsid w:val="00A65F0C"/>
    <w:rsid w:val="00A71AEB"/>
    <w:rsid w:val="00A91428"/>
    <w:rsid w:val="00AA0292"/>
    <w:rsid w:val="00AC6625"/>
    <w:rsid w:val="00AD0719"/>
    <w:rsid w:val="00AD0B2C"/>
    <w:rsid w:val="00B133A0"/>
    <w:rsid w:val="00B24C55"/>
    <w:rsid w:val="00B75DB7"/>
    <w:rsid w:val="00B82D95"/>
    <w:rsid w:val="00BE3F56"/>
    <w:rsid w:val="00C1618B"/>
    <w:rsid w:val="00C320A0"/>
    <w:rsid w:val="00C86197"/>
    <w:rsid w:val="00CE26C7"/>
    <w:rsid w:val="00D20850"/>
    <w:rsid w:val="00D519AF"/>
    <w:rsid w:val="00D70175"/>
    <w:rsid w:val="00DA2139"/>
    <w:rsid w:val="00DA5E5F"/>
    <w:rsid w:val="00DB4C17"/>
    <w:rsid w:val="00DC1315"/>
    <w:rsid w:val="00DC21B2"/>
    <w:rsid w:val="00DC2925"/>
    <w:rsid w:val="00DD3D27"/>
    <w:rsid w:val="00DF3090"/>
    <w:rsid w:val="00E515DE"/>
    <w:rsid w:val="00E71D29"/>
    <w:rsid w:val="00ED4B17"/>
    <w:rsid w:val="00EE3956"/>
    <w:rsid w:val="00EE5851"/>
    <w:rsid w:val="00EF3BD6"/>
    <w:rsid w:val="00EF5D88"/>
    <w:rsid w:val="00F03023"/>
    <w:rsid w:val="00F139EF"/>
    <w:rsid w:val="00F309C9"/>
    <w:rsid w:val="00F5371D"/>
    <w:rsid w:val="00F601FD"/>
    <w:rsid w:val="00F8149D"/>
    <w:rsid w:val="00FC0C15"/>
    <w:rsid w:val="00FC7C7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7EFF3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830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2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307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26"/>
    <w:rPr>
      <w:lang w:eastAsia="en-US"/>
    </w:rPr>
  </w:style>
  <w:style w:type="paragraph" w:customStyle="1" w:styleId="ESText">
    <w:name w:val="ES_Text"/>
    <w:basedOn w:val="Normal"/>
    <w:rsid w:val="00830726"/>
    <w:pPr>
      <w:spacing w:line="280" w:lineRule="exact"/>
    </w:pPr>
  </w:style>
  <w:style w:type="paragraph" w:customStyle="1" w:styleId="Default">
    <w:name w:val="Default"/>
    <w:rsid w:val="00C86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S-Paragraphnumbering">
    <w:name w:val="CS - Paragraph numbering"/>
    <w:basedOn w:val="Normal"/>
    <w:rsid w:val="00670D56"/>
    <w:pPr>
      <w:numPr>
        <w:numId w:val="27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4490</Characters>
  <Application>Microsoft Office Word</Application>
  <DocSecurity>0</DocSecurity>
  <Lines>142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2021-11-24T09:03:00Z</dcterms:created>
  <dcterms:modified xsi:type="dcterms:W3CDTF">2021-11-24T09:03:00Z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1415442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