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D2E45" w14:textId="043A24D3" w:rsidR="00251C2D" w:rsidRDefault="00251C2D" w:rsidP="009D1BA4">
      <w:pPr>
        <w:rPr>
          <w:rFonts w:ascii="Arial" w:eastAsia="Arial" w:hAnsi="Arial" w:cs="Arial"/>
          <w:b/>
          <w:bCs/>
          <w:color w:val="000000" w:themeColor="text1"/>
          <w:sz w:val="24"/>
          <w:szCs w:val="24"/>
        </w:rPr>
      </w:pPr>
    </w:p>
    <w:p w14:paraId="45A36F0B" w14:textId="77777777" w:rsidR="00385B08" w:rsidRDefault="00385B08" w:rsidP="009D1BA4">
      <w:pPr>
        <w:rPr>
          <w:rFonts w:ascii="Arial" w:eastAsia="Arial" w:hAnsi="Arial" w:cs="Arial"/>
          <w:b/>
          <w:bCs/>
          <w:color w:val="000000" w:themeColor="text1"/>
          <w:sz w:val="24"/>
          <w:szCs w:val="24"/>
        </w:rPr>
      </w:pPr>
    </w:p>
    <w:p w14:paraId="21E09730" w14:textId="5434D5DC" w:rsidR="00B94515" w:rsidRPr="005047F7" w:rsidRDefault="4FA27BCE" w:rsidP="6A3A1C74">
      <w:pPr>
        <w:jc w:val="center"/>
        <w:rPr>
          <w:rFonts w:ascii="Helvetica" w:hAnsi="Helvetica"/>
        </w:rPr>
      </w:pPr>
      <w:r w:rsidRPr="005047F7">
        <w:rPr>
          <w:rFonts w:ascii="Helvetica" w:eastAsia="Arial" w:hAnsi="Helvetica" w:cs="Arial"/>
          <w:b/>
          <w:bCs/>
          <w:color w:val="000000" w:themeColor="text1"/>
          <w:sz w:val="24"/>
          <w:szCs w:val="24"/>
        </w:rPr>
        <w:t>2021</w:t>
      </w:r>
    </w:p>
    <w:p w14:paraId="148AC7AC" w14:textId="6678A18F" w:rsidR="00B94515" w:rsidRPr="005047F7" w:rsidRDefault="00B94515" w:rsidP="6A3A1C74">
      <w:pPr>
        <w:jc w:val="center"/>
        <w:rPr>
          <w:rFonts w:ascii="Helvetica" w:eastAsia="Arial" w:hAnsi="Helvetica" w:cs="Arial"/>
          <w:b/>
          <w:bCs/>
          <w:color w:val="000000" w:themeColor="text1"/>
          <w:sz w:val="24"/>
          <w:szCs w:val="24"/>
        </w:rPr>
      </w:pPr>
    </w:p>
    <w:p w14:paraId="24A0D19E" w14:textId="3B98ED10" w:rsidR="313C3194" w:rsidRPr="005047F7" w:rsidRDefault="313C3194" w:rsidP="313C3194">
      <w:pPr>
        <w:jc w:val="center"/>
        <w:rPr>
          <w:rFonts w:ascii="Helvetica" w:eastAsia="Arial" w:hAnsi="Helvetica" w:cs="Arial"/>
          <w:b/>
          <w:bCs/>
          <w:color w:val="000000" w:themeColor="text1"/>
          <w:sz w:val="24"/>
          <w:szCs w:val="24"/>
        </w:rPr>
      </w:pPr>
    </w:p>
    <w:p w14:paraId="6B1E2272" w14:textId="14F8F5F2" w:rsidR="00B94515" w:rsidRPr="005047F7" w:rsidRDefault="00B94515" w:rsidP="6A3A1C74">
      <w:pPr>
        <w:jc w:val="center"/>
        <w:rPr>
          <w:rFonts w:ascii="Helvetica" w:eastAsia="Arial" w:hAnsi="Helvetica" w:cs="Arial"/>
          <w:b/>
          <w:bCs/>
          <w:color w:val="000000" w:themeColor="text1"/>
          <w:sz w:val="24"/>
          <w:szCs w:val="24"/>
        </w:rPr>
      </w:pPr>
    </w:p>
    <w:p w14:paraId="0BEF1377" w14:textId="5A47E419" w:rsidR="00B94515" w:rsidRPr="005047F7" w:rsidRDefault="4FA27BCE" w:rsidP="6A3A1C74">
      <w:pPr>
        <w:jc w:val="center"/>
        <w:rPr>
          <w:rFonts w:ascii="Helvetica" w:hAnsi="Helvetica"/>
        </w:rPr>
      </w:pPr>
      <w:r w:rsidRPr="005047F7">
        <w:rPr>
          <w:rFonts w:ascii="Helvetica" w:eastAsia="Arial" w:hAnsi="Helvetica" w:cs="Arial"/>
          <w:b/>
          <w:bCs/>
          <w:color w:val="000000" w:themeColor="text1"/>
          <w:sz w:val="24"/>
          <w:szCs w:val="24"/>
        </w:rPr>
        <w:t>THE LEGISLATIVE ASSEMBLY FOR</w:t>
      </w:r>
    </w:p>
    <w:p w14:paraId="2878B4AC" w14:textId="1396A43D" w:rsidR="00B94515" w:rsidRPr="005047F7" w:rsidRDefault="4FA27BCE" w:rsidP="6A3A1C74">
      <w:pPr>
        <w:jc w:val="center"/>
        <w:rPr>
          <w:rFonts w:ascii="Helvetica" w:hAnsi="Helvetica"/>
        </w:rPr>
      </w:pPr>
      <w:r w:rsidRPr="005047F7">
        <w:rPr>
          <w:rFonts w:ascii="Helvetica" w:eastAsia="Arial" w:hAnsi="Helvetica" w:cs="Arial"/>
          <w:b/>
          <w:bCs/>
          <w:color w:val="000000" w:themeColor="text1"/>
          <w:sz w:val="24"/>
          <w:szCs w:val="24"/>
        </w:rPr>
        <w:t xml:space="preserve"> THE AUSTRALIAN CAPITAL TERRITORY</w:t>
      </w:r>
    </w:p>
    <w:p w14:paraId="29F20CA1" w14:textId="437928D9" w:rsidR="00B94515" w:rsidRPr="005047F7" w:rsidRDefault="00B94515" w:rsidP="6A3A1C74">
      <w:pPr>
        <w:jc w:val="center"/>
        <w:rPr>
          <w:rFonts w:ascii="Helvetica" w:eastAsia="Arial" w:hAnsi="Helvetica" w:cs="Arial"/>
          <w:b/>
          <w:bCs/>
          <w:color w:val="000000" w:themeColor="text1"/>
          <w:sz w:val="24"/>
          <w:szCs w:val="24"/>
        </w:rPr>
      </w:pPr>
    </w:p>
    <w:p w14:paraId="63A9EA65" w14:textId="4A5528BE" w:rsidR="00B94515" w:rsidRDefault="00B94515" w:rsidP="00251C2D">
      <w:pPr>
        <w:rPr>
          <w:rFonts w:ascii="Helvetica" w:eastAsia="Arial" w:hAnsi="Helvetica" w:cs="Arial"/>
          <w:b/>
          <w:bCs/>
          <w:color w:val="000000" w:themeColor="text1"/>
          <w:sz w:val="24"/>
          <w:szCs w:val="24"/>
        </w:rPr>
      </w:pPr>
    </w:p>
    <w:p w14:paraId="4008CDAD" w14:textId="2CC738B8" w:rsidR="005047F7" w:rsidRDefault="005047F7" w:rsidP="00251C2D">
      <w:pPr>
        <w:rPr>
          <w:rFonts w:ascii="Helvetica" w:eastAsia="Arial" w:hAnsi="Helvetica" w:cs="Arial"/>
          <w:b/>
          <w:bCs/>
          <w:color w:val="000000" w:themeColor="text1"/>
          <w:sz w:val="24"/>
          <w:szCs w:val="24"/>
        </w:rPr>
      </w:pPr>
    </w:p>
    <w:p w14:paraId="71D7C0A2" w14:textId="77777777" w:rsidR="005047F7" w:rsidRPr="005047F7" w:rsidRDefault="005047F7" w:rsidP="00251C2D">
      <w:pPr>
        <w:rPr>
          <w:rFonts w:ascii="Helvetica" w:eastAsia="Arial" w:hAnsi="Helvetica" w:cs="Arial"/>
          <w:b/>
          <w:bCs/>
          <w:color w:val="000000" w:themeColor="text1"/>
          <w:sz w:val="24"/>
          <w:szCs w:val="24"/>
        </w:rPr>
      </w:pPr>
    </w:p>
    <w:p w14:paraId="7AE51F24" w14:textId="12803FFE" w:rsidR="00B94515" w:rsidRPr="005047F7" w:rsidRDefault="00B94515" w:rsidP="6A3A1C74">
      <w:pPr>
        <w:jc w:val="center"/>
        <w:rPr>
          <w:rFonts w:ascii="Helvetica" w:eastAsia="Arial" w:hAnsi="Helvetica" w:cs="Arial"/>
          <w:b/>
          <w:bCs/>
          <w:color w:val="000000" w:themeColor="text1"/>
          <w:sz w:val="24"/>
          <w:szCs w:val="24"/>
        </w:rPr>
      </w:pPr>
    </w:p>
    <w:p w14:paraId="52657DF7" w14:textId="7D06063A" w:rsidR="00B94515" w:rsidRPr="005047F7" w:rsidRDefault="005047F7" w:rsidP="005047F7">
      <w:pPr>
        <w:jc w:val="center"/>
        <w:rPr>
          <w:rFonts w:ascii="Helvetica" w:hAnsi="Helvetica"/>
        </w:rPr>
      </w:pPr>
      <w:r>
        <w:rPr>
          <w:rFonts w:ascii="Helvetica" w:eastAsia="Arial" w:hAnsi="Helvetica" w:cs="Arial"/>
          <w:b/>
          <w:bCs/>
          <w:color w:val="000000" w:themeColor="text1"/>
          <w:sz w:val="24"/>
          <w:szCs w:val="24"/>
        </w:rPr>
        <w:t>Electoral Amendment Bill 2021</w:t>
      </w:r>
    </w:p>
    <w:p w14:paraId="3EFAEC39" w14:textId="6DF8DCF4" w:rsidR="00B94515" w:rsidRDefault="00B94515" w:rsidP="00251C2D">
      <w:pPr>
        <w:rPr>
          <w:rFonts w:ascii="Helvetica" w:eastAsia="Arial" w:hAnsi="Helvetica" w:cs="Arial"/>
          <w:b/>
          <w:bCs/>
          <w:color w:val="000000" w:themeColor="text1"/>
          <w:sz w:val="24"/>
          <w:szCs w:val="24"/>
        </w:rPr>
      </w:pPr>
    </w:p>
    <w:p w14:paraId="7F417C3D" w14:textId="77777777" w:rsidR="005047F7" w:rsidRPr="005047F7" w:rsidRDefault="005047F7" w:rsidP="00251C2D">
      <w:pPr>
        <w:rPr>
          <w:rFonts w:ascii="Helvetica" w:eastAsia="Arial" w:hAnsi="Helvetica" w:cs="Arial"/>
          <w:b/>
          <w:bCs/>
          <w:color w:val="000000" w:themeColor="text1"/>
          <w:sz w:val="24"/>
          <w:szCs w:val="24"/>
        </w:rPr>
      </w:pPr>
    </w:p>
    <w:p w14:paraId="5DF2D7D1" w14:textId="199D7926" w:rsidR="00B94515" w:rsidRPr="005047F7" w:rsidRDefault="4FA27BCE" w:rsidP="6A3A1C74">
      <w:pPr>
        <w:jc w:val="center"/>
        <w:rPr>
          <w:rFonts w:ascii="Helvetica" w:eastAsia="Arial" w:hAnsi="Helvetica" w:cs="Arial"/>
          <w:b/>
          <w:bCs/>
          <w:color w:val="000000" w:themeColor="text1"/>
          <w:sz w:val="24"/>
          <w:szCs w:val="24"/>
        </w:rPr>
      </w:pPr>
      <w:r w:rsidRPr="005047F7">
        <w:rPr>
          <w:rFonts w:ascii="Helvetica" w:eastAsia="Arial" w:hAnsi="Helvetica" w:cs="Arial"/>
          <w:b/>
          <w:bCs/>
          <w:color w:val="000000" w:themeColor="text1"/>
          <w:sz w:val="24"/>
          <w:szCs w:val="24"/>
        </w:rPr>
        <w:t>EXPLANATORY STATEMENT</w:t>
      </w:r>
    </w:p>
    <w:p w14:paraId="493D6405" w14:textId="3369BF61" w:rsidR="009D1BA4" w:rsidRPr="005047F7" w:rsidRDefault="009D1BA4" w:rsidP="6A3A1C74">
      <w:pPr>
        <w:jc w:val="center"/>
        <w:rPr>
          <w:rFonts w:ascii="Helvetica" w:eastAsia="Arial" w:hAnsi="Helvetica" w:cs="Arial"/>
          <w:b/>
          <w:bCs/>
          <w:color w:val="000000" w:themeColor="text1"/>
          <w:sz w:val="24"/>
          <w:szCs w:val="24"/>
        </w:rPr>
      </w:pPr>
      <w:r w:rsidRPr="005047F7">
        <w:rPr>
          <w:rFonts w:ascii="Helvetica" w:eastAsia="Arial" w:hAnsi="Helvetica" w:cs="Arial"/>
          <w:b/>
          <w:bCs/>
          <w:color w:val="000000" w:themeColor="text1"/>
          <w:sz w:val="24"/>
          <w:szCs w:val="24"/>
        </w:rPr>
        <w:t>and</w:t>
      </w:r>
    </w:p>
    <w:p w14:paraId="2C078E63" w14:textId="6E17781A" w:rsidR="00B94515" w:rsidRPr="005047F7" w:rsidRDefault="009D1BA4" w:rsidP="6A3A1C74">
      <w:pPr>
        <w:jc w:val="center"/>
        <w:rPr>
          <w:rFonts w:ascii="Helvetica" w:hAnsi="Helvetica"/>
        </w:rPr>
      </w:pPr>
      <w:r w:rsidRPr="005047F7">
        <w:rPr>
          <w:rFonts w:ascii="Helvetica" w:eastAsia="Arial" w:hAnsi="Helvetica" w:cs="Arial"/>
          <w:b/>
          <w:bCs/>
          <w:color w:val="000000" w:themeColor="text1"/>
          <w:sz w:val="24"/>
          <w:szCs w:val="24"/>
        </w:rPr>
        <w:t>HUMAN RIGHTS COMPATABILITY STATEMENT</w:t>
      </w:r>
    </w:p>
    <w:p w14:paraId="02CE973D" w14:textId="2DA876A6" w:rsidR="6A3A1C74" w:rsidRPr="005047F7" w:rsidRDefault="6A3A1C74" w:rsidP="6A3A1C74">
      <w:pPr>
        <w:jc w:val="center"/>
        <w:rPr>
          <w:rFonts w:ascii="Helvetica" w:hAnsi="Helvetica"/>
        </w:rPr>
      </w:pPr>
    </w:p>
    <w:p w14:paraId="3D9A3746" w14:textId="214D363E" w:rsidR="6A3A1C74" w:rsidRPr="005047F7" w:rsidRDefault="6A3A1C74" w:rsidP="005047F7">
      <w:pPr>
        <w:rPr>
          <w:rFonts w:ascii="Helvetica" w:hAnsi="Helvetica"/>
        </w:rPr>
      </w:pPr>
    </w:p>
    <w:p w14:paraId="59BD4A21" w14:textId="5C591ED0" w:rsidR="4FA27BCE" w:rsidRDefault="4FA27BCE" w:rsidP="6A3A1C74">
      <w:pPr>
        <w:jc w:val="right"/>
        <w:rPr>
          <w:rFonts w:ascii="Helvetica" w:hAnsi="Helvetica"/>
          <w:b/>
          <w:bCs/>
        </w:rPr>
      </w:pPr>
      <w:r w:rsidRPr="005047F7">
        <w:rPr>
          <w:rFonts w:ascii="Helvetica" w:hAnsi="Helvetica"/>
          <w:b/>
          <w:bCs/>
        </w:rPr>
        <w:t>Presented by</w:t>
      </w:r>
      <w:r w:rsidR="00E4066C">
        <w:rPr>
          <w:rFonts w:ascii="Helvetica" w:hAnsi="Helvetica"/>
          <w:b/>
          <w:bCs/>
        </w:rPr>
        <w:t>:</w:t>
      </w:r>
    </w:p>
    <w:p w14:paraId="61FFFB82" w14:textId="7A8B5A3C" w:rsidR="00E4066C" w:rsidRPr="005047F7" w:rsidRDefault="00E4066C" w:rsidP="6A3A1C74">
      <w:pPr>
        <w:jc w:val="right"/>
        <w:rPr>
          <w:rFonts w:ascii="Helvetica" w:hAnsi="Helvetica"/>
          <w:b/>
          <w:bCs/>
        </w:rPr>
      </w:pPr>
    </w:p>
    <w:p w14:paraId="2D57E0FE" w14:textId="30B915CE" w:rsidR="4FA27BCE" w:rsidRPr="005047F7" w:rsidRDefault="4FA27BCE" w:rsidP="6A3A1C74">
      <w:pPr>
        <w:jc w:val="right"/>
        <w:rPr>
          <w:rFonts w:ascii="Helvetica" w:hAnsi="Helvetica"/>
          <w:b/>
          <w:bCs/>
        </w:rPr>
      </w:pPr>
      <w:r w:rsidRPr="005047F7">
        <w:rPr>
          <w:rFonts w:ascii="Helvetica" w:hAnsi="Helvetica"/>
          <w:b/>
          <w:bCs/>
        </w:rPr>
        <w:t>Johnathan Davis MLA</w:t>
      </w:r>
    </w:p>
    <w:p w14:paraId="1371856B" w14:textId="4F11A835" w:rsidR="4FA27BCE" w:rsidRDefault="4FA27BCE" w:rsidP="6A3A1C74">
      <w:pPr>
        <w:jc w:val="right"/>
        <w:rPr>
          <w:rFonts w:ascii="Helvetica" w:hAnsi="Helvetica"/>
          <w:b/>
          <w:bCs/>
        </w:rPr>
      </w:pPr>
      <w:r w:rsidRPr="005047F7">
        <w:rPr>
          <w:rFonts w:ascii="Helvetica" w:hAnsi="Helvetica"/>
          <w:b/>
          <w:bCs/>
        </w:rPr>
        <w:t>Member for Brindabella</w:t>
      </w:r>
    </w:p>
    <w:p w14:paraId="736ECF32" w14:textId="7D0F981D" w:rsidR="00E4066C" w:rsidRDefault="00E4066C" w:rsidP="6A3A1C74">
      <w:pPr>
        <w:jc w:val="right"/>
        <w:rPr>
          <w:rFonts w:ascii="Helvetica" w:hAnsi="Helvetica"/>
          <w:b/>
          <w:bCs/>
        </w:rPr>
      </w:pPr>
    </w:p>
    <w:p w14:paraId="5A4B808D" w14:textId="7C48FF5F" w:rsidR="00E4066C" w:rsidRDefault="00E4066C" w:rsidP="6A3A1C74">
      <w:pPr>
        <w:jc w:val="right"/>
        <w:rPr>
          <w:rFonts w:ascii="Helvetica" w:hAnsi="Helvetica"/>
          <w:b/>
          <w:bCs/>
        </w:rPr>
      </w:pPr>
      <w:r>
        <w:rPr>
          <w:rFonts w:ascii="Helvetica" w:hAnsi="Helvetica"/>
          <w:b/>
          <w:bCs/>
        </w:rPr>
        <w:t>Andrew Braddock MLA</w:t>
      </w:r>
    </w:p>
    <w:p w14:paraId="1779CBF0" w14:textId="74608564" w:rsidR="00E4066C" w:rsidRPr="005047F7" w:rsidRDefault="00E4066C" w:rsidP="6A3A1C74">
      <w:pPr>
        <w:jc w:val="right"/>
        <w:rPr>
          <w:rFonts w:ascii="Helvetica" w:hAnsi="Helvetica"/>
          <w:b/>
          <w:bCs/>
        </w:rPr>
      </w:pPr>
      <w:r>
        <w:rPr>
          <w:rFonts w:ascii="Helvetica" w:hAnsi="Helvetica"/>
          <w:b/>
          <w:bCs/>
        </w:rPr>
        <w:t>Member for Yerrabi</w:t>
      </w:r>
    </w:p>
    <w:p w14:paraId="7009FDA9" w14:textId="77777777" w:rsidR="005047F7" w:rsidRDefault="005047F7" w:rsidP="313C3194">
      <w:pPr>
        <w:rPr>
          <w:rFonts w:ascii="Helvetica" w:hAnsi="Helvetica"/>
          <w:b/>
          <w:bCs/>
        </w:rPr>
      </w:pPr>
    </w:p>
    <w:p w14:paraId="21EF04A8" w14:textId="56149E4E" w:rsidR="0D6A975F" w:rsidRPr="005047F7" w:rsidRDefault="0D6A975F" w:rsidP="313C3194">
      <w:pPr>
        <w:rPr>
          <w:rFonts w:ascii="Helvetica" w:hAnsi="Helvetica"/>
        </w:rPr>
      </w:pPr>
      <w:r w:rsidRPr="005047F7">
        <w:rPr>
          <w:rFonts w:ascii="Helvetica" w:hAnsi="Helvetica"/>
          <w:b/>
          <w:bCs/>
        </w:rPr>
        <w:lastRenderedPageBreak/>
        <w:t>Electoral Amendment Act 2021</w:t>
      </w:r>
    </w:p>
    <w:p w14:paraId="607D7058" w14:textId="5E719563" w:rsidR="313C3194" w:rsidRPr="005047F7" w:rsidRDefault="313C3194" w:rsidP="005047F7">
      <w:pPr>
        <w:spacing w:line="360" w:lineRule="auto"/>
        <w:rPr>
          <w:rFonts w:ascii="Helvetica" w:hAnsi="Helvetica"/>
          <w:b/>
          <w:bCs/>
        </w:rPr>
      </w:pPr>
    </w:p>
    <w:p w14:paraId="4601B597" w14:textId="5113BC97" w:rsidR="15452C6A" w:rsidRDefault="15452C6A" w:rsidP="005047F7">
      <w:pPr>
        <w:spacing w:line="360" w:lineRule="auto"/>
        <w:rPr>
          <w:rFonts w:ascii="Helvetica" w:hAnsi="Helvetica"/>
          <w:b/>
          <w:bCs/>
        </w:rPr>
      </w:pPr>
      <w:r w:rsidRPr="005047F7">
        <w:rPr>
          <w:rFonts w:ascii="Helvetica" w:hAnsi="Helvetica"/>
          <w:b/>
          <w:bCs/>
        </w:rPr>
        <w:t>Introduction</w:t>
      </w:r>
    </w:p>
    <w:p w14:paraId="7D36BBD4" w14:textId="4F148429" w:rsidR="005047F7" w:rsidRDefault="005047F7" w:rsidP="005047F7">
      <w:pPr>
        <w:spacing w:line="360" w:lineRule="auto"/>
        <w:rPr>
          <w:rFonts w:ascii="Helvetica" w:hAnsi="Helvetica"/>
        </w:rPr>
      </w:pPr>
      <w:r>
        <w:rPr>
          <w:rFonts w:ascii="Helvetica" w:hAnsi="Helvetica"/>
        </w:rPr>
        <w:t>This explanatory statement relates to the Electoral Amendment Bill 2021 (the Bill) as presented to the ACT Legislative Assembly. It has been prepared to assist the reader of the Bill and to help inform debate on it. It does not form part of the Bill and has not been endorsed by the Assembly.</w:t>
      </w:r>
    </w:p>
    <w:p w14:paraId="659B661D" w14:textId="062A7100" w:rsidR="313C3194" w:rsidRDefault="0046150D" w:rsidP="005047F7">
      <w:pPr>
        <w:spacing w:line="360" w:lineRule="auto"/>
        <w:rPr>
          <w:rFonts w:ascii="Helvetica" w:hAnsi="Helvetica"/>
        </w:rPr>
      </w:pPr>
      <w:r>
        <w:rPr>
          <w:rFonts w:ascii="Helvetica" w:hAnsi="Helvetica"/>
        </w:rPr>
        <w:t xml:space="preserve">The Statement must be read in conjunction with the Bill. It is not, and is not meant to be, a comprehensive description of the Bill. What </w:t>
      </w:r>
      <w:r w:rsidR="00531FA1">
        <w:rPr>
          <w:rFonts w:ascii="Helvetica" w:hAnsi="Helvetica"/>
        </w:rPr>
        <w:t>i</w:t>
      </w:r>
      <w:r>
        <w:rPr>
          <w:rFonts w:ascii="Helvetica" w:hAnsi="Helvetica"/>
        </w:rPr>
        <w:t xml:space="preserve">s said about a provision is not to be taken as an authoritative guide to the meaning of a provision, this being a task for the courts. </w:t>
      </w:r>
    </w:p>
    <w:p w14:paraId="627EC079" w14:textId="77777777" w:rsidR="0095224F" w:rsidRPr="0046150D" w:rsidRDefault="0095224F" w:rsidP="005047F7">
      <w:pPr>
        <w:spacing w:line="360" w:lineRule="auto"/>
        <w:rPr>
          <w:rFonts w:ascii="Helvetica" w:hAnsi="Helvetica"/>
        </w:rPr>
      </w:pPr>
    </w:p>
    <w:p w14:paraId="0DC90932" w14:textId="4F270A0B" w:rsidR="15452C6A" w:rsidRDefault="15452C6A" w:rsidP="005047F7">
      <w:pPr>
        <w:spacing w:line="360" w:lineRule="auto"/>
        <w:rPr>
          <w:rFonts w:ascii="Helvetica" w:hAnsi="Helvetica"/>
          <w:b/>
          <w:bCs/>
        </w:rPr>
      </w:pPr>
      <w:r w:rsidRPr="005047F7">
        <w:rPr>
          <w:rFonts w:ascii="Helvetica" w:hAnsi="Helvetica"/>
          <w:b/>
          <w:bCs/>
        </w:rPr>
        <w:t xml:space="preserve">Overview of the Bill </w:t>
      </w:r>
    </w:p>
    <w:p w14:paraId="3803A5A4" w14:textId="3CA9C14F" w:rsidR="00FF02F1" w:rsidRDefault="0046150D" w:rsidP="005047F7">
      <w:pPr>
        <w:spacing w:line="360" w:lineRule="auto"/>
        <w:rPr>
          <w:rFonts w:ascii="Helvetica" w:hAnsi="Helvetica"/>
        </w:rPr>
      </w:pPr>
      <w:r>
        <w:rPr>
          <w:rFonts w:ascii="Helvetica" w:hAnsi="Helvetica"/>
        </w:rPr>
        <w:t>The purpose of the Electoral Amendment Bill 2021 is to</w:t>
      </w:r>
      <w:r w:rsidR="00CA1BA0">
        <w:rPr>
          <w:rFonts w:ascii="Helvetica" w:hAnsi="Helvetica"/>
        </w:rPr>
        <w:t xml:space="preserve"> strengthen the democratic engagement of young people by</w:t>
      </w:r>
      <w:r>
        <w:rPr>
          <w:rFonts w:ascii="Helvetica" w:hAnsi="Helvetica"/>
        </w:rPr>
        <w:t xml:space="preserve"> </w:t>
      </w:r>
      <w:r w:rsidR="00FF6722">
        <w:rPr>
          <w:rFonts w:ascii="Helvetica" w:hAnsi="Helvetica"/>
        </w:rPr>
        <w:t>lower</w:t>
      </w:r>
      <w:r w:rsidR="00CA1BA0">
        <w:rPr>
          <w:rFonts w:ascii="Helvetica" w:hAnsi="Helvetica"/>
        </w:rPr>
        <w:t xml:space="preserve">ing the </w:t>
      </w:r>
      <w:r w:rsidR="00531FA1">
        <w:rPr>
          <w:rFonts w:ascii="Helvetica" w:hAnsi="Helvetica"/>
        </w:rPr>
        <w:t>mandatory</w:t>
      </w:r>
      <w:r w:rsidR="00CA1BA0">
        <w:rPr>
          <w:rFonts w:ascii="Helvetica" w:hAnsi="Helvetica"/>
        </w:rPr>
        <w:t xml:space="preserve"> </w:t>
      </w:r>
      <w:r w:rsidR="00531FA1">
        <w:rPr>
          <w:rFonts w:ascii="Helvetica" w:hAnsi="Helvetica"/>
        </w:rPr>
        <w:t>voting age</w:t>
      </w:r>
      <w:r w:rsidR="00CA1BA0">
        <w:rPr>
          <w:rFonts w:ascii="Helvetica" w:hAnsi="Helvetica"/>
        </w:rPr>
        <w:t xml:space="preserve"> from 18 to 16 within the ACT. </w:t>
      </w:r>
    </w:p>
    <w:p w14:paraId="3957C2BF" w14:textId="77777777" w:rsidR="0095224F" w:rsidRDefault="0095224F" w:rsidP="005047F7">
      <w:pPr>
        <w:spacing w:line="360" w:lineRule="auto"/>
        <w:rPr>
          <w:rFonts w:ascii="Helvetica" w:hAnsi="Helvetica"/>
        </w:rPr>
      </w:pPr>
    </w:p>
    <w:p w14:paraId="3D941B37" w14:textId="0DC7E1D2" w:rsidR="00020700" w:rsidRDefault="00020700" w:rsidP="005047F7">
      <w:pPr>
        <w:spacing w:line="360" w:lineRule="auto"/>
        <w:rPr>
          <w:rFonts w:ascii="Helvetica" w:hAnsi="Helvetica"/>
          <w:b/>
          <w:bCs/>
        </w:rPr>
      </w:pPr>
      <w:r>
        <w:rPr>
          <w:rFonts w:ascii="Helvetica" w:hAnsi="Helvetica"/>
          <w:b/>
          <w:bCs/>
        </w:rPr>
        <w:t>Background</w:t>
      </w:r>
    </w:p>
    <w:p w14:paraId="482F0011" w14:textId="001FE4FA" w:rsidR="00020700" w:rsidRDefault="00EE2483" w:rsidP="005047F7">
      <w:pPr>
        <w:spacing w:line="360" w:lineRule="auto"/>
        <w:rPr>
          <w:rFonts w:ascii="Helvetica" w:hAnsi="Helvetica"/>
        </w:rPr>
      </w:pPr>
      <w:r>
        <w:rPr>
          <w:rFonts w:ascii="Helvetica" w:hAnsi="Helvetica"/>
        </w:rPr>
        <w:t>In 2019, the</w:t>
      </w:r>
      <w:r w:rsidR="0045416C">
        <w:rPr>
          <w:rFonts w:ascii="Helvetica" w:hAnsi="Helvetica"/>
        </w:rPr>
        <w:t xml:space="preserve"> Australian</w:t>
      </w:r>
      <w:r>
        <w:rPr>
          <w:rFonts w:ascii="Helvetica" w:hAnsi="Helvetica"/>
        </w:rPr>
        <w:t xml:space="preserve"> Human Rights Commission found that </w:t>
      </w:r>
      <w:r w:rsidR="00980DA6">
        <w:rPr>
          <w:rFonts w:ascii="Helvetica" w:hAnsi="Helvetica"/>
        </w:rPr>
        <w:t>people</w:t>
      </w:r>
      <w:r>
        <w:rPr>
          <w:rFonts w:ascii="Helvetica" w:hAnsi="Helvetica"/>
        </w:rPr>
        <w:t xml:space="preserve"> under the age of 18 feel they have no voice in society. </w:t>
      </w:r>
      <w:r w:rsidR="001A3569">
        <w:rPr>
          <w:rFonts w:ascii="Helvetica" w:hAnsi="Helvetica"/>
        </w:rPr>
        <w:t>The report found that young people were frustrated about their lack of ability to participate in politics and about social structures that diminish the</w:t>
      </w:r>
      <w:r w:rsidR="00980DA6">
        <w:rPr>
          <w:rFonts w:ascii="Helvetica" w:hAnsi="Helvetica"/>
        </w:rPr>
        <w:t>ir</w:t>
      </w:r>
      <w:r w:rsidR="001A3569">
        <w:rPr>
          <w:rFonts w:ascii="Helvetica" w:hAnsi="Helvetica"/>
        </w:rPr>
        <w:t xml:space="preserve"> agency</w:t>
      </w:r>
      <w:r w:rsidR="00531FA1">
        <w:rPr>
          <w:rFonts w:ascii="Helvetica" w:hAnsi="Helvetica"/>
        </w:rPr>
        <w:t>.</w:t>
      </w:r>
      <w:r w:rsidR="0045416C">
        <w:rPr>
          <w:rStyle w:val="FootnoteReference"/>
          <w:rFonts w:ascii="Helvetica" w:hAnsi="Helvetica"/>
        </w:rPr>
        <w:footnoteReference w:id="1"/>
      </w:r>
      <w:r w:rsidR="0045416C">
        <w:rPr>
          <w:rFonts w:ascii="Helvetica" w:hAnsi="Helvetica"/>
        </w:rPr>
        <w:t xml:space="preserve"> The </w:t>
      </w:r>
      <w:r w:rsidR="00531FA1">
        <w:rPr>
          <w:rFonts w:ascii="Helvetica" w:hAnsi="Helvetica"/>
        </w:rPr>
        <w:t>C</w:t>
      </w:r>
      <w:r w:rsidR="0045416C">
        <w:rPr>
          <w:rFonts w:ascii="Helvetica" w:hAnsi="Helvetica"/>
        </w:rPr>
        <w:t xml:space="preserve">ommission’s survey of Australian teenagers found that they held a ‘keen understanding’ of areas for improvement </w:t>
      </w:r>
      <w:r w:rsidR="006642E1">
        <w:rPr>
          <w:rFonts w:ascii="Helvetica" w:hAnsi="Helvetica"/>
        </w:rPr>
        <w:t>in</w:t>
      </w:r>
      <w:r w:rsidR="0045416C">
        <w:rPr>
          <w:rFonts w:ascii="Helvetica" w:hAnsi="Helvetica"/>
        </w:rPr>
        <w:t xml:space="preserve"> Australian Government </w:t>
      </w:r>
      <w:r w:rsidR="006642E1">
        <w:rPr>
          <w:rFonts w:ascii="Helvetica" w:hAnsi="Helvetica"/>
        </w:rPr>
        <w:t xml:space="preserve">policy as it relates to </w:t>
      </w:r>
      <w:r w:rsidR="0045416C">
        <w:rPr>
          <w:rFonts w:ascii="Helvetica" w:hAnsi="Helvetica"/>
        </w:rPr>
        <w:t xml:space="preserve">obligations under the </w:t>
      </w:r>
      <w:r w:rsidR="006642E1">
        <w:rPr>
          <w:rFonts w:ascii="Helvetica" w:hAnsi="Helvetica"/>
        </w:rPr>
        <w:t xml:space="preserve">Conventions of the Rights of the Child. </w:t>
      </w:r>
    </w:p>
    <w:p w14:paraId="3427CF99" w14:textId="7653EBF5" w:rsidR="006642E1" w:rsidRDefault="006642E1" w:rsidP="005047F7">
      <w:pPr>
        <w:spacing w:line="360" w:lineRule="auto"/>
        <w:rPr>
          <w:rFonts w:ascii="Helvetica" w:hAnsi="Helvetica"/>
        </w:rPr>
      </w:pPr>
    </w:p>
    <w:p w14:paraId="0C900BDF" w14:textId="5EC02DC3" w:rsidR="006642E1" w:rsidRDefault="006642E1" w:rsidP="005047F7">
      <w:pPr>
        <w:spacing w:line="360" w:lineRule="auto"/>
        <w:rPr>
          <w:rFonts w:ascii="Helvetica" w:hAnsi="Helvetica"/>
        </w:rPr>
      </w:pPr>
      <w:r>
        <w:rPr>
          <w:rFonts w:ascii="Helvetica" w:hAnsi="Helvetica"/>
        </w:rPr>
        <w:t xml:space="preserve">This Bill </w:t>
      </w:r>
      <w:r w:rsidR="00531FA1">
        <w:rPr>
          <w:rFonts w:ascii="Helvetica" w:hAnsi="Helvetica"/>
        </w:rPr>
        <w:t>responds to</w:t>
      </w:r>
      <w:r>
        <w:rPr>
          <w:rFonts w:ascii="Helvetica" w:hAnsi="Helvetica"/>
        </w:rPr>
        <w:t xml:space="preserve"> human rights advocates and young people </w:t>
      </w:r>
      <w:r w:rsidR="00531FA1">
        <w:rPr>
          <w:rFonts w:ascii="Helvetica" w:hAnsi="Helvetica"/>
        </w:rPr>
        <w:t>by seeking to</w:t>
      </w:r>
      <w:r>
        <w:rPr>
          <w:rFonts w:ascii="Helvetica" w:hAnsi="Helvetica"/>
        </w:rPr>
        <w:t xml:space="preserve"> </w:t>
      </w:r>
      <w:r w:rsidR="00531FA1">
        <w:rPr>
          <w:rFonts w:ascii="Helvetica" w:hAnsi="Helvetica"/>
        </w:rPr>
        <w:t>increase</w:t>
      </w:r>
      <w:r>
        <w:rPr>
          <w:rFonts w:ascii="Helvetica" w:hAnsi="Helvetica"/>
        </w:rPr>
        <w:t xml:space="preserve"> their political engagement and political relevance. </w:t>
      </w:r>
      <w:r w:rsidR="00575727">
        <w:rPr>
          <w:rFonts w:ascii="Helvetica" w:hAnsi="Helvetica"/>
        </w:rPr>
        <w:t xml:space="preserve">The </w:t>
      </w:r>
      <w:r w:rsidR="00531FA1">
        <w:rPr>
          <w:rFonts w:ascii="Helvetica" w:hAnsi="Helvetica"/>
        </w:rPr>
        <w:t>C</w:t>
      </w:r>
      <w:r w:rsidR="00575727">
        <w:rPr>
          <w:rFonts w:ascii="Helvetica" w:hAnsi="Helvetica"/>
        </w:rPr>
        <w:t>ommission quotes an individual</w:t>
      </w:r>
      <w:r w:rsidR="00DA389A">
        <w:rPr>
          <w:rFonts w:ascii="Helvetica" w:hAnsi="Helvetica"/>
        </w:rPr>
        <w:t xml:space="preserve"> interviewed as expressing concern with “the stigma surrounding young people being ‘incapable’ of making </w:t>
      </w:r>
      <w:r w:rsidR="00DA389A">
        <w:rPr>
          <w:rFonts w:ascii="Helvetica" w:hAnsi="Helvetica"/>
        </w:rPr>
        <w:lastRenderedPageBreak/>
        <w:t>informed decisions about their own health and education”.</w:t>
      </w:r>
      <w:r w:rsidR="00DA389A">
        <w:rPr>
          <w:rStyle w:val="FootnoteReference"/>
          <w:rFonts w:ascii="Helvetica" w:hAnsi="Helvetica"/>
        </w:rPr>
        <w:footnoteReference w:id="2"/>
      </w:r>
      <w:r w:rsidR="00DD00E7">
        <w:rPr>
          <w:rFonts w:ascii="Helvetica" w:hAnsi="Helvetica"/>
        </w:rPr>
        <w:t xml:space="preserve"> It also found a particular interest from young people about mental health, education, and connections to culture in the context of Aboriginal and Torres Strait Islander children. This exemplifies the desire for political engagement from young people to affect issues that impact them.</w:t>
      </w:r>
      <w:r w:rsidR="00A46650">
        <w:rPr>
          <w:rFonts w:ascii="Helvetica" w:hAnsi="Helvetica"/>
        </w:rPr>
        <w:t xml:space="preserve"> Similar reforms to this Bill have been achieved in Austria</w:t>
      </w:r>
      <w:r w:rsidR="00E34EDF">
        <w:rPr>
          <w:rFonts w:ascii="Helvetica" w:hAnsi="Helvetica"/>
        </w:rPr>
        <w:t>, Brazil</w:t>
      </w:r>
      <w:r w:rsidR="00A46650">
        <w:rPr>
          <w:rFonts w:ascii="Helvetica" w:hAnsi="Helvetica"/>
        </w:rPr>
        <w:t xml:space="preserve"> and Scotland which</w:t>
      </w:r>
      <w:r w:rsidR="00531FA1">
        <w:rPr>
          <w:rFonts w:ascii="Helvetica" w:hAnsi="Helvetica"/>
        </w:rPr>
        <w:t xml:space="preserve"> </w:t>
      </w:r>
      <w:r w:rsidR="00E34EDF">
        <w:rPr>
          <w:rFonts w:ascii="Helvetica" w:hAnsi="Helvetica"/>
        </w:rPr>
        <w:t>research</w:t>
      </w:r>
      <w:r w:rsidR="00A46650">
        <w:rPr>
          <w:rFonts w:ascii="Helvetica" w:hAnsi="Helvetica"/>
        </w:rPr>
        <w:t xml:space="preserve"> found has had a positive impact on the confidence of young people to feel they can affect change.</w:t>
      </w:r>
      <w:r w:rsidR="00A46650">
        <w:rPr>
          <w:rStyle w:val="FootnoteReference"/>
          <w:rFonts w:ascii="Helvetica" w:hAnsi="Helvetica"/>
        </w:rPr>
        <w:footnoteReference w:id="3"/>
      </w:r>
      <w:r w:rsidR="00E34EDF">
        <w:rPr>
          <w:rFonts w:ascii="Helvetica" w:hAnsi="Helvetica"/>
        </w:rPr>
        <w:t xml:space="preserve"> The Whitlam Institute (a public policy research foundation) also </w:t>
      </w:r>
      <w:r w:rsidR="003140E2">
        <w:rPr>
          <w:rFonts w:ascii="Helvetica" w:hAnsi="Helvetica"/>
        </w:rPr>
        <w:t>recommend</w:t>
      </w:r>
      <w:r w:rsidR="00E34EDF">
        <w:rPr>
          <w:rFonts w:ascii="Helvetica" w:hAnsi="Helvetica"/>
        </w:rPr>
        <w:t>ed</w:t>
      </w:r>
      <w:r w:rsidR="003140E2">
        <w:rPr>
          <w:rFonts w:ascii="Helvetica" w:hAnsi="Helvetica"/>
        </w:rPr>
        <w:t xml:space="preserve"> that governments must urgently address the barriers to the engagement of young people in political systems and institutions to strengthen Australian democracy.</w:t>
      </w:r>
      <w:r w:rsidR="003140E2">
        <w:rPr>
          <w:rStyle w:val="FootnoteReference"/>
          <w:rFonts w:ascii="Helvetica" w:hAnsi="Helvetica"/>
        </w:rPr>
        <w:footnoteReference w:id="4"/>
      </w:r>
    </w:p>
    <w:p w14:paraId="250C9B2D" w14:textId="77777777" w:rsidR="0095224F" w:rsidRPr="00020700" w:rsidRDefault="0095224F" w:rsidP="005047F7">
      <w:pPr>
        <w:spacing w:line="360" w:lineRule="auto"/>
        <w:rPr>
          <w:rFonts w:ascii="Helvetica" w:hAnsi="Helvetica"/>
        </w:rPr>
      </w:pPr>
    </w:p>
    <w:p w14:paraId="6CCA46BA" w14:textId="47677BAD" w:rsidR="15452C6A" w:rsidRDefault="00CA1BA0" w:rsidP="005047F7">
      <w:pPr>
        <w:spacing w:line="360" w:lineRule="auto"/>
        <w:jc w:val="center"/>
        <w:rPr>
          <w:rFonts w:ascii="Helvetica" w:hAnsi="Helvetica"/>
          <w:b/>
          <w:bCs/>
        </w:rPr>
      </w:pPr>
      <w:r>
        <w:rPr>
          <w:rFonts w:ascii="Helvetica" w:hAnsi="Helvetica"/>
          <w:b/>
          <w:bCs/>
        </w:rPr>
        <w:t>Clause Notes</w:t>
      </w:r>
    </w:p>
    <w:p w14:paraId="68006965" w14:textId="1C2D23A9" w:rsidR="00CA1BA0" w:rsidRDefault="00CA1BA0" w:rsidP="00CA1BA0">
      <w:pPr>
        <w:spacing w:line="360" w:lineRule="auto"/>
        <w:rPr>
          <w:rFonts w:ascii="Helvetica" w:hAnsi="Helvetica"/>
          <w:b/>
          <w:bCs/>
        </w:rPr>
      </w:pPr>
      <w:r>
        <w:rPr>
          <w:rFonts w:ascii="Helvetica" w:hAnsi="Helvetica"/>
          <w:b/>
          <w:bCs/>
        </w:rPr>
        <w:t>1 Name of Act</w:t>
      </w:r>
    </w:p>
    <w:p w14:paraId="0ABDDC4B" w14:textId="05C40B91" w:rsidR="00CA1BA0" w:rsidRDefault="00CA1BA0" w:rsidP="00CA1BA0">
      <w:pPr>
        <w:spacing w:line="360" w:lineRule="auto"/>
        <w:rPr>
          <w:rFonts w:ascii="Helvetica" w:hAnsi="Helvetica"/>
        </w:rPr>
      </w:pPr>
      <w:r>
        <w:rPr>
          <w:rFonts w:ascii="Helvetica" w:hAnsi="Helvetica"/>
        </w:rPr>
        <w:t xml:space="preserve">The Act is the </w:t>
      </w:r>
      <w:r w:rsidR="00FF02F1">
        <w:rPr>
          <w:rFonts w:ascii="Helvetica" w:hAnsi="Helvetica"/>
          <w:i/>
          <w:iCs/>
        </w:rPr>
        <w:t>Electoral Amendment Act 2021</w:t>
      </w:r>
      <w:r w:rsidR="00210C7A">
        <w:rPr>
          <w:rFonts w:ascii="Helvetica" w:hAnsi="Helvetica"/>
        </w:rPr>
        <w:t>.</w:t>
      </w:r>
    </w:p>
    <w:p w14:paraId="41402713" w14:textId="4D6B76B7" w:rsidR="00FF02F1" w:rsidRDefault="00FF02F1" w:rsidP="00CA1BA0">
      <w:pPr>
        <w:spacing w:line="360" w:lineRule="auto"/>
        <w:rPr>
          <w:rFonts w:ascii="Helvetica" w:hAnsi="Helvetica"/>
          <w:b/>
          <w:bCs/>
        </w:rPr>
      </w:pPr>
      <w:r>
        <w:rPr>
          <w:rFonts w:ascii="Helvetica" w:hAnsi="Helvetica"/>
          <w:b/>
          <w:bCs/>
        </w:rPr>
        <w:t>2 Commencement</w:t>
      </w:r>
    </w:p>
    <w:p w14:paraId="2EB61DBA" w14:textId="2897D3FF" w:rsidR="00FF02F1" w:rsidRDefault="00FF02F1" w:rsidP="00CA1BA0">
      <w:pPr>
        <w:spacing w:line="360" w:lineRule="auto"/>
        <w:rPr>
          <w:rFonts w:ascii="Helvetica" w:hAnsi="Helvetica"/>
        </w:rPr>
      </w:pPr>
      <w:r>
        <w:rPr>
          <w:rFonts w:ascii="Helvetica" w:hAnsi="Helvetica"/>
        </w:rPr>
        <w:t>This Act commences 12 months after</w:t>
      </w:r>
      <w:r w:rsidR="00DF573C">
        <w:rPr>
          <w:rFonts w:ascii="Helvetica" w:hAnsi="Helvetica"/>
        </w:rPr>
        <w:t xml:space="preserve"> its</w:t>
      </w:r>
      <w:r>
        <w:rPr>
          <w:rFonts w:ascii="Helvetica" w:hAnsi="Helvetica"/>
        </w:rPr>
        <w:t xml:space="preserve"> </w:t>
      </w:r>
      <w:r w:rsidR="00DF573C">
        <w:rPr>
          <w:rFonts w:ascii="Helvetica" w:hAnsi="Helvetica"/>
        </w:rPr>
        <w:t>notification day.</w:t>
      </w:r>
    </w:p>
    <w:p w14:paraId="2002D29C" w14:textId="77777777" w:rsidR="00DF573C" w:rsidRDefault="00DF573C" w:rsidP="00CA1BA0">
      <w:pPr>
        <w:spacing w:line="360" w:lineRule="auto"/>
        <w:rPr>
          <w:rFonts w:ascii="Helvetica" w:hAnsi="Helvetica"/>
          <w:b/>
          <w:bCs/>
        </w:rPr>
      </w:pPr>
      <w:r>
        <w:rPr>
          <w:rFonts w:ascii="Helvetica" w:hAnsi="Helvetica"/>
          <w:b/>
          <w:bCs/>
        </w:rPr>
        <w:t>3 Legislation amended</w:t>
      </w:r>
    </w:p>
    <w:p w14:paraId="31FD305C" w14:textId="435D2808" w:rsidR="00DF573C" w:rsidRDefault="00DF573C" w:rsidP="00CA1BA0">
      <w:pPr>
        <w:spacing w:line="360" w:lineRule="auto"/>
        <w:rPr>
          <w:rFonts w:ascii="Helvetica" w:hAnsi="Helvetica"/>
        </w:rPr>
      </w:pPr>
      <w:r>
        <w:rPr>
          <w:rFonts w:ascii="Helvetica" w:hAnsi="Helvetica"/>
        </w:rPr>
        <w:t xml:space="preserve">This Act amends the </w:t>
      </w:r>
      <w:r>
        <w:rPr>
          <w:rFonts w:ascii="Helvetica" w:hAnsi="Helvetica"/>
          <w:i/>
          <w:iCs/>
        </w:rPr>
        <w:t>Electoral Act 1992</w:t>
      </w:r>
      <w:r w:rsidR="00906239">
        <w:rPr>
          <w:rFonts w:ascii="Helvetica" w:hAnsi="Helvetica"/>
        </w:rPr>
        <w:t xml:space="preserve"> (the Act)</w:t>
      </w:r>
    </w:p>
    <w:p w14:paraId="005237F3" w14:textId="50709D65" w:rsidR="00DF573C" w:rsidRDefault="00DF573C" w:rsidP="00CA1BA0">
      <w:pPr>
        <w:spacing w:line="360" w:lineRule="auto"/>
        <w:rPr>
          <w:rFonts w:ascii="Helvetica" w:hAnsi="Helvetica"/>
          <w:b/>
          <w:bCs/>
        </w:rPr>
      </w:pPr>
      <w:r>
        <w:rPr>
          <w:rFonts w:ascii="Helvetica" w:hAnsi="Helvetica"/>
          <w:b/>
          <w:bCs/>
        </w:rPr>
        <w:t>4 Entitlement</w:t>
      </w:r>
      <w:r w:rsidR="00786892">
        <w:rPr>
          <w:rFonts w:ascii="Helvetica" w:hAnsi="Helvetica"/>
          <w:b/>
          <w:bCs/>
        </w:rPr>
        <w:t>:</w:t>
      </w:r>
      <w:r>
        <w:rPr>
          <w:rFonts w:ascii="Helvetica" w:hAnsi="Helvetica"/>
          <w:b/>
          <w:bCs/>
        </w:rPr>
        <w:t xml:space="preserve"> Section 72 (1) (a)</w:t>
      </w:r>
    </w:p>
    <w:p w14:paraId="6DC9B010" w14:textId="6F7D7EC6" w:rsidR="00DF573C" w:rsidRDefault="00DF573C" w:rsidP="00CA1BA0">
      <w:pPr>
        <w:spacing w:line="360" w:lineRule="auto"/>
        <w:rPr>
          <w:rFonts w:ascii="Helvetica" w:hAnsi="Helvetica"/>
        </w:rPr>
      </w:pPr>
      <w:r>
        <w:rPr>
          <w:rFonts w:ascii="Helvetica" w:hAnsi="Helvetica"/>
        </w:rPr>
        <w:t xml:space="preserve">This clause </w:t>
      </w:r>
      <w:r w:rsidR="000B71DE">
        <w:rPr>
          <w:rFonts w:ascii="Helvetica" w:hAnsi="Helvetica"/>
        </w:rPr>
        <w:t xml:space="preserve">amends section 72 (1) (a) so that people enrolled under the </w:t>
      </w:r>
      <w:r w:rsidR="000B71DE" w:rsidRPr="000B71DE">
        <w:rPr>
          <w:rFonts w:ascii="Helvetica" w:hAnsi="Helvetica"/>
          <w:i/>
          <w:iCs/>
        </w:rPr>
        <w:t>Commonwealth Electoral Act 1918</w:t>
      </w:r>
      <w:r w:rsidR="000B71DE">
        <w:rPr>
          <w:rFonts w:ascii="Helvetica" w:hAnsi="Helvetica"/>
        </w:rPr>
        <w:t xml:space="preserve">, section 100 (which details enrolment of people aged 16 and 17) are entitled to be enrolled in the same way </w:t>
      </w:r>
      <w:r w:rsidR="00CE0B3D">
        <w:rPr>
          <w:rFonts w:ascii="Helvetica" w:hAnsi="Helvetica"/>
        </w:rPr>
        <w:t xml:space="preserve">(in terms of mandatory enrolment) </w:t>
      </w:r>
      <w:r w:rsidR="000B71DE">
        <w:rPr>
          <w:rFonts w:ascii="Helvetica" w:hAnsi="Helvetica"/>
        </w:rPr>
        <w:t xml:space="preserve">as people aged 18 and over. </w:t>
      </w:r>
    </w:p>
    <w:p w14:paraId="4A4C38C6" w14:textId="04F7FA98" w:rsidR="00920C66" w:rsidRDefault="00920C66" w:rsidP="007123F5">
      <w:pPr>
        <w:keepNext/>
        <w:spacing w:line="360" w:lineRule="auto"/>
        <w:rPr>
          <w:rFonts w:ascii="Helvetica" w:hAnsi="Helvetica"/>
          <w:b/>
          <w:bCs/>
        </w:rPr>
      </w:pPr>
      <w:r>
        <w:rPr>
          <w:rFonts w:ascii="Helvetica" w:hAnsi="Helvetica"/>
          <w:b/>
          <w:bCs/>
        </w:rPr>
        <w:lastRenderedPageBreak/>
        <w:t xml:space="preserve">5 Compulsory enrolment </w:t>
      </w:r>
      <w:r w:rsidR="00786892">
        <w:rPr>
          <w:rFonts w:ascii="Helvetica" w:hAnsi="Helvetica"/>
          <w:b/>
          <w:bCs/>
        </w:rPr>
        <w:t>etc. – residents: Section 73 (4)</w:t>
      </w:r>
    </w:p>
    <w:p w14:paraId="1CDE7D14" w14:textId="27A4B129" w:rsidR="00F730EA" w:rsidRDefault="00786892" w:rsidP="00CA1BA0">
      <w:pPr>
        <w:spacing w:line="360" w:lineRule="auto"/>
        <w:rPr>
          <w:rFonts w:ascii="Helvetica" w:hAnsi="Helvetica"/>
        </w:rPr>
      </w:pPr>
      <w:r>
        <w:rPr>
          <w:rFonts w:ascii="Helvetica" w:hAnsi="Helvetica"/>
        </w:rPr>
        <w:t xml:space="preserve">This clause </w:t>
      </w:r>
      <w:r w:rsidR="00076528">
        <w:rPr>
          <w:rFonts w:ascii="Helvetica" w:hAnsi="Helvetica"/>
        </w:rPr>
        <w:t xml:space="preserve">ensures that those under the age of 18 required to submit a transfer of enrolment document when changing their place of residence outside their existing electorate. </w:t>
      </w:r>
    </w:p>
    <w:p w14:paraId="75560D47" w14:textId="1E39EF62" w:rsidR="00F730EA" w:rsidRDefault="00F730EA" w:rsidP="00CA1BA0">
      <w:pPr>
        <w:spacing w:line="360" w:lineRule="auto"/>
        <w:rPr>
          <w:rFonts w:ascii="Helvetica" w:hAnsi="Helvetica"/>
          <w:b/>
          <w:bCs/>
        </w:rPr>
      </w:pPr>
      <w:r>
        <w:rPr>
          <w:rFonts w:ascii="Helvetica" w:hAnsi="Helvetica"/>
          <w:b/>
          <w:bCs/>
        </w:rPr>
        <w:t>6 Section 73 (5)</w:t>
      </w:r>
    </w:p>
    <w:p w14:paraId="5EA2F30D" w14:textId="7771272A" w:rsidR="00077999" w:rsidRPr="007628BF" w:rsidRDefault="000B71DE" w:rsidP="00CA1BA0">
      <w:pPr>
        <w:spacing w:line="360" w:lineRule="auto"/>
        <w:rPr>
          <w:rFonts w:ascii="Helvetica" w:hAnsi="Helvetica"/>
        </w:rPr>
      </w:pPr>
      <w:r>
        <w:rPr>
          <w:rFonts w:ascii="Helvetica" w:hAnsi="Helvetica"/>
        </w:rPr>
        <w:t xml:space="preserve">This clause amends section 73 (5) so that people enrolled under the </w:t>
      </w:r>
      <w:r w:rsidRPr="000B71DE">
        <w:rPr>
          <w:rFonts w:ascii="Helvetica" w:hAnsi="Helvetica"/>
          <w:i/>
          <w:iCs/>
        </w:rPr>
        <w:t>Commonwealth Electoral Act 1918</w:t>
      </w:r>
      <w:r>
        <w:rPr>
          <w:rFonts w:ascii="Helvetica" w:hAnsi="Helvetica"/>
        </w:rPr>
        <w:t xml:space="preserve">, section 100 (which details enrolment of people aged 16 and 17) are taken to be enrolled in the same way </w:t>
      </w:r>
      <w:r w:rsidR="00CE0B3D">
        <w:rPr>
          <w:rFonts w:ascii="Helvetica" w:hAnsi="Helvetica"/>
        </w:rPr>
        <w:t xml:space="preserve">(in terms of mandatory enrolment and prerequisites to enrolment) </w:t>
      </w:r>
      <w:r>
        <w:rPr>
          <w:rFonts w:ascii="Helvetica" w:hAnsi="Helvetica"/>
        </w:rPr>
        <w:t xml:space="preserve">as people aged 18 and over. </w:t>
      </w:r>
    </w:p>
    <w:p w14:paraId="06A190F5" w14:textId="7ECA5351" w:rsidR="00D4567E" w:rsidRDefault="00D4567E" w:rsidP="00CA1BA0">
      <w:pPr>
        <w:spacing w:line="360" w:lineRule="auto"/>
        <w:rPr>
          <w:rFonts w:ascii="Helvetica" w:hAnsi="Helvetica"/>
          <w:b/>
          <w:bCs/>
        </w:rPr>
      </w:pPr>
      <w:r>
        <w:rPr>
          <w:rFonts w:ascii="Helvetica" w:hAnsi="Helvetica"/>
          <w:b/>
          <w:bCs/>
        </w:rPr>
        <w:t>7 Section 7</w:t>
      </w:r>
      <w:r w:rsidR="00F730EA">
        <w:rPr>
          <w:rFonts w:ascii="Helvetica" w:hAnsi="Helvetica"/>
          <w:b/>
          <w:bCs/>
        </w:rPr>
        <w:t>3</w:t>
      </w:r>
      <w:r>
        <w:rPr>
          <w:rFonts w:ascii="Helvetica" w:hAnsi="Helvetica"/>
          <w:b/>
          <w:bCs/>
        </w:rPr>
        <w:t xml:space="preserve"> (6), penalty</w:t>
      </w:r>
    </w:p>
    <w:p w14:paraId="5DA9131F" w14:textId="1423C57A" w:rsidR="00231DD1" w:rsidRDefault="00D4567E" w:rsidP="00CA1BA0">
      <w:pPr>
        <w:spacing w:line="360" w:lineRule="auto"/>
        <w:rPr>
          <w:rFonts w:ascii="Helvetica" w:hAnsi="Helvetica"/>
        </w:rPr>
      </w:pPr>
      <w:r>
        <w:rPr>
          <w:rFonts w:ascii="Helvetica" w:hAnsi="Helvetica"/>
        </w:rPr>
        <w:t xml:space="preserve">This clause amends the penalty imposed on </w:t>
      </w:r>
      <w:r w:rsidR="00231DD1">
        <w:rPr>
          <w:rFonts w:ascii="Helvetica" w:hAnsi="Helvetica"/>
        </w:rPr>
        <w:t xml:space="preserve">persons of </w:t>
      </w:r>
      <w:r w:rsidR="00077999">
        <w:rPr>
          <w:rFonts w:ascii="Helvetica" w:hAnsi="Helvetica"/>
        </w:rPr>
        <w:t xml:space="preserve">16 </w:t>
      </w:r>
      <w:r w:rsidR="00231DD1">
        <w:rPr>
          <w:rFonts w:ascii="Helvetica" w:hAnsi="Helvetica"/>
        </w:rPr>
        <w:t>or</w:t>
      </w:r>
      <w:r w:rsidR="00077999">
        <w:rPr>
          <w:rFonts w:ascii="Helvetica" w:hAnsi="Helvetica"/>
        </w:rPr>
        <w:t xml:space="preserve"> 17</w:t>
      </w:r>
      <w:r w:rsidR="00231DD1">
        <w:rPr>
          <w:rFonts w:ascii="Helvetica" w:hAnsi="Helvetica"/>
        </w:rPr>
        <w:t xml:space="preserve"> </w:t>
      </w:r>
      <w:r w:rsidR="00077999">
        <w:rPr>
          <w:rFonts w:ascii="Helvetica" w:hAnsi="Helvetica"/>
        </w:rPr>
        <w:t>year</w:t>
      </w:r>
      <w:r w:rsidR="00231DD1">
        <w:rPr>
          <w:rFonts w:ascii="Helvetica" w:hAnsi="Helvetica"/>
        </w:rPr>
        <w:t>s</w:t>
      </w:r>
      <w:r>
        <w:rPr>
          <w:rFonts w:ascii="Helvetica" w:hAnsi="Helvetica"/>
        </w:rPr>
        <w:t xml:space="preserve"> </w:t>
      </w:r>
      <w:r w:rsidR="00231DD1">
        <w:rPr>
          <w:rFonts w:ascii="Helvetica" w:hAnsi="Helvetica"/>
        </w:rPr>
        <w:t>of age</w:t>
      </w:r>
      <w:r>
        <w:rPr>
          <w:rFonts w:ascii="Helvetica" w:hAnsi="Helvetica"/>
        </w:rPr>
        <w:t xml:space="preserve"> for</w:t>
      </w:r>
      <w:r w:rsidR="00231DD1">
        <w:rPr>
          <w:rFonts w:ascii="Helvetica" w:hAnsi="Helvetica"/>
        </w:rPr>
        <w:t>:</w:t>
      </w:r>
    </w:p>
    <w:p w14:paraId="272BDA3E" w14:textId="56C66BA0" w:rsidR="00231DD1" w:rsidRDefault="00D4567E" w:rsidP="00231DD1">
      <w:pPr>
        <w:pStyle w:val="ListParagraph"/>
        <w:numPr>
          <w:ilvl w:val="0"/>
          <w:numId w:val="1"/>
        </w:numPr>
        <w:spacing w:line="360" w:lineRule="auto"/>
        <w:rPr>
          <w:rFonts w:ascii="Helvetica" w:hAnsi="Helvetica"/>
        </w:rPr>
      </w:pPr>
      <w:r w:rsidRPr="00231DD1">
        <w:rPr>
          <w:rFonts w:ascii="Helvetica" w:hAnsi="Helvetica"/>
        </w:rPr>
        <w:t xml:space="preserve"> neglecting to </w:t>
      </w:r>
      <w:r w:rsidR="00F730EA" w:rsidRPr="00231DD1">
        <w:rPr>
          <w:rFonts w:ascii="Helvetica" w:hAnsi="Helvetica"/>
        </w:rPr>
        <w:t>enroll withing 21 days of entitlement and</w:t>
      </w:r>
      <w:r w:rsidR="00231DD1">
        <w:rPr>
          <w:rFonts w:ascii="Helvetica" w:hAnsi="Helvetica"/>
        </w:rPr>
        <w:t>;</w:t>
      </w:r>
    </w:p>
    <w:p w14:paraId="7F4908B5" w14:textId="1420261C" w:rsidR="00231DD1" w:rsidRDefault="00F730EA" w:rsidP="00231DD1">
      <w:pPr>
        <w:pStyle w:val="ListParagraph"/>
        <w:numPr>
          <w:ilvl w:val="0"/>
          <w:numId w:val="1"/>
        </w:numPr>
        <w:spacing w:line="360" w:lineRule="auto"/>
        <w:rPr>
          <w:rFonts w:ascii="Helvetica" w:hAnsi="Helvetica"/>
        </w:rPr>
      </w:pPr>
      <w:r w:rsidRPr="00231DD1">
        <w:rPr>
          <w:rFonts w:ascii="Helvetica" w:hAnsi="Helvetica"/>
        </w:rPr>
        <w:t xml:space="preserve"> neglecting to </w:t>
      </w:r>
      <w:r w:rsidR="00FB3B02" w:rsidRPr="00231DD1">
        <w:rPr>
          <w:rFonts w:ascii="Helvetica" w:hAnsi="Helvetica"/>
        </w:rPr>
        <w:t xml:space="preserve">transfer </w:t>
      </w:r>
      <w:r w:rsidR="006C7820" w:rsidRPr="00231DD1">
        <w:rPr>
          <w:rFonts w:ascii="Helvetica" w:hAnsi="Helvetica"/>
        </w:rPr>
        <w:t>enrolment</w:t>
      </w:r>
      <w:r w:rsidR="00FB3B02" w:rsidRPr="00231DD1">
        <w:rPr>
          <w:rFonts w:ascii="Helvetica" w:hAnsi="Helvetica"/>
        </w:rPr>
        <w:t xml:space="preserve"> </w:t>
      </w:r>
      <w:r w:rsidRPr="00231DD1">
        <w:rPr>
          <w:rFonts w:ascii="Helvetica" w:hAnsi="Helvetica"/>
        </w:rPr>
        <w:t>to their current place of residence within 52 days of a change of address.</w:t>
      </w:r>
    </w:p>
    <w:p w14:paraId="48012557" w14:textId="58E8AB5C" w:rsidR="00D4567E" w:rsidRPr="00231DD1" w:rsidRDefault="00F730EA" w:rsidP="00231DD1">
      <w:pPr>
        <w:spacing w:line="360" w:lineRule="auto"/>
        <w:rPr>
          <w:rFonts w:ascii="Helvetica" w:hAnsi="Helvetica"/>
        </w:rPr>
      </w:pPr>
      <w:r w:rsidRPr="00231DD1">
        <w:rPr>
          <w:rFonts w:ascii="Helvetica" w:hAnsi="Helvetica"/>
        </w:rPr>
        <w:t>This clause amends the fine</w:t>
      </w:r>
      <w:r w:rsidR="00D4567E" w:rsidRPr="00231DD1">
        <w:rPr>
          <w:rFonts w:ascii="Helvetica" w:hAnsi="Helvetica"/>
        </w:rPr>
        <w:t xml:space="preserve"> </w:t>
      </w:r>
      <w:r w:rsidR="006C7820" w:rsidRPr="00231DD1">
        <w:rPr>
          <w:rFonts w:ascii="Helvetica" w:hAnsi="Helvetica"/>
        </w:rPr>
        <w:t xml:space="preserve">to 0.25 penalty units. This is half of the prescribed amount for </w:t>
      </w:r>
      <w:r w:rsidR="00EB4E85">
        <w:rPr>
          <w:rFonts w:ascii="Helvetica" w:hAnsi="Helvetica"/>
        </w:rPr>
        <w:t>electors aged 18 or over.</w:t>
      </w:r>
    </w:p>
    <w:p w14:paraId="27D48782" w14:textId="0829C3B3" w:rsidR="00240A8C" w:rsidRDefault="00240A8C" w:rsidP="00CA1BA0">
      <w:pPr>
        <w:spacing w:line="360" w:lineRule="auto"/>
        <w:rPr>
          <w:rFonts w:ascii="Helvetica" w:hAnsi="Helvetica"/>
          <w:b/>
          <w:bCs/>
        </w:rPr>
      </w:pPr>
      <w:r>
        <w:rPr>
          <w:rFonts w:ascii="Helvetica" w:hAnsi="Helvetica"/>
          <w:b/>
          <w:bCs/>
        </w:rPr>
        <w:t>8 Age 1</w:t>
      </w:r>
      <w:r w:rsidR="007628BF">
        <w:rPr>
          <w:rFonts w:ascii="Helvetica" w:hAnsi="Helvetica"/>
          <w:b/>
          <w:bCs/>
        </w:rPr>
        <w:t>4</w:t>
      </w:r>
      <w:r>
        <w:rPr>
          <w:rFonts w:ascii="Helvetica" w:hAnsi="Helvetica"/>
          <w:b/>
          <w:bCs/>
        </w:rPr>
        <w:t xml:space="preserve"> enrolment: Section 75 (2)</w:t>
      </w:r>
    </w:p>
    <w:p w14:paraId="6D0D3E60" w14:textId="5EC68016" w:rsidR="00240A8C" w:rsidRDefault="007628BF" w:rsidP="00CA1BA0">
      <w:pPr>
        <w:spacing w:line="360" w:lineRule="auto"/>
        <w:rPr>
          <w:rFonts w:ascii="Helvetica" w:hAnsi="Helvetica"/>
        </w:rPr>
      </w:pPr>
      <w:r>
        <w:rPr>
          <w:rFonts w:ascii="Helvetica" w:hAnsi="Helvetica"/>
        </w:rPr>
        <w:t xml:space="preserve">This clause </w:t>
      </w:r>
      <w:r w:rsidR="000B71DE">
        <w:rPr>
          <w:rFonts w:ascii="Helvetica" w:hAnsi="Helvetica"/>
        </w:rPr>
        <w:t xml:space="preserve">substitutes a new section 75, making </w:t>
      </w:r>
      <w:r>
        <w:rPr>
          <w:rFonts w:ascii="Helvetica" w:hAnsi="Helvetica"/>
        </w:rPr>
        <w:t>the eligible age of enrolment in the ACT</w:t>
      </w:r>
      <w:r w:rsidR="000B71DE">
        <w:rPr>
          <w:rFonts w:ascii="Helvetica" w:hAnsi="Helvetica"/>
        </w:rPr>
        <w:t xml:space="preserve"> </w:t>
      </w:r>
      <w:r>
        <w:rPr>
          <w:rFonts w:ascii="Helvetica" w:hAnsi="Helvetica"/>
        </w:rPr>
        <w:t>14 years of age.</w:t>
      </w:r>
      <w:r w:rsidR="000B71DE">
        <w:rPr>
          <w:rFonts w:ascii="Helvetica" w:hAnsi="Helvetica"/>
        </w:rPr>
        <w:t xml:space="preserve"> It does not replace subsection (2), consequentially on the amendments in clauses 4 and 6. This subjection would be otherwise inconsistent with the provision of this Act for people of 16 years of age to vote on a mandatory basis. </w:t>
      </w:r>
    </w:p>
    <w:p w14:paraId="002CC29C" w14:textId="522AFAE0" w:rsidR="00C14728" w:rsidRDefault="00C14728" w:rsidP="00CA1BA0">
      <w:pPr>
        <w:spacing w:line="360" w:lineRule="auto"/>
        <w:rPr>
          <w:rFonts w:ascii="Helvetica" w:hAnsi="Helvetica"/>
          <w:b/>
          <w:bCs/>
        </w:rPr>
      </w:pPr>
      <w:r>
        <w:rPr>
          <w:rFonts w:ascii="Helvetica" w:hAnsi="Helvetica"/>
          <w:b/>
          <w:bCs/>
        </w:rPr>
        <w:t>9 Certified extracts and certified lists of electors: Section 121 (4), definition of eligible elector</w:t>
      </w:r>
    </w:p>
    <w:p w14:paraId="4E4878D9" w14:textId="77777777" w:rsidR="00601997" w:rsidRDefault="00601997" w:rsidP="00CA1BA0">
      <w:pPr>
        <w:spacing w:line="360" w:lineRule="auto"/>
        <w:rPr>
          <w:rFonts w:ascii="Helvetica" w:hAnsi="Helvetica"/>
        </w:rPr>
      </w:pPr>
      <w:r w:rsidRPr="00601997">
        <w:rPr>
          <w:rFonts w:ascii="Helvetica" w:hAnsi="Helvetica"/>
        </w:rPr>
        <w:t>This clause amends the definition of 'eligible elector' for the purposes of section 121 (which is about providing extracts of the roll), to reflect the new voting age of 16.</w:t>
      </w:r>
    </w:p>
    <w:p w14:paraId="2C8487CA" w14:textId="6B0F8AB0" w:rsidR="00240A8C" w:rsidRPr="00240A8C" w:rsidRDefault="00C14728" w:rsidP="00CA1BA0">
      <w:pPr>
        <w:spacing w:line="360" w:lineRule="auto"/>
        <w:rPr>
          <w:rFonts w:ascii="Helvetica" w:hAnsi="Helvetica"/>
          <w:b/>
          <w:bCs/>
        </w:rPr>
      </w:pPr>
      <w:r>
        <w:rPr>
          <w:rFonts w:ascii="Helvetica" w:hAnsi="Helvetica"/>
          <w:b/>
          <w:bCs/>
        </w:rPr>
        <w:t>10</w:t>
      </w:r>
      <w:r w:rsidR="00240A8C">
        <w:rPr>
          <w:rFonts w:ascii="Helvetica" w:hAnsi="Helvetica"/>
          <w:b/>
          <w:bCs/>
        </w:rPr>
        <w:t xml:space="preserve"> Entitlement to vote: Section 128 (2)</w:t>
      </w:r>
    </w:p>
    <w:p w14:paraId="0EB39F0C" w14:textId="2362A365" w:rsidR="313C3194" w:rsidRDefault="00FB3B02" w:rsidP="00FB3B02">
      <w:pPr>
        <w:spacing w:line="360" w:lineRule="auto"/>
        <w:rPr>
          <w:rFonts w:ascii="Helvetica" w:hAnsi="Helvetica"/>
        </w:rPr>
      </w:pPr>
      <w:r>
        <w:rPr>
          <w:rFonts w:ascii="Helvetica" w:hAnsi="Helvetica"/>
        </w:rPr>
        <w:t>This clause lowers the age of persons eligible to vote from 18 years of age to 16 years of age.</w:t>
      </w:r>
    </w:p>
    <w:p w14:paraId="52D33B0A" w14:textId="6B8E5039" w:rsidR="00FB3B02" w:rsidRDefault="00FB3B02" w:rsidP="007123F5">
      <w:pPr>
        <w:keepNext/>
        <w:spacing w:line="360" w:lineRule="auto"/>
        <w:rPr>
          <w:rFonts w:ascii="Helvetica" w:hAnsi="Helvetica"/>
          <w:b/>
          <w:bCs/>
        </w:rPr>
      </w:pPr>
      <w:r>
        <w:rPr>
          <w:rFonts w:ascii="Helvetica" w:hAnsi="Helvetica"/>
          <w:b/>
          <w:bCs/>
        </w:rPr>
        <w:lastRenderedPageBreak/>
        <w:t>1</w:t>
      </w:r>
      <w:r w:rsidR="00C14728">
        <w:rPr>
          <w:rFonts w:ascii="Helvetica" w:hAnsi="Helvetica"/>
          <w:b/>
          <w:bCs/>
        </w:rPr>
        <w:t>1</w:t>
      </w:r>
      <w:r>
        <w:rPr>
          <w:rFonts w:ascii="Helvetica" w:hAnsi="Helvetica"/>
          <w:b/>
          <w:bCs/>
        </w:rPr>
        <w:t xml:space="preserve"> Compulsory voting: Section 129 (1), penalty</w:t>
      </w:r>
    </w:p>
    <w:p w14:paraId="1C4FD7C3" w14:textId="08E0C70B" w:rsidR="00FB3B02" w:rsidRDefault="00FB3B02" w:rsidP="00FB3B02">
      <w:pPr>
        <w:spacing w:line="360" w:lineRule="auto"/>
        <w:rPr>
          <w:rFonts w:ascii="Helvetica" w:hAnsi="Helvetica"/>
        </w:rPr>
      </w:pPr>
      <w:r>
        <w:rPr>
          <w:rFonts w:ascii="Helvetica" w:hAnsi="Helvetica"/>
        </w:rPr>
        <w:t>This clause amends the</w:t>
      </w:r>
      <w:r w:rsidR="006C7820">
        <w:rPr>
          <w:rFonts w:ascii="Helvetica" w:hAnsi="Helvetica"/>
        </w:rPr>
        <w:t xml:space="preserve"> maximum</w:t>
      </w:r>
      <w:r>
        <w:rPr>
          <w:rFonts w:ascii="Helvetica" w:hAnsi="Helvetica"/>
        </w:rPr>
        <w:t xml:space="preserve"> penalty imposed</w:t>
      </w:r>
      <w:r w:rsidR="006C7820">
        <w:rPr>
          <w:rFonts w:ascii="Helvetica" w:hAnsi="Helvetica"/>
        </w:rPr>
        <w:t xml:space="preserve"> </w:t>
      </w:r>
      <w:r>
        <w:rPr>
          <w:rFonts w:ascii="Helvetica" w:hAnsi="Helvetica"/>
        </w:rPr>
        <w:t xml:space="preserve">on </w:t>
      </w:r>
      <w:r w:rsidR="00231DD1">
        <w:rPr>
          <w:rFonts w:ascii="Helvetica" w:hAnsi="Helvetica"/>
        </w:rPr>
        <w:t xml:space="preserve">persons of </w:t>
      </w:r>
      <w:r>
        <w:rPr>
          <w:rFonts w:ascii="Helvetica" w:hAnsi="Helvetica"/>
        </w:rPr>
        <w:t>16</w:t>
      </w:r>
      <w:r w:rsidR="00231DD1">
        <w:rPr>
          <w:rFonts w:ascii="Helvetica" w:hAnsi="Helvetica"/>
        </w:rPr>
        <w:t xml:space="preserve"> or</w:t>
      </w:r>
      <w:r>
        <w:rPr>
          <w:rFonts w:ascii="Helvetica" w:hAnsi="Helvetica"/>
        </w:rPr>
        <w:t xml:space="preserve"> 17</w:t>
      </w:r>
      <w:r w:rsidR="00231DD1">
        <w:rPr>
          <w:rFonts w:ascii="Helvetica" w:hAnsi="Helvetica"/>
        </w:rPr>
        <w:t xml:space="preserve"> </w:t>
      </w:r>
      <w:r w:rsidR="00F24143">
        <w:rPr>
          <w:rFonts w:ascii="Helvetica" w:hAnsi="Helvetica"/>
        </w:rPr>
        <w:t>years</w:t>
      </w:r>
      <w:r w:rsidR="00231DD1">
        <w:rPr>
          <w:rFonts w:ascii="Helvetica" w:hAnsi="Helvetica"/>
        </w:rPr>
        <w:t xml:space="preserve"> of age</w:t>
      </w:r>
      <w:r>
        <w:rPr>
          <w:rFonts w:ascii="Helvetica" w:hAnsi="Helvetica"/>
        </w:rPr>
        <w:t xml:space="preserve"> for neglecting to vote</w:t>
      </w:r>
      <w:r w:rsidR="00F24143">
        <w:rPr>
          <w:rFonts w:ascii="Helvetica" w:hAnsi="Helvetica"/>
        </w:rPr>
        <w:t>. This clause amends the fine</w:t>
      </w:r>
      <w:r>
        <w:rPr>
          <w:rFonts w:ascii="Helvetica" w:hAnsi="Helvetica"/>
        </w:rPr>
        <w:t xml:space="preserve"> to 0.25 penalty units</w:t>
      </w:r>
      <w:r w:rsidR="006C7820">
        <w:rPr>
          <w:rFonts w:ascii="Helvetica" w:hAnsi="Helvetica"/>
        </w:rPr>
        <w:t xml:space="preserve">. This is half of the prescribed amount for electors </w:t>
      </w:r>
      <w:r w:rsidR="00EB4E85">
        <w:rPr>
          <w:rFonts w:ascii="Helvetica" w:hAnsi="Helvetica"/>
        </w:rPr>
        <w:t>aged 18 or over.</w:t>
      </w:r>
    </w:p>
    <w:p w14:paraId="6E583AEF" w14:textId="57547983" w:rsidR="00FB3B02" w:rsidRDefault="00FB3B02" w:rsidP="00FB3B02">
      <w:pPr>
        <w:spacing w:line="360" w:lineRule="auto"/>
        <w:rPr>
          <w:rFonts w:ascii="Helvetica" w:hAnsi="Helvetica"/>
          <w:b/>
          <w:bCs/>
        </w:rPr>
      </w:pPr>
      <w:r>
        <w:rPr>
          <w:rFonts w:ascii="Helvetica" w:hAnsi="Helvetica"/>
          <w:b/>
          <w:bCs/>
        </w:rPr>
        <w:t>1</w:t>
      </w:r>
      <w:r w:rsidR="00C14728">
        <w:rPr>
          <w:rFonts w:ascii="Helvetica" w:hAnsi="Helvetica"/>
          <w:b/>
          <w:bCs/>
        </w:rPr>
        <w:t>2</w:t>
      </w:r>
      <w:r>
        <w:rPr>
          <w:rFonts w:ascii="Helvetica" w:hAnsi="Helvetica"/>
          <w:b/>
          <w:bCs/>
        </w:rPr>
        <w:t xml:space="preserve"> Default notice: Section 161 (2)</w:t>
      </w:r>
    </w:p>
    <w:p w14:paraId="0FC55883" w14:textId="444FA515" w:rsidR="00831D83" w:rsidRDefault="00077999" w:rsidP="00FB3B02">
      <w:pPr>
        <w:spacing w:line="360" w:lineRule="auto"/>
        <w:rPr>
          <w:rFonts w:ascii="Helvetica" w:hAnsi="Helvetica"/>
        </w:rPr>
      </w:pPr>
      <w:r>
        <w:rPr>
          <w:rFonts w:ascii="Helvetica" w:hAnsi="Helvetica"/>
        </w:rPr>
        <w:t xml:space="preserve">This clause amends the </w:t>
      </w:r>
      <w:r w:rsidR="006C7820">
        <w:rPr>
          <w:rFonts w:ascii="Helvetica" w:hAnsi="Helvetica"/>
        </w:rPr>
        <w:t xml:space="preserve">default notice </w:t>
      </w:r>
      <w:r>
        <w:rPr>
          <w:rFonts w:ascii="Helvetica" w:hAnsi="Helvetica"/>
        </w:rPr>
        <w:t xml:space="preserve">penalty imposed on </w:t>
      </w:r>
      <w:r w:rsidR="00F24143">
        <w:rPr>
          <w:rFonts w:ascii="Helvetica" w:hAnsi="Helvetica"/>
        </w:rPr>
        <w:t xml:space="preserve">persons of </w:t>
      </w:r>
      <w:r>
        <w:rPr>
          <w:rFonts w:ascii="Helvetica" w:hAnsi="Helvetica"/>
        </w:rPr>
        <w:t xml:space="preserve">16 </w:t>
      </w:r>
      <w:r w:rsidR="00F24143">
        <w:rPr>
          <w:rFonts w:ascii="Helvetica" w:hAnsi="Helvetica"/>
        </w:rPr>
        <w:t>or</w:t>
      </w:r>
      <w:r>
        <w:rPr>
          <w:rFonts w:ascii="Helvetica" w:hAnsi="Helvetica"/>
        </w:rPr>
        <w:t xml:space="preserve"> 17 year</w:t>
      </w:r>
      <w:r w:rsidR="00F24143">
        <w:rPr>
          <w:rFonts w:ascii="Helvetica" w:hAnsi="Helvetica"/>
        </w:rPr>
        <w:t>s</w:t>
      </w:r>
      <w:r>
        <w:rPr>
          <w:rFonts w:ascii="Helvetica" w:hAnsi="Helvetica"/>
        </w:rPr>
        <w:t xml:space="preserve"> </w:t>
      </w:r>
      <w:r w:rsidR="00F24143">
        <w:rPr>
          <w:rFonts w:ascii="Helvetica" w:hAnsi="Helvetica"/>
        </w:rPr>
        <w:t>of age</w:t>
      </w:r>
      <w:r>
        <w:rPr>
          <w:rFonts w:ascii="Helvetica" w:hAnsi="Helvetica"/>
        </w:rPr>
        <w:t xml:space="preserve"> for neglecting to vote</w:t>
      </w:r>
      <w:r w:rsidR="00F24143">
        <w:rPr>
          <w:rFonts w:ascii="Helvetica" w:hAnsi="Helvetica"/>
        </w:rPr>
        <w:t>. This clause amends the fine</w:t>
      </w:r>
      <w:r>
        <w:rPr>
          <w:rFonts w:ascii="Helvetica" w:hAnsi="Helvetica"/>
        </w:rPr>
        <w:t xml:space="preserve"> to $10 dollars. This is half of the prescribed amount for </w:t>
      </w:r>
      <w:r w:rsidR="00EB4E85">
        <w:rPr>
          <w:rFonts w:ascii="Helvetica" w:hAnsi="Helvetica"/>
        </w:rPr>
        <w:t>electors aged 18 or over.</w:t>
      </w:r>
    </w:p>
    <w:p w14:paraId="16860944" w14:textId="77777777" w:rsidR="0095224F" w:rsidRDefault="0095224F" w:rsidP="007123F5">
      <w:pPr>
        <w:spacing w:after="140" w:line="360" w:lineRule="auto"/>
        <w:rPr>
          <w:rFonts w:ascii="Helvetica" w:hAnsi="Helvetica"/>
          <w:b/>
          <w:bCs/>
        </w:rPr>
      </w:pPr>
    </w:p>
    <w:p w14:paraId="1301ED42" w14:textId="35AF0600" w:rsidR="00020700" w:rsidRDefault="00020700" w:rsidP="00FB3B02">
      <w:pPr>
        <w:spacing w:line="360" w:lineRule="auto"/>
        <w:rPr>
          <w:rFonts w:ascii="Helvetica" w:hAnsi="Helvetica"/>
          <w:b/>
          <w:bCs/>
        </w:rPr>
      </w:pPr>
      <w:r>
        <w:rPr>
          <w:rFonts w:ascii="Helvetica" w:hAnsi="Helvetica"/>
          <w:b/>
          <w:bCs/>
        </w:rPr>
        <w:t>Interaction with Federal Law</w:t>
      </w:r>
    </w:p>
    <w:p w14:paraId="77DFD3D7" w14:textId="757BC63A" w:rsidR="00020700" w:rsidRDefault="00020700" w:rsidP="00FB3B02">
      <w:pPr>
        <w:spacing w:line="360" w:lineRule="auto"/>
        <w:rPr>
          <w:rFonts w:ascii="Helvetica" w:hAnsi="Helvetica"/>
        </w:rPr>
      </w:pPr>
      <w:r>
        <w:rPr>
          <w:rFonts w:ascii="Helvetica" w:hAnsi="Helvetica"/>
        </w:rPr>
        <w:t xml:space="preserve">This Bill does not </w:t>
      </w:r>
      <w:r w:rsidR="002110C0">
        <w:rPr>
          <w:rFonts w:ascii="Helvetica" w:hAnsi="Helvetica"/>
        </w:rPr>
        <w:t>conflict with</w:t>
      </w:r>
      <w:r>
        <w:rPr>
          <w:rFonts w:ascii="Helvetica" w:hAnsi="Helvetica"/>
        </w:rPr>
        <w:t xml:space="preserve"> federal legislation. </w:t>
      </w:r>
      <w:r w:rsidR="000071AE">
        <w:rPr>
          <w:rFonts w:ascii="Helvetica" w:hAnsi="Helvetica"/>
        </w:rPr>
        <w:t xml:space="preserve">Section 67C of the </w:t>
      </w:r>
      <w:r w:rsidR="000071AE">
        <w:rPr>
          <w:rFonts w:ascii="Helvetica" w:hAnsi="Helvetica"/>
          <w:i/>
          <w:iCs/>
        </w:rPr>
        <w:t>Australian Capital Territory (Self-Government) Act 1988</w:t>
      </w:r>
      <w:r w:rsidR="000071AE">
        <w:rPr>
          <w:rFonts w:ascii="Helvetica" w:hAnsi="Helvetica"/>
        </w:rPr>
        <w:t xml:space="preserve"> allows for the territory to enact legislation which provides that other persons may be entitled to vote at a general election. </w:t>
      </w:r>
    </w:p>
    <w:p w14:paraId="2D551FBB" w14:textId="77777777" w:rsidR="0095224F" w:rsidRPr="007123F5" w:rsidRDefault="0095224F" w:rsidP="007123F5">
      <w:pPr>
        <w:spacing w:after="140" w:line="360" w:lineRule="auto"/>
        <w:rPr>
          <w:rFonts w:ascii="Helvetica" w:hAnsi="Helvetica"/>
          <w:b/>
          <w:bCs/>
        </w:rPr>
      </w:pPr>
    </w:p>
    <w:p w14:paraId="256D653F" w14:textId="4EE834E1" w:rsidR="00020700" w:rsidRDefault="00020700" w:rsidP="00FB3B02">
      <w:pPr>
        <w:spacing w:line="360" w:lineRule="auto"/>
        <w:rPr>
          <w:rFonts w:ascii="Helvetica" w:hAnsi="Helvetica"/>
          <w:b/>
          <w:bCs/>
        </w:rPr>
      </w:pPr>
      <w:r>
        <w:rPr>
          <w:rFonts w:ascii="Helvetica" w:hAnsi="Helvetica"/>
          <w:b/>
          <w:bCs/>
        </w:rPr>
        <w:t xml:space="preserve">Human Rights Considerations </w:t>
      </w:r>
    </w:p>
    <w:p w14:paraId="5C8754BE" w14:textId="6ADDA7DA" w:rsidR="0036182E" w:rsidRPr="0036182E" w:rsidRDefault="0036182E" w:rsidP="00EE2483">
      <w:pPr>
        <w:spacing w:line="360" w:lineRule="auto"/>
        <w:rPr>
          <w:rFonts w:ascii="Helvetica" w:hAnsi="Helvetica"/>
        </w:rPr>
      </w:pPr>
      <w:r>
        <w:rPr>
          <w:rFonts w:ascii="Helvetica" w:hAnsi="Helvetica"/>
        </w:rPr>
        <w:t xml:space="preserve">During the development of the Bill, due regard was given to its compatibility with human rights as set out in the </w:t>
      </w:r>
      <w:r>
        <w:rPr>
          <w:rFonts w:ascii="Helvetica" w:hAnsi="Helvetica"/>
          <w:i/>
          <w:iCs/>
        </w:rPr>
        <w:t xml:space="preserve">Human Rights Act 2004 </w:t>
      </w:r>
      <w:r>
        <w:rPr>
          <w:rFonts w:ascii="Helvetica" w:hAnsi="Helvetica"/>
        </w:rPr>
        <w:t>(HR Act).</w:t>
      </w:r>
    </w:p>
    <w:p w14:paraId="5A170620" w14:textId="77777777" w:rsidR="0036182E" w:rsidRPr="007123F5" w:rsidRDefault="0036182E" w:rsidP="007123F5">
      <w:pPr>
        <w:spacing w:after="140" w:line="360" w:lineRule="auto"/>
        <w:rPr>
          <w:rFonts w:ascii="Helvetica" w:hAnsi="Helvetica"/>
          <w:b/>
          <w:bCs/>
        </w:rPr>
      </w:pPr>
    </w:p>
    <w:p w14:paraId="7A775CF3" w14:textId="0FA9F3D9" w:rsidR="003E2973" w:rsidRDefault="00EE2483" w:rsidP="00EE2483">
      <w:pPr>
        <w:spacing w:line="360" w:lineRule="auto"/>
        <w:rPr>
          <w:rFonts w:ascii="Helvetica" w:hAnsi="Helvetica"/>
        </w:rPr>
      </w:pPr>
      <w:r>
        <w:rPr>
          <w:rFonts w:ascii="Helvetica" w:hAnsi="Helvetica"/>
        </w:rPr>
        <w:t>T</w:t>
      </w:r>
      <w:r w:rsidRPr="00EE2483">
        <w:rPr>
          <w:rFonts w:ascii="Helvetica" w:hAnsi="Helvetica"/>
        </w:rPr>
        <w:t>he proposal to lower the</w:t>
      </w:r>
      <w:r w:rsidR="00531FA1">
        <w:rPr>
          <w:rFonts w:ascii="Helvetica" w:hAnsi="Helvetica"/>
        </w:rPr>
        <w:t xml:space="preserve"> mandatory</w:t>
      </w:r>
      <w:r w:rsidRPr="00EE2483">
        <w:rPr>
          <w:rFonts w:ascii="Helvetica" w:hAnsi="Helvetica"/>
        </w:rPr>
        <w:t xml:space="preserve"> voting age to 16 years would advance the rights of young people to take part in public life, which is protected under s</w:t>
      </w:r>
      <w:r w:rsidR="003E2973">
        <w:rPr>
          <w:rFonts w:ascii="Helvetica" w:hAnsi="Helvetica"/>
        </w:rPr>
        <w:t>ection</w:t>
      </w:r>
      <w:r w:rsidRPr="00EE2483">
        <w:rPr>
          <w:rFonts w:ascii="Helvetica" w:hAnsi="Helvetica"/>
        </w:rPr>
        <w:t xml:space="preserve"> 17 of the </w:t>
      </w:r>
      <w:r w:rsidRPr="003E2973">
        <w:rPr>
          <w:rFonts w:ascii="Helvetica" w:hAnsi="Helvetica"/>
          <w:i/>
          <w:iCs/>
        </w:rPr>
        <w:t xml:space="preserve">Human Rights Act </w:t>
      </w:r>
      <w:r w:rsidRPr="0036182E">
        <w:rPr>
          <w:rFonts w:ascii="Helvetica" w:hAnsi="Helvetica"/>
        </w:rPr>
        <w:t>2004</w:t>
      </w:r>
      <w:r w:rsidR="0036182E">
        <w:rPr>
          <w:rFonts w:ascii="Helvetica" w:hAnsi="Helvetica"/>
        </w:rPr>
        <w:t xml:space="preserve">. </w:t>
      </w:r>
      <w:r w:rsidRPr="0036182E">
        <w:rPr>
          <w:rFonts w:ascii="Helvetica" w:hAnsi="Helvetica"/>
        </w:rPr>
        <w:t>The</w:t>
      </w:r>
      <w:r w:rsidRPr="00EE2483">
        <w:rPr>
          <w:rFonts w:ascii="Helvetica" w:hAnsi="Helvetica"/>
        </w:rPr>
        <w:t xml:space="preserve"> right to take part in public life in s</w:t>
      </w:r>
      <w:r w:rsidR="003E2973">
        <w:rPr>
          <w:rFonts w:ascii="Helvetica" w:hAnsi="Helvetica"/>
        </w:rPr>
        <w:t>ection</w:t>
      </w:r>
      <w:r w:rsidRPr="00EE2483">
        <w:rPr>
          <w:rFonts w:ascii="Helvetica" w:hAnsi="Helvetica"/>
        </w:rPr>
        <w:t xml:space="preserve"> 17 of the HR Act applies to all citizens in the ACT and includes the right to vote, subject to eligibility requirements that must be reasonable and based on objective criteria. Setting the minimum voting age at 16 years old would be consistent with contemporary understandings about the cognitive development and maturity of young people. Enabling young people to directly participate and be heard in the democratic process would also be consistent with Article 12 of the Convention on the Rights of the Child, which requires due weight and recognition to be given to the views of young people in accordance with their age and maturity. </w:t>
      </w:r>
      <w:r w:rsidR="003E2973">
        <w:rPr>
          <w:rFonts w:ascii="Helvetica" w:hAnsi="Helvetica"/>
        </w:rPr>
        <w:t xml:space="preserve">Further to this, the changes proposed to lower the enrolment age to 14 years of age do not give rise to any issues of incompatibility with the HR Act. </w:t>
      </w:r>
    </w:p>
    <w:p w14:paraId="02F69431" w14:textId="489FD93E" w:rsidR="003E2973" w:rsidRPr="007123F5" w:rsidRDefault="003E2973" w:rsidP="007123F5">
      <w:pPr>
        <w:spacing w:after="140" w:line="360" w:lineRule="auto"/>
        <w:rPr>
          <w:rFonts w:ascii="Helvetica" w:hAnsi="Helvetica"/>
          <w:b/>
          <w:bCs/>
        </w:rPr>
      </w:pPr>
    </w:p>
    <w:p w14:paraId="1F4F3221" w14:textId="5D15EA8B" w:rsidR="00575727" w:rsidRPr="0025322F" w:rsidRDefault="003E2973" w:rsidP="0025322F">
      <w:pPr>
        <w:spacing w:line="360" w:lineRule="auto"/>
        <w:rPr>
          <w:rFonts w:ascii="Helvetica" w:hAnsi="Helvetica"/>
        </w:rPr>
      </w:pPr>
      <w:r>
        <w:rPr>
          <w:rFonts w:ascii="Helvetica" w:hAnsi="Helvetica"/>
        </w:rPr>
        <w:t xml:space="preserve">The ACT Human Rights </w:t>
      </w:r>
      <w:r w:rsidR="00D652C1">
        <w:rPr>
          <w:rFonts w:ascii="Helvetica" w:hAnsi="Helvetica"/>
        </w:rPr>
        <w:t>C</w:t>
      </w:r>
      <w:r>
        <w:rPr>
          <w:rFonts w:ascii="Helvetica" w:hAnsi="Helvetica"/>
        </w:rPr>
        <w:t xml:space="preserve">ommission recommended that in addition to lowering penalties for non-voting in this </w:t>
      </w:r>
      <w:r w:rsidR="0036182E">
        <w:rPr>
          <w:rFonts w:ascii="Helvetica" w:hAnsi="Helvetica"/>
        </w:rPr>
        <w:t>Bill</w:t>
      </w:r>
      <w:r>
        <w:rPr>
          <w:rFonts w:ascii="Helvetica" w:hAnsi="Helvetica"/>
        </w:rPr>
        <w:t xml:space="preserve">, that consideration should also be given to enabling the Electoral Commissioner to automatically waive fines for non-voting for those under the age of 18. </w:t>
      </w:r>
      <w:r w:rsidR="00D652C1">
        <w:rPr>
          <w:rFonts w:ascii="Helvetica" w:hAnsi="Helvetica"/>
        </w:rPr>
        <w:t xml:space="preserve">Section 161 (1) </w:t>
      </w:r>
      <w:r w:rsidR="00B90CD1">
        <w:rPr>
          <w:rFonts w:ascii="Helvetica" w:hAnsi="Helvetica"/>
        </w:rPr>
        <w:t xml:space="preserve">of the </w:t>
      </w:r>
      <w:r w:rsidR="0036182E" w:rsidRPr="0036182E">
        <w:rPr>
          <w:rFonts w:ascii="Helvetica" w:hAnsi="Helvetica"/>
          <w:i/>
          <w:iCs/>
        </w:rPr>
        <w:t xml:space="preserve">Electoral </w:t>
      </w:r>
      <w:r w:rsidR="00B90CD1" w:rsidRPr="0036182E">
        <w:rPr>
          <w:rFonts w:ascii="Helvetica" w:hAnsi="Helvetica"/>
          <w:i/>
          <w:iCs/>
        </w:rPr>
        <w:t>Act</w:t>
      </w:r>
      <w:r w:rsidR="0036182E" w:rsidRPr="0036182E">
        <w:rPr>
          <w:rFonts w:ascii="Helvetica" w:hAnsi="Helvetica"/>
          <w:i/>
          <w:iCs/>
        </w:rPr>
        <w:t xml:space="preserve"> 1992</w:t>
      </w:r>
      <w:r w:rsidR="00B90CD1">
        <w:rPr>
          <w:rFonts w:ascii="Helvetica" w:hAnsi="Helvetica"/>
        </w:rPr>
        <w:t xml:space="preserve"> </w:t>
      </w:r>
      <w:r w:rsidR="00D652C1">
        <w:rPr>
          <w:rFonts w:ascii="Helvetica" w:hAnsi="Helvetica"/>
        </w:rPr>
        <w:t xml:space="preserve">describes the discretional ability of the </w:t>
      </w:r>
      <w:r w:rsidR="0036182E">
        <w:rPr>
          <w:rFonts w:ascii="Helvetica" w:hAnsi="Helvetica"/>
        </w:rPr>
        <w:t>C</w:t>
      </w:r>
      <w:r w:rsidR="00D652C1">
        <w:rPr>
          <w:rFonts w:ascii="Helvetica" w:hAnsi="Helvetica"/>
        </w:rPr>
        <w:t xml:space="preserve">ommissioner to determine sufficient reason for a failure to vote. This would extend itself to the recommendation of the ACT Human Rights Commission to allow the Electoral Commissioner the ability to waive fines for non-voting </w:t>
      </w:r>
      <w:r w:rsidR="00B90CD1">
        <w:rPr>
          <w:rFonts w:ascii="Helvetica" w:hAnsi="Helvetica"/>
        </w:rPr>
        <w:t xml:space="preserve">on a case-by-case basis </w:t>
      </w:r>
      <w:r w:rsidR="001C7269">
        <w:rPr>
          <w:rFonts w:ascii="Helvetica" w:hAnsi="Helvetica"/>
        </w:rPr>
        <w:t>only</w:t>
      </w:r>
      <w:r w:rsidR="00D652C1">
        <w:rPr>
          <w:rFonts w:ascii="Helvetica" w:hAnsi="Helvetica"/>
        </w:rPr>
        <w:t>.</w:t>
      </w:r>
      <w:r w:rsidR="00B90CD1">
        <w:rPr>
          <w:rFonts w:ascii="Helvetica" w:hAnsi="Helvetica"/>
        </w:rPr>
        <w:t xml:space="preserve"> Any attempt to legislate for the autonomous waiver of this fine would not be possible under this </w:t>
      </w:r>
      <w:r w:rsidR="0036182E">
        <w:rPr>
          <w:rFonts w:ascii="Helvetica" w:hAnsi="Helvetica"/>
        </w:rPr>
        <w:t>Bill</w:t>
      </w:r>
      <w:r w:rsidR="00B90CD1">
        <w:rPr>
          <w:rFonts w:ascii="Helvetica" w:hAnsi="Helvetica"/>
        </w:rPr>
        <w:t xml:space="preserve"> due to the possible interpretation of this amendment as making voting voluntary for electors of 16 or 17 years of age. In effect, this would go against the </w:t>
      </w:r>
      <w:r w:rsidR="00B90CD1">
        <w:rPr>
          <w:rFonts w:ascii="Helvetica" w:hAnsi="Helvetica"/>
          <w:i/>
          <w:iCs/>
        </w:rPr>
        <w:t>ACT Proportional Representation (Hare-Clarke) Entrenchment Act 1994</w:t>
      </w:r>
      <w:r w:rsidR="00B90CD1">
        <w:rPr>
          <w:rFonts w:ascii="Helvetica" w:hAnsi="Helvetica"/>
        </w:rPr>
        <w:t xml:space="preserve"> which dictates that that voting must be mandatory in the ACT. Any attempt to systematically remove </w:t>
      </w:r>
      <w:r w:rsidR="001C7269">
        <w:rPr>
          <w:rFonts w:ascii="Helvetica" w:hAnsi="Helvetica"/>
        </w:rPr>
        <w:t xml:space="preserve">a penalty for not voting could be in contravention of this. </w:t>
      </w:r>
      <w:r w:rsidR="00B90CD1">
        <w:rPr>
          <w:rFonts w:ascii="Helvetica" w:hAnsi="Helvetica"/>
        </w:rPr>
        <w:t xml:space="preserve"> </w:t>
      </w:r>
    </w:p>
    <w:sectPr w:rsidR="00575727" w:rsidRPr="002532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18C20" w14:textId="77777777" w:rsidR="005047F7" w:rsidRDefault="005047F7" w:rsidP="005047F7">
      <w:pPr>
        <w:spacing w:after="0" w:line="240" w:lineRule="auto"/>
      </w:pPr>
      <w:r>
        <w:separator/>
      </w:r>
    </w:p>
  </w:endnote>
  <w:endnote w:type="continuationSeparator" w:id="0">
    <w:p w14:paraId="381B0BCF" w14:textId="77777777" w:rsidR="005047F7" w:rsidRDefault="005047F7" w:rsidP="00504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143D1" w14:textId="77777777" w:rsidR="00654C4A" w:rsidRDefault="00654C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369989"/>
      <w:docPartObj>
        <w:docPartGallery w:val="Page Numbers (Bottom of Page)"/>
        <w:docPartUnique/>
      </w:docPartObj>
    </w:sdtPr>
    <w:sdtEndPr>
      <w:rPr>
        <w:noProof/>
      </w:rPr>
    </w:sdtEndPr>
    <w:sdtContent>
      <w:p w14:paraId="7145636D" w14:textId="54C134B4" w:rsidR="005047F7" w:rsidRDefault="005047F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D29425" w14:textId="0CE76A5A" w:rsidR="005047F7" w:rsidRPr="00654C4A" w:rsidRDefault="00654C4A" w:rsidP="00654C4A">
    <w:pPr>
      <w:pStyle w:val="Footer"/>
      <w:jc w:val="center"/>
      <w:rPr>
        <w:rFonts w:ascii="Arial" w:hAnsi="Arial" w:cs="Arial"/>
        <w:sz w:val="14"/>
      </w:rPr>
    </w:pPr>
    <w:proofErr w:type="spellStart"/>
    <w:r w:rsidRPr="00654C4A">
      <w:rPr>
        <w:rFonts w:ascii="Arial" w:hAnsi="Arial" w:cs="Arial"/>
        <w:sz w:val="14"/>
      </w:rPr>
      <w:t>Unauthorised</w:t>
    </w:r>
    <w:proofErr w:type="spellEnd"/>
    <w:r w:rsidRPr="00654C4A">
      <w:rPr>
        <w:rFonts w:ascii="Arial" w:hAnsi="Arial" w:cs="Arial"/>
        <w:sz w:val="14"/>
      </w:rPr>
      <w:t xml:space="preserve">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D4831" w14:textId="77777777" w:rsidR="00654C4A" w:rsidRDefault="00654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BA705" w14:textId="77777777" w:rsidR="005047F7" w:rsidRDefault="005047F7" w:rsidP="005047F7">
      <w:pPr>
        <w:spacing w:after="0" w:line="240" w:lineRule="auto"/>
      </w:pPr>
      <w:r>
        <w:separator/>
      </w:r>
    </w:p>
  </w:footnote>
  <w:footnote w:type="continuationSeparator" w:id="0">
    <w:p w14:paraId="16A764CD" w14:textId="77777777" w:rsidR="005047F7" w:rsidRDefault="005047F7" w:rsidP="005047F7">
      <w:pPr>
        <w:spacing w:after="0" w:line="240" w:lineRule="auto"/>
      </w:pPr>
      <w:r>
        <w:continuationSeparator/>
      </w:r>
    </w:p>
  </w:footnote>
  <w:footnote w:id="1">
    <w:p w14:paraId="2412A9F2" w14:textId="5C71BDEE" w:rsidR="0045416C" w:rsidRPr="0045416C" w:rsidRDefault="0045416C">
      <w:pPr>
        <w:pStyle w:val="FootnoteText"/>
        <w:rPr>
          <w:lang w:val="en-AU"/>
        </w:rPr>
      </w:pPr>
      <w:r>
        <w:rPr>
          <w:rStyle w:val="FootnoteReference"/>
        </w:rPr>
        <w:footnoteRef/>
      </w:r>
      <w:r>
        <w:t xml:space="preserve"> </w:t>
      </w:r>
      <w:r w:rsidRPr="0045416C">
        <w:t xml:space="preserve">Australian Human Rights Commission. (2019). In Their Own Right: Children’s Rights in Australia. </w:t>
      </w:r>
      <w:r>
        <w:t xml:space="preserve">Page 59. </w:t>
      </w:r>
      <w:r w:rsidRPr="0045416C">
        <w:t>https://humanrights.gov.au/sites/default/files/document/publication/childrensrightsreport_2019_ahrc.pdf</w:t>
      </w:r>
    </w:p>
  </w:footnote>
  <w:footnote w:id="2">
    <w:p w14:paraId="67E2B577" w14:textId="7148FB1E" w:rsidR="00DA389A" w:rsidRPr="00DA389A" w:rsidRDefault="00DA389A">
      <w:pPr>
        <w:pStyle w:val="FootnoteText"/>
        <w:rPr>
          <w:lang w:val="en-AU"/>
        </w:rPr>
      </w:pPr>
      <w:r>
        <w:rPr>
          <w:rStyle w:val="FootnoteReference"/>
        </w:rPr>
        <w:footnoteRef/>
      </w:r>
      <w:r>
        <w:t xml:space="preserve"> </w:t>
      </w:r>
      <w:r w:rsidR="006E3E16" w:rsidRPr="0045416C">
        <w:t xml:space="preserve">Australian Human Rights Commission. (2019). In Their Own Right: Children’s Rights in Australia. </w:t>
      </w:r>
      <w:r w:rsidR="006E3E16">
        <w:t xml:space="preserve">Page 59. </w:t>
      </w:r>
      <w:r w:rsidR="006E3E16" w:rsidRPr="0045416C">
        <w:t>https://humanrights.gov.au/sites/default/files/document/publication/childrensrightsreport_2019_ahrc.pdf</w:t>
      </w:r>
    </w:p>
  </w:footnote>
  <w:footnote w:id="3">
    <w:p w14:paraId="596E4DA9" w14:textId="25C6BE09" w:rsidR="00A46650" w:rsidRPr="00A46650" w:rsidRDefault="00A46650">
      <w:pPr>
        <w:pStyle w:val="FootnoteText"/>
        <w:rPr>
          <w:lang w:val="en-AU"/>
        </w:rPr>
      </w:pPr>
      <w:r>
        <w:rPr>
          <w:rStyle w:val="FootnoteReference"/>
        </w:rPr>
        <w:footnoteRef/>
      </w:r>
      <w:r>
        <w:t xml:space="preserve"> </w:t>
      </w:r>
      <w:r>
        <w:rPr>
          <w:lang w:val="en-AU"/>
        </w:rPr>
        <w:t xml:space="preserve">Christine Huebner. (2021). How Young People in Scotland Experience the Right to Vote at 16: Evidence of ‘Votes-at-16’ in Scotland from Qualitative Work with Young People. </w:t>
      </w:r>
      <w:r>
        <w:rPr>
          <w:i/>
          <w:iCs/>
          <w:lang w:val="en-AU"/>
        </w:rPr>
        <w:t>Parliamentary Affairs</w:t>
      </w:r>
      <w:r>
        <w:rPr>
          <w:lang w:val="en-AU"/>
        </w:rPr>
        <w:t xml:space="preserve">, 74(3), </w:t>
      </w:r>
      <w:r w:rsidR="003140E2">
        <w:rPr>
          <w:lang w:val="en-AU"/>
        </w:rPr>
        <w:t xml:space="preserve">569-570. </w:t>
      </w:r>
      <w:r w:rsidR="003140E2" w:rsidRPr="003140E2">
        <w:rPr>
          <w:lang w:val="en-AU"/>
        </w:rPr>
        <w:t>https://doi.org/10.1093/pa/gsab017</w:t>
      </w:r>
    </w:p>
  </w:footnote>
  <w:footnote w:id="4">
    <w:p w14:paraId="01E0A06E" w14:textId="50D06EEE" w:rsidR="003140E2" w:rsidRPr="003140E2" w:rsidRDefault="003140E2">
      <w:pPr>
        <w:pStyle w:val="FootnoteText"/>
        <w:rPr>
          <w:i/>
          <w:iCs/>
          <w:lang w:val="en-AU"/>
        </w:rPr>
      </w:pPr>
      <w:r>
        <w:rPr>
          <w:rStyle w:val="FootnoteReference"/>
        </w:rPr>
        <w:footnoteRef/>
      </w:r>
      <w:r>
        <w:t xml:space="preserve"> </w:t>
      </w:r>
      <w:r>
        <w:rPr>
          <w:lang w:val="en-AU"/>
        </w:rPr>
        <w:t xml:space="preserve">Philippa Colin and Jane McCormack. (2020). Future of Australian Democracy – Young People and Democracy. </w:t>
      </w:r>
      <w:r>
        <w:rPr>
          <w:i/>
          <w:iCs/>
          <w:lang w:val="en-AU"/>
        </w:rPr>
        <w:t>The Whitlam Institute</w:t>
      </w:r>
      <w:r>
        <w:rPr>
          <w:lang w:val="en-AU"/>
        </w:rPr>
        <w:t xml:space="preserve">. Page 5. </w:t>
      </w:r>
      <w:hyperlink r:id="rId1" w:history="1">
        <w:r w:rsidRPr="00390CE0">
          <w:rPr>
            <w:rStyle w:val="Hyperlink"/>
            <w:lang w:val="en-AU"/>
          </w:rPr>
          <w:t>https://doi.org/10.26183/ybvv-2t95</w:t>
        </w:r>
      </w:hyperlink>
      <w:r>
        <w:rPr>
          <w:lang w:val="en-A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B523D" w14:textId="77777777" w:rsidR="00654C4A" w:rsidRDefault="00654C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79E35" w14:textId="2FB98BD3" w:rsidR="00EB3C37" w:rsidRDefault="00EB3C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815DF" w14:textId="77777777" w:rsidR="00654C4A" w:rsidRDefault="00654C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7C3AF8"/>
    <w:multiLevelType w:val="hybridMultilevel"/>
    <w:tmpl w:val="AD8C7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CFBF90"/>
    <w:rsid w:val="000071AE"/>
    <w:rsid w:val="00020700"/>
    <w:rsid w:val="00076528"/>
    <w:rsid w:val="00077999"/>
    <w:rsid w:val="00085F9B"/>
    <w:rsid w:val="00096199"/>
    <w:rsid w:val="000B71DE"/>
    <w:rsid w:val="001A3569"/>
    <w:rsid w:val="001C7269"/>
    <w:rsid w:val="00210C7A"/>
    <w:rsid w:val="002110C0"/>
    <w:rsid w:val="00231DD1"/>
    <w:rsid w:val="00240A8C"/>
    <w:rsid w:val="00251C2D"/>
    <w:rsid w:val="0025322F"/>
    <w:rsid w:val="00272B2B"/>
    <w:rsid w:val="002E7C13"/>
    <w:rsid w:val="003075C3"/>
    <w:rsid w:val="003140E2"/>
    <w:rsid w:val="0036182E"/>
    <w:rsid w:val="00385B08"/>
    <w:rsid w:val="003E2973"/>
    <w:rsid w:val="0045416C"/>
    <w:rsid w:val="0046150D"/>
    <w:rsid w:val="005047F7"/>
    <w:rsid w:val="00531FA1"/>
    <w:rsid w:val="00575727"/>
    <w:rsid w:val="005833C4"/>
    <w:rsid w:val="005A3A1E"/>
    <w:rsid w:val="00601997"/>
    <w:rsid w:val="0063671E"/>
    <w:rsid w:val="00654C4A"/>
    <w:rsid w:val="006642E1"/>
    <w:rsid w:val="006C7820"/>
    <w:rsid w:val="006E3E16"/>
    <w:rsid w:val="007123F5"/>
    <w:rsid w:val="007628BF"/>
    <w:rsid w:val="00786892"/>
    <w:rsid w:val="00831D83"/>
    <w:rsid w:val="00906239"/>
    <w:rsid w:val="00920C66"/>
    <w:rsid w:val="0095224F"/>
    <w:rsid w:val="00980DA6"/>
    <w:rsid w:val="009D1BA4"/>
    <w:rsid w:val="00A46650"/>
    <w:rsid w:val="00B722C2"/>
    <w:rsid w:val="00B90CD1"/>
    <w:rsid w:val="00B94515"/>
    <w:rsid w:val="00C01EAD"/>
    <w:rsid w:val="00C14728"/>
    <w:rsid w:val="00CA1BA0"/>
    <w:rsid w:val="00CB5F9C"/>
    <w:rsid w:val="00CE0B3D"/>
    <w:rsid w:val="00D4567E"/>
    <w:rsid w:val="00D652C1"/>
    <w:rsid w:val="00DA389A"/>
    <w:rsid w:val="00DD00E7"/>
    <w:rsid w:val="00DF573C"/>
    <w:rsid w:val="00E34EDF"/>
    <w:rsid w:val="00E4066C"/>
    <w:rsid w:val="00EB3C37"/>
    <w:rsid w:val="00EB4E85"/>
    <w:rsid w:val="00EE2483"/>
    <w:rsid w:val="00F24143"/>
    <w:rsid w:val="00F72C86"/>
    <w:rsid w:val="00F730EA"/>
    <w:rsid w:val="00FA4C29"/>
    <w:rsid w:val="00FB3B02"/>
    <w:rsid w:val="00FF02F1"/>
    <w:rsid w:val="00FF6722"/>
    <w:rsid w:val="0376C885"/>
    <w:rsid w:val="088E01A7"/>
    <w:rsid w:val="0D6A975F"/>
    <w:rsid w:val="132021E2"/>
    <w:rsid w:val="15452C6A"/>
    <w:rsid w:val="2B83BECA"/>
    <w:rsid w:val="2B860F74"/>
    <w:rsid w:val="313C3194"/>
    <w:rsid w:val="319F5E3E"/>
    <w:rsid w:val="353A4850"/>
    <w:rsid w:val="3A8F27F2"/>
    <w:rsid w:val="40CFBF90"/>
    <w:rsid w:val="4FA27BCE"/>
    <w:rsid w:val="6A3A1C74"/>
    <w:rsid w:val="76ECB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BD1248"/>
  <w15:chartTrackingRefBased/>
  <w15:docId w15:val="{2A3417D6-7D56-4BFB-A888-81339C3D5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7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47F7"/>
  </w:style>
  <w:style w:type="paragraph" w:styleId="Footer">
    <w:name w:val="footer"/>
    <w:basedOn w:val="Normal"/>
    <w:link w:val="FooterChar"/>
    <w:uiPriority w:val="99"/>
    <w:unhideWhenUsed/>
    <w:rsid w:val="005047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47F7"/>
  </w:style>
  <w:style w:type="character" w:styleId="CommentReference">
    <w:name w:val="annotation reference"/>
    <w:basedOn w:val="DefaultParagraphFont"/>
    <w:uiPriority w:val="99"/>
    <w:semiHidden/>
    <w:unhideWhenUsed/>
    <w:rsid w:val="00D4567E"/>
    <w:rPr>
      <w:sz w:val="16"/>
      <w:szCs w:val="16"/>
    </w:rPr>
  </w:style>
  <w:style w:type="paragraph" w:styleId="CommentText">
    <w:name w:val="annotation text"/>
    <w:basedOn w:val="Normal"/>
    <w:link w:val="CommentTextChar"/>
    <w:uiPriority w:val="99"/>
    <w:semiHidden/>
    <w:unhideWhenUsed/>
    <w:rsid w:val="00D4567E"/>
    <w:pPr>
      <w:spacing w:line="240" w:lineRule="auto"/>
    </w:pPr>
    <w:rPr>
      <w:sz w:val="20"/>
      <w:szCs w:val="20"/>
    </w:rPr>
  </w:style>
  <w:style w:type="character" w:customStyle="1" w:styleId="CommentTextChar">
    <w:name w:val="Comment Text Char"/>
    <w:basedOn w:val="DefaultParagraphFont"/>
    <w:link w:val="CommentText"/>
    <w:uiPriority w:val="99"/>
    <w:semiHidden/>
    <w:rsid w:val="00D4567E"/>
    <w:rPr>
      <w:sz w:val="20"/>
      <w:szCs w:val="20"/>
    </w:rPr>
  </w:style>
  <w:style w:type="paragraph" w:styleId="CommentSubject">
    <w:name w:val="annotation subject"/>
    <w:basedOn w:val="CommentText"/>
    <w:next w:val="CommentText"/>
    <w:link w:val="CommentSubjectChar"/>
    <w:uiPriority w:val="99"/>
    <w:semiHidden/>
    <w:unhideWhenUsed/>
    <w:rsid w:val="00D4567E"/>
    <w:rPr>
      <w:b/>
      <w:bCs/>
    </w:rPr>
  </w:style>
  <w:style w:type="character" w:customStyle="1" w:styleId="CommentSubjectChar">
    <w:name w:val="Comment Subject Char"/>
    <w:basedOn w:val="CommentTextChar"/>
    <w:link w:val="CommentSubject"/>
    <w:uiPriority w:val="99"/>
    <w:semiHidden/>
    <w:rsid w:val="00D4567E"/>
    <w:rPr>
      <w:b/>
      <w:bCs/>
      <w:sz w:val="20"/>
      <w:szCs w:val="20"/>
    </w:rPr>
  </w:style>
  <w:style w:type="paragraph" w:styleId="ListParagraph">
    <w:name w:val="List Paragraph"/>
    <w:basedOn w:val="Normal"/>
    <w:uiPriority w:val="34"/>
    <w:qFormat/>
    <w:rsid w:val="00231DD1"/>
    <w:pPr>
      <w:ind w:left="720"/>
      <w:contextualSpacing/>
    </w:pPr>
  </w:style>
  <w:style w:type="paragraph" w:styleId="FootnoteText">
    <w:name w:val="footnote text"/>
    <w:basedOn w:val="Normal"/>
    <w:link w:val="FootnoteTextChar"/>
    <w:uiPriority w:val="99"/>
    <w:semiHidden/>
    <w:unhideWhenUsed/>
    <w:rsid w:val="001A35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3569"/>
    <w:rPr>
      <w:sz w:val="20"/>
      <w:szCs w:val="20"/>
    </w:rPr>
  </w:style>
  <w:style w:type="character" w:styleId="FootnoteReference">
    <w:name w:val="footnote reference"/>
    <w:basedOn w:val="DefaultParagraphFont"/>
    <w:uiPriority w:val="99"/>
    <w:semiHidden/>
    <w:unhideWhenUsed/>
    <w:rsid w:val="001A3569"/>
    <w:rPr>
      <w:vertAlign w:val="superscript"/>
    </w:rPr>
  </w:style>
  <w:style w:type="character" w:styleId="Hyperlink">
    <w:name w:val="Hyperlink"/>
    <w:basedOn w:val="DefaultParagraphFont"/>
    <w:uiPriority w:val="99"/>
    <w:unhideWhenUsed/>
    <w:rsid w:val="005833C4"/>
    <w:rPr>
      <w:color w:val="0563C1" w:themeColor="hyperlink"/>
      <w:u w:val="single"/>
    </w:rPr>
  </w:style>
  <w:style w:type="character" w:styleId="UnresolvedMention">
    <w:name w:val="Unresolved Mention"/>
    <w:basedOn w:val="DefaultParagraphFont"/>
    <w:uiPriority w:val="99"/>
    <w:semiHidden/>
    <w:unhideWhenUsed/>
    <w:rsid w:val="00583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51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26183/ybvv-2t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F9CC6-C7C4-4AED-A23A-4BDF3D1E5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1336</Words>
  <Characters>6668</Characters>
  <Application>Microsoft Office Word</Application>
  <DocSecurity>0</DocSecurity>
  <Lines>145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Maloney, Jordan</dc:creator>
  <cp:keywords/>
  <dc:description/>
  <cp:lastModifiedBy>Moxon, KarenL</cp:lastModifiedBy>
  <cp:revision>4</cp:revision>
  <cp:lastPrinted>2021-11-08T05:37:00Z</cp:lastPrinted>
  <dcterms:created xsi:type="dcterms:W3CDTF">2021-12-01T22:59:00Z</dcterms:created>
  <dcterms:modified xsi:type="dcterms:W3CDTF">2021-12-01T22:59:00Z</dcterms:modified>
</cp:coreProperties>
</file>