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4463A" w14:textId="77777777" w:rsidR="004C5C21" w:rsidRDefault="004C5C21" w:rsidP="004C5C21">
      <w:pPr>
        <w:spacing w:before="120"/>
        <w:rPr>
          <w:rFonts w:ascii="Arial" w:hAnsi="Arial" w:cs="Arial"/>
        </w:rPr>
      </w:pPr>
      <w:bookmarkStart w:id="0" w:name="_Toc44738651"/>
      <w:r>
        <w:rPr>
          <w:rFonts w:ascii="Arial" w:hAnsi="Arial" w:cs="Arial"/>
        </w:rPr>
        <w:t>Australian Capital Territory</w:t>
      </w:r>
    </w:p>
    <w:p w14:paraId="58070B0A" w14:textId="3EB22E58" w:rsidR="004C5C21" w:rsidRDefault="004C5C21" w:rsidP="004C5C21">
      <w:pPr>
        <w:pStyle w:val="Billname"/>
        <w:spacing w:before="700"/>
      </w:pPr>
      <w:r>
        <w:t xml:space="preserve">Food (Regulated </w:t>
      </w:r>
      <w:r w:rsidR="00A13258">
        <w:t>E</w:t>
      </w:r>
      <w:r>
        <w:t>vents) Declaration 20</w:t>
      </w:r>
      <w:r w:rsidR="00F31CE0">
        <w:t>22</w:t>
      </w:r>
      <w:r>
        <w:t xml:space="preserve"> (No </w:t>
      </w:r>
      <w:r w:rsidR="00F31CE0">
        <w:t>1</w:t>
      </w:r>
      <w:r>
        <w:t>)</w:t>
      </w:r>
    </w:p>
    <w:p w14:paraId="213F7519" w14:textId="67CAC5C4" w:rsidR="004C5C21" w:rsidRDefault="004C5C21" w:rsidP="004C5C21">
      <w:pPr>
        <w:spacing w:before="240" w:after="60"/>
        <w:rPr>
          <w:rFonts w:ascii="Arial" w:hAnsi="Arial" w:cs="Arial"/>
          <w:b/>
          <w:bCs/>
          <w:vertAlign w:val="superscript"/>
        </w:rPr>
      </w:pPr>
      <w:r>
        <w:rPr>
          <w:rFonts w:ascii="Arial" w:hAnsi="Arial" w:cs="Arial"/>
          <w:b/>
          <w:bCs/>
        </w:rPr>
        <w:t>Disallowable instrument DI20</w:t>
      </w:r>
      <w:r w:rsidR="00F31CE0">
        <w:rPr>
          <w:rFonts w:ascii="Arial" w:hAnsi="Arial" w:cs="Arial"/>
          <w:b/>
          <w:bCs/>
        </w:rPr>
        <w:t>22</w:t>
      </w:r>
      <w:r>
        <w:rPr>
          <w:rFonts w:ascii="Arial" w:hAnsi="Arial" w:cs="Arial"/>
          <w:b/>
          <w:bCs/>
        </w:rPr>
        <w:t>–</w:t>
      </w:r>
      <w:r w:rsidR="00A13258">
        <w:rPr>
          <w:rFonts w:ascii="Arial" w:hAnsi="Arial" w:cs="Arial"/>
          <w:b/>
          <w:bCs/>
        </w:rPr>
        <w:t>18</w:t>
      </w:r>
    </w:p>
    <w:p w14:paraId="1A7BFA3B" w14:textId="77777777" w:rsidR="004C5C21" w:rsidRDefault="004C5C21" w:rsidP="004C5C21">
      <w:pPr>
        <w:pStyle w:val="madeunder"/>
        <w:spacing w:before="240" w:after="120"/>
      </w:pPr>
      <w:r>
        <w:t xml:space="preserve">made under the  </w:t>
      </w:r>
    </w:p>
    <w:p w14:paraId="213B5B1D" w14:textId="77777777" w:rsidR="004C5C21" w:rsidRDefault="004C5C21" w:rsidP="004C5C21">
      <w:pPr>
        <w:pStyle w:val="CoverActName"/>
        <w:rPr>
          <w:rFonts w:cs="Arial"/>
          <w:sz w:val="20"/>
        </w:rPr>
      </w:pPr>
      <w:r w:rsidRPr="003B2D8F">
        <w:rPr>
          <w:rFonts w:cs="Arial"/>
          <w:i/>
          <w:sz w:val="20"/>
        </w:rPr>
        <w:t>Food Act 2001</w:t>
      </w:r>
      <w:r>
        <w:rPr>
          <w:rFonts w:cs="Arial"/>
          <w:sz w:val="20"/>
        </w:rPr>
        <w:t>, s 91 (Regulated events)</w:t>
      </w:r>
    </w:p>
    <w:p w14:paraId="7D232B6B" w14:textId="77777777" w:rsidR="004C5C21" w:rsidRDefault="004C5C21" w:rsidP="004C5C21">
      <w:pPr>
        <w:spacing w:before="360"/>
        <w:ind w:right="565"/>
        <w:rPr>
          <w:rFonts w:ascii="Arial" w:hAnsi="Arial" w:cs="Arial"/>
          <w:b/>
          <w:bCs/>
          <w:sz w:val="28"/>
          <w:szCs w:val="28"/>
        </w:rPr>
      </w:pPr>
      <w:r>
        <w:rPr>
          <w:rFonts w:ascii="Arial" w:hAnsi="Arial" w:cs="Arial"/>
          <w:b/>
          <w:bCs/>
          <w:sz w:val="28"/>
          <w:szCs w:val="28"/>
        </w:rPr>
        <w:t>EXPLANATORY STATEMENT</w:t>
      </w:r>
    </w:p>
    <w:p w14:paraId="49459770" w14:textId="77777777" w:rsidR="004C5C21" w:rsidRDefault="004C5C21" w:rsidP="004C5C21">
      <w:pPr>
        <w:pStyle w:val="N-line3"/>
        <w:pBdr>
          <w:bottom w:val="none" w:sz="0" w:space="0" w:color="auto"/>
        </w:pBdr>
      </w:pPr>
    </w:p>
    <w:p w14:paraId="0DCF8F5D" w14:textId="77777777" w:rsidR="004C5C21" w:rsidRDefault="004C5C21" w:rsidP="004C5C21">
      <w:pPr>
        <w:pStyle w:val="N-line3"/>
        <w:pBdr>
          <w:top w:val="single" w:sz="12" w:space="1" w:color="auto"/>
          <w:bottom w:val="none" w:sz="0" w:space="0" w:color="auto"/>
        </w:pBdr>
      </w:pPr>
    </w:p>
    <w:bookmarkEnd w:id="0"/>
    <w:p w14:paraId="6EBB96EF" w14:textId="77777777" w:rsidR="004C5C21" w:rsidRDefault="004C5C21" w:rsidP="004C5C21">
      <w:pPr>
        <w:spacing w:before="80" w:after="60"/>
      </w:pPr>
      <w:r w:rsidRPr="00DE5866">
        <w:rPr>
          <w:szCs w:val="24"/>
        </w:rPr>
        <w:t xml:space="preserve">This instrument is a disallowable instrument </w:t>
      </w:r>
      <w:r>
        <w:rPr>
          <w:szCs w:val="24"/>
        </w:rPr>
        <w:t>that</w:t>
      </w:r>
      <w:r w:rsidRPr="00DE5866">
        <w:rPr>
          <w:szCs w:val="24"/>
        </w:rPr>
        <w:t xml:space="preserve"> declares the </w:t>
      </w:r>
      <w:r>
        <w:t xml:space="preserve">following events, as held in Canberra each year, to be regulated events under </w:t>
      </w:r>
      <w:r w:rsidRPr="003A5F8D">
        <w:t>the</w:t>
      </w:r>
      <w:r>
        <w:rPr>
          <w:i/>
        </w:rPr>
        <w:t xml:space="preserve"> Food Act 2001:</w:t>
      </w:r>
    </w:p>
    <w:p w14:paraId="2D9A38D9" w14:textId="77777777" w:rsidR="004C5C21" w:rsidRDefault="004C5C21" w:rsidP="004C5C21">
      <w:pPr>
        <w:pStyle w:val="ListParagraph"/>
        <w:widowControl/>
        <w:numPr>
          <w:ilvl w:val="0"/>
          <w:numId w:val="2"/>
        </w:numPr>
        <w:spacing w:before="80" w:after="60"/>
      </w:pPr>
      <w:r>
        <w:t>National Multicultural Festival</w:t>
      </w:r>
    </w:p>
    <w:p w14:paraId="1083B793" w14:textId="77777777" w:rsidR="004C5C21" w:rsidRDefault="004C5C21" w:rsidP="004C5C21">
      <w:pPr>
        <w:pStyle w:val="ListParagraph"/>
        <w:widowControl/>
        <w:numPr>
          <w:ilvl w:val="0"/>
          <w:numId w:val="2"/>
        </w:numPr>
        <w:spacing w:before="80" w:after="60"/>
      </w:pPr>
      <w:r>
        <w:t>National Folk Festival</w:t>
      </w:r>
    </w:p>
    <w:p w14:paraId="2826349B" w14:textId="078B0249" w:rsidR="004C5C21" w:rsidRDefault="00F31CE0" w:rsidP="004C5C21">
      <w:pPr>
        <w:pStyle w:val="ListParagraph"/>
        <w:widowControl/>
        <w:numPr>
          <w:ilvl w:val="0"/>
          <w:numId w:val="2"/>
        </w:numPr>
        <w:spacing w:before="80" w:after="60"/>
      </w:pPr>
      <w:r>
        <w:t xml:space="preserve">World </w:t>
      </w:r>
      <w:r w:rsidR="004C5C21">
        <w:t xml:space="preserve">Curry Festival </w:t>
      </w:r>
    </w:p>
    <w:p w14:paraId="5CBCEC9B" w14:textId="65D21DB3" w:rsidR="004C5C21" w:rsidRDefault="008E2D2D" w:rsidP="004C5C21">
      <w:pPr>
        <w:pStyle w:val="ListParagraph"/>
        <w:widowControl/>
        <w:numPr>
          <w:ilvl w:val="0"/>
          <w:numId w:val="2"/>
        </w:numPr>
        <w:spacing w:before="80" w:after="60"/>
      </w:pPr>
      <w:r>
        <w:t xml:space="preserve">Enlighten Festival and </w:t>
      </w:r>
      <w:r w:rsidR="00A32CB6">
        <w:t>Canberra</w:t>
      </w:r>
      <w:r w:rsidR="004C5C21">
        <w:t xml:space="preserve"> Night Noodle Market</w:t>
      </w:r>
      <w:r w:rsidR="00A32CB6">
        <w:t>s</w:t>
      </w:r>
    </w:p>
    <w:p w14:paraId="7DD9657B" w14:textId="2CEA4337" w:rsidR="00F31CE0" w:rsidRPr="004C5C21" w:rsidRDefault="00A41052" w:rsidP="004C5C21">
      <w:pPr>
        <w:pStyle w:val="ListParagraph"/>
        <w:widowControl/>
        <w:numPr>
          <w:ilvl w:val="0"/>
          <w:numId w:val="2"/>
        </w:numPr>
        <w:spacing w:before="80" w:after="60"/>
      </w:pPr>
      <w:r>
        <w:t xml:space="preserve">2022 </w:t>
      </w:r>
      <w:r w:rsidR="00F31CE0">
        <w:t>Canberra Day</w:t>
      </w:r>
      <w:r w:rsidR="0097150E">
        <w:t xml:space="preserve"> Celebrations</w:t>
      </w:r>
    </w:p>
    <w:p w14:paraId="56CDEF64" w14:textId="2EB5AE08" w:rsidR="004C5C21" w:rsidRPr="00DE5866" w:rsidRDefault="004C5C21" w:rsidP="004C5C21">
      <w:pPr>
        <w:spacing w:after="200"/>
        <w:rPr>
          <w:szCs w:val="24"/>
        </w:rPr>
      </w:pPr>
      <w:r w:rsidRPr="00DE5866">
        <w:rPr>
          <w:szCs w:val="24"/>
        </w:rPr>
        <w:t xml:space="preserve">The purpose of declaring the </w:t>
      </w:r>
      <w:r w:rsidR="003B7597">
        <w:rPr>
          <w:szCs w:val="24"/>
        </w:rPr>
        <w:t>above-mentioned</w:t>
      </w:r>
      <w:r w:rsidR="00C15AB3">
        <w:rPr>
          <w:szCs w:val="24"/>
        </w:rPr>
        <w:t xml:space="preserve"> events to be</w:t>
      </w:r>
      <w:r w:rsidRPr="00DE5866">
        <w:rPr>
          <w:szCs w:val="24"/>
        </w:rPr>
        <w:t xml:space="preserve"> regulated event</w:t>
      </w:r>
      <w:r w:rsidR="00C15AB3">
        <w:rPr>
          <w:szCs w:val="24"/>
        </w:rPr>
        <w:t>s</w:t>
      </w:r>
      <w:r w:rsidRPr="00DE5866">
        <w:rPr>
          <w:szCs w:val="24"/>
        </w:rPr>
        <w:t xml:space="preserve"> is to make it mandatory </w:t>
      </w:r>
      <w:r w:rsidR="00F31CE0">
        <w:rPr>
          <w:szCs w:val="24"/>
        </w:rPr>
        <w:t xml:space="preserve">that </w:t>
      </w:r>
      <w:r w:rsidR="00C15AB3" w:rsidRPr="004C5295">
        <w:rPr>
          <w:szCs w:val="24"/>
        </w:rPr>
        <w:t>all</w:t>
      </w:r>
      <w:r w:rsidRPr="004C5295">
        <w:rPr>
          <w:szCs w:val="24"/>
        </w:rPr>
        <w:t xml:space="preserve"> food business</w:t>
      </w:r>
      <w:r w:rsidR="00C15AB3" w:rsidRPr="004C5295">
        <w:rPr>
          <w:szCs w:val="24"/>
        </w:rPr>
        <w:t>es</w:t>
      </w:r>
      <w:r w:rsidRPr="004C5295">
        <w:rPr>
          <w:szCs w:val="24"/>
        </w:rPr>
        <w:t xml:space="preserve"> conducted</w:t>
      </w:r>
      <w:r w:rsidRPr="00DE5866">
        <w:rPr>
          <w:szCs w:val="24"/>
        </w:rPr>
        <w:t xml:space="preserve"> at </w:t>
      </w:r>
      <w:r w:rsidR="00C15AB3">
        <w:rPr>
          <w:szCs w:val="24"/>
        </w:rPr>
        <w:t>each event</w:t>
      </w:r>
      <w:r w:rsidRPr="00DE5866">
        <w:rPr>
          <w:szCs w:val="24"/>
        </w:rPr>
        <w:t xml:space="preserve"> meet the requirements of the Food Act (particularly those relating to food safety), thereby providing for the protection of public health. </w:t>
      </w:r>
    </w:p>
    <w:p w14:paraId="3565BD8C" w14:textId="77385397" w:rsidR="00C15AB3" w:rsidRDefault="004C5C21" w:rsidP="004C5C21">
      <w:pPr>
        <w:pStyle w:val="ListParagraph"/>
        <w:spacing w:after="40"/>
        <w:ind w:left="0"/>
        <w:contextualSpacing w:val="0"/>
      </w:pPr>
      <w:r w:rsidRPr="00DE5866">
        <w:t xml:space="preserve">The </w:t>
      </w:r>
      <w:r w:rsidRPr="00C0540F">
        <w:t>preparation and sale of food at the</w:t>
      </w:r>
      <w:r w:rsidR="00F31CE0">
        <w:t>se events</w:t>
      </w:r>
      <w:r w:rsidRPr="00C0540F">
        <w:t xml:space="preserve"> is considered to pose potential public health risks and should therefore be subject to regulation and food safety standards under the Food Act. </w:t>
      </w:r>
    </w:p>
    <w:p w14:paraId="1B25851E" w14:textId="77777777" w:rsidR="00C15AB3" w:rsidRDefault="00C15AB3" w:rsidP="004C5C21">
      <w:pPr>
        <w:pStyle w:val="ListParagraph"/>
        <w:spacing w:after="40"/>
        <w:ind w:left="0"/>
        <w:contextualSpacing w:val="0"/>
      </w:pPr>
    </w:p>
    <w:p w14:paraId="0970A0E6" w14:textId="77777777" w:rsidR="004C5C21" w:rsidRPr="00C0540F" w:rsidRDefault="004C5C21" w:rsidP="004C5C21">
      <w:pPr>
        <w:pStyle w:val="ListParagraph"/>
        <w:spacing w:after="40"/>
        <w:ind w:left="0"/>
        <w:contextualSpacing w:val="0"/>
      </w:pPr>
      <w:r w:rsidRPr="00C0540F">
        <w:t>The rationale for declaring the National Multicultural Festival is that:</w:t>
      </w:r>
    </w:p>
    <w:p w14:paraId="40D95898" w14:textId="4D600A22" w:rsidR="004C5C21" w:rsidRPr="00C0540F" w:rsidRDefault="004C5C21" w:rsidP="004C5C21">
      <w:pPr>
        <w:pStyle w:val="ListParagraph"/>
        <w:numPr>
          <w:ilvl w:val="0"/>
          <w:numId w:val="1"/>
        </w:numPr>
        <w:spacing w:after="40"/>
        <w:ind w:left="567" w:hanging="283"/>
        <w:contextualSpacing w:val="0"/>
      </w:pPr>
      <w:r w:rsidRPr="00C0540F">
        <w:t>it is a large public event (</w:t>
      </w:r>
      <w:r w:rsidR="00686330">
        <w:t xml:space="preserve">generally, </w:t>
      </w:r>
      <w:r w:rsidRPr="00C0540F">
        <w:t>more than 2</w:t>
      </w:r>
      <w:r w:rsidR="00280258">
        <w:t>0</w:t>
      </w:r>
      <w:r w:rsidRPr="00C0540F">
        <w:t xml:space="preserve">0,000 people </w:t>
      </w:r>
      <w:r w:rsidR="0095713A">
        <w:t>attend each year)</w:t>
      </w:r>
      <w:r w:rsidRPr="00C0540F">
        <w:t xml:space="preserve"> with a particular focus on food;</w:t>
      </w:r>
    </w:p>
    <w:p w14:paraId="6D288C2B" w14:textId="3ADACD3D" w:rsidR="004C5C21" w:rsidRPr="00C0540F" w:rsidRDefault="004C5C21" w:rsidP="004C5C21">
      <w:pPr>
        <w:pStyle w:val="ListParagraph"/>
        <w:numPr>
          <w:ilvl w:val="0"/>
          <w:numId w:val="1"/>
        </w:numPr>
        <w:spacing w:after="40"/>
        <w:ind w:left="567" w:hanging="283"/>
        <w:contextualSpacing w:val="0"/>
      </w:pPr>
      <w:r w:rsidRPr="00C0540F">
        <w:t>the event is held over several days</w:t>
      </w:r>
      <w:r w:rsidR="00026AF1">
        <w:t>,</w:t>
      </w:r>
      <w:r w:rsidR="006D63B2">
        <w:t xml:space="preserve"> </w:t>
      </w:r>
      <w:r w:rsidRPr="00C0540F">
        <w:t>increasing the risk of food temperature control and storage issues</w:t>
      </w:r>
      <w:r w:rsidR="00871FB4">
        <w:t>;</w:t>
      </w:r>
    </w:p>
    <w:p w14:paraId="47963C5D" w14:textId="7E38ACE4" w:rsidR="004C5C21" w:rsidRPr="00C0540F" w:rsidRDefault="004C5C21" w:rsidP="004C5C21">
      <w:pPr>
        <w:pStyle w:val="ListParagraph"/>
        <w:numPr>
          <w:ilvl w:val="0"/>
          <w:numId w:val="1"/>
        </w:numPr>
        <w:spacing w:after="40"/>
        <w:ind w:left="567" w:hanging="283"/>
        <w:contextualSpacing w:val="0"/>
      </w:pPr>
      <w:r w:rsidRPr="00C0540F">
        <w:t>the large quantities of food being supplied by small temporary stalls can easily result in storage issues (increasing the risk of cross-contamination, food temperature control and pest control issues); and</w:t>
      </w:r>
    </w:p>
    <w:p w14:paraId="6996A79B" w14:textId="4A42BE70" w:rsidR="004C5C21" w:rsidRDefault="004C5C21" w:rsidP="004C5C21">
      <w:pPr>
        <w:pStyle w:val="ListParagraph"/>
        <w:numPr>
          <w:ilvl w:val="0"/>
          <w:numId w:val="1"/>
        </w:numPr>
        <w:spacing w:after="200"/>
        <w:ind w:left="567" w:hanging="283"/>
        <w:contextualSpacing w:val="0"/>
      </w:pPr>
      <w:r w:rsidRPr="00C0540F">
        <w:t>a variety of potentially hazardous foods are prepared and sold, often by volunteers with limited knowledge of appropriate food safety and hygiene.</w:t>
      </w:r>
    </w:p>
    <w:p w14:paraId="0DEA6D43" w14:textId="77777777" w:rsidR="00C15AB3" w:rsidRPr="00C0540F" w:rsidRDefault="00C15AB3" w:rsidP="00C15AB3">
      <w:pPr>
        <w:spacing w:after="40"/>
      </w:pPr>
      <w:r w:rsidRPr="00C0540F">
        <w:t xml:space="preserve">The rationale for declaring the National </w:t>
      </w:r>
      <w:r>
        <w:t xml:space="preserve">Folk Festival </w:t>
      </w:r>
      <w:r w:rsidRPr="00C0540F">
        <w:t>is that:</w:t>
      </w:r>
    </w:p>
    <w:p w14:paraId="756E5863" w14:textId="5D2EDC9D" w:rsidR="00EE39D8" w:rsidRDefault="00EE39D8" w:rsidP="00EE39D8">
      <w:pPr>
        <w:pStyle w:val="ListParagraph"/>
        <w:numPr>
          <w:ilvl w:val="0"/>
          <w:numId w:val="3"/>
        </w:numPr>
        <w:spacing w:after="40"/>
        <w:contextualSpacing w:val="0"/>
      </w:pPr>
      <w:r w:rsidRPr="00C0540F">
        <w:t>it is a large public event (</w:t>
      </w:r>
      <w:r w:rsidR="00686330">
        <w:t xml:space="preserve">generally, </w:t>
      </w:r>
      <w:r w:rsidRPr="00C0540F">
        <w:t xml:space="preserve">more than </w:t>
      </w:r>
      <w:r w:rsidR="00FC01B4">
        <w:t>50,000</w:t>
      </w:r>
      <w:r w:rsidR="00FC01B4" w:rsidRPr="00671BA0">
        <w:t xml:space="preserve"> </w:t>
      </w:r>
      <w:r w:rsidRPr="00C0540F">
        <w:t>people</w:t>
      </w:r>
      <w:r w:rsidR="00686330">
        <w:t xml:space="preserve"> attend each year</w:t>
      </w:r>
      <w:r w:rsidRPr="00C0540F">
        <w:t>)</w:t>
      </w:r>
      <w:r w:rsidR="00671BA0">
        <w:t xml:space="preserve"> with a significant number of food stalls present;</w:t>
      </w:r>
    </w:p>
    <w:p w14:paraId="2541BEE2" w14:textId="77777777" w:rsidR="00671BA0" w:rsidRPr="00C0540F" w:rsidRDefault="00671BA0" w:rsidP="002B5FE2">
      <w:pPr>
        <w:pStyle w:val="ListParagraph"/>
        <w:keepNext/>
        <w:keepLines/>
        <w:numPr>
          <w:ilvl w:val="0"/>
          <w:numId w:val="3"/>
        </w:numPr>
        <w:spacing w:after="40"/>
        <w:ind w:left="714" w:hanging="357"/>
        <w:contextualSpacing w:val="0"/>
      </w:pPr>
      <w:r>
        <w:lastRenderedPageBreak/>
        <w:t xml:space="preserve">the event is held over several days </w:t>
      </w:r>
      <w:r w:rsidRPr="00C0540F">
        <w:t>(thus increasing the r</w:t>
      </w:r>
      <w:r w:rsidR="00FD7E58">
        <w:t xml:space="preserve">isk of food temperature control and </w:t>
      </w:r>
      <w:r w:rsidRPr="00C0540F">
        <w:t>storage issues);</w:t>
      </w:r>
      <w:r w:rsidR="00FD7E58">
        <w:t xml:space="preserve"> and</w:t>
      </w:r>
    </w:p>
    <w:p w14:paraId="6644B3C0" w14:textId="21721466" w:rsidR="00FD7E58" w:rsidRDefault="00FD7E58" w:rsidP="00FD7E58">
      <w:pPr>
        <w:pStyle w:val="ListParagraph"/>
        <w:numPr>
          <w:ilvl w:val="0"/>
          <w:numId w:val="3"/>
        </w:numPr>
        <w:spacing w:after="40"/>
        <w:contextualSpacing w:val="0"/>
      </w:pPr>
      <w:r w:rsidRPr="00C0540F">
        <w:t>the large quantities of food being supplied by small temporary stalls can easily result in storage issues (increasing the risk of cross-contamination, food temperature contr</w:t>
      </w:r>
      <w:r>
        <w:t>ol and pest control issues).</w:t>
      </w:r>
    </w:p>
    <w:p w14:paraId="74B0A9CF" w14:textId="77777777" w:rsidR="00FD7E58" w:rsidRPr="00C0540F" w:rsidRDefault="00FD7E58" w:rsidP="00FD7E58">
      <w:pPr>
        <w:pStyle w:val="ListParagraph"/>
        <w:spacing w:after="40"/>
        <w:contextualSpacing w:val="0"/>
      </w:pPr>
    </w:p>
    <w:p w14:paraId="386F5AF8" w14:textId="2991DDC3" w:rsidR="00C15AB3" w:rsidRPr="00C0540F" w:rsidRDefault="00C15AB3" w:rsidP="00C15AB3">
      <w:pPr>
        <w:spacing w:after="40"/>
      </w:pPr>
      <w:r>
        <w:t xml:space="preserve">The rationale for declaring the </w:t>
      </w:r>
      <w:r w:rsidR="00453FDB">
        <w:t xml:space="preserve">World </w:t>
      </w:r>
      <w:r>
        <w:t>Curry Festival</w:t>
      </w:r>
      <w:r w:rsidR="00F9280B">
        <w:t xml:space="preserve">, </w:t>
      </w:r>
      <w:r w:rsidR="00F25DB0">
        <w:t xml:space="preserve">the </w:t>
      </w:r>
      <w:r w:rsidR="003B7597">
        <w:t xml:space="preserve">Enlighten Festival, </w:t>
      </w:r>
      <w:r w:rsidR="00A32CB6">
        <w:t>Canberra</w:t>
      </w:r>
      <w:r w:rsidR="00F25DB0">
        <w:t xml:space="preserve"> Night Noodle Markets</w:t>
      </w:r>
      <w:r>
        <w:t xml:space="preserve"> </w:t>
      </w:r>
      <w:r w:rsidR="00F9280B">
        <w:t xml:space="preserve">and </w:t>
      </w:r>
      <w:r w:rsidR="00A96047">
        <w:t xml:space="preserve">Events Act’s </w:t>
      </w:r>
      <w:r w:rsidR="00F9280B">
        <w:t xml:space="preserve">2022 Canberra Day </w:t>
      </w:r>
      <w:r w:rsidR="007436D6">
        <w:t>Celebration</w:t>
      </w:r>
      <w:r w:rsidR="007436D6" w:rsidRPr="00C0540F">
        <w:t>s</w:t>
      </w:r>
      <w:r w:rsidRPr="00C0540F">
        <w:t xml:space="preserve"> that:</w:t>
      </w:r>
    </w:p>
    <w:p w14:paraId="23019DCF" w14:textId="73C05966" w:rsidR="00FD7E58" w:rsidRPr="00C0540F" w:rsidRDefault="00F25DB0" w:rsidP="00FD7E58">
      <w:pPr>
        <w:pStyle w:val="ListParagraph"/>
        <w:numPr>
          <w:ilvl w:val="0"/>
          <w:numId w:val="1"/>
        </w:numPr>
        <w:spacing w:after="40"/>
        <w:ind w:left="567" w:hanging="283"/>
        <w:contextualSpacing w:val="0"/>
      </w:pPr>
      <w:r>
        <w:t>the</w:t>
      </w:r>
      <w:r w:rsidR="007436D6">
        <w:t>se events</w:t>
      </w:r>
      <w:r>
        <w:t xml:space="preserve"> are </w:t>
      </w:r>
      <w:r w:rsidR="00FD7E58">
        <w:t xml:space="preserve">expected to be </w:t>
      </w:r>
      <w:r w:rsidR="00FD7E58" w:rsidRPr="00C0540F">
        <w:t>large public event</w:t>
      </w:r>
      <w:r>
        <w:t>s</w:t>
      </w:r>
      <w:r w:rsidR="00FD7E58">
        <w:t xml:space="preserve"> with</w:t>
      </w:r>
      <w:r w:rsidR="00FD7E58" w:rsidRPr="00C0540F">
        <w:t xml:space="preserve"> a particular focus on food;</w:t>
      </w:r>
    </w:p>
    <w:p w14:paraId="100FCD24" w14:textId="77777777" w:rsidR="00FD7E58" w:rsidRPr="00C0540F" w:rsidRDefault="00FD7E58" w:rsidP="00FD7E58">
      <w:pPr>
        <w:pStyle w:val="ListParagraph"/>
        <w:numPr>
          <w:ilvl w:val="0"/>
          <w:numId w:val="1"/>
        </w:numPr>
        <w:spacing w:after="40"/>
        <w:ind w:left="567" w:hanging="283"/>
        <w:contextualSpacing w:val="0"/>
      </w:pPr>
      <w:r w:rsidRPr="00C0540F">
        <w:t>the event</w:t>
      </w:r>
      <w:r w:rsidR="00F25DB0">
        <w:t>s</w:t>
      </w:r>
      <w:r w:rsidRPr="00C0540F">
        <w:t xml:space="preserve"> </w:t>
      </w:r>
      <w:r w:rsidR="00F25DB0">
        <w:t>are</w:t>
      </w:r>
      <w:r w:rsidRPr="00C0540F">
        <w:t xml:space="preserve"> held over several days (thus increasing the risk of food temperature control and storage issues);</w:t>
      </w:r>
    </w:p>
    <w:p w14:paraId="493DA7BB" w14:textId="6A6C2F14" w:rsidR="00FD7E58" w:rsidRPr="00C0540F" w:rsidRDefault="00FD7E58" w:rsidP="00FD7E58">
      <w:pPr>
        <w:pStyle w:val="ListParagraph"/>
        <w:numPr>
          <w:ilvl w:val="0"/>
          <w:numId w:val="1"/>
        </w:numPr>
        <w:spacing w:after="40"/>
        <w:ind w:left="567" w:hanging="283"/>
        <w:contextualSpacing w:val="0"/>
      </w:pPr>
      <w:r w:rsidRPr="00C0540F">
        <w:t>the large quantities of</w:t>
      </w:r>
      <w:r>
        <w:t xml:space="preserve"> </w:t>
      </w:r>
      <w:r w:rsidRPr="00C0540F">
        <w:t>food being supplied by small temporary stalls can easily result in storage issues (increasing the risk of cross-contamination, food temperature control and pest control issues); and</w:t>
      </w:r>
    </w:p>
    <w:p w14:paraId="5D589FFA" w14:textId="3DFC7DF2" w:rsidR="00C15AB3" w:rsidRPr="00C0540F" w:rsidRDefault="00FD7E58" w:rsidP="00C15AB3">
      <w:pPr>
        <w:pStyle w:val="ListParagraph"/>
        <w:numPr>
          <w:ilvl w:val="0"/>
          <w:numId w:val="1"/>
        </w:numPr>
        <w:spacing w:after="200"/>
        <w:ind w:left="567" w:hanging="283"/>
        <w:contextualSpacing w:val="0"/>
      </w:pPr>
      <w:r w:rsidRPr="00C0540F">
        <w:t>a variety of potentially hazardous foods are prepared and sold, often by volunteers with limited knowledge of appropriate food safety and hygiene.</w:t>
      </w:r>
    </w:p>
    <w:p w14:paraId="0530AA0F" w14:textId="77777777" w:rsidR="00D70381" w:rsidRDefault="00F43F92" w:rsidP="004C5C21">
      <w:pPr>
        <w:spacing w:after="200"/>
      </w:pPr>
      <w:r>
        <w:t xml:space="preserve">Events ACT’s 2022 Canberra Day Celebrations </w:t>
      </w:r>
      <w:r w:rsidR="00EE6B0C">
        <w:t xml:space="preserve">is a one-off event </w:t>
      </w:r>
      <w:r w:rsidR="00F565FF">
        <w:t xml:space="preserve">that is anticipated to feature community/volunteer food stalls that </w:t>
      </w:r>
      <w:r w:rsidR="00E21764">
        <w:t xml:space="preserve">would </w:t>
      </w:r>
      <w:r w:rsidR="00D70381">
        <w:t xml:space="preserve">likely </w:t>
      </w:r>
      <w:r w:rsidR="00E21764">
        <w:t xml:space="preserve">have otherwise participated in the cancelled 2022 National Multicultural Festival. </w:t>
      </w:r>
    </w:p>
    <w:p w14:paraId="2BFE1B01" w14:textId="028D638C" w:rsidR="004C5C21" w:rsidRPr="00FD7E58" w:rsidRDefault="004C5C21" w:rsidP="004C5C21">
      <w:pPr>
        <w:spacing w:after="200"/>
      </w:pPr>
      <w:r>
        <w:t>As of 20 April 2015, Section 7A(1) of the Food Act states that the Act does not apply to a food business conducted by a volunteer for a community organisation for certain fundraising purposes (e.g. to raise funds for a religious, educational, charitable or benevolent purpose; sport, recreation or amusement; preserving cultural heritage, etc).</w:t>
      </w:r>
    </w:p>
    <w:p w14:paraId="4E5EBF64" w14:textId="3E695896" w:rsidR="004C5C21" w:rsidRPr="00DE5866" w:rsidRDefault="004C5C21" w:rsidP="004C5C21">
      <w:pPr>
        <w:spacing w:after="200"/>
        <w:rPr>
          <w:szCs w:val="24"/>
        </w:rPr>
      </w:pPr>
      <w:r>
        <w:rPr>
          <w:szCs w:val="24"/>
        </w:rPr>
        <w:t xml:space="preserve">However, </w:t>
      </w:r>
      <w:r w:rsidRPr="00DE5866">
        <w:rPr>
          <w:szCs w:val="24"/>
        </w:rPr>
        <w:t>Section 7A(</w:t>
      </w:r>
      <w:r>
        <w:rPr>
          <w:szCs w:val="24"/>
        </w:rPr>
        <w:t>2)(b) states that the Food Act does apply</w:t>
      </w:r>
      <w:r w:rsidRPr="00DE5866">
        <w:rPr>
          <w:szCs w:val="24"/>
        </w:rPr>
        <w:t xml:space="preserve"> to a food business mentioned in 7A(1) </w:t>
      </w:r>
      <w:r>
        <w:rPr>
          <w:szCs w:val="24"/>
        </w:rPr>
        <w:t>if it is</w:t>
      </w:r>
      <w:r w:rsidRPr="00DE5866">
        <w:rPr>
          <w:szCs w:val="24"/>
        </w:rPr>
        <w:t xml:space="preserve"> conducted at a regulated event.</w:t>
      </w:r>
      <w:r>
        <w:rPr>
          <w:szCs w:val="24"/>
        </w:rPr>
        <w:t xml:space="preserve"> In other words, a volunteer</w:t>
      </w:r>
      <w:r>
        <w:rPr>
          <w:szCs w:val="24"/>
        </w:rPr>
        <w:noBreakHyphen/>
        <w:t>staffed community fundraising food stall would ordinarily be exempt from the Food Act; but if the food stall operates at a declared event, it must comply with the Food Act. Compliance with the Food Act requires certain activities (e.g. an application must be made to the Chief Health Officer to register the food business, all food for sale must comply with national food safety standards, etc)</w:t>
      </w:r>
      <w:r w:rsidR="00EB39E9">
        <w:rPr>
          <w:szCs w:val="24"/>
        </w:rPr>
        <w:t>.</w:t>
      </w:r>
      <w:r>
        <w:rPr>
          <w:szCs w:val="24"/>
        </w:rPr>
        <w:t xml:space="preserve"> </w:t>
      </w:r>
    </w:p>
    <w:p w14:paraId="23E14ADA" w14:textId="77777777" w:rsidR="004C5C21" w:rsidRDefault="004C5C21" w:rsidP="004C5C21">
      <w:pPr>
        <w:spacing w:after="240"/>
        <w:rPr>
          <w:szCs w:val="24"/>
        </w:rPr>
      </w:pPr>
      <w:r w:rsidRPr="00DE5866">
        <w:rPr>
          <w:szCs w:val="24"/>
        </w:rPr>
        <w:t>Section 91(1) of the Food Act allows the Minister to declare that an event is a regulated event under the Act. Section 91(2) of the Food Act states that a declaration is a disallowable instrument.</w:t>
      </w:r>
    </w:p>
    <w:p w14:paraId="6FDDCCD4" w14:textId="77777777" w:rsidR="004C5C21" w:rsidRPr="00DE5866" w:rsidRDefault="004C5C21" w:rsidP="004C5C21">
      <w:pPr>
        <w:spacing w:after="120"/>
        <w:rPr>
          <w:b/>
          <w:bCs/>
          <w:szCs w:val="24"/>
        </w:rPr>
      </w:pPr>
      <w:r w:rsidRPr="00DE5866">
        <w:rPr>
          <w:b/>
          <w:bCs/>
          <w:szCs w:val="24"/>
        </w:rPr>
        <w:t xml:space="preserve">Background </w:t>
      </w:r>
    </w:p>
    <w:p w14:paraId="2B07E14B" w14:textId="77777777" w:rsidR="004C5C21" w:rsidRPr="00DE5866" w:rsidRDefault="004C5C21" w:rsidP="004C5C21">
      <w:pPr>
        <w:spacing w:after="200"/>
        <w:rPr>
          <w:szCs w:val="24"/>
        </w:rPr>
      </w:pPr>
      <w:r w:rsidRPr="00DE5866">
        <w:rPr>
          <w:szCs w:val="24"/>
        </w:rPr>
        <w:t>In November 2013, the ACT Government announced that changes to the laws regulating non-profit community organisations would be introduced that would reduce the regulatory burden on these organisations. The resulting changes to the Food Act removed the requirement for certain food businesses to notify the Chief</w:t>
      </w:r>
      <w:r w:rsidR="00094F0D">
        <w:rPr>
          <w:szCs w:val="24"/>
        </w:rPr>
        <w:t> </w:t>
      </w:r>
      <w:r w:rsidRPr="00DE5866">
        <w:rPr>
          <w:szCs w:val="24"/>
        </w:rPr>
        <w:t xml:space="preserve">Health Officer of their operation and also exempted certain community organisations selling food for fundraising purposes from the operation of the Food Act. These amendments to the Food Act commenced in 2015.  </w:t>
      </w:r>
    </w:p>
    <w:p w14:paraId="685AD2E2" w14:textId="60684FCE" w:rsidR="004C5C21" w:rsidRPr="00DE5866" w:rsidRDefault="004C5C21" w:rsidP="004C5C21">
      <w:pPr>
        <w:keepLines/>
        <w:spacing w:after="200"/>
        <w:rPr>
          <w:szCs w:val="24"/>
        </w:rPr>
      </w:pPr>
      <w:r w:rsidRPr="00DE5866">
        <w:rPr>
          <w:iCs/>
          <w:szCs w:val="24"/>
        </w:rPr>
        <w:lastRenderedPageBreak/>
        <w:t>P</w:t>
      </w:r>
      <w:r w:rsidRPr="00DE5866">
        <w:rPr>
          <w:szCs w:val="24"/>
        </w:rPr>
        <w:t xml:space="preserve">reviously any business selling potentially hazardous food – no matter for how short of a time – had to register their food business. </w:t>
      </w:r>
      <w:r>
        <w:rPr>
          <w:szCs w:val="24"/>
        </w:rPr>
        <w:t>E</w:t>
      </w:r>
      <w:r w:rsidRPr="00DE5866">
        <w:rPr>
          <w:szCs w:val="24"/>
        </w:rPr>
        <w:t xml:space="preserve">ligible non-profit community organisations </w:t>
      </w:r>
      <w:r w:rsidR="00506D12">
        <w:rPr>
          <w:szCs w:val="24"/>
        </w:rPr>
        <w:t>are no</w:t>
      </w:r>
      <w:r w:rsidR="00C95EF4">
        <w:rPr>
          <w:szCs w:val="24"/>
        </w:rPr>
        <w:t>w</w:t>
      </w:r>
      <w:r w:rsidRPr="00DE5866">
        <w:rPr>
          <w:szCs w:val="24"/>
        </w:rPr>
        <w:t xml:space="preserve"> exempted from the Food Act</w:t>
      </w:r>
      <w:r>
        <w:rPr>
          <w:szCs w:val="24"/>
        </w:rPr>
        <w:t>. I</w:t>
      </w:r>
      <w:r w:rsidRPr="00DE5866">
        <w:rPr>
          <w:szCs w:val="24"/>
        </w:rPr>
        <w:t>t was always intended</w:t>
      </w:r>
      <w:r>
        <w:rPr>
          <w:szCs w:val="24"/>
        </w:rPr>
        <w:t>, however,</w:t>
      </w:r>
      <w:r w:rsidRPr="00DE5866">
        <w:rPr>
          <w:szCs w:val="24"/>
        </w:rPr>
        <w:t xml:space="preserve"> that a declaration power be used to ‘recapture’ these businesses if they were to sell food at a large event where food handling errors would likely have a significant impact on public health. This intention was noted in the Food Amendment Bill 2014 </w:t>
      </w:r>
      <w:hyperlink r:id="rId8" w:history="1">
        <w:r w:rsidRPr="00DE5866">
          <w:rPr>
            <w:rStyle w:val="Hyperlink"/>
            <w:szCs w:val="24"/>
          </w:rPr>
          <w:t>Explanatory Statement</w:t>
        </w:r>
      </w:hyperlink>
      <w:r w:rsidRPr="00DE5866">
        <w:rPr>
          <w:szCs w:val="24"/>
        </w:rPr>
        <w:t>.</w:t>
      </w:r>
    </w:p>
    <w:p w14:paraId="19BCB1E6" w14:textId="73980BB8" w:rsidR="00671BA0" w:rsidRDefault="00671BA0"/>
    <w:sectPr w:rsidR="00671BA0" w:rsidSect="00671BA0">
      <w:headerReference w:type="even" r:id="rId9"/>
      <w:headerReference w:type="default" r:id="rId10"/>
      <w:footerReference w:type="even" r:id="rId11"/>
      <w:footerReference w:type="default" r:id="rId12"/>
      <w:headerReference w:type="first" r:id="rId13"/>
      <w:footerReference w:type="first" r:id="rId14"/>
      <w:pgSz w:w="11907" w:h="16839" w:code="9"/>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DA94C" w14:textId="77777777" w:rsidR="00954000" w:rsidRDefault="00954000">
      <w:r>
        <w:separator/>
      </w:r>
    </w:p>
  </w:endnote>
  <w:endnote w:type="continuationSeparator" w:id="0">
    <w:p w14:paraId="361FDC03" w14:textId="77777777" w:rsidR="00954000" w:rsidRDefault="00954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B65C7" w14:textId="77777777" w:rsidR="00AE0300" w:rsidRDefault="00AE03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56401" w14:textId="3BEC413E" w:rsidR="00FD7E58" w:rsidRPr="00CE2F03" w:rsidRDefault="00CE2F03" w:rsidP="00CE2F03">
    <w:pPr>
      <w:pStyle w:val="Footer"/>
      <w:spacing w:before="0" w:after="0" w:line="240" w:lineRule="auto"/>
      <w:jc w:val="center"/>
      <w:rPr>
        <w:rFonts w:cs="Arial"/>
        <w:sz w:val="14"/>
      </w:rPr>
    </w:pPr>
    <w:r w:rsidRPr="00CE2F0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31EE3" w14:textId="77777777" w:rsidR="00AE0300" w:rsidRDefault="00AE03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CEB69" w14:textId="77777777" w:rsidR="00954000" w:rsidRDefault="00954000">
      <w:r>
        <w:separator/>
      </w:r>
    </w:p>
  </w:footnote>
  <w:footnote w:type="continuationSeparator" w:id="0">
    <w:p w14:paraId="4A0BC933" w14:textId="77777777" w:rsidR="00954000" w:rsidRDefault="00954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7F11B" w14:textId="77777777" w:rsidR="00AE0300" w:rsidRDefault="00AE03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0D299" w14:textId="77777777" w:rsidR="00AE0300" w:rsidRDefault="00AE03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85ADA" w14:textId="77777777" w:rsidR="00AE0300" w:rsidRDefault="00AE03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804F3"/>
    <w:multiLevelType w:val="hybridMultilevel"/>
    <w:tmpl w:val="FE547980"/>
    <w:lvl w:ilvl="0" w:tplc="0C090001">
      <w:start w:val="1"/>
      <w:numFmt w:val="bullet"/>
      <w:lvlText w:val=""/>
      <w:lvlJc w:val="left"/>
      <w:pPr>
        <w:ind w:left="1332" w:hanging="360"/>
      </w:pPr>
      <w:rPr>
        <w:rFonts w:ascii="Symbol" w:hAnsi="Symbol" w:hint="default"/>
      </w:rPr>
    </w:lvl>
    <w:lvl w:ilvl="1" w:tplc="0C090003" w:tentative="1">
      <w:start w:val="1"/>
      <w:numFmt w:val="bullet"/>
      <w:lvlText w:val="o"/>
      <w:lvlJc w:val="left"/>
      <w:pPr>
        <w:ind w:left="2052" w:hanging="360"/>
      </w:pPr>
      <w:rPr>
        <w:rFonts w:ascii="Courier New" w:hAnsi="Courier New" w:hint="default"/>
      </w:rPr>
    </w:lvl>
    <w:lvl w:ilvl="2" w:tplc="0C090005" w:tentative="1">
      <w:start w:val="1"/>
      <w:numFmt w:val="bullet"/>
      <w:lvlText w:val=""/>
      <w:lvlJc w:val="left"/>
      <w:pPr>
        <w:ind w:left="2772" w:hanging="360"/>
      </w:pPr>
      <w:rPr>
        <w:rFonts w:ascii="Wingdings" w:hAnsi="Wingdings" w:hint="default"/>
      </w:rPr>
    </w:lvl>
    <w:lvl w:ilvl="3" w:tplc="0C090001" w:tentative="1">
      <w:start w:val="1"/>
      <w:numFmt w:val="bullet"/>
      <w:lvlText w:val=""/>
      <w:lvlJc w:val="left"/>
      <w:pPr>
        <w:ind w:left="3492" w:hanging="360"/>
      </w:pPr>
      <w:rPr>
        <w:rFonts w:ascii="Symbol" w:hAnsi="Symbol" w:hint="default"/>
      </w:rPr>
    </w:lvl>
    <w:lvl w:ilvl="4" w:tplc="0C090003" w:tentative="1">
      <w:start w:val="1"/>
      <w:numFmt w:val="bullet"/>
      <w:lvlText w:val="o"/>
      <w:lvlJc w:val="left"/>
      <w:pPr>
        <w:ind w:left="4212" w:hanging="360"/>
      </w:pPr>
      <w:rPr>
        <w:rFonts w:ascii="Courier New" w:hAnsi="Courier New" w:hint="default"/>
      </w:rPr>
    </w:lvl>
    <w:lvl w:ilvl="5" w:tplc="0C090005" w:tentative="1">
      <w:start w:val="1"/>
      <w:numFmt w:val="bullet"/>
      <w:lvlText w:val=""/>
      <w:lvlJc w:val="left"/>
      <w:pPr>
        <w:ind w:left="4932" w:hanging="360"/>
      </w:pPr>
      <w:rPr>
        <w:rFonts w:ascii="Wingdings" w:hAnsi="Wingdings" w:hint="default"/>
      </w:rPr>
    </w:lvl>
    <w:lvl w:ilvl="6" w:tplc="0C090001" w:tentative="1">
      <w:start w:val="1"/>
      <w:numFmt w:val="bullet"/>
      <w:lvlText w:val=""/>
      <w:lvlJc w:val="left"/>
      <w:pPr>
        <w:ind w:left="5652" w:hanging="360"/>
      </w:pPr>
      <w:rPr>
        <w:rFonts w:ascii="Symbol" w:hAnsi="Symbol" w:hint="default"/>
      </w:rPr>
    </w:lvl>
    <w:lvl w:ilvl="7" w:tplc="0C090003" w:tentative="1">
      <w:start w:val="1"/>
      <w:numFmt w:val="bullet"/>
      <w:lvlText w:val="o"/>
      <w:lvlJc w:val="left"/>
      <w:pPr>
        <w:ind w:left="6372" w:hanging="360"/>
      </w:pPr>
      <w:rPr>
        <w:rFonts w:ascii="Courier New" w:hAnsi="Courier New" w:hint="default"/>
      </w:rPr>
    </w:lvl>
    <w:lvl w:ilvl="8" w:tplc="0C090005" w:tentative="1">
      <w:start w:val="1"/>
      <w:numFmt w:val="bullet"/>
      <w:lvlText w:val=""/>
      <w:lvlJc w:val="left"/>
      <w:pPr>
        <w:ind w:left="7092" w:hanging="360"/>
      </w:pPr>
      <w:rPr>
        <w:rFonts w:ascii="Wingdings" w:hAnsi="Wingdings" w:hint="default"/>
      </w:rPr>
    </w:lvl>
  </w:abstractNum>
  <w:abstractNum w:abstractNumId="1" w15:restartNumberingAfterBreak="0">
    <w:nsid w:val="512D6A35"/>
    <w:multiLevelType w:val="hybridMultilevel"/>
    <w:tmpl w:val="646E26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B6F21E3"/>
    <w:multiLevelType w:val="hybridMultilevel"/>
    <w:tmpl w:val="9802EF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5C21"/>
    <w:rsid w:val="00026AF1"/>
    <w:rsid w:val="00094F0D"/>
    <w:rsid w:val="0011396A"/>
    <w:rsid w:val="00152D23"/>
    <w:rsid w:val="001659C3"/>
    <w:rsid w:val="0016765F"/>
    <w:rsid w:val="001C69E2"/>
    <w:rsid w:val="001F5821"/>
    <w:rsid w:val="00256A67"/>
    <w:rsid w:val="00280258"/>
    <w:rsid w:val="002B5FE2"/>
    <w:rsid w:val="002B699D"/>
    <w:rsid w:val="002F682E"/>
    <w:rsid w:val="003367DD"/>
    <w:rsid w:val="00346800"/>
    <w:rsid w:val="00350C09"/>
    <w:rsid w:val="00363694"/>
    <w:rsid w:val="003A3BDE"/>
    <w:rsid w:val="003A5F8D"/>
    <w:rsid w:val="003B2D8F"/>
    <w:rsid w:val="003B7597"/>
    <w:rsid w:val="003F0D6C"/>
    <w:rsid w:val="00406AD0"/>
    <w:rsid w:val="00435B10"/>
    <w:rsid w:val="00450BF8"/>
    <w:rsid w:val="00453FDB"/>
    <w:rsid w:val="004739D3"/>
    <w:rsid w:val="004A2C27"/>
    <w:rsid w:val="004C5295"/>
    <w:rsid w:val="004C5C21"/>
    <w:rsid w:val="00506D12"/>
    <w:rsid w:val="00513F61"/>
    <w:rsid w:val="005203D9"/>
    <w:rsid w:val="00545222"/>
    <w:rsid w:val="00547D14"/>
    <w:rsid w:val="005C5755"/>
    <w:rsid w:val="005C62C6"/>
    <w:rsid w:val="005E73E0"/>
    <w:rsid w:val="00601846"/>
    <w:rsid w:val="00656F6E"/>
    <w:rsid w:val="00671BA0"/>
    <w:rsid w:val="00685478"/>
    <w:rsid w:val="00686330"/>
    <w:rsid w:val="006C1426"/>
    <w:rsid w:val="006D6364"/>
    <w:rsid w:val="006D63B2"/>
    <w:rsid w:val="00726D57"/>
    <w:rsid w:val="007436D6"/>
    <w:rsid w:val="00750E69"/>
    <w:rsid w:val="007535FC"/>
    <w:rsid w:val="00827BFB"/>
    <w:rsid w:val="00855362"/>
    <w:rsid w:val="00861B7B"/>
    <w:rsid w:val="00871FB4"/>
    <w:rsid w:val="0088774C"/>
    <w:rsid w:val="008A2DCA"/>
    <w:rsid w:val="008C1AA4"/>
    <w:rsid w:val="008E2D2D"/>
    <w:rsid w:val="00900092"/>
    <w:rsid w:val="00917D8A"/>
    <w:rsid w:val="00954000"/>
    <w:rsid w:val="0095713A"/>
    <w:rsid w:val="0097150E"/>
    <w:rsid w:val="00A13258"/>
    <w:rsid w:val="00A32CB6"/>
    <w:rsid w:val="00A41052"/>
    <w:rsid w:val="00A57E8C"/>
    <w:rsid w:val="00A96047"/>
    <w:rsid w:val="00AC7B54"/>
    <w:rsid w:val="00AE0300"/>
    <w:rsid w:val="00B46B9C"/>
    <w:rsid w:val="00B970DB"/>
    <w:rsid w:val="00BB0FF5"/>
    <w:rsid w:val="00BD4772"/>
    <w:rsid w:val="00BD704C"/>
    <w:rsid w:val="00C0540F"/>
    <w:rsid w:val="00C129A7"/>
    <w:rsid w:val="00C15AB3"/>
    <w:rsid w:val="00C4633E"/>
    <w:rsid w:val="00C5288F"/>
    <w:rsid w:val="00C65A4D"/>
    <w:rsid w:val="00C77CB7"/>
    <w:rsid w:val="00C80226"/>
    <w:rsid w:val="00C94D47"/>
    <w:rsid w:val="00C95EF4"/>
    <w:rsid w:val="00CA0A77"/>
    <w:rsid w:val="00CE2F03"/>
    <w:rsid w:val="00D70381"/>
    <w:rsid w:val="00D72EC1"/>
    <w:rsid w:val="00DE5866"/>
    <w:rsid w:val="00E21764"/>
    <w:rsid w:val="00E362DE"/>
    <w:rsid w:val="00E56878"/>
    <w:rsid w:val="00E62ABB"/>
    <w:rsid w:val="00E81A1F"/>
    <w:rsid w:val="00E81F1A"/>
    <w:rsid w:val="00E90DC7"/>
    <w:rsid w:val="00EB39E9"/>
    <w:rsid w:val="00EC2405"/>
    <w:rsid w:val="00EE39D8"/>
    <w:rsid w:val="00EE6B0C"/>
    <w:rsid w:val="00F25DB0"/>
    <w:rsid w:val="00F31CE0"/>
    <w:rsid w:val="00F43F92"/>
    <w:rsid w:val="00F565FF"/>
    <w:rsid w:val="00F568FA"/>
    <w:rsid w:val="00F9280B"/>
    <w:rsid w:val="00FA7DDB"/>
    <w:rsid w:val="00FC01B4"/>
    <w:rsid w:val="00FD7E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F48E9A"/>
  <w14:defaultImageDpi w14:val="0"/>
  <w15:docId w15:val="{620BD6C9-FCEA-4F86-8030-232CF5A3E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uiPriority="0"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Hyperlink" w:semiHidden="1" w:uiPriority="0"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C21"/>
    <w:rPr>
      <w:rFonts w:ascii="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C5C21"/>
    <w:pPr>
      <w:tabs>
        <w:tab w:val="left" w:pos="2880"/>
      </w:tabs>
      <w:spacing w:before="120" w:after="60" w:line="240" w:lineRule="exact"/>
    </w:pPr>
    <w:rPr>
      <w:rFonts w:ascii="Arial" w:hAnsi="Arial"/>
      <w:sz w:val="18"/>
    </w:rPr>
  </w:style>
  <w:style w:type="character" w:customStyle="1" w:styleId="FooterChar">
    <w:name w:val="Footer Char"/>
    <w:link w:val="Footer"/>
    <w:uiPriority w:val="99"/>
    <w:locked/>
    <w:rsid w:val="004C5C21"/>
    <w:rPr>
      <w:rFonts w:ascii="Arial" w:hAnsi="Arial" w:cs="Times New Roman"/>
      <w:sz w:val="20"/>
      <w:szCs w:val="20"/>
    </w:rPr>
  </w:style>
  <w:style w:type="paragraph" w:customStyle="1" w:styleId="Billname">
    <w:name w:val="Billname"/>
    <w:basedOn w:val="Normal"/>
    <w:rsid w:val="004C5C21"/>
    <w:pPr>
      <w:tabs>
        <w:tab w:val="left" w:pos="2400"/>
        <w:tab w:val="left" w:pos="2880"/>
      </w:tabs>
      <w:spacing w:before="1220" w:after="100"/>
    </w:pPr>
    <w:rPr>
      <w:rFonts w:ascii="Arial" w:hAnsi="Arial"/>
      <w:b/>
      <w:sz w:val="40"/>
    </w:rPr>
  </w:style>
  <w:style w:type="paragraph" w:customStyle="1" w:styleId="N-line3">
    <w:name w:val="N-line3"/>
    <w:basedOn w:val="Normal"/>
    <w:next w:val="Normal"/>
    <w:rsid w:val="004C5C21"/>
    <w:pPr>
      <w:pBdr>
        <w:bottom w:val="single" w:sz="12" w:space="1" w:color="auto"/>
      </w:pBdr>
      <w:jc w:val="both"/>
    </w:pPr>
  </w:style>
  <w:style w:type="paragraph" w:customStyle="1" w:styleId="madeunder">
    <w:name w:val="made under"/>
    <w:basedOn w:val="Normal"/>
    <w:rsid w:val="004C5C21"/>
    <w:pPr>
      <w:spacing w:before="180" w:after="60"/>
      <w:jc w:val="both"/>
    </w:pPr>
  </w:style>
  <w:style w:type="paragraph" w:customStyle="1" w:styleId="CoverActName">
    <w:name w:val="CoverActName"/>
    <w:basedOn w:val="Normal"/>
    <w:rsid w:val="004C5C21"/>
    <w:pPr>
      <w:tabs>
        <w:tab w:val="left" w:pos="2600"/>
      </w:tabs>
      <w:spacing w:before="200" w:after="60"/>
      <w:jc w:val="both"/>
    </w:pPr>
    <w:rPr>
      <w:rFonts w:ascii="Arial" w:hAnsi="Arial"/>
      <w:b/>
    </w:rPr>
  </w:style>
  <w:style w:type="character" w:styleId="Hyperlink">
    <w:name w:val="Hyperlink"/>
    <w:uiPriority w:val="99"/>
    <w:rsid w:val="004C5C21"/>
    <w:rPr>
      <w:rFonts w:cs="Times New Roman"/>
      <w:color w:val="0000FF"/>
      <w:u w:val="single"/>
    </w:rPr>
  </w:style>
  <w:style w:type="paragraph" w:styleId="ListParagraph">
    <w:name w:val="List Paragraph"/>
    <w:basedOn w:val="Normal"/>
    <w:uiPriority w:val="34"/>
    <w:qFormat/>
    <w:rsid w:val="004C5C21"/>
    <w:pPr>
      <w:widowControl w:val="0"/>
      <w:ind w:left="720"/>
      <w:contextualSpacing/>
    </w:pPr>
    <w:rPr>
      <w:iCs/>
      <w:szCs w:val="24"/>
      <w:lang w:val="en-US"/>
    </w:rPr>
  </w:style>
  <w:style w:type="character" w:styleId="CommentReference">
    <w:name w:val="annotation reference"/>
    <w:uiPriority w:val="99"/>
    <w:semiHidden/>
    <w:unhideWhenUsed/>
    <w:rsid w:val="00671BA0"/>
    <w:rPr>
      <w:rFonts w:cs="Times New Roman"/>
      <w:sz w:val="16"/>
      <w:szCs w:val="16"/>
    </w:rPr>
  </w:style>
  <w:style w:type="paragraph" w:styleId="CommentText">
    <w:name w:val="annotation text"/>
    <w:basedOn w:val="Normal"/>
    <w:link w:val="CommentTextChar"/>
    <w:uiPriority w:val="99"/>
    <w:semiHidden/>
    <w:unhideWhenUsed/>
    <w:rsid w:val="00671BA0"/>
    <w:rPr>
      <w:sz w:val="20"/>
    </w:rPr>
  </w:style>
  <w:style w:type="character" w:customStyle="1" w:styleId="CommentTextChar">
    <w:name w:val="Comment Text Char"/>
    <w:link w:val="CommentText"/>
    <w:uiPriority w:val="99"/>
    <w:semiHidden/>
    <w:locked/>
    <w:rsid w:val="00671BA0"/>
    <w:rPr>
      <w:rFonts w:ascii="Times New Roman" w:hAnsi="Times New Roman" w:cs="Times New Roman"/>
      <w:lang w:val="x-none" w:eastAsia="en-US"/>
    </w:rPr>
  </w:style>
  <w:style w:type="paragraph" w:styleId="CommentSubject">
    <w:name w:val="annotation subject"/>
    <w:basedOn w:val="CommentText"/>
    <w:next w:val="CommentText"/>
    <w:link w:val="CommentSubjectChar"/>
    <w:uiPriority w:val="99"/>
    <w:semiHidden/>
    <w:unhideWhenUsed/>
    <w:rsid w:val="00671BA0"/>
    <w:rPr>
      <w:b/>
      <w:bCs/>
    </w:rPr>
  </w:style>
  <w:style w:type="character" w:customStyle="1" w:styleId="CommentSubjectChar">
    <w:name w:val="Comment Subject Char"/>
    <w:link w:val="CommentSubject"/>
    <w:uiPriority w:val="99"/>
    <w:semiHidden/>
    <w:locked/>
    <w:rsid w:val="00671BA0"/>
    <w:rPr>
      <w:rFonts w:ascii="Times New Roman" w:hAnsi="Times New Roman" w:cs="Times New Roman"/>
      <w:b/>
      <w:bCs/>
      <w:lang w:val="x-none" w:eastAsia="en-US"/>
    </w:rPr>
  </w:style>
  <w:style w:type="paragraph" w:styleId="BalloonText">
    <w:name w:val="Balloon Text"/>
    <w:basedOn w:val="Normal"/>
    <w:link w:val="BalloonTextChar"/>
    <w:uiPriority w:val="99"/>
    <w:semiHidden/>
    <w:unhideWhenUsed/>
    <w:rsid w:val="00671BA0"/>
    <w:rPr>
      <w:rFonts w:ascii="Tahoma" w:hAnsi="Tahoma" w:cs="Tahoma"/>
      <w:sz w:val="16"/>
      <w:szCs w:val="16"/>
    </w:rPr>
  </w:style>
  <w:style w:type="character" w:customStyle="1" w:styleId="BalloonTextChar">
    <w:name w:val="Balloon Text Char"/>
    <w:link w:val="BalloonText"/>
    <w:uiPriority w:val="99"/>
    <w:semiHidden/>
    <w:locked/>
    <w:rsid w:val="00671BA0"/>
    <w:rPr>
      <w:rFonts w:ascii="Tahoma" w:hAnsi="Tahoma" w:cs="Tahoma"/>
      <w:sz w:val="16"/>
      <w:szCs w:val="16"/>
      <w:lang w:val="x-none" w:eastAsia="en-US"/>
    </w:rPr>
  </w:style>
  <w:style w:type="paragraph" w:styleId="Header">
    <w:name w:val="header"/>
    <w:basedOn w:val="Normal"/>
    <w:link w:val="HeaderChar"/>
    <w:uiPriority w:val="99"/>
    <w:unhideWhenUsed/>
    <w:rsid w:val="005C5755"/>
    <w:pPr>
      <w:tabs>
        <w:tab w:val="center" w:pos="4513"/>
        <w:tab w:val="right" w:pos="9026"/>
      </w:tabs>
    </w:pPr>
  </w:style>
  <w:style w:type="character" w:customStyle="1" w:styleId="HeaderChar">
    <w:name w:val="Header Char"/>
    <w:link w:val="Header"/>
    <w:uiPriority w:val="99"/>
    <w:locked/>
    <w:rsid w:val="005C5755"/>
    <w:rPr>
      <w:rFonts w:ascii="Times New Roman" w:hAnsi="Times New Roman" w:cs="Times New Roman"/>
      <w:sz w:val="24"/>
      <w:lang w:val="x-none" w:eastAsia="en-US"/>
    </w:rPr>
  </w:style>
  <w:style w:type="character" w:styleId="FollowedHyperlink">
    <w:name w:val="FollowedHyperlink"/>
    <w:uiPriority w:val="99"/>
    <w:rsid w:val="00C95EF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act.gov.au/es/db_50736/20141023-59311/pdf/db_50736.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117715-75A4-4752-84F2-C82F679D9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812</Words>
  <Characters>4447</Characters>
  <Application>Microsoft Office Word</Application>
  <DocSecurity>0</DocSecurity>
  <Lines>86</Lines>
  <Paragraphs>35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Moxon, KarenL</cp:lastModifiedBy>
  <cp:revision>4</cp:revision>
  <cp:lastPrinted>2015-09-24T05:23:00Z</cp:lastPrinted>
  <dcterms:created xsi:type="dcterms:W3CDTF">2022-02-23T00:10:00Z</dcterms:created>
  <dcterms:modified xsi:type="dcterms:W3CDTF">2022-02-23T00:10:00Z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ID">
    <vt:lpwstr>9110577</vt:lpwstr>
  </property>
  <property fmtid="{D5CDD505-2E9C-101B-9397-08002B2CF9AE}" pid="3" name="CHECKEDOUTFROMJMS">
    <vt:lpwstr/>
  </property>
  <property fmtid="{D5CDD505-2E9C-101B-9397-08002B2CF9AE}" pid="4" name="JMSREQUIREDCHECKIN">
    <vt:lpwstr/>
  </property>
</Properties>
</file>