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D922" w14:textId="77777777" w:rsidR="00C17FAB" w:rsidRPr="00FA0E28" w:rsidRDefault="00C17FAB">
      <w:pPr>
        <w:spacing w:before="120"/>
        <w:rPr>
          <w:rFonts w:asciiTheme="minorBidi" w:hAnsiTheme="minorBidi" w:cstheme="minorBidi"/>
        </w:rPr>
      </w:pPr>
      <w:bookmarkStart w:id="0" w:name="_Toc44738651"/>
      <w:r w:rsidRPr="00FA0E28">
        <w:rPr>
          <w:rFonts w:asciiTheme="minorBidi" w:hAnsiTheme="minorBidi" w:cstheme="minorBidi"/>
        </w:rPr>
        <w:t>Australian Capital Territory</w:t>
      </w:r>
    </w:p>
    <w:p w14:paraId="7188A8EB" w14:textId="26E4A6C8" w:rsidR="00C17FAB" w:rsidRPr="00FA0E28" w:rsidRDefault="008E41B9">
      <w:pPr>
        <w:pStyle w:val="Billname"/>
        <w:spacing w:before="700"/>
        <w:rPr>
          <w:rFonts w:asciiTheme="minorBidi" w:hAnsiTheme="minorBidi" w:cstheme="minorBidi"/>
        </w:rPr>
      </w:pPr>
      <w:r w:rsidRPr="00FA0E28">
        <w:rPr>
          <w:rFonts w:asciiTheme="minorBidi" w:hAnsiTheme="minorBidi" w:cstheme="minorBidi"/>
        </w:rPr>
        <w:t xml:space="preserve">Utilities </w:t>
      </w:r>
      <w:r w:rsidR="00B26FF6" w:rsidRPr="00FA0E28">
        <w:rPr>
          <w:rFonts w:asciiTheme="minorBidi" w:hAnsiTheme="minorBidi" w:cstheme="minorBidi"/>
        </w:rPr>
        <w:t>(Greenpower</w:t>
      </w:r>
      <w:r w:rsidRPr="00FA0E28">
        <w:rPr>
          <w:rFonts w:asciiTheme="minorBidi" w:hAnsiTheme="minorBidi" w:cstheme="minorBidi"/>
        </w:rPr>
        <w:t xml:space="preserve"> obligations</w:t>
      </w:r>
      <w:r w:rsidR="00FD75CE" w:rsidRPr="00FA0E28">
        <w:rPr>
          <w:rFonts w:asciiTheme="minorBidi" w:hAnsiTheme="minorBidi" w:cstheme="minorBidi"/>
        </w:rPr>
        <w:t xml:space="preserve">) </w:t>
      </w:r>
      <w:r w:rsidR="00B26FF6" w:rsidRPr="00FA0E28">
        <w:rPr>
          <w:rFonts w:asciiTheme="minorBidi" w:hAnsiTheme="minorBidi" w:cstheme="minorBidi"/>
        </w:rPr>
        <w:t>Exemption</w:t>
      </w:r>
      <w:r w:rsidRPr="00FA0E28">
        <w:rPr>
          <w:rFonts w:asciiTheme="minorBidi" w:hAnsiTheme="minorBidi" w:cstheme="minorBidi"/>
        </w:rPr>
        <w:t xml:space="preserve"> 2022</w:t>
      </w:r>
    </w:p>
    <w:p w14:paraId="22C528B9" w14:textId="70EBEBAD" w:rsidR="00C17FAB" w:rsidRPr="00FA0E28" w:rsidRDefault="002D7C60" w:rsidP="00DA3B00">
      <w:pPr>
        <w:spacing w:before="340"/>
        <w:rPr>
          <w:rFonts w:asciiTheme="minorBidi" w:hAnsiTheme="minorBidi" w:cstheme="minorBidi"/>
          <w:b/>
          <w:bCs/>
        </w:rPr>
      </w:pPr>
      <w:r w:rsidRPr="00FA0E28">
        <w:rPr>
          <w:rFonts w:asciiTheme="minorBidi" w:hAnsiTheme="minorBidi" w:cstheme="minorBidi"/>
          <w:b/>
          <w:bCs/>
        </w:rPr>
        <w:t>Disallowable instrument DI</w:t>
      </w:r>
      <w:r w:rsidR="00D07460">
        <w:rPr>
          <w:rFonts w:asciiTheme="minorBidi" w:hAnsiTheme="minorBidi" w:cstheme="minorBidi"/>
          <w:b/>
          <w:bCs/>
        </w:rPr>
        <w:t>2</w:t>
      </w:r>
      <w:r w:rsidR="008E41B9" w:rsidRPr="00FA0E28">
        <w:rPr>
          <w:rFonts w:asciiTheme="minorBidi" w:hAnsiTheme="minorBidi" w:cstheme="minorBidi"/>
          <w:b/>
          <w:bCs/>
        </w:rPr>
        <w:t>022</w:t>
      </w:r>
      <w:r w:rsidR="00C17FAB" w:rsidRPr="00FA0E28">
        <w:rPr>
          <w:rFonts w:asciiTheme="minorBidi" w:hAnsiTheme="minorBidi" w:cstheme="minorBidi"/>
          <w:b/>
          <w:bCs/>
        </w:rPr>
        <w:t>–</w:t>
      </w:r>
      <w:r w:rsidR="0024171C">
        <w:rPr>
          <w:rFonts w:asciiTheme="minorBidi" w:hAnsiTheme="minorBidi" w:cstheme="minorBidi"/>
          <w:b/>
          <w:bCs/>
        </w:rPr>
        <w:t>39</w:t>
      </w:r>
    </w:p>
    <w:p w14:paraId="00B803AC" w14:textId="77777777" w:rsidR="00C17FAB" w:rsidRPr="00D07460" w:rsidRDefault="00C17FAB" w:rsidP="00DA3B00">
      <w:pPr>
        <w:pStyle w:val="madeunder"/>
        <w:spacing w:before="300" w:after="0"/>
        <w:rPr>
          <w:rFonts w:asciiTheme="majorBidi" w:hAnsiTheme="majorBidi" w:cstheme="majorBidi"/>
        </w:rPr>
      </w:pPr>
      <w:r w:rsidRPr="00D07460">
        <w:rPr>
          <w:rFonts w:asciiTheme="majorBidi" w:hAnsiTheme="majorBidi" w:cstheme="majorBidi"/>
        </w:rPr>
        <w:t xml:space="preserve">made under the  </w:t>
      </w:r>
    </w:p>
    <w:p w14:paraId="2E719562" w14:textId="42289F6D" w:rsidR="00C17FAB" w:rsidRPr="00FA0E28" w:rsidRDefault="008E41B9" w:rsidP="00DA3B00">
      <w:pPr>
        <w:pStyle w:val="CoverActName"/>
        <w:spacing w:before="320" w:after="0"/>
        <w:rPr>
          <w:rFonts w:asciiTheme="minorBidi" w:hAnsiTheme="minorBidi" w:cstheme="minorBidi"/>
          <w:sz w:val="20"/>
        </w:rPr>
      </w:pPr>
      <w:r w:rsidRPr="00FA0E28">
        <w:rPr>
          <w:rFonts w:asciiTheme="minorBidi" w:hAnsiTheme="minorBidi" w:cstheme="minorBidi"/>
          <w:sz w:val="20"/>
        </w:rPr>
        <w:t>Utilities Act 2000</w:t>
      </w:r>
      <w:r w:rsidR="00C17FAB" w:rsidRPr="00FA0E28">
        <w:rPr>
          <w:rFonts w:asciiTheme="minorBidi" w:hAnsiTheme="minorBidi" w:cstheme="minorBidi"/>
          <w:sz w:val="20"/>
        </w:rPr>
        <w:t xml:space="preserve">, </w:t>
      </w:r>
      <w:r w:rsidR="00B26FF6" w:rsidRPr="00FA0E28">
        <w:rPr>
          <w:rFonts w:asciiTheme="minorBidi" w:hAnsiTheme="minorBidi" w:cstheme="minorBidi"/>
          <w:sz w:val="20"/>
        </w:rPr>
        <w:t>s 75G (Exemption from Green</w:t>
      </w:r>
      <w:r w:rsidR="00FA0E28" w:rsidRPr="00FA0E28">
        <w:rPr>
          <w:rFonts w:asciiTheme="minorBidi" w:hAnsiTheme="minorBidi" w:cstheme="minorBidi"/>
          <w:sz w:val="20"/>
        </w:rPr>
        <w:t>p</w:t>
      </w:r>
      <w:r w:rsidR="00B26FF6" w:rsidRPr="00FA0E28">
        <w:rPr>
          <w:rFonts w:asciiTheme="minorBidi" w:hAnsiTheme="minorBidi" w:cstheme="minorBidi"/>
          <w:sz w:val="20"/>
        </w:rPr>
        <w:t>ower obligations)</w:t>
      </w:r>
    </w:p>
    <w:p w14:paraId="567C9769" w14:textId="77777777" w:rsidR="00C17FAB" w:rsidRPr="00FA0E28" w:rsidRDefault="00C17FAB">
      <w:pPr>
        <w:spacing w:before="360"/>
        <w:ind w:right="565"/>
        <w:rPr>
          <w:rFonts w:asciiTheme="minorBidi" w:hAnsiTheme="minorBidi" w:cstheme="minorBidi"/>
          <w:b/>
          <w:bCs/>
          <w:sz w:val="28"/>
          <w:szCs w:val="28"/>
        </w:rPr>
      </w:pPr>
      <w:r w:rsidRPr="00FA0E28">
        <w:rPr>
          <w:rFonts w:asciiTheme="minorBidi" w:hAnsiTheme="minorBidi" w:cstheme="minorBidi"/>
          <w:b/>
          <w:bCs/>
          <w:sz w:val="28"/>
          <w:szCs w:val="28"/>
        </w:rPr>
        <w:t>EXPLANATORY STATEMENT</w:t>
      </w:r>
    </w:p>
    <w:p w14:paraId="04C96F14" w14:textId="77777777" w:rsidR="00C17FAB" w:rsidRPr="00FA0E28" w:rsidRDefault="00C17FAB">
      <w:pPr>
        <w:pStyle w:val="N-line3"/>
        <w:pBdr>
          <w:bottom w:val="none" w:sz="0" w:space="0" w:color="auto"/>
        </w:pBdr>
        <w:rPr>
          <w:rFonts w:asciiTheme="majorBidi" w:hAnsiTheme="majorBidi" w:cstheme="majorBidi"/>
        </w:rPr>
      </w:pPr>
    </w:p>
    <w:p w14:paraId="3EB6F87B" w14:textId="77777777" w:rsidR="00C17FAB" w:rsidRPr="00FA0E28" w:rsidRDefault="00C17FAB">
      <w:pPr>
        <w:pStyle w:val="N-line3"/>
        <w:pBdr>
          <w:top w:val="single" w:sz="12" w:space="1" w:color="auto"/>
          <w:bottom w:val="none" w:sz="0" w:space="0" w:color="auto"/>
        </w:pBdr>
        <w:rPr>
          <w:rFonts w:asciiTheme="majorBidi" w:hAnsiTheme="majorBidi" w:cstheme="majorBidi"/>
        </w:rPr>
      </w:pPr>
    </w:p>
    <w:bookmarkEnd w:id="0"/>
    <w:p w14:paraId="5A51DAB5" w14:textId="77777777" w:rsidR="00756AD7" w:rsidRDefault="008E41B9">
      <w:pPr>
        <w:rPr>
          <w:rFonts w:asciiTheme="majorBidi" w:hAnsiTheme="majorBidi" w:cstheme="majorBidi"/>
          <w:b/>
          <w:bCs/>
        </w:rPr>
      </w:pPr>
      <w:r w:rsidRPr="00FA0E28">
        <w:rPr>
          <w:rFonts w:asciiTheme="majorBidi" w:hAnsiTheme="majorBidi" w:cstheme="majorBidi"/>
          <w:b/>
          <w:bCs/>
        </w:rPr>
        <w:t>Introduction</w:t>
      </w:r>
    </w:p>
    <w:p w14:paraId="36DF54FC" w14:textId="1140448C" w:rsidR="008E41B9" w:rsidRPr="00FA0E28" w:rsidRDefault="008E41B9">
      <w:pPr>
        <w:rPr>
          <w:rFonts w:asciiTheme="majorBidi" w:hAnsiTheme="majorBidi" w:cstheme="majorBidi"/>
          <w:b/>
          <w:bCs/>
        </w:rPr>
      </w:pPr>
    </w:p>
    <w:p w14:paraId="0C675297" w14:textId="053F779C" w:rsidR="00C17FAB" w:rsidRPr="00FA0E28" w:rsidRDefault="008E41B9">
      <w:pPr>
        <w:rPr>
          <w:rFonts w:asciiTheme="majorBidi" w:hAnsiTheme="majorBidi" w:cstheme="majorBidi"/>
        </w:rPr>
      </w:pPr>
      <w:r w:rsidRPr="00FA0E28">
        <w:rPr>
          <w:rFonts w:asciiTheme="majorBidi" w:hAnsiTheme="majorBidi" w:cstheme="majorBidi"/>
        </w:rPr>
        <w:t xml:space="preserve">This explanatory statement relates to the </w:t>
      </w:r>
      <w:r w:rsidRPr="00FA0E28">
        <w:rPr>
          <w:rFonts w:asciiTheme="majorBidi" w:hAnsiTheme="majorBidi" w:cstheme="majorBidi"/>
          <w:i/>
          <w:iCs/>
        </w:rPr>
        <w:t xml:space="preserve">Utilities </w:t>
      </w:r>
      <w:r w:rsidR="00B26FF6" w:rsidRPr="00FA0E28">
        <w:rPr>
          <w:rFonts w:asciiTheme="majorBidi" w:hAnsiTheme="majorBidi" w:cstheme="majorBidi"/>
          <w:i/>
          <w:iCs/>
        </w:rPr>
        <w:t>(Green</w:t>
      </w:r>
      <w:r w:rsidR="00FA0E28" w:rsidRPr="00FA0E28">
        <w:rPr>
          <w:rFonts w:asciiTheme="majorBidi" w:hAnsiTheme="majorBidi" w:cstheme="majorBidi"/>
          <w:i/>
          <w:iCs/>
        </w:rPr>
        <w:t>p</w:t>
      </w:r>
      <w:r w:rsidR="00B26FF6" w:rsidRPr="00FA0E28">
        <w:rPr>
          <w:rFonts w:asciiTheme="majorBidi" w:hAnsiTheme="majorBidi" w:cstheme="majorBidi"/>
          <w:i/>
          <w:iCs/>
        </w:rPr>
        <w:t>ower obligations</w:t>
      </w:r>
      <w:r w:rsidR="007418A8">
        <w:rPr>
          <w:rFonts w:asciiTheme="majorBidi" w:hAnsiTheme="majorBidi" w:cstheme="majorBidi"/>
          <w:i/>
          <w:iCs/>
        </w:rPr>
        <w:t>)</w:t>
      </w:r>
      <w:r w:rsidR="00B26FF6" w:rsidRPr="00FA0E28">
        <w:rPr>
          <w:rFonts w:asciiTheme="majorBidi" w:hAnsiTheme="majorBidi" w:cstheme="majorBidi"/>
          <w:i/>
          <w:iCs/>
        </w:rPr>
        <w:t xml:space="preserve"> </w:t>
      </w:r>
      <w:r w:rsidR="007418A8">
        <w:rPr>
          <w:rFonts w:asciiTheme="majorBidi" w:hAnsiTheme="majorBidi" w:cstheme="majorBidi"/>
          <w:i/>
          <w:iCs/>
        </w:rPr>
        <w:t>E</w:t>
      </w:r>
      <w:r w:rsidR="00B26FF6" w:rsidRPr="00FA0E28">
        <w:rPr>
          <w:rFonts w:asciiTheme="majorBidi" w:hAnsiTheme="majorBidi" w:cstheme="majorBidi"/>
          <w:i/>
          <w:iCs/>
        </w:rPr>
        <w:t>xemption 2022</w:t>
      </w:r>
      <w:r w:rsidRPr="00FA0E28">
        <w:rPr>
          <w:rFonts w:asciiTheme="majorBidi" w:hAnsiTheme="majorBidi" w:cstheme="majorBidi"/>
        </w:rPr>
        <w:t xml:space="preserve"> as presented to the Legislative Assembly. It has been prepared in order to assist the reader of the disallowable instrument and to help inform debate on it. It does not form part of the disallowable instrument and has not been endorsed by the Assembly. </w:t>
      </w:r>
    </w:p>
    <w:p w14:paraId="2155D8BE" w14:textId="7568A984" w:rsidR="008E41B9" w:rsidRPr="00FA0E28" w:rsidRDefault="008E41B9">
      <w:pPr>
        <w:rPr>
          <w:rFonts w:asciiTheme="majorBidi" w:hAnsiTheme="majorBidi" w:cstheme="majorBidi"/>
        </w:rPr>
      </w:pPr>
    </w:p>
    <w:p w14:paraId="4B3C2B82" w14:textId="19EFAB9E" w:rsidR="008E41B9" w:rsidRPr="00FA0E28" w:rsidRDefault="008E41B9">
      <w:pPr>
        <w:rPr>
          <w:rFonts w:asciiTheme="majorBidi" w:hAnsiTheme="majorBidi" w:cstheme="majorBidi"/>
        </w:rPr>
      </w:pPr>
      <w:r w:rsidRPr="00FA0E28">
        <w:rPr>
          <w:rFonts w:asciiTheme="majorBidi" w:hAnsiTheme="majorBidi" w:cstheme="majorBidi"/>
        </w:rPr>
        <w:t xml:space="preserve">The statement must be read in conjunction with the disallowable instrument. It is not, and is not meant to be, a comprehensive description of the disallowable instrument. What is written about a provision is not to be taken as an authoritative guide to the meaning of a provision, this being a task for the courts. </w:t>
      </w:r>
    </w:p>
    <w:p w14:paraId="1A977DB4" w14:textId="40BE29CC" w:rsidR="008E41B9" w:rsidRPr="00FA0E28" w:rsidRDefault="008E41B9">
      <w:pPr>
        <w:rPr>
          <w:rFonts w:asciiTheme="majorBidi" w:hAnsiTheme="majorBidi" w:cstheme="majorBidi"/>
        </w:rPr>
      </w:pPr>
    </w:p>
    <w:p w14:paraId="5A5654EB" w14:textId="03BBE7C6" w:rsidR="008E41B9" w:rsidRPr="00FA0E28" w:rsidRDefault="008E41B9">
      <w:pPr>
        <w:rPr>
          <w:rFonts w:asciiTheme="majorBidi" w:hAnsiTheme="majorBidi" w:cstheme="majorBidi"/>
          <w:b/>
          <w:bCs/>
        </w:rPr>
      </w:pPr>
      <w:r w:rsidRPr="00FA0E28">
        <w:rPr>
          <w:rFonts w:asciiTheme="majorBidi" w:hAnsiTheme="majorBidi" w:cstheme="majorBidi"/>
          <w:b/>
          <w:bCs/>
        </w:rPr>
        <w:t>Overview</w:t>
      </w:r>
    </w:p>
    <w:p w14:paraId="5AB73C2B" w14:textId="428C2206" w:rsidR="008E41B9" w:rsidRPr="00FA0E28" w:rsidRDefault="008E41B9">
      <w:pPr>
        <w:rPr>
          <w:rFonts w:asciiTheme="majorBidi" w:hAnsiTheme="majorBidi" w:cstheme="majorBidi"/>
          <w:b/>
          <w:bCs/>
        </w:rPr>
      </w:pPr>
    </w:p>
    <w:p w14:paraId="1502294F" w14:textId="2F428F1E" w:rsidR="008E41B9" w:rsidRPr="00FA0E28" w:rsidRDefault="008E41B9">
      <w:pPr>
        <w:rPr>
          <w:rFonts w:asciiTheme="majorBidi" w:hAnsiTheme="majorBidi" w:cstheme="majorBidi"/>
        </w:rPr>
      </w:pPr>
      <w:r w:rsidRPr="00FA0E28">
        <w:rPr>
          <w:rFonts w:asciiTheme="majorBidi" w:hAnsiTheme="majorBidi" w:cstheme="majorBidi"/>
        </w:rPr>
        <w:t>Under section 75E</w:t>
      </w:r>
      <w:r w:rsidR="007418A8">
        <w:rPr>
          <w:rFonts w:asciiTheme="majorBidi" w:hAnsiTheme="majorBidi" w:cstheme="majorBidi"/>
        </w:rPr>
        <w:t xml:space="preserve"> </w:t>
      </w:r>
      <w:r w:rsidRPr="00FA0E28">
        <w:rPr>
          <w:rFonts w:asciiTheme="majorBidi" w:hAnsiTheme="majorBidi" w:cstheme="majorBidi"/>
        </w:rPr>
        <w:t>(1)</w:t>
      </w:r>
      <w:r w:rsidR="007418A8">
        <w:rPr>
          <w:rFonts w:asciiTheme="majorBidi" w:hAnsiTheme="majorBidi" w:cstheme="majorBidi"/>
        </w:rPr>
        <w:t xml:space="preserve"> </w:t>
      </w:r>
      <w:r w:rsidRPr="00FA0E28">
        <w:rPr>
          <w:rFonts w:asciiTheme="majorBidi" w:hAnsiTheme="majorBidi" w:cstheme="majorBidi"/>
        </w:rPr>
        <w:t>(a) (Green</w:t>
      </w:r>
      <w:r w:rsidR="00FA0E28" w:rsidRPr="00FA0E28">
        <w:rPr>
          <w:rFonts w:asciiTheme="majorBidi" w:hAnsiTheme="majorBidi" w:cstheme="majorBidi"/>
        </w:rPr>
        <w:t>p</w:t>
      </w:r>
      <w:r w:rsidRPr="00FA0E28">
        <w:rPr>
          <w:rFonts w:asciiTheme="majorBidi" w:hAnsiTheme="majorBidi" w:cstheme="majorBidi"/>
        </w:rPr>
        <w:t xml:space="preserve">ower Obligations – general) of the </w:t>
      </w:r>
      <w:r w:rsidRPr="00FA0E28">
        <w:rPr>
          <w:rFonts w:asciiTheme="majorBidi" w:hAnsiTheme="majorBidi" w:cstheme="majorBidi"/>
          <w:i/>
          <w:iCs/>
        </w:rPr>
        <w:t>Utilities Act 2000</w:t>
      </w:r>
      <w:r w:rsidRPr="00FA0E28">
        <w:rPr>
          <w:rFonts w:asciiTheme="majorBidi" w:hAnsiTheme="majorBidi" w:cstheme="majorBidi"/>
        </w:rPr>
        <w:t xml:space="preserve"> (the </w:t>
      </w:r>
      <w:r w:rsidRPr="00FA0E28">
        <w:rPr>
          <w:rFonts w:asciiTheme="majorBidi" w:hAnsiTheme="majorBidi" w:cstheme="majorBidi"/>
          <w:b/>
          <w:bCs/>
          <w:i/>
          <w:iCs/>
        </w:rPr>
        <w:t>Act</w:t>
      </w:r>
      <w:r w:rsidRPr="00FA0E28">
        <w:rPr>
          <w:rFonts w:asciiTheme="majorBidi" w:hAnsiTheme="majorBidi" w:cstheme="majorBidi"/>
        </w:rPr>
        <w:t>) retailers are required to first offer a Green</w:t>
      </w:r>
      <w:r w:rsidR="007418A8">
        <w:rPr>
          <w:rFonts w:asciiTheme="majorBidi" w:hAnsiTheme="majorBidi" w:cstheme="majorBidi"/>
        </w:rPr>
        <w:t>p</w:t>
      </w:r>
      <w:r w:rsidRPr="00FA0E28">
        <w:rPr>
          <w:rFonts w:asciiTheme="majorBidi" w:hAnsiTheme="majorBidi" w:cstheme="majorBidi"/>
        </w:rPr>
        <w:t xml:space="preserve">ower product to a prospective customer prior to any other electricity products. </w:t>
      </w:r>
    </w:p>
    <w:p w14:paraId="1344A345" w14:textId="61ADDBDC" w:rsidR="008E41B9" w:rsidRPr="00FA0E28" w:rsidRDefault="008E41B9">
      <w:pPr>
        <w:rPr>
          <w:rFonts w:asciiTheme="majorBidi" w:hAnsiTheme="majorBidi" w:cstheme="majorBidi"/>
        </w:rPr>
      </w:pPr>
    </w:p>
    <w:p w14:paraId="65D86973" w14:textId="2AA22A1D" w:rsidR="008E41B9" w:rsidRPr="00FA0E28" w:rsidRDefault="008E41B9">
      <w:pPr>
        <w:rPr>
          <w:rFonts w:asciiTheme="majorBidi" w:hAnsiTheme="majorBidi" w:cstheme="majorBidi"/>
        </w:rPr>
      </w:pPr>
      <w:r w:rsidRPr="00FA0E28">
        <w:rPr>
          <w:rFonts w:asciiTheme="majorBidi" w:hAnsiTheme="majorBidi" w:cstheme="majorBidi"/>
        </w:rPr>
        <w:t>This provision was made prior to the ACT Government achieving 100 per cent renewable electricity in 2020, to which an average Canberra household made</w:t>
      </w:r>
      <w:r w:rsidR="00282753">
        <w:rPr>
          <w:rFonts w:asciiTheme="majorBidi" w:hAnsiTheme="majorBidi" w:cstheme="majorBidi"/>
        </w:rPr>
        <w:t>,</w:t>
      </w:r>
      <w:r w:rsidRPr="00FA0E28">
        <w:rPr>
          <w:rFonts w:asciiTheme="majorBidi" w:hAnsiTheme="majorBidi" w:cstheme="majorBidi"/>
        </w:rPr>
        <w:t xml:space="preserve"> </w:t>
      </w:r>
      <w:r w:rsidR="00282753">
        <w:rPr>
          <w:rFonts w:asciiTheme="majorBidi" w:hAnsiTheme="majorBidi" w:cstheme="majorBidi"/>
        </w:rPr>
        <w:t>on average,</w:t>
      </w:r>
      <w:r w:rsidRPr="00FA0E28">
        <w:rPr>
          <w:rFonts w:asciiTheme="majorBidi" w:hAnsiTheme="majorBidi" w:cstheme="majorBidi"/>
        </w:rPr>
        <w:t xml:space="preserve"> $300 contribution for the 2021-22</w:t>
      </w:r>
      <w:r w:rsidR="00FA0E28">
        <w:rPr>
          <w:rFonts w:asciiTheme="majorBidi" w:hAnsiTheme="majorBidi" w:cstheme="majorBidi"/>
        </w:rPr>
        <w:t xml:space="preserve"> year</w:t>
      </w:r>
      <w:r w:rsidRPr="00FA0E28">
        <w:rPr>
          <w:rFonts w:asciiTheme="majorBidi" w:hAnsiTheme="majorBidi" w:cstheme="majorBidi"/>
        </w:rPr>
        <w:t xml:space="preserve">. </w:t>
      </w:r>
    </w:p>
    <w:p w14:paraId="3C9D90E7" w14:textId="03CCC61D" w:rsidR="008E41B9" w:rsidRPr="00FA0E28" w:rsidRDefault="008E41B9">
      <w:pPr>
        <w:rPr>
          <w:rFonts w:asciiTheme="majorBidi" w:hAnsiTheme="majorBidi" w:cstheme="majorBidi"/>
        </w:rPr>
      </w:pPr>
    </w:p>
    <w:p w14:paraId="3856FA00" w14:textId="03A314A4" w:rsidR="000931DA" w:rsidRPr="00FA0E28" w:rsidRDefault="00D97B17" w:rsidP="000931DA">
      <w:pPr>
        <w:rPr>
          <w:rFonts w:asciiTheme="majorBidi" w:hAnsiTheme="majorBidi" w:cstheme="majorBidi"/>
        </w:rPr>
      </w:pPr>
      <w:r w:rsidRPr="00FA0E28">
        <w:rPr>
          <w:rFonts w:asciiTheme="majorBidi" w:hAnsiTheme="majorBidi" w:cstheme="majorBidi"/>
        </w:rPr>
        <w:t>The purpose of the disallowable instrument is to make an exemption under section 75G of the Act from compliance with section 75</w:t>
      </w:r>
      <w:r w:rsidR="00FA0E28">
        <w:rPr>
          <w:rFonts w:asciiTheme="majorBidi" w:hAnsiTheme="majorBidi" w:cstheme="majorBidi"/>
        </w:rPr>
        <w:t>E</w:t>
      </w:r>
      <w:r w:rsidR="007418A8">
        <w:rPr>
          <w:rFonts w:asciiTheme="majorBidi" w:hAnsiTheme="majorBidi" w:cstheme="majorBidi"/>
        </w:rPr>
        <w:t xml:space="preserve"> </w:t>
      </w:r>
      <w:r w:rsidRPr="00FA0E28">
        <w:rPr>
          <w:rFonts w:asciiTheme="majorBidi" w:hAnsiTheme="majorBidi" w:cstheme="majorBidi"/>
        </w:rPr>
        <w:t>(1)</w:t>
      </w:r>
      <w:r w:rsidR="007418A8">
        <w:rPr>
          <w:rFonts w:asciiTheme="majorBidi" w:hAnsiTheme="majorBidi" w:cstheme="majorBidi"/>
        </w:rPr>
        <w:t xml:space="preserve"> </w:t>
      </w:r>
      <w:r w:rsidRPr="00FA0E28">
        <w:rPr>
          <w:rFonts w:asciiTheme="majorBidi" w:hAnsiTheme="majorBidi" w:cstheme="majorBidi"/>
        </w:rPr>
        <w:t>(a) of the Act</w:t>
      </w:r>
      <w:r w:rsidR="00FA0E28">
        <w:rPr>
          <w:rFonts w:asciiTheme="majorBidi" w:hAnsiTheme="majorBidi" w:cstheme="majorBidi"/>
        </w:rPr>
        <w:t xml:space="preserve"> if the Minister is satisfied on reasonable grounds that the exemption is</w:t>
      </w:r>
      <w:r w:rsidRPr="00FA0E28">
        <w:rPr>
          <w:rFonts w:asciiTheme="majorBidi" w:hAnsiTheme="majorBidi" w:cstheme="majorBidi"/>
        </w:rPr>
        <w:t xml:space="preserve"> in the public interest</w:t>
      </w:r>
      <w:r w:rsidR="000931DA" w:rsidRPr="00FA0E28">
        <w:rPr>
          <w:rFonts w:asciiTheme="majorBidi" w:hAnsiTheme="majorBidi" w:cstheme="majorBidi"/>
        </w:rPr>
        <w:t>.</w:t>
      </w:r>
    </w:p>
    <w:p w14:paraId="1AAAF48B" w14:textId="2B742801" w:rsidR="000931DA" w:rsidRPr="00FA0E28" w:rsidRDefault="000931DA" w:rsidP="000931DA">
      <w:pPr>
        <w:rPr>
          <w:rFonts w:asciiTheme="majorBidi" w:hAnsiTheme="majorBidi" w:cstheme="majorBidi"/>
        </w:rPr>
      </w:pPr>
    </w:p>
    <w:p w14:paraId="0FB4FC2D" w14:textId="53A8E00C" w:rsidR="000931DA" w:rsidRDefault="000931DA" w:rsidP="000931DA">
      <w:pPr>
        <w:rPr>
          <w:rFonts w:asciiTheme="majorBidi" w:hAnsiTheme="majorBidi" w:cstheme="majorBidi"/>
        </w:rPr>
      </w:pPr>
      <w:r w:rsidRPr="00FA0E28">
        <w:rPr>
          <w:rFonts w:asciiTheme="majorBidi" w:hAnsiTheme="majorBidi" w:cstheme="majorBidi"/>
        </w:rPr>
        <w:t>This disallowable instrument requires NERL electricity retailers to continue to offer Green</w:t>
      </w:r>
      <w:r w:rsidR="00FA0E28">
        <w:rPr>
          <w:rFonts w:asciiTheme="majorBidi" w:hAnsiTheme="majorBidi" w:cstheme="majorBidi"/>
        </w:rPr>
        <w:t>p</w:t>
      </w:r>
      <w:r w:rsidRPr="00FA0E28">
        <w:rPr>
          <w:rFonts w:asciiTheme="majorBidi" w:hAnsiTheme="majorBidi" w:cstheme="majorBidi"/>
        </w:rPr>
        <w:t xml:space="preserve">ower products to customers but not as a first offer. </w:t>
      </w:r>
    </w:p>
    <w:p w14:paraId="10A8217A" w14:textId="1D18F521" w:rsidR="001C75D5" w:rsidRDefault="001C75D5" w:rsidP="000931DA">
      <w:pPr>
        <w:rPr>
          <w:rFonts w:asciiTheme="majorBidi" w:hAnsiTheme="majorBidi" w:cstheme="majorBidi"/>
        </w:rPr>
      </w:pPr>
    </w:p>
    <w:p w14:paraId="6180A21E" w14:textId="1ED83C68" w:rsidR="001C75D5" w:rsidRDefault="001C75D5" w:rsidP="000931DA">
      <w:pPr>
        <w:rPr>
          <w:rFonts w:asciiTheme="majorBidi" w:hAnsiTheme="majorBidi" w:cstheme="majorBidi"/>
        </w:rPr>
      </w:pPr>
      <w:proofErr w:type="spellStart"/>
      <w:r w:rsidRPr="00756AD7">
        <w:t>GreenPower</w:t>
      </w:r>
      <w:proofErr w:type="spellEnd"/>
      <w:r w:rsidRPr="00756AD7">
        <w:t xml:space="preserve"> products purchased by ACT consumers are not counted towards the ACT’s 100 per cent renewable electricity target. </w:t>
      </w:r>
      <w:proofErr w:type="spellStart"/>
      <w:r w:rsidRPr="00756AD7">
        <w:t>GreenPower</w:t>
      </w:r>
      <w:proofErr w:type="spellEnd"/>
      <w:r w:rsidRPr="00756AD7">
        <w:t xml:space="preserve"> products do, however, </w:t>
      </w:r>
      <w:r w:rsidRPr="00756AD7">
        <w:lastRenderedPageBreak/>
        <w:t>contribute to reducing Australia’s overall greenhouse gas emissions and therefore still provide benefits to decarbonising Australia’s energy system.</w:t>
      </w:r>
    </w:p>
    <w:p w14:paraId="4E789716" w14:textId="0348F419" w:rsidR="000931DA" w:rsidRPr="00FA0E28" w:rsidRDefault="000931DA" w:rsidP="000931DA">
      <w:pPr>
        <w:rPr>
          <w:rFonts w:asciiTheme="majorBidi" w:hAnsiTheme="majorBidi" w:cstheme="majorBidi"/>
        </w:rPr>
      </w:pPr>
    </w:p>
    <w:p w14:paraId="3D624D80" w14:textId="7C57D311" w:rsidR="00282753" w:rsidRDefault="00B90ED1" w:rsidP="000931DA">
      <w:pPr>
        <w:rPr>
          <w:rFonts w:asciiTheme="majorBidi" w:hAnsiTheme="majorBidi" w:cstheme="majorBidi"/>
        </w:rPr>
      </w:pPr>
      <w:r w:rsidRPr="00FA0E28">
        <w:rPr>
          <w:rFonts w:asciiTheme="majorBidi" w:hAnsiTheme="majorBidi" w:cstheme="majorBidi"/>
        </w:rPr>
        <w:t>The proposed change</w:t>
      </w:r>
      <w:r w:rsidR="00551CCD">
        <w:rPr>
          <w:rFonts w:asciiTheme="majorBidi" w:hAnsiTheme="majorBidi" w:cstheme="majorBidi"/>
        </w:rPr>
        <w:t xml:space="preserve"> is reflective of the ACT electricity consumers’ contribution to the Territory’s 100 per cent renewable electricity target</w:t>
      </w:r>
      <w:r w:rsidR="00282753">
        <w:rPr>
          <w:rFonts w:asciiTheme="majorBidi" w:hAnsiTheme="majorBidi" w:cstheme="majorBidi"/>
        </w:rPr>
        <w:t xml:space="preserve"> and avoid any perception of duplicated payment for renewable electricity in the ACT.</w:t>
      </w:r>
    </w:p>
    <w:p w14:paraId="700E029B" w14:textId="77777777" w:rsidR="00282753" w:rsidRDefault="00282753" w:rsidP="000931DA">
      <w:pPr>
        <w:rPr>
          <w:rFonts w:asciiTheme="majorBidi" w:hAnsiTheme="majorBidi" w:cstheme="majorBidi"/>
        </w:rPr>
      </w:pPr>
    </w:p>
    <w:p w14:paraId="5CEC23B3" w14:textId="7F4408AE" w:rsidR="000931DA" w:rsidRPr="00FA0E28" w:rsidRDefault="00551CCD" w:rsidP="000931DA">
      <w:pPr>
        <w:rPr>
          <w:rFonts w:asciiTheme="majorBidi" w:hAnsiTheme="majorBidi" w:cstheme="majorBidi"/>
        </w:rPr>
      </w:pPr>
      <w:r>
        <w:rPr>
          <w:rFonts w:asciiTheme="majorBidi" w:hAnsiTheme="majorBidi" w:cstheme="majorBidi"/>
        </w:rPr>
        <w:t xml:space="preserve">The proposed change will also give </w:t>
      </w:r>
      <w:r w:rsidR="00B90ED1" w:rsidRPr="00FA0E28">
        <w:rPr>
          <w:rFonts w:asciiTheme="majorBidi" w:hAnsiTheme="majorBidi" w:cstheme="majorBidi"/>
        </w:rPr>
        <w:t>c</w:t>
      </w:r>
      <w:r w:rsidR="000931DA" w:rsidRPr="00FA0E28">
        <w:rPr>
          <w:rFonts w:asciiTheme="majorBidi" w:hAnsiTheme="majorBidi" w:cstheme="majorBidi"/>
        </w:rPr>
        <w:t>onsumers greater clarity about the difference between their voluntary purchase of Green</w:t>
      </w:r>
      <w:r w:rsidR="00FA0E28">
        <w:rPr>
          <w:rFonts w:asciiTheme="majorBidi" w:hAnsiTheme="majorBidi" w:cstheme="majorBidi"/>
        </w:rPr>
        <w:t>p</w:t>
      </w:r>
      <w:r w:rsidR="000931DA" w:rsidRPr="00FA0E28">
        <w:rPr>
          <w:rFonts w:asciiTheme="majorBidi" w:hAnsiTheme="majorBidi" w:cstheme="majorBidi"/>
        </w:rPr>
        <w:t xml:space="preserve">ower product and their contribution to the ACT’s 100 per cent renewable electricity target. </w:t>
      </w:r>
    </w:p>
    <w:p w14:paraId="20C9130A" w14:textId="77777777" w:rsidR="000931DA" w:rsidRPr="00FA0E28" w:rsidRDefault="000931DA" w:rsidP="000931DA">
      <w:pPr>
        <w:rPr>
          <w:rFonts w:asciiTheme="majorBidi" w:hAnsiTheme="majorBidi" w:cstheme="majorBidi"/>
        </w:rPr>
      </w:pPr>
    </w:p>
    <w:p w14:paraId="11E87F34" w14:textId="7A4FE98F" w:rsidR="000931DA" w:rsidRPr="00FA0E28" w:rsidRDefault="000931DA" w:rsidP="000931DA">
      <w:pPr>
        <w:rPr>
          <w:rFonts w:asciiTheme="majorBidi" w:hAnsiTheme="majorBidi" w:cstheme="majorBidi"/>
        </w:rPr>
      </w:pPr>
      <w:r w:rsidRPr="00FA0E28">
        <w:rPr>
          <w:rFonts w:asciiTheme="majorBidi" w:hAnsiTheme="majorBidi" w:cstheme="majorBidi"/>
        </w:rPr>
        <w:t>ACT consumers will continue to have a choice to purchase Green</w:t>
      </w:r>
      <w:r w:rsidR="00FA0E28">
        <w:rPr>
          <w:rFonts w:asciiTheme="majorBidi" w:hAnsiTheme="majorBidi" w:cstheme="majorBidi"/>
        </w:rPr>
        <w:t>p</w:t>
      </w:r>
      <w:r w:rsidRPr="00FA0E28">
        <w:rPr>
          <w:rFonts w:asciiTheme="majorBidi" w:hAnsiTheme="majorBidi" w:cstheme="majorBidi"/>
        </w:rPr>
        <w:t>ower products which add to the renewable energy generation to the grid</w:t>
      </w:r>
      <w:r w:rsidR="00AB354E">
        <w:rPr>
          <w:rFonts w:asciiTheme="majorBidi" w:hAnsiTheme="majorBidi" w:cstheme="majorBidi"/>
        </w:rPr>
        <w:t>.</w:t>
      </w:r>
      <w:r w:rsidRPr="00FA0E28">
        <w:rPr>
          <w:rFonts w:asciiTheme="majorBidi" w:hAnsiTheme="majorBidi" w:cstheme="majorBidi"/>
        </w:rPr>
        <w:t xml:space="preserve"> </w:t>
      </w:r>
    </w:p>
    <w:p w14:paraId="56505890" w14:textId="77777777" w:rsidR="00D97B17" w:rsidRPr="00FA0E28" w:rsidRDefault="00D97B17">
      <w:pPr>
        <w:rPr>
          <w:rFonts w:asciiTheme="majorBidi" w:hAnsiTheme="majorBidi" w:cstheme="majorBidi"/>
        </w:rPr>
      </w:pPr>
    </w:p>
    <w:p w14:paraId="6C06D7E0" w14:textId="77777777" w:rsidR="00D97B17" w:rsidRPr="00FA0E28" w:rsidRDefault="00D97B17">
      <w:pPr>
        <w:rPr>
          <w:rFonts w:asciiTheme="majorBidi" w:hAnsiTheme="majorBidi" w:cstheme="majorBidi"/>
        </w:rPr>
      </w:pPr>
    </w:p>
    <w:p w14:paraId="48C6C8DA" w14:textId="77777777" w:rsidR="00FA0E28" w:rsidRPr="0049173D" w:rsidRDefault="00FA0E28" w:rsidP="00FA0E28">
      <w:pPr>
        <w:rPr>
          <w:b/>
          <w:bCs/>
        </w:rPr>
      </w:pPr>
      <w:r w:rsidRPr="0049173D">
        <w:rPr>
          <w:b/>
          <w:bCs/>
        </w:rPr>
        <w:t>Regulatory impact statement</w:t>
      </w:r>
    </w:p>
    <w:p w14:paraId="0D143EB9" w14:textId="77777777" w:rsidR="00FA0E28" w:rsidRDefault="00FA0E28" w:rsidP="00FA0E28">
      <w:pPr>
        <w:pStyle w:val="NormalWeb"/>
        <w:shd w:val="clear" w:color="auto" w:fill="FFFFFF"/>
        <w:spacing w:before="240" w:beforeAutospacing="0" w:after="240" w:afterAutospacing="0"/>
        <w:rPr>
          <w:color w:val="000000"/>
        </w:rPr>
      </w:pPr>
      <w:r>
        <w:rPr>
          <w:color w:val="000000"/>
        </w:rPr>
        <w:t>A regulatory impact statement is not required as this instrument does not impose appreciable costs on the community or a part of the community (see section 34 (1) of the </w:t>
      </w:r>
      <w:r>
        <w:rPr>
          <w:i/>
          <w:iCs/>
          <w:color w:val="000000"/>
        </w:rPr>
        <w:t>Legislation Act 2001</w:t>
      </w:r>
      <w:r>
        <w:rPr>
          <w:color w:val="000000"/>
        </w:rPr>
        <w:t xml:space="preserve">). </w:t>
      </w:r>
    </w:p>
    <w:p w14:paraId="5CB6E56B" w14:textId="77777777" w:rsidR="00FA0E28" w:rsidRDefault="00FA0E28" w:rsidP="00FA0E28">
      <w:pPr>
        <w:pStyle w:val="NormalWeb"/>
        <w:shd w:val="clear" w:color="auto" w:fill="FFFFFF"/>
        <w:spacing w:before="240" w:beforeAutospacing="0" w:after="240" w:afterAutospacing="0"/>
        <w:rPr>
          <w:color w:val="000000"/>
        </w:rPr>
      </w:pPr>
      <w:r>
        <w:rPr>
          <w:b/>
          <w:bCs/>
          <w:color w:val="000000"/>
        </w:rPr>
        <w:t>Human rights</w:t>
      </w:r>
    </w:p>
    <w:p w14:paraId="6F8C2C22" w14:textId="77777777" w:rsidR="00FA0E28" w:rsidRDefault="00FA0E28" w:rsidP="00FA0E28">
      <w:pPr>
        <w:pStyle w:val="NormalWeb"/>
        <w:shd w:val="clear" w:color="auto" w:fill="FFFFFF"/>
        <w:spacing w:before="240" w:beforeAutospacing="0" w:after="120" w:afterAutospacing="0"/>
        <w:rPr>
          <w:color w:val="000000"/>
        </w:rPr>
      </w:pPr>
      <w:r>
        <w:rPr>
          <w:color w:val="000000"/>
        </w:rPr>
        <w:t>There are no human rights implications arising from this instrument. The instrument does not engage any rights under the </w:t>
      </w:r>
      <w:r>
        <w:rPr>
          <w:i/>
          <w:iCs/>
          <w:color w:val="000000"/>
        </w:rPr>
        <w:t>Human Rights Act 2004</w:t>
      </w:r>
      <w:r>
        <w:rPr>
          <w:color w:val="000000"/>
        </w:rPr>
        <w:t>.</w:t>
      </w:r>
    </w:p>
    <w:p w14:paraId="6F8614A0" w14:textId="77777777" w:rsidR="00FA0E28" w:rsidRPr="00D97B17" w:rsidRDefault="00FA0E28" w:rsidP="00FA0E28"/>
    <w:p w14:paraId="05D23D22" w14:textId="77777777" w:rsidR="00FA0E28" w:rsidRPr="008E41B9" w:rsidRDefault="00FA0E28" w:rsidP="00FA0E28"/>
    <w:sectPr w:rsidR="00FA0E28" w:rsidRPr="008E41B9"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EEF8" w14:textId="77777777" w:rsidR="001C5E78" w:rsidRDefault="001C5E78" w:rsidP="00C17FAB">
      <w:r>
        <w:separator/>
      </w:r>
    </w:p>
  </w:endnote>
  <w:endnote w:type="continuationSeparator" w:id="0">
    <w:p w14:paraId="4BF965C7" w14:textId="77777777" w:rsidR="001C5E78" w:rsidRDefault="001C5E78"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AC56"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A609" w14:textId="7F3D98FA" w:rsidR="00DA3B00" w:rsidRPr="00375379" w:rsidRDefault="00375379" w:rsidP="00375379">
    <w:pPr>
      <w:pStyle w:val="Footer"/>
      <w:jc w:val="center"/>
      <w:rPr>
        <w:rFonts w:cs="Arial"/>
        <w:sz w:val="14"/>
      </w:rPr>
    </w:pPr>
    <w:r w:rsidRPr="0037537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16F0"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9844" w14:textId="77777777" w:rsidR="001C5E78" w:rsidRDefault="001C5E78" w:rsidP="00C17FAB">
      <w:r>
        <w:separator/>
      </w:r>
    </w:p>
  </w:footnote>
  <w:footnote w:type="continuationSeparator" w:id="0">
    <w:p w14:paraId="42C6D835" w14:textId="77777777" w:rsidR="001C5E78" w:rsidRDefault="001C5E78"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861C"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5673"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68A9"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931DA"/>
    <w:rsid w:val="001C5E78"/>
    <w:rsid w:val="001C75D5"/>
    <w:rsid w:val="0024171C"/>
    <w:rsid w:val="00282753"/>
    <w:rsid w:val="00291869"/>
    <w:rsid w:val="002D7C60"/>
    <w:rsid w:val="00375379"/>
    <w:rsid w:val="004A2C89"/>
    <w:rsid w:val="00551CCD"/>
    <w:rsid w:val="006314A8"/>
    <w:rsid w:val="007346AC"/>
    <w:rsid w:val="007418A8"/>
    <w:rsid w:val="007441A4"/>
    <w:rsid w:val="00756AD7"/>
    <w:rsid w:val="00770871"/>
    <w:rsid w:val="008E41B9"/>
    <w:rsid w:val="0093191F"/>
    <w:rsid w:val="009508A5"/>
    <w:rsid w:val="00AB354E"/>
    <w:rsid w:val="00AE2D16"/>
    <w:rsid w:val="00B26FF6"/>
    <w:rsid w:val="00B90ED1"/>
    <w:rsid w:val="00C17FAB"/>
    <w:rsid w:val="00C57474"/>
    <w:rsid w:val="00CE599C"/>
    <w:rsid w:val="00CE75F7"/>
    <w:rsid w:val="00D07460"/>
    <w:rsid w:val="00D97B17"/>
    <w:rsid w:val="00DA3B00"/>
    <w:rsid w:val="00DB39CD"/>
    <w:rsid w:val="00E31763"/>
    <w:rsid w:val="00E95670"/>
    <w:rsid w:val="00FA0E28"/>
    <w:rsid w:val="00FD75C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BFC3C"/>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customStyle="1" w:styleId="Calibri12">
    <w:name w:val="Calibri 12"/>
    <w:basedOn w:val="DefaultParagraphFont"/>
    <w:uiPriority w:val="1"/>
    <w:qFormat/>
    <w:rsid w:val="00D97B17"/>
    <w:rPr>
      <w:rFonts w:ascii="Calibri" w:hAnsi="Calibri"/>
      <w:sz w:val="24"/>
    </w:rPr>
  </w:style>
  <w:style w:type="paragraph" w:styleId="NormalWeb">
    <w:name w:val="Normal (Web)"/>
    <w:basedOn w:val="Normal"/>
    <w:uiPriority w:val="99"/>
    <w:semiHidden/>
    <w:unhideWhenUsed/>
    <w:rsid w:val="00FA0E28"/>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2521</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2022-04-22T01:03:00Z</dcterms:created>
  <dcterms:modified xsi:type="dcterms:W3CDTF">2022-04-22T01:03:00Z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A33169103</vt:lpwstr>
  </property>
  <property fmtid="{D5CDD505-2E9C-101B-9397-08002B2CF9AE}" pid="4" name="Objective-Title">
    <vt:lpwstr>Att B - Explanatory Statement for Disallowable Instrument</vt:lpwstr>
  </property>
  <property fmtid="{D5CDD505-2E9C-101B-9397-08002B2CF9AE}" pid="5" name="Objective-Comment">
    <vt:lpwstr/>
  </property>
  <property fmtid="{D5CDD505-2E9C-101B-9397-08002B2CF9AE}" pid="6" name="Objective-CreationStamp">
    <vt:filetime>2022-03-08T01:46:22Z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2022-04-21T05:10:36Z</vt:filetime>
  </property>
  <property fmtid="{D5CDD505-2E9C-101B-9397-08002B2CF9AE}" pid="10" name="Objective-ModificationStamp">
    <vt:filetime>2022-04-21T05:10:36Z</vt:filetime>
  </property>
  <property fmtid="{D5CDD505-2E9C-101B-9397-08002B2CF9AE}" pid="11" name="Objective-Owner">
    <vt:lpwstr>Maryam Khazaeli</vt:lpwstr>
  </property>
  <property fmtid="{D5CDD505-2E9C-101B-9397-08002B2CF9AE}" pid="12" name="Objective-Path">
    <vt:lpwstr>Whole of ACT Government:EPSDD - Environment Planning and Sustainable Development Directorate:07. Ministerial, Cabinet and Government Relations:06. Ministerials:2022 - Ministerial and Chief Ministerial Briefs / Correspondence:Climate Change &amp; Energy:02. February:22/18976 Ministerial Information Brief - Rattenbury - GreenPower Products First Offer Exemption:</vt:lpwstr>
  </property>
  <property fmtid="{D5CDD505-2E9C-101B-9397-08002B2CF9AE}" pid="13" name="Objective-Parent">
    <vt:lpwstr>22/18976 Ministerial Information Brief - Rattenbury - GreenPower Products First Offer Exemption</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1-2022/18976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