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649" w14:textId="77777777" w:rsidR="0079054C" w:rsidRPr="006A179C" w:rsidRDefault="0079054C" w:rsidP="006A179C">
      <w:pPr>
        <w:spacing w:before="120"/>
        <w:rPr>
          <w:rFonts w:ascii="Arial" w:eastAsia="Times New Roman" w:hAnsi="Arial" w:cs="Arial"/>
          <w:szCs w:val="20"/>
        </w:rPr>
      </w:pPr>
      <w:r w:rsidRPr="006A179C">
        <w:rPr>
          <w:rFonts w:ascii="Arial" w:eastAsia="Times New Roman" w:hAnsi="Arial" w:cs="Arial"/>
          <w:szCs w:val="20"/>
        </w:rPr>
        <w:t>Australian Capital Territory</w:t>
      </w:r>
    </w:p>
    <w:p w14:paraId="3456DF19" w14:textId="77777777" w:rsidR="0079054C" w:rsidRPr="006A179C" w:rsidRDefault="0079054C" w:rsidP="00041CD4">
      <w:pPr>
        <w:spacing w:before="480"/>
        <w:ind w:right="567"/>
        <w:rPr>
          <w:rFonts w:ascii="Arial" w:eastAsia="Times New Roman" w:hAnsi="Arial" w:cs="Arial"/>
          <w:b/>
          <w:bCs/>
          <w:sz w:val="32"/>
          <w:szCs w:val="32"/>
        </w:rPr>
      </w:pPr>
      <w:r w:rsidRPr="006A179C">
        <w:rPr>
          <w:rFonts w:ascii="Arial" w:eastAsia="Times New Roman" w:hAnsi="Arial" w:cs="Arial"/>
          <w:b/>
          <w:bCs/>
          <w:sz w:val="28"/>
          <w:szCs w:val="28"/>
        </w:rPr>
        <w:t>Explanatory Statement</w:t>
      </w:r>
    </w:p>
    <w:p w14:paraId="20A447DA" w14:textId="447147B9" w:rsidR="0079054C" w:rsidRPr="00041CD4" w:rsidRDefault="00147BAF" w:rsidP="006A179C">
      <w:pPr>
        <w:pStyle w:val="Billname"/>
        <w:autoSpaceDE/>
        <w:autoSpaceDN/>
        <w:spacing w:before="700"/>
        <w:rPr>
          <w:rFonts w:eastAsia="Times New Roman" w:cs="Times New Roman"/>
          <w:bCs w:val="0"/>
          <w:sz w:val="38"/>
          <w:szCs w:val="38"/>
        </w:rPr>
      </w:pPr>
      <w:bookmarkStart w:id="0" w:name="_Hlk32420764"/>
      <w:r w:rsidRPr="00041CD4">
        <w:rPr>
          <w:rFonts w:eastAsia="Times New Roman" w:cs="Times New Roman"/>
          <w:bCs w:val="0"/>
          <w:sz w:val="38"/>
          <w:szCs w:val="38"/>
        </w:rPr>
        <w:t>Public Health (</w:t>
      </w:r>
      <w:r w:rsidR="00157DF7" w:rsidRPr="00041CD4">
        <w:rPr>
          <w:rFonts w:eastAsia="Times New Roman" w:cs="Times New Roman"/>
          <w:bCs w:val="0"/>
          <w:sz w:val="38"/>
          <w:szCs w:val="38"/>
        </w:rPr>
        <w:t>Monkeypox</w:t>
      </w:r>
      <w:r w:rsidR="00AF5839" w:rsidRPr="00041CD4">
        <w:rPr>
          <w:rFonts w:eastAsia="Times New Roman" w:cs="Times New Roman"/>
          <w:bCs w:val="0"/>
          <w:sz w:val="38"/>
          <w:szCs w:val="38"/>
        </w:rPr>
        <w:t xml:space="preserve"> – Temporary No</w:t>
      </w:r>
      <w:r w:rsidRPr="00041CD4">
        <w:rPr>
          <w:rFonts w:eastAsia="Times New Roman" w:cs="Times New Roman"/>
          <w:bCs w:val="0"/>
          <w:sz w:val="38"/>
          <w:szCs w:val="38"/>
        </w:rPr>
        <w:t>tifiable Condition) De</w:t>
      </w:r>
      <w:r w:rsidR="00041CD4" w:rsidRPr="00041CD4">
        <w:rPr>
          <w:rFonts w:eastAsia="Times New Roman" w:cs="Times New Roman"/>
          <w:bCs w:val="0"/>
          <w:sz w:val="38"/>
          <w:szCs w:val="38"/>
        </w:rPr>
        <w:t>claration</w:t>
      </w:r>
      <w:r w:rsidR="00AF5839" w:rsidRPr="00041CD4">
        <w:rPr>
          <w:rFonts w:eastAsia="Times New Roman" w:cs="Times New Roman"/>
          <w:bCs w:val="0"/>
          <w:sz w:val="38"/>
          <w:szCs w:val="38"/>
        </w:rPr>
        <w:t> 20</w:t>
      </w:r>
      <w:r w:rsidRPr="00041CD4">
        <w:rPr>
          <w:rFonts w:eastAsia="Times New Roman" w:cs="Times New Roman"/>
          <w:bCs w:val="0"/>
          <w:sz w:val="38"/>
          <w:szCs w:val="38"/>
        </w:rPr>
        <w:t>2</w:t>
      </w:r>
      <w:r w:rsidR="00157DF7" w:rsidRPr="00041CD4">
        <w:rPr>
          <w:rFonts w:eastAsia="Times New Roman" w:cs="Times New Roman"/>
          <w:bCs w:val="0"/>
          <w:sz w:val="38"/>
          <w:szCs w:val="38"/>
        </w:rPr>
        <w:t>2</w:t>
      </w:r>
      <w:r w:rsidR="00785724" w:rsidRPr="00041CD4">
        <w:rPr>
          <w:rFonts w:eastAsia="Times New Roman" w:cs="Times New Roman"/>
          <w:bCs w:val="0"/>
          <w:sz w:val="38"/>
          <w:szCs w:val="38"/>
        </w:rPr>
        <w:t xml:space="preserve"> (No </w:t>
      </w:r>
      <w:r w:rsidR="00A91B6D" w:rsidRPr="00041CD4">
        <w:rPr>
          <w:rFonts w:eastAsia="Times New Roman" w:cs="Times New Roman"/>
          <w:bCs w:val="0"/>
          <w:sz w:val="38"/>
          <w:szCs w:val="38"/>
        </w:rPr>
        <w:t>1</w:t>
      </w:r>
      <w:r w:rsidR="00785724" w:rsidRPr="00041CD4">
        <w:rPr>
          <w:rFonts w:eastAsia="Times New Roman" w:cs="Times New Roman"/>
          <w:bCs w:val="0"/>
          <w:sz w:val="38"/>
          <w:szCs w:val="38"/>
        </w:rPr>
        <w:t>)</w:t>
      </w:r>
    </w:p>
    <w:bookmarkEnd w:id="0"/>
    <w:p w14:paraId="71E94335" w14:textId="3EB0D4D3" w:rsidR="0079054C" w:rsidRPr="006A179C" w:rsidRDefault="00240D93" w:rsidP="00041CD4">
      <w:pPr>
        <w:spacing w:before="400"/>
        <w:rPr>
          <w:rFonts w:ascii="Arial" w:eastAsia="Times New Roman" w:hAnsi="Arial" w:cs="Arial"/>
          <w:b/>
          <w:bCs/>
          <w:szCs w:val="20"/>
        </w:rPr>
      </w:pPr>
      <w:r w:rsidRPr="006A179C">
        <w:rPr>
          <w:rFonts w:ascii="Arial" w:eastAsia="Times New Roman" w:hAnsi="Arial" w:cs="Arial"/>
          <w:b/>
          <w:bCs/>
          <w:szCs w:val="20"/>
        </w:rPr>
        <w:t>Disallowable Instrument DI20</w:t>
      </w:r>
      <w:r w:rsidR="00AF5839" w:rsidRPr="006A179C">
        <w:rPr>
          <w:rFonts w:ascii="Arial" w:eastAsia="Times New Roman" w:hAnsi="Arial" w:cs="Arial"/>
          <w:b/>
          <w:bCs/>
          <w:szCs w:val="20"/>
        </w:rPr>
        <w:t>2</w:t>
      </w:r>
      <w:r w:rsidR="00157DF7" w:rsidRPr="006A179C">
        <w:rPr>
          <w:rFonts w:ascii="Arial" w:eastAsia="Times New Roman" w:hAnsi="Arial" w:cs="Arial"/>
          <w:b/>
          <w:bCs/>
          <w:szCs w:val="20"/>
        </w:rPr>
        <w:t>2</w:t>
      </w:r>
      <w:r w:rsidR="00744D40" w:rsidRPr="006A179C">
        <w:rPr>
          <w:rFonts w:ascii="Arial" w:eastAsia="Times New Roman" w:hAnsi="Arial" w:cs="Arial"/>
          <w:b/>
          <w:bCs/>
          <w:szCs w:val="20"/>
        </w:rPr>
        <w:t>-</w:t>
      </w:r>
      <w:r w:rsidR="00077CA7" w:rsidRPr="006A179C">
        <w:rPr>
          <w:rFonts w:ascii="Arial" w:eastAsia="Times New Roman" w:hAnsi="Arial" w:cs="Arial"/>
          <w:b/>
          <w:bCs/>
          <w:szCs w:val="20"/>
        </w:rPr>
        <w:t>64</w:t>
      </w:r>
    </w:p>
    <w:p w14:paraId="3A41EFD3" w14:textId="77777777" w:rsidR="0079054C" w:rsidRPr="006A179C" w:rsidRDefault="0079054C" w:rsidP="006A179C">
      <w:pPr>
        <w:pStyle w:val="madeunder"/>
        <w:autoSpaceDE/>
        <w:autoSpaceDN/>
        <w:spacing w:before="300" w:after="0"/>
        <w:rPr>
          <w:rFonts w:eastAsia="Times New Roman"/>
          <w:sz w:val="24"/>
        </w:rPr>
      </w:pPr>
      <w:r w:rsidRPr="006A179C">
        <w:rPr>
          <w:rFonts w:eastAsia="Times New Roman"/>
          <w:sz w:val="24"/>
        </w:rPr>
        <w:t xml:space="preserve">made under the </w:t>
      </w:r>
    </w:p>
    <w:p w14:paraId="4F9CBA76" w14:textId="77777777" w:rsidR="0079054C" w:rsidRPr="006A179C" w:rsidRDefault="0079054C" w:rsidP="00041CD4">
      <w:pPr>
        <w:pStyle w:val="CoverActName"/>
        <w:autoSpaceDE/>
        <w:autoSpaceDN/>
        <w:spacing w:before="360" w:after="0"/>
        <w:rPr>
          <w:rFonts w:eastAsia="Times New Roman"/>
          <w:bCs w:val="0"/>
        </w:rPr>
      </w:pPr>
      <w:r w:rsidRPr="006A179C">
        <w:rPr>
          <w:rFonts w:eastAsia="Times New Roman"/>
          <w:bCs w:val="0"/>
        </w:rPr>
        <w:t>Public Health Act 1997, s</w:t>
      </w:r>
      <w:r w:rsidR="00AF5839" w:rsidRPr="006A179C">
        <w:rPr>
          <w:rFonts w:eastAsia="Times New Roman"/>
          <w:bCs w:val="0"/>
        </w:rPr>
        <w:t> </w:t>
      </w:r>
      <w:r w:rsidRPr="006A179C">
        <w:rPr>
          <w:rFonts w:eastAsia="Times New Roman"/>
          <w:bCs w:val="0"/>
        </w:rPr>
        <w:t>10</w:t>
      </w:r>
      <w:r w:rsidR="00AF5839" w:rsidRPr="006A179C">
        <w:rPr>
          <w:rFonts w:eastAsia="Times New Roman"/>
          <w:bCs w:val="0"/>
        </w:rPr>
        <w:t>1</w:t>
      </w:r>
      <w:r w:rsidRPr="006A179C">
        <w:rPr>
          <w:rFonts w:eastAsia="Times New Roman"/>
          <w:bCs w:val="0"/>
        </w:rPr>
        <w:t xml:space="preserve"> </w:t>
      </w:r>
      <w:r w:rsidR="008816D4" w:rsidRPr="006A179C">
        <w:rPr>
          <w:rFonts w:eastAsia="Times New Roman"/>
          <w:bCs w:val="0"/>
        </w:rPr>
        <w:t xml:space="preserve">(a) and (b) </w:t>
      </w:r>
      <w:r w:rsidRPr="006A179C">
        <w:rPr>
          <w:rFonts w:eastAsia="Times New Roman"/>
          <w:bCs w:val="0"/>
        </w:rPr>
        <w:t xml:space="preserve">(Notifiable Conditions – </w:t>
      </w:r>
      <w:r w:rsidR="00AF5839" w:rsidRPr="006A179C">
        <w:rPr>
          <w:rFonts w:eastAsia="Times New Roman"/>
          <w:bCs w:val="0"/>
        </w:rPr>
        <w:t>temporary status</w:t>
      </w:r>
      <w:r w:rsidRPr="006A179C">
        <w:rPr>
          <w:rFonts w:eastAsia="Times New Roman"/>
          <w:bCs w:val="0"/>
        </w:rPr>
        <w:t>)</w:t>
      </w:r>
    </w:p>
    <w:p w14:paraId="148CCE70" w14:textId="77777777" w:rsidR="006A179C" w:rsidRDefault="006A179C" w:rsidP="00041CD4">
      <w:pPr>
        <w:pStyle w:val="N-line3"/>
        <w:pBdr>
          <w:bottom w:val="none" w:sz="0" w:space="0" w:color="auto"/>
        </w:pBdr>
        <w:spacing w:before="120"/>
      </w:pPr>
    </w:p>
    <w:p w14:paraId="78D855C2" w14:textId="77777777" w:rsidR="006A179C" w:rsidRDefault="006A179C" w:rsidP="006A179C">
      <w:pPr>
        <w:pStyle w:val="N-line3"/>
        <w:pBdr>
          <w:top w:val="single" w:sz="12" w:space="1" w:color="auto"/>
          <w:bottom w:val="none" w:sz="0" w:space="0" w:color="auto"/>
        </w:pBdr>
      </w:pPr>
    </w:p>
    <w:p w14:paraId="047779B1" w14:textId="33455AF7" w:rsidR="0079054C" w:rsidRPr="007C25BB" w:rsidRDefault="0079054C" w:rsidP="00B069F1">
      <w:pPr>
        <w:rPr>
          <w:lang w:val="en-GB"/>
        </w:rPr>
      </w:pPr>
      <w:r w:rsidRPr="007C25BB">
        <w:rPr>
          <w:lang w:val="en-GB"/>
        </w:rPr>
        <w:t>Part</w:t>
      </w:r>
      <w:r w:rsidR="00AF5839" w:rsidRPr="007C25BB">
        <w:rPr>
          <w:lang w:val="en-GB"/>
        </w:rPr>
        <w:t> </w:t>
      </w:r>
      <w:r w:rsidRPr="007C25BB">
        <w:rPr>
          <w:lang w:val="en-GB"/>
        </w:rPr>
        <w:t xml:space="preserve">6 of the </w:t>
      </w:r>
      <w:r w:rsidRPr="007C25BB">
        <w:rPr>
          <w:i/>
          <w:iCs/>
          <w:lang w:val="en-GB"/>
        </w:rPr>
        <w:t>Public Health Act</w:t>
      </w:r>
      <w:r w:rsidR="00AF5839" w:rsidRPr="007C25BB">
        <w:rPr>
          <w:i/>
          <w:iCs/>
          <w:lang w:val="en-GB"/>
        </w:rPr>
        <w:t> </w:t>
      </w:r>
      <w:r w:rsidRPr="007C25BB">
        <w:rPr>
          <w:i/>
          <w:iCs/>
          <w:lang w:val="en-GB"/>
        </w:rPr>
        <w:t>1997</w:t>
      </w:r>
      <w:r w:rsidRPr="007C25BB">
        <w:rPr>
          <w:lang w:val="en-GB"/>
        </w:rPr>
        <w:t xml:space="preserve"> (the Act) provides for the monitoring and investigation of notifiable conditions so that public health action may be carried out </w:t>
      </w:r>
      <w:r w:rsidR="00AF22C4" w:rsidRPr="007C25BB">
        <w:rPr>
          <w:lang w:val="en-GB"/>
        </w:rPr>
        <w:t>to</w:t>
      </w:r>
      <w:r w:rsidRPr="007C25BB">
        <w:rPr>
          <w:lang w:val="en-GB"/>
        </w:rPr>
        <w:t xml:space="preserve"> minimise the adverse public health effects of such conditions.</w:t>
      </w:r>
    </w:p>
    <w:p w14:paraId="76842C87" w14:textId="77777777" w:rsidR="0079054C" w:rsidRPr="007C25BB" w:rsidRDefault="0079054C" w:rsidP="00B069F1">
      <w:pPr>
        <w:rPr>
          <w:lang w:val="en-GB"/>
        </w:rPr>
      </w:pPr>
    </w:p>
    <w:p w14:paraId="47AD1DD8" w14:textId="77777777" w:rsidR="0079054C" w:rsidRPr="007C25BB" w:rsidRDefault="0079054C" w:rsidP="00B069F1">
      <w:pPr>
        <w:rPr>
          <w:lang w:val="en-GB"/>
        </w:rPr>
      </w:pPr>
      <w:r w:rsidRPr="007C25BB">
        <w:rPr>
          <w:lang w:val="en-GB"/>
        </w:rPr>
        <w:t>Under subsection 10</w:t>
      </w:r>
      <w:r w:rsidR="00AF5839" w:rsidRPr="007C25BB">
        <w:rPr>
          <w:lang w:val="en-GB"/>
        </w:rPr>
        <w:t>1</w:t>
      </w:r>
      <w:r w:rsidRPr="007C25BB">
        <w:rPr>
          <w:lang w:val="en-GB"/>
        </w:rPr>
        <w:t xml:space="preserve"> (1) of the Act</w:t>
      </w:r>
      <w:r w:rsidR="00587AC2" w:rsidRPr="007C25BB">
        <w:rPr>
          <w:lang w:val="en-GB"/>
        </w:rPr>
        <w:t>,</w:t>
      </w:r>
      <w:r w:rsidRPr="007C25BB">
        <w:rPr>
          <w:lang w:val="en-GB"/>
        </w:rPr>
        <w:t xml:space="preserve"> the </w:t>
      </w:r>
      <w:r w:rsidR="00AF5839" w:rsidRPr="007C25BB">
        <w:rPr>
          <w:lang w:val="en-GB"/>
        </w:rPr>
        <w:t xml:space="preserve">Chief Health Officer </w:t>
      </w:r>
      <w:r w:rsidRPr="007C25BB">
        <w:rPr>
          <w:lang w:val="en-GB"/>
        </w:rPr>
        <w:t xml:space="preserve">may </w:t>
      </w:r>
      <w:r w:rsidR="00E85D6C" w:rsidRPr="007C25BB">
        <w:rPr>
          <w:lang w:val="en-GB"/>
        </w:rPr>
        <w:t xml:space="preserve">declare </w:t>
      </w:r>
      <w:r w:rsidRPr="007C25BB">
        <w:rPr>
          <w:lang w:val="en-GB"/>
        </w:rPr>
        <w:t>in writing</w:t>
      </w:r>
      <w:r w:rsidR="00AF5839" w:rsidRPr="007C25BB">
        <w:rPr>
          <w:lang w:val="en-GB"/>
        </w:rPr>
        <w:t xml:space="preserve"> </w:t>
      </w:r>
      <w:r w:rsidRPr="007C25BB">
        <w:rPr>
          <w:lang w:val="en-GB"/>
        </w:rPr>
        <w:t>-</w:t>
      </w:r>
    </w:p>
    <w:p w14:paraId="575EC966" w14:textId="77777777" w:rsidR="0079054C" w:rsidRPr="007C25BB" w:rsidRDefault="0079054C" w:rsidP="00B069F1">
      <w:pPr>
        <w:numPr>
          <w:ilvl w:val="0"/>
          <w:numId w:val="1"/>
        </w:numPr>
        <w:tabs>
          <w:tab w:val="clear" w:pos="1404"/>
          <w:tab w:val="num" w:pos="993"/>
        </w:tabs>
        <w:ind w:left="993" w:hanging="567"/>
        <w:rPr>
          <w:lang w:val="en-GB"/>
        </w:rPr>
      </w:pPr>
      <w:r w:rsidRPr="007C25BB">
        <w:rPr>
          <w:lang w:val="en-GB"/>
        </w:rPr>
        <w:t>a disease or medical condition to be a notifiable condition; and</w:t>
      </w:r>
    </w:p>
    <w:p w14:paraId="6A613767" w14:textId="77777777" w:rsidR="0079054C" w:rsidRPr="007C25BB" w:rsidRDefault="0079054C" w:rsidP="00B069F1">
      <w:pPr>
        <w:pStyle w:val="BodyTextIndent2"/>
        <w:tabs>
          <w:tab w:val="left" w:pos="993"/>
        </w:tabs>
        <w:ind w:left="993" w:hanging="567"/>
        <w:rPr>
          <w:rFonts w:ascii="Times New Roman" w:hAnsi="Times New Roman" w:cs="Times New Roman"/>
          <w:lang w:val="en-GB"/>
        </w:rPr>
      </w:pPr>
      <w:r w:rsidRPr="007C25BB">
        <w:rPr>
          <w:rFonts w:ascii="Times New Roman" w:hAnsi="Times New Roman" w:cs="Times New Roman"/>
          <w:lang w:val="en-GB"/>
        </w:rPr>
        <w:t>(b)</w:t>
      </w:r>
      <w:r w:rsidRPr="007C25BB">
        <w:rPr>
          <w:rFonts w:ascii="Times New Roman" w:hAnsi="Times New Roman" w:cs="Times New Roman"/>
          <w:lang w:val="en-GB"/>
        </w:rPr>
        <w:tab/>
        <w:t xml:space="preserve">a disease referred to in paragraph (a) to be a transmissible notifiable condition. </w:t>
      </w:r>
    </w:p>
    <w:p w14:paraId="2E975318" w14:textId="77777777" w:rsidR="0079054C" w:rsidRPr="007C25BB" w:rsidRDefault="0079054C" w:rsidP="00B069F1">
      <w:pPr>
        <w:rPr>
          <w:lang w:val="en-GB"/>
        </w:rPr>
      </w:pPr>
    </w:p>
    <w:p w14:paraId="7E5B900A" w14:textId="74050AC2" w:rsidR="00E24EF3" w:rsidRPr="007C25BB" w:rsidRDefault="00E85D6C" w:rsidP="00B069F1">
      <w:pPr>
        <w:rPr>
          <w:lang w:val="en-GB"/>
        </w:rPr>
      </w:pPr>
      <w:r w:rsidRPr="007C25BB">
        <w:rPr>
          <w:lang w:val="en-GB"/>
        </w:rPr>
        <w:t xml:space="preserve">This instrument declares </w:t>
      </w:r>
      <w:r w:rsidR="00675D9E">
        <w:rPr>
          <w:lang w:val="en-GB"/>
        </w:rPr>
        <w:t>m</w:t>
      </w:r>
      <w:r w:rsidR="00157DF7">
        <w:rPr>
          <w:lang w:val="en-GB"/>
        </w:rPr>
        <w:t>onkeypox</w:t>
      </w:r>
      <w:r w:rsidR="00675D9E">
        <w:rPr>
          <w:lang w:val="en-GB"/>
        </w:rPr>
        <w:t xml:space="preserve"> </w:t>
      </w:r>
      <w:r w:rsidRPr="007C25BB">
        <w:rPr>
          <w:lang w:val="en-GB"/>
        </w:rPr>
        <w:t xml:space="preserve">to be a transmissible notifiable condition. </w:t>
      </w:r>
      <w:r w:rsidR="007C5F2D" w:rsidRPr="007C25BB">
        <w:rPr>
          <w:lang w:val="en-GB"/>
        </w:rPr>
        <w:t xml:space="preserve">Accordingly, </w:t>
      </w:r>
      <w:r w:rsidR="00AF22C4" w:rsidRPr="007C25BB">
        <w:rPr>
          <w:lang w:val="en-GB"/>
        </w:rPr>
        <w:t>confirmed,</w:t>
      </w:r>
      <w:r w:rsidR="007C5F2D" w:rsidRPr="007C25BB">
        <w:rPr>
          <w:lang w:val="en-GB"/>
        </w:rPr>
        <w:t xml:space="preserve"> and suspected cases of </w:t>
      </w:r>
      <w:r w:rsidR="00675D9E">
        <w:rPr>
          <w:lang w:val="en-GB"/>
        </w:rPr>
        <w:t>m</w:t>
      </w:r>
      <w:r w:rsidR="00157DF7">
        <w:rPr>
          <w:lang w:val="en-GB"/>
        </w:rPr>
        <w:t>onkeypox</w:t>
      </w:r>
      <w:r w:rsidR="007C5F2D" w:rsidRPr="007C25BB">
        <w:rPr>
          <w:lang w:val="en-GB"/>
        </w:rPr>
        <w:t xml:space="preserve"> </w:t>
      </w:r>
      <w:r w:rsidR="00675D9E">
        <w:rPr>
          <w:lang w:val="en-GB"/>
        </w:rPr>
        <w:t xml:space="preserve">virus infection </w:t>
      </w:r>
      <w:r w:rsidR="007C5F2D" w:rsidRPr="007C25BB">
        <w:rPr>
          <w:lang w:val="en-GB"/>
        </w:rPr>
        <w:t>must be notified by persons to whom Division 6.2 of the Act applies.</w:t>
      </w:r>
      <w:r w:rsidR="00E24EF3" w:rsidRPr="007C25BB">
        <w:rPr>
          <w:lang w:val="en-GB"/>
        </w:rPr>
        <w:t xml:space="preserve"> </w:t>
      </w:r>
    </w:p>
    <w:p w14:paraId="19B1C50C" w14:textId="77777777" w:rsidR="00E24EF3" w:rsidRPr="007C25BB" w:rsidRDefault="00E24EF3" w:rsidP="00B069F1">
      <w:pPr>
        <w:rPr>
          <w:lang w:val="en-GB"/>
        </w:rPr>
      </w:pPr>
    </w:p>
    <w:p w14:paraId="29C0C779" w14:textId="606FB25E" w:rsidR="00994D82" w:rsidRPr="007C25BB" w:rsidRDefault="002253A6" w:rsidP="00B069F1">
      <w:pPr>
        <w:rPr>
          <w:lang w:val="en-GB"/>
        </w:rPr>
      </w:pPr>
      <w:r w:rsidRPr="007C25BB">
        <w:rPr>
          <w:lang w:val="en-GB"/>
        </w:rPr>
        <w:t xml:space="preserve">Based on information </w:t>
      </w:r>
      <w:r w:rsidR="00157DF7">
        <w:rPr>
          <w:lang w:val="en-GB"/>
        </w:rPr>
        <w:t xml:space="preserve">from </w:t>
      </w:r>
      <w:r w:rsidRPr="007C25BB">
        <w:rPr>
          <w:lang w:val="en-GB"/>
        </w:rPr>
        <w:t xml:space="preserve">the </w:t>
      </w:r>
      <w:r w:rsidR="00A12AFC" w:rsidRPr="007C25BB">
        <w:rPr>
          <w:lang w:val="en-GB"/>
        </w:rPr>
        <w:t>World Health Organization (</w:t>
      </w:r>
      <w:r w:rsidRPr="007C25BB">
        <w:rPr>
          <w:lang w:val="en-GB"/>
        </w:rPr>
        <w:t>WHO</w:t>
      </w:r>
      <w:r w:rsidR="00A12AFC" w:rsidRPr="007C25BB">
        <w:rPr>
          <w:lang w:val="en-GB"/>
        </w:rPr>
        <w:t>)</w:t>
      </w:r>
      <w:r w:rsidRPr="007C25BB">
        <w:rPr>
          <w:lang w:val="en-GB"/>
        </w:rPr>
        <w:t xml:space="preserve"> and the</w:t>
      </w:r>
      <w:r w:rsidR="00157DF7">
        <w:rPr>
          <w:lang w:val="en-GB"/>
        </w:rPr>
        <w:t xml:space="preserve"> identification of </w:t>
      </w:r>
      <w:r w:rsidR="00675D9E">
        <w:rPr>
          <w:lang w:val="en-GB"/>
        </w:rPr>
        <w:t xml:space="preserve">confirmed </w:t>
      </w:r>
      <w:r w:rsidR="00157DF7">
        <w:rPr>
          <w:lang w:val="en-GB"/>
        </w:rPr>
        <w:t xml:space="preserve">cases in </w:t>
      </w:r>
      <w:r w:rsidR="00675D9E">
        <w:rPr>
          <w:lang w:val="en-GB"/>
        </w:rPr>
        <w:t>Australia</w:t>
      </w:r>
      <w:r w:rsidR="00D471E0" w:rsidRPr="007C25BB">
        <w:rPr>
          <w:lang w:val="en-GB"/>
        </w:rPr>
        <w:t>,</w:t>
      </w:r>
      <w:r w:rsidRPr="007C25BB">
        <w:rPr>
          <w:lang w:val="en-GB"/>
        </w:rPr>
        <w:t xml:space="preserve"> the Chief Health Officer has formed the belief that declaration of </w:t>
      </w:r>
      <w:r w:rsidR="00675D9E">
        <w:rPr>
          <w:lang w:val="en-GB"/>
        </w:rPr>
        <w:t>m</w:t>
      </w:r>
      <w:r w:rsidR="00157DF7">
        <w:rPr>
          <w:lang w:val="en-GB"/>
        </w:rPr>
        <w:t>onkeypox</w:t>
      </w:r>
      <w:r w:rsidR="00675D9E">
        <w:rPr>
          <w:lang w:val="en-GB"/>
        </w:rPr>
        <w:t xml:space="preserve"> virus infection</w:t>
      </w:r>
      <w:r w:rsidRPr="007C25BB">
        <w:rPr>
          <w:lang w:val="en-GB"/>
        </w:rPr>
        <w:t xml:space="preserve"> as a transmissible notifiable condition is necessary to protect public health. </w:t>
      </w:r>
      <w:r w:rsidR="002064E7">
        <w:rPr>
          <w:lang w:val="en-GB"/>
        </w:rPr>
        <w:t>Monkeypox</w:t>
      </w:r>
      <w:r w:rsidR="00BA00CD">
        <w:rPr>
          <w:lang w:val="en-GB"/>
        </w:rPr>
        <w:t xml:space="preserve"> virus infection</w:t>
      </w:r>
      <w:r w:rsidR="002064E7">
        <w:rPr>
          <w:lang w:val="en-GB"/>
        </w:rPr>
        <w:t xml:space="preserve"> is notifiable to the WHO</w:t>
      </w:r>
      <w:r w:rsidR="00BA00CD">
        <w:rPr>
          <w:lang w:val="en-GB"/>
        </w:rPr>
        <w:t xml:space="preserve"> by member states</w:t>
      </w:r>
      <w:r w:rsidR="002064E7">
        <w:rPr>
          <w:lang w:val="en-GB"/>
        </w:rPr>
        <w:t>.</w:t>
      </w:r>
    </w:p>
    <w:p w14:paraId="63B1418D" w14:textId="77777777" w:rsidR="000D4D1F" w:rsidRPr="007C25BB" w:rsidRDefault="000D4D1F" w:rsidP="00B069F1">
      <w:pPr>
        <w:rPr>
          <w:lang w:val="en-GB"/>
        </w:rPr>
      </w:pPr>
    </w:p>
    <w:p w14:paraId="48DDFA2E" w14:textId="6017B16C" w:rsidR="005E4101" w:rsidRDefault="003B184C" w:rsidP="00FC43DE">
      <w:pPr>
        <w:rPr>
          <w:lang w:val="en-GB"/>
        </w:rPr>
      </w:pPr>
      <w:r>
        <w:rPr>
          <w:lang w:val="en-GB"/>
        </w:rPr>
        <w:t xml:space="preserve">Two </w:t>
      </w:r>
      <w:r w:rsidR="00157DF7">
        <w:rPr>
          <w:lang w:val="en-GB"/>
        </w:rPr>
        <w:t>case</w:t>
      </w:r>
      <w:r>
        <w:rPr>
          <w:lang w:val="en-GB"/>
        </w:rPr>
        <w:t>s</w:t>
      </w:r>
      <w:r w:rsidR="00157DF7">
        <w:rPr>
          <w:lang w:val="en-GB"/>
        </w:rPr>
        <w:t xml:space="preserve"> of </w:t>
      </w:r>
      <w:r w:rsidR="00675D9E">
        <w:rPr>
          <w:lang w:val="en-GB"/>
        </w:rPr>
        <w:t>m</w:t>
      </w:r>
      <w:r w:rsidR="00157DF7">
        <w:rPr>
          <w:lang w:val="en-GB"/>
        </w:rPr>
        <w:t xml:space="preserve">onkeypox </w:t>
      </w:r>
      <w:r w:rsidR="00675D9E">
        <w:rPr>
          <w:lang w:val="en-GB"/>
        </w:rPr>
        <w:t xml:space="preserve">virus infection </w:t>
      </w:r>
      <w:r>
        <w:rPr>
          <w:lang w:val="en-GB"/>
        </w:rPr>
        <w:t>have</w:t>
      </w:r>
      <w:r w:rsidR="00157DF7">
        <w:rPr>
          <w:lang w:val="en-GB"/>
        </w:rPr>
        <w:t xml:space="preserve"> recently </w:t>
      </w:r>
      <w:r w:rsidR="00710EB9">
        <w:rPr>
          <w:lang w:val="en-GB"/>
        </w:rPr>
        <w:t xml:space="preserve">been confirmed </w:t>
      </w:r>
      <w:r>
        <w:rPr>
          <w:lang w:val="en-GB"/>
        </w:rPr>
        <w:t xml:space="preserve">in </w:t>
      </w:r>
      <w:r w:rsidR="00AF22C4">
        <w:rPr>
          <w:lang w:val="en-GB"/>
        </w:rPr>
        <w:t>Australia:</w:t>
      </w:r>
      <w:r>
        <w:rPr>
          <w:lang w:val="en-GB"/>
        </w:rPr>
        <w:t xml:space="preserve"> one </w:t>
      </w:r>
      <w:r w:rsidR="00157DF7">
        <w:rPr>
          <w:lang w:val="en-GB"/>
        </w:rPr>
        <w:t xml:space="preserve">in Victoria </w:t>
      </w:r>
      <w:r>
        <w:rPr>
          <w:lang w:val="en-GB"/>
        </w:rPr>
        <w:t xml:space="preserve">and the other in NSW. Neither case has had recent travel to </w:t>
      </w:r>
      <w:r w:rsidR="00675D9E">
        <w:rPr>
          <w:lang w:val="en-GB"/>
        </w:rPr>
        <w:t xml:space="preserve">endemic </w:t>
      </w:r>
      <w:r w:rsidR="00A07FEA">
        <w:rPr>
          <w:lang w:val="en-GB"/>
        </w:rPr>
        <w:t>areas</w:t>
      </w:r>
      <w:r>
        <w:rPr>
          <w:lang w:val="en-GB"/>
        </w:rPr>
        <w:t xml:space="preserve"> </w:t>
      </w:r>
      <w:r w:rsidR="00675D9E">
        <w:rPr>
          <w:lang w:val="en-GB"/>
        </w:rPr>
        <w:t>in Africa</w:t>
      </w:r>
      <w:r w:rsidR="000057E5">
        <w:rPr>
          <w:lang w:val="en-GB"/>
        </w:rPr>
        <w:t>,</w:t>
      </w:r>
      <w:r w:rsidR="00675D9E">
        <w:rPr>
          <w:lang w:val="en-GB"/>
        </w:rPr>
        <w:t xml:space="preserve"> </w:t>
      </w:r>
      <w:r>
        <w:rPr>
          <w:lang w:val="en-GB"/>
        </w:rPr>
        <w:t xml:space="preserve">which would ordinarily be typical of </w:t>
      </w:r>
      <w:r w:rsidR="00675D9E">
        <w:rPr>
          <w:lang w:val="en-GB"/>
        </w:rPr>
        <w:t>m</w:t>
      </w:r>
      <w:r>
        <w:rPr>
          <w:lang w:val="en-GB"/>
        </w:rPr>
        <w:t>onkeypox</w:t>
      </w:r>
      <w:r w:rsidR="00675D9E">
        <w:rPr>
          <w:lang w:val="en-GB"/>
        </w:rPr>
        <w:t xml:space="preserve"> virus infection</w:t>
      </w:r>
      <w:r w:rsidR="00911AD1">
        <w:rPr>
          <w:lang w:val="en-GB"/>
        </w:rPr>
        <w:t xml:space="preserve">. However, </w:t>
      </w:r>
      <w:r>
        <w:rPr>
          <w:lang w:val="en-GB"/>
        </w:rPr>
        <w:t>both</w:t>
      </w:r>
      <w:r w:rsidR="00710EB9">
        <w:rPr>
          <w:lang w:val="en-GB"/>
        </w:rPr>
        <w:t xml:space="preserve"> cases</w:t>
      </w:r>
      <w:r>
        <w:rPr>
          <w:lang w:val="en-GB"/>
        </w:rPr>
        <w:t xml:space="preserve"> had recent travel to Europe </w:t>
      </w:r>
      <w:r w:rsidR="00911AD1">
        <w:rPr>
          <w:lang w:val="en-GB"/>
        </w:rPr>
        <w:t>and/or the United Kingdom</w:t>
      </w:r>
      <w:r w:rsidR="002B238A">
        <w:rPr>
          <w:lang w:val="en-GB"/>
        </w:rPr>
        <w:t>,</w:t>
      </w:r>
      <w:r w:rsidR="00911AD1">
        <w:rPr>
          <w:lang w:val="en-GB"/>
        </w:rPr>
        <w:t xml:space="preserve"> </w:t>
      </w:r>
      <w:r w:rsidR="002B238A">
        <w:rPr>
          <w:lang w:val="en-GB"/>
        </w:rPr>
        <w:t>both of</w:t>
      </w:r>
      <w:r>
        <w:rPr>
          <w:lang w:val="en-GB"/>
        </w:rPr>
        <w:t xml:space="preserve"> which</w:t>
      </w:r>
      <w:r w:rsidR="002B238A">
        <w:rPr>
          <w:lang w:val="en-GB"/>
        </w:rPr>
        <w:t xml:space="preserve"> are non-endemic regions where</w:t>
      </w:r>
      <w:r>
        <w:rPr>
          <w:lang w:val="en-GB"/>
        </w:rPr>
        <w:t xml:space="preserve"> there has been a</w:t>
      </w:r>
      <w:r w:rsidR="00FC43DE">
        <w:rPr>
          <w:lang w:val="en-GB"/>
        </w:rPr>
        <w:t>n</w:t>
      </w:r>
      <w:r>
        <w:rPr>
          <w:lang w:val="en-GB"/>
        </w:rPr>
        <w:t xml:space="preserve"> in</w:t>
      </w:r>
      <w:r w:rsidR="00B278D8">
        <w:rPr>
          <w:lang w:val="en-GB"/>
        </w:rPr>
        <w:t>crease in</w:t>
      </w:r>
      <w:r w:rsidR="00BB0B92">
        <w:rPr>
          <w:lang w:val="en-GB"/>
        </w:rPr>
        <w:t xml:space="preserve"> </w:t>
      </w:r>
      <w:r>
        <w:rPr>
          <w:lang w:val="en-GB"/>
        </w:rPr>
        <w:t>cases</w:t>
      </w:r>
      <w:r w:rsidR="00717302">
        <w:rPr>
          <w:lang w:val="en-GB"/>
        </w:rPr>
        <w:t>.</w:t>
      </w:r>
      <w:r w:rsidR="00BB0B92" w:rsidRPr="00BB0B92">
        <w:rPr>
          <w:lang w:val="en-GB"/>
        </w:rPr>
        <w:t xml:space="preserve"> </w:t>
      </w:r>
      <w:r w:rsidR="00BB0B92">
        <w:rPr>
          <w:lang w:val="en-GB"/>
        </w:rPr>
        <w:t>Monkeypox virus is transmissible by direct, close contact with the broken skin or mucous membranes of a case, including sexual contact, or via fomites.</w:t>
      </w:r>
      <w:r w:rsidR="00BB0B92" w:rsidRPr="00FC43DE">
        <w:rPr>
          <w:lang w:val="en-GB"/>
        </w:rPr>
        <w:t xml:space="preserve"> </w:t>
      </w:r>
      <w:r w:rsidR="00717302">
        <w:rPr>
          <w:lang w:val="en-GB"/>
        </w:rPr>
        <w:t xml:space="preserve"> The emergence of </w:t>
      </w:r>
      <w:r w:rsidR="00831A53">
        <w:rPr>
          <w:lang w:val="en-GB"/>
        </w:rPr>
        <w:t xml:space="preserve">monkeypox virus infection </w:t>
      </w:r>
      <w:r w:rsidR="00717302">
        <w:rPr>
          <w:lang w:val="en-GB"/>
        </w:rPr>
        <w:t xml:space="preserve">cases in </w:t>
      </w:r>
      <w:r w:rsidR="00831A53">
        <w:rPr>
          <w:lang w:val="en-GB"/>
        </w:rPr>
        <w:t>several</w:t>
      </w:r>
      <w:r w:rsidR="00717302">
        <w:rPr>
          <w:lang w:val="en-GB"/>
        </w:rPr>
        <w:t xml:space="preserve"> non-endemic countries </w:t>
      </w:r>
      <w:r w:rsidR="00710EB9">
        <w:rPr>
          <w:lang w:val="en-GB"/>
        </w:rPr>
        <w:t xml:space="preserve">indicates a need for increased public health </w:t>
      </w:r>
      <w:r w:rsidR="00831A53">
        <w:rPr>
          <w:lang w:val="en-GB"/>
        </w:rPr>
        <w:t>surveillance</w:t>
      </w:r>
      <w:r w:rsidR="00710EB9">
        <w:rPr>
          <w:lang w:val="en-GB"/>
        </w:rPr>
        <w:t xml:space="preserve"> to better understand the epidemiology, </w:t>
      </w:r>
      <w:r w:rsidR="00AF22C4">
        <w:rPr>
          <w:lang w:val="en-GB"/>
        </w:rPr>
        <w:t xml:space="preserve">morbidity, </w:t>
      </w:r>
      <w:r w:rsidR="00710EB9">
        <w:rPr>
          <w:lang w:val="en-GB"/>
        </w:rPr>
        <w:t>sources of infection and transmission patterns</w:t>
      </w:r>
      <w:r w:rsidR="00B278D8">
        <w:rPr>
          <w:lang w:val="en-GB"/>
        </w:rPr>
        <w:t xml:space="preserve"> to contain </w:t>
      </w:r>
      <w:r w:rsidR="00831A53">
        <w:rPr>
          <w:lang w:val="en-GB"/>
        </w:rPr>
        <w:t>spread and protect the public.</w:t>
      </w:r>
      <w:r w:rsidR="00FC43DE" w:rsidRPr="00FC43DE">
        <w:rPr>
          <w:lang w:val="en-GB"/>
        </w:rPr>
        <w:t xml:space="preserve"> </w:t>
      </w:r>
    </w:p>
    <w:p w14:paraId="7FFDE4A1" w14:textId="77777777" w:rsidR="005E4101" w:rsidRDefault="005E4101" w:rsidP="00FC43DE">
      <w:pPr>
        <w:rPr>
          <w:lang w:val="en-GB"/>
        </w:rPr>
      </w:pPr>
    </w:p>
    <w:p w14:paraId="779E1D40" w14:textId="36E986DC" w:rsidR="00FC43DE" w:rsidRDefault="00A07FEA" w:rsidP="00FC43DE">
      <w:pPr>
        <w:rPr>
          <w:lang w:val="en-GB"/>
        </w:rPr>
      </w:pPr>
      <w:r>
        <w:rPr>
          <w:lang w:val="en-GB"/>
        </w:rPr>
        <w:lastRenderedPageBreak/>
        <w:t xml:space="preserve">A case of monkeypox </w:t>
      </w:r>
      <w:r w:rsidR="00AF22C4">
        <w:rPr>
          <w:lang w:val="en-GB"/>
        </w:rPr>
        <w:t>can</w:t>
      </w:r>
      <w:r w:rsidR="005E4101">
        <w:rPr>
          <w:lang w:val="en-GB"/>
        </w:rPr>
        <w:t xml:space="preserve"> be defined</w:t>
      </w:r>
      <w:r>
        <w:rPr>
          <w:lang w:val="en-GB"/>
        </w:rPr>
        <w:t xml:space="preserve"> and national case definitions are rapidly being developed. There </w:t>
      </w:r>
      <w:r w:rsidR="005E4101">
        <w:rPr>
          <w:lang w:val="en-GB"/>
        </w:rPr>
        <w:t>is</w:t>
      </w:r>
      <w:r>
        <w:rPr>
          <w:lang w:val="en-GB"/>
        </w:rPr>
        <w:t xml:space="preserve"> no alternative surveillance mechanism for </w:t>
      </w:r>
      <w:r w:rsidR="00A57061">
        <w:rPr>
          <w:lang w:val="en-GB"/>
        </w:rPr>
        <w:t xml:space="preserve">monitoring monkeypox in the ACT. </w:t>
      </w:r>
    </w:p>
    <w:p w14:paraId="38A512CF" w14:textId="2FCF5196" w:rsidR="002064E7" w:rsidRDefault="002064E7" w:rsidP="00B069F1">
      <w:pPr>
        <w:rPr>
          <w:lang w:val="en-GB"/>
        </w:rPr>
      </w:pPr>
    </w:p>
    <w:p w14:paraId="7EE5358F" w14:textId="77777777" w:rsidR="005E4101" w:rsidRDefault="00A57061" w:rsidP="00B069F1">
      <w:pPr>
        <w:rPr>
          <w:lang w:val="en-GB"/>
        </w:rPr>
      </w:pPr>
      <w:r>
        <w:rPr>
          <w:lang w:val="en-GB"/>
        </w:rPr>
        <w:t>Monkeypox</w:t>
      </w:r>
      <w:r w:rsidR="00A07FEA">
        <w:rPr>
          <w:lang w:val="en-GB"/>
        </w:rPr>
        <w:t xml:space="preserve"> is a new and rapidly emerging disease in Australia, with the potential to cause </w:t>
      </w:r>
      <w:r>
        <w:rPr>
          <w:lang w:val="en-GB"/>
        </w:rPr>
        <w:t>outbreaks</w:t>
      </w:r>
      <w:r w:rsidR="00A07FEA">
        <w:rPr>
          <w:lang w:val="en-GB"/>
        </w:rPr>
        <w:t xml:space="preserve">. </w:t>
      </w:r>
    </w:p>
    <w:p w14:paraId="7AA3D554" w14:textId="7A3BEEA6" w:rsidR="00A07FEA" w:rsidRDefault="00A07FEA" w:rsidP="00B069F1">
      <w:pPr>
        <w:rPr>
          <w:lang w:val="en-GB"/>
        </w:rPr>
      </w:pPr>
    </w:p>
    <w:p w14:paraId="6665ADAA" w14:textId="4025813B" w:rsidR="00A07FEA" w:rsidRDefault="00A07FEA" w:rsidP="00B069F1">
      <w:pPr>
        <w:rPr>
          <w:lang w:val="en-GB"/>
        </w:rPr>
      </w:pPr>
      <w:r>
        <w:rPr>
          <w:lang w:val="en-GB"/>
        </w:rPr>
        <w:t xml:space="preserve">Monkeypox usually causes a mild illness, however severe cases can occur. Young children, pregnant </w:t>
      </w:r>
      <w:r w:rsidR="00AF22C4">
        <w:rPr>
          <w:lang w:val="en-GB"/>
        </w:rPr>
        <w:t>people,</w:t>
      </w:r>
      <w:r>
        <w:rPr>
          <w:lang w:val="en-GB"/>
        </w:rPr>
        <w:t xml:space="preserve"> and people with immunocompromise may be at increased risk of severe disease. </w:t>
      </w:r>
    </w:p>
    <w:p w14:paraId="094F058B" w14:textId="37944CFC" w:rsidR="00B278D8" w:rsidRDefault="00B278D8" w:rsidP="00B069F1">
      <w:pPr>
        <w:rPr>
          <w:lang w:val="en-GB"/>
        </w:rPr>
      </w:pPr>
    </w:p>
    <w:p w14:paraId="6CB9DEE9" w14:textId="0927BF6F" w:rsidR="005E4101" w:rsidRDefault="00B278D8" w:rsidP="00B278D8">
      <w:pPr>
        <w:rPr>
          <w:lang w:val="en-GB"/>
        </w:rPr>
      </w:pPr>
      <w:r>
        <w:rPr>
          <w:lang w:val="en-GB"/>
        </w:rPr>
        <w:t xml:space="preserve">Treatment of monkeypox virus infection is supportive. </w:t>
      </w:r>
      <w:r w:rsidRPr="007C25BB">
        <w:rPr>
          <w:lang w:val="en-GB"/>
        </w:rPr>
        <w:t xml:space="preserve">There </w:t>
      </w:r>
      <w:r>
        <w:rPr>
          <w:lang w:val="en-GB"/>
        </w:rPr>
        <w:t>are</w:t>
      </w:r>
      <w:r w:rsidRPr="007C25BB">
        <w:rPr>
          <w:lang w:val="en-GB"/>
        </w:rPr>
        <w:t xml:space="preserve"> no </w:t>
      </w:r>
      <w:r>
        <w:rPr>
          <w:lang w:val="en-GB"/>
        </w:rPr>
        <w:t>accessible, monkeypox virus-specific treatment</w:t>
      </w:r>
      <w:r w:rsidRPr="007C25BB">
        <w:rPr>
          <w:lang w:val="en-GB"/>
        </w:rPr>
        <w:t xml:space="preserve"> </w:t>
      </w:r>
      <w:r>
        <w:rPr>
          <w:lang w:val="en-GB"/>
        </w:rPr>
        <w:t>options</w:t>
      </w:r>
      <w:r w:rsidR="00831A53">
        <w:rPr>
          <w:lang w:val="en-GB"/>
        </w:rPr>
        <w:t xml:space="preserve"> currently available</w:t>
      </w:r>
      <w:r>
        <w:rPr>
          <w:lang w:val="en-GB"/>
        </w:rPr>
        <w:t xml:space="preserve"> in Australia. There is no monkeypox virus</w:t>
      </w:r>
      <w:r w:rsidR="00831A53">
        <w:rPr>
          <w:lang w:val="en-GB"/>
        </w:rPr>
        <w:t>-specific</w:t>
      </w:r>
      <w:r>
        <w:rPr>
          <w:lang w:val="en-GB"/>
        </w:rPr>
        <w:t xml:space="preserve"> vaccine available, however smallpox vaccines have been demonstrated to provide some protection against monkeypox virus infection</w:t>
      </w:r>
      <w:r w:rsidR="00831A53">
        <w:rPr>
          <w:lang w:val="en-GB"/>
        </w:rPr>
        <w:t xml:space="preserve"> and are recommended for use as post-exposure prophylaxis </w:t>
      </w:r>
      <w:r w:rsidR="005E4101">
        <w:rPr>
          <w:lang w:val="en-GB"/>
        </w:rPr>
        <w:t xml:space="preserve">(PEP) </w:t>
      </w:r>
      <w:r w:rsidR="00831A53">
        <w:rPr>
          <w:lang w:val="en-GB"/>
        </w:rPr>
        <w:t>or as prevention in individuals at high risk of exposure</w:t>
      </w:r>
      <w:r>
        <w:rPr>
          <w:lang w:val="en-GB"/>
        </w:rPr>
        <w:t xml:space="preserve">. </w:t>
      </w:r>
      <w:r w:rsidR="00831A53">
        <w:rPr>
          <w:lang w:val="en-GB"/>
        </w:rPr>
        <w:t>The smallpox vaccine available in Australia, is a live vaccinia virus vaccine that</w:t>
      </w:r>
      <w:r w:rsidR="00BB0B92">
        <w:rPr>
          <w:lang w:val="en-GB"/>
        </w:rPr>
        <w:t xml:space="preserve"> may provide benefit in protecting high-risk individuals but</w:t>
      </w:r>
      <w:r w:rsidR="00831A53">
        <w:rPr>
          <w:lang w:val="en-GB"/>
        </w:rPr>
        <w:t xml:space="preserve"> requires specific training to administer and cannot be given to certain high-risk groups, such as individuals with severe immunodeficiency</w:t>
      </w:r>
      <w:r w:rsidR="00BA00CD">
        <w:rPr>
          <w:lang w:val="en-GB"/>
        </w:rPr>
        <w:t xml:space="preserve"> and</w:t>
      </w:r>
      <w:r w:rsidR="00831A53">
        <w:rPr>
          <w:lang w:val="en-GB"/>
        </w:rPr>
        <w:t xml:space="preserve"> pregnant women. </w:t>
      </w:r>
      <w:r w:rsidR="00A07FEA">
        <w:rPr>
          <w:lang w:val="en-GB"/>
        </w:rPr>
        <w:t xml:space="preserve">The </w:t>
      </w:r>
      <w:r w:rsidR="00AF22C4">
        <w:rPr>
          <w:lang w:val="en-GB"/>
        </w:rPr>
        <w:t>vaccine has</w:t>
      </w:r>
      <w:r w:rsidR="00A07FEA">
        <w:rPr>
          <w:lang w:val="en-GB"/>
        </w:rPr>
        <w:t xml:space="preserve"> significant </w:t>
      </w:r>
      <w:r w:rsidR="006D1DFA">
        <w:rPr>
          <w:lang w:val="en-GB"/>
        </w:rPr>
        <w:t xml:space="preserve">side </w:t>
      </w:r>
      <w:r w:rsidR="00AF22C4">
        <w:rPr>
          <w:lang w:val="en-GB"/>
        </w:rPr>
        <w:t>effects –</w:t>
      </w:r>
      <w:r w:rsidR="00A07FEA">
        <w:rPr>
          <w:lang w:val="en-GB"/>
        </w:rPr>
        <w:t xml:space="preserve"> consequently, administration of PEP requires an individual risk-benefit assessment.</w:t>
      </w:r>
    </w:p>
    <w:p w14:paraId="507A2E56" w14:textId="77777777" w:rsidR="005E4101" w:rsidRDefault="005E4101" w:rsidP="00B278D8">
      <w:pPr>
        <w:rPr>
          <w:lang w:val="en-GB"/>
        </w:rPr>
      </w:pPr>
    </w:p>
    <w:p w14:paraId="51C30EDF" w14:textId="765B41C8" w:rsidR="00B278D8" w:rsidRDefault="00A07FEA" w:rsidP="00B278D8">
      <w:pPr>
        <w:rPr>
          <w:lang w:val="en-GB"/>
        </w:rPr>
      </w:pPr>
      <w:r>
        <w:rPr>
          <w:lang w:val="en-GB"/>
        </w:rPr>
        <w:t xml:space="preserve">For PEP to be effective at preventing development of disease, it needs to be given within a limited </w:t>
      </w:r>
      <w:r w:rsidR="00AF22C4">
        <w:rPr>
          <w:lang w:val="en-GB"/>
        </w:rPr>
        <w:t>period</w:t>
      </w:r>
      <w:r>
        <w:rPr>
          <w:lang w:val="en-GB"/>
        </w:rPr>
        <w:t xml:space="preserve"> following last exposure, necessitating timely notification of monkeypox cases to ACT Health. </w:t>
      </w:r>
    </w:p>
    <w:p w14:paraId="66876DE4" w14:textId="12690364" w:rsidR="006D1DFA" w:rsidRDefault="006D1DFA" w:rsidP="00B278D8">
      <w:pPr>
        <w:rPr>
          <w:lang w:val="en-GB"/>
        </w:rPr>
      </w:pPr>
    </w:p>
    <w:p w14:paraId="61B3D8DC" w14:textId="7E094F46" w:rsidR="006D1DFA" w:rsidRDefault="005E4101" w:rsidP="00B278D8">
      <w:pPr>
        <w:rPr>
          <w:lang w:val="en-GB"/>
        </w:rPr>
      </w:pPr>
      <w:r>
        <w:rPr>
          <w:lang w:val="en-GB"/>
        </w:rPr>
        <w:t xml:space="preserve">The spread of monkeypox virus infection </w:t>
      </w:r>
      <w:r w:rsidR="00AF22C4">
        <w:rPr>
          <w:lang w:val="en-GB"/>
        </w:rPr>
        <w:t>can</w:t>
      </w:r>
      <w:r>
        <w:rPr>
          <w:lang w:val="en-GB"/>
        </w:rPr>
        <w:t xml:space="preserve"> be prevented through i</w:t>
      </w:r>
      <w:r w:rsidR="006D1DFA">
        <w:rPr>
          <w:lang w:val="en-GB"/>
        </w:rPr>
        <w:t>nfection prevention and control measures including personal protective equipment use, contact tracing and management</w:t>
      </w:r>
      <w:r w:rsidR="00BB0B92">
        <w:rPr>
          <w:lang w:val="en-GB"/>
        </w:rPr>
        <w:t>,</w:t>
      </w:r>
      <w:r w:rsidR="006D1DFA">
        <w:rPr>
          <w:lang w:val="en-GB"/>
        </w:rPr>
        <w:t xml:space="preserve"> and vaccination of high-risk individuals or </w:t>
      </w:r>
      <w:r w:rsidR="00BB0B92">
        <w:rPr>
          <w:lang w:val="en-GB"/>
        </w:rPr>
        <w:t>use as</w:t>
      </w:r>
      <w:r w:rsidR="00FC43DE">
        <w:rPr>
          <w:lang w:val="en-GB"/>
        </w:rPr>
        <w:t xml:space="preserve"> </w:t>
      </w:r>
      <w:r>
        <w:rPr>
          <w:lang w:val="en-GB"/>
        </w:rPr>
        <w:t>PEP.</w:t>
      </w:r>
    </w:p>
    <w:p w14:paraId="39402631" w14:textId="77777777" w:rsidR="00911AD1" w:rsidRDefault="00911AD1" w:rsidP="00B069F1">
      <w:pPr>
        <w:rPr>
          <w:lang w:val="en-GB"/>
        </w:rPr>
      </w:pPr>
    </w:p>
    <w:p w14:paraId="222C9AD6" w14:textId="39728757" w:rsidR="00785724" w:rsidRPr="007C25BB" w:rsidRDefault="00911AD1" w:rsidP="00B069F1">
      <w:pPr>
        <w:rPr>
          <w:lang w:val="en-GB"/>
        </w:rPr>
      </w:pPr>
      <w:r>
        <w:rPr>
          <w:lang w:val="en-GB"/>
        </w:rPr>
        <w:t xml:space="preserve">In response to the public health risks posed by the detection of cases of </w:t>
      </w:r>
      <w:r w:rsidR="00675D9E">
        <w:rPr>
          <w:lang w:val="en-GB"/>
        </w:rPr>
        <w:t>m</w:t>
      </w:r>
      <w:r>
        <w:rPr>
          <w:lang w:val="en-GB"/>
        </w:rPr>
        <w:t xml:space="preserve">onkeypox </w:t>
      </w:r>
      <w:r w:rsidR="00675D9E">
        <w:rPr>
          <w:lang w:val="en-GB"/>
        </w:rPr>
        <w:t xml:space="preserve">virus infection </w:t>
      </w:r>
      <w:r>
        <w:rPr>
          <w:lang w:val="en-GB"/>
        </w:rPr>
        <w:t>within Australia</w:t>
      </w:r>
      <w:r w:rsidR="00710EB9">
        <w:rPr>
          <w:lang w:val="en-GB"/>
        </w:rPr>
        <w:t>,</w:t>
      </w:r>
      <w:r>
        <w:rPr>
          <w:lang w:val="en-GB"/>
        </w:rPr>
        <w:t xml:space="preserve"> the NSW Minister for Health has made an order amending Schedules 1 and 2 of the NSW </w:t>
      </w:r>
      <w:r w:rsidRPr="00911AD1">
        <w:rPr>
          <w:i/>
          <w:iCs/>
          <w:lang w:val="en-GB"/>
        </w:rPr>
        <w:t>Public Health Act 2010</w:t>
      </w:r>
      <w:r>
        <w:rPr>
          <w:lang w:val="en-GB"/>
        </w:rPr>
        <w:t xml:space="preserve"> to include </w:t>
      </w:r>
      <w:r w:rsidR="00675D9E">
        <w:rPr>
          <w:lang w:val="en-GB"/>
        </w:rPr>
        <w:t>m</w:t>
      </w:r>
      <w:r>
        <w:rPr>
          <w:lang w:val="en-GB"/>
        </w:rPr>
        <w:t xml:space="preserve">onkeypox </w:t>
      </w:r>
      <w:r w:rsidR="00675D9E">
        <w:rPr>
          <w:lang w:val="en-GB"/>
        </w:rPr>
        <w:t xml:space="preserve">virus infection </w:t>
      </w:r>
      <w:r>
        <w:rPr>
          <w:lang w:val="en-GB"/>
        </w:rPr>
        <w:t>as a scheduled medical condition and notifiable disease. This temporary declaration will ensure the approach within the ACT remains consistent with that in NSW.</w:t>
      </w:r>
      <w:r w:rsidR="00AF22C4">
        <w:rPr>
          <w:lang w:val="en-GB"/>
        </w:rPr>
        <w:t xml:space="preserve"> Other jurisdictions are considering making monkeypox notifiable.</w:t>
      </w:r>
    </w:p>
    <w:p w14:paraId="5BCC74BE" w14:textId="77777777" w:rsidR="001A7D3B" w:rsidRPr="007C25BB" w:rsidRDefault="001A7D3B" w:rsidP="00B069F1">
      <w:pPr>
        <w:rPr>
          <w:lang w:val="en-GB"/>
        </w:rPr>
      </w:pPr>
    </w:p>
    <w:p w14:paraId="4DA786E6" w14:textId="63B255FD" w:rsidR="001A7D3B" w:rsidRPr="007C25BB" w:rsidRDefault="001A7D3B" w:rsidP="00B069F1">
      <w:pPr>
        <w:rPr>
          <w:lang w:val="en-GB"/>
        </w:rPr>
      </w:pPr>
      <w:r w:rsidRPr="007C25BB">
        <w:rPr>
          <w:lang w:val="en-GB"/>
        </w:rPr>
        <w:t xml:space="preserve">Notification of </w:t>
      </w:r>
      <w:r w:rsidR="00675D9E">
        <w:rPr>
          <w:lang w:val="en-GB"/>
        </w:rPr>
        <w:t>m</w:t>
      </w:r>
      <w:r w:rsidR="00157DF7">
        <w:rPr>
          <w:lang w:val="en-GB"/>
        </w:rPr>
        <w:t>onkeypox</w:t>
      </w:r>
      <w:r w:rsidR="00675D9E">
        <w:rPr>
          <w:lang w:val="en-GB"/>
        </w:rPr>
        <w:t xml:space="preserve"> virus infection</w:t>
      </w:r>
      <w:r w:rsidRPr="007C25BB">
        <w:rPr>
          <w:lang w:val="en-GB"/>
        </w:rPr>
        <w:t xml:space="preserve"> will allow identification and implementation of disease control measure</w:t>
      </w:r>
      <w:r w:rsidR="00587AC2" w:rsidRPr="007C25BB">
        <w:rPr>
          <w:lang w:val="en-GB"/>
        </w:rPr>
        <w:t>s</w:t>
      </w:r>
      <w:r w:rsidRPr="007C25BB">
        <w:rPr>
          <w:lang w:val="en-GB"/>
        </w:rPr>
        <w:t xml:space="preserve"> to contain the spread of </w:t>
      </w:r>
      <w:r w:rsidR="00831A53">
        <w:rPr>
          <w:lang w:val="en-GB"/>
        </w:rPr>
        <w:t>monkeypox virus infection</w:t>
      </w:r>
      <w:r w:rsidR="00AF22C4">
        <w:rPr>
          <w:lang w:val="en-GB"/>
        </w:rPr>
        <w:t>,</w:t>
      </w:r>
      <w:r w:rsidR="00157DF7">
        <w:rPr>
          <w:lang w:val="en-GB"/>
        </w:rPr>
        <w:t xml:space="preserve"> </w:t>
      </w:r>
      <w:r w:rsidR="00831A53">
        <w:rPr>
          <w:lang w:val="en-GB"/>
        </w:rPr>
        <w:t>if</w:t>
      </w:r>
      <w:r w:rsidR="00157DF7">
        <w:rPr>
          <w:lang w:val="en-GB"/>
        </w:rPr>
        <w:t xml:space="preserve"> detected in the </w:t>
      </w:r>
      <w:r w:rsidR="00FE3DA5">
        <w:rPr>
          <w:lang w:val="en-GB"/>
        </w:rPr>
        <w:t>ACT.</w:t>
      </w:r>
      <w:r w:rsidRPr="007C25BB">
        <w:rPr>
          <w:lang w:val="en-GB"/>
        </w:rPr>
        <w:t xml:space="preserve"> </w:t>
      </w:r>
    </w:p>
    <w:p w14:paraId="2EEEF248" w14:textId="77777777" w:rsidR="001A7D3B" w:rsidRPr="007C25BB" w:rsidRDefault="001A7D3B" w:rsidP="00B069F1">
      <w:pPr>
        <w:rPr>
          <w:lang w:val="en-GB"/>
        </w:rPr>
      </w:pPr>
    </w:p>
    <w:p w14:paraId="1FD18DFF" w14:textId="5BBEDA25" w:rsidR="00DE7936" w:rsidRPr="007C25BB" w:rsidRDefault="00DE7936" w:rsidP="00B069F1">
      <w:pPr>
        <w:rPr>
          <w:lang w:val="en-GB"/>
        </w:rPr>
      </w:pPr>
      <w:r w:rsidRPr="007C25BB">
        <w:rPr>
          <w:lang w:val="en-GB"/>
        </w:rPr>
        <w:t>DI20</w:t>
      </w:r>
      <w:r w:rsidR="00157DF7">
        <w:rPr>
          <w:lang w:val="en-GB"/>
        </w:rPr>
        <w:t>22</w:t>
      </w:r>
      <w:r w:rsidRPr="007C25BB">
        <w:rPr>
          <w:lang w:val="en-GB"/>
        </w:rPr>
        <w:noBreakHyphen/>
        <w:t>1</w:t>
      </w:r>
      <w:r w:rsidR="00157DF7">
        <w:rPr>
          <w:lang w:val="en-GB"/>
        </w:rPr>
        <w:t>9</w:t>
      </w:r>
      <w:r w:rsidRPr="007C25BB">
        <w:rPr>
          <w:lang w:val="en-GB"/>
        </w:rPr>
        <w:t xml:space="preserve"> on the ACT Legislation Register is the </w:t>
      </w:r>
      <w:r w:rsidR="00EC61A9" w:rsidRPr="007C25BB">
        <w:rPr>
          <w:lang w:val="en-GB"/>
        </w:rPr>
        <w:t>Public Health (Reporting of Notifiable Conditions) Code of Practice 20</w:t>
      </w:r>
      <w:r w:rsidR="00157DF7">
        <w:rPr>
          <w:lang w:val="en-GB"/>
        </w:rPr>
        <w:t>22</w:t>
      </w:r>
      <w:r w:rsidR="00EC61A9" w:rsidRPr="007C25BB">
        <w:rPr>
          <w:lang w:val="en-GB"/>
        </w:rPr>
        <w:t xml:space="preserve"> (the Code of Practice</w:t>
      </w:r>
      <w:r w:rsidR="003A6082" w:rsidRPr="007C25BB">
        <w:rPr>
          <w:lang w:val="en-GB"/>
        </w:rPr>
        <w:t>)</w:t>
      </w:r>
      <w:r w:rsidR="00EC61A9" w:rsidRPr="007C25BB">
        <w:rPr>
          <w:lang w:val="en-GB"/>
        </w:rPr>
        <w:t xml:space="preserve">. </w:t>
      </w:r>
      <w:r w:rsidRPr="007C25BB">
        <w:rPr>
          <w:lang w:val="en-GB"/>
        </w:rPr>
        <w:t xml:space="preserve">That Code of Practice sets out by when, to whom, and how notifications of notifiable conditions are to occur. The Code of Practice sorts notifiable conditions into two groups, with those in ‘Group A’ needing to be notified immediately by telephone and then followed </w:t>
      </w:r>
      <w:r w:rsidR="00587AC2" w:rsidRPr="007C25BB">
        <w:rPr>
          <w:lang w:val="en-GB"/>
        </w:rPr>
        <w:t>by</w:t>
      </w:r>
      <w:r w:rsidR="004F1CA6" w:rsidRPr="007C25BB">
        <w:rPr>
          <w:lang w:val="en-GB"/>
        </w:rPr>
        <w:t xml:space="preserve"> </w:t>
      </w:r>
      <w:r w:rsidRPr="007C25BB">
        <w:rPr>
          <w:lang w:val="en-GB"/>
        </w:rPr>
        <w:t>writ</w:t>
      </w:r>
      <w:r w:rsidR="00587AC2" w:rsidRPr="007C25BB">
        <w:rPr>
          <w:lang w:val="en-GB"/>
        </w:rPr>
        <w:t>ten notification</w:t>
      </w:r>
      <w:r w:rsidRPr="007C25BB">
        <w:rPr>
          <w:lang w:val="en-GB"/>
        </w:rPr>
        <w:t xml:space="preserve"> within five days. </w:t>
      </w:r>
    </w:p>
    <w:p w14:paraId="4541414F" w14:textId="77777777" w:rsidR="00DE7936" w:rsidRPr="007C25BB" w:rsidRDefault="00DE7936" w:rsidP="00B069F1">
      <w:pPr>
        <w:rPr>
          <w:lang w:val="en-GB"/>
        </w:rPr>
      </w:pPr>
    </w:p>
    <w:p w14:paraId="73734D16" w14:textId="4B99B42F" w:rsidR="00DE7936" w:rsidRPr="007C25BB" w:rsidRDefault="00DE7936" w:rsidP="00B069F1">
      <w:pPr>
        <w:rPr>
          <w:lang w:val="en-GB"/>
        </w:rPr>
      </w:pPr>
      <w:r w:rsidRPr="007C25BB">
        <w:rPr>
          <w:lang w:val="en-GB"/>
        </w:rPr>
        <w:lastRenderedPageBreak/>
        <w:t xml:space="preserve">Clause 4 of this instrument confirms that notifications of </w:t>
      </w:r>
      <w:r w:rsidR="00675D9E">
        <w:rPr>
          <w:lang w:val="en-GB"/>
        </w:rPr>
        <w:t>m</w:t>
      </w:r>
      <w:r w:rsidR="00FD7890">
        <w:rPr>
          <w:lang w:val="en-GB"/>
        </w:rPr>
        <w:t xml:space="preserve">onkeypox </w:t>
      </w:r>
      <w:r w:rsidR="00675D9E">
        <w:rPr>
          <w:lang w:val="en-GB"/>
        </w:rPr>
        <w:t xml:space="preserve">virus infection </w:t>
      </w:r>
      <w:r w:rsidRPr="007C25BB">
        <w:rPr>
          <w:lang w:val="en-GB"/>
        </w:rPr>
        <w:t xml:space="preserve">will, for the period that this declaration is in operation, be subject to the same notification obligations and arrangements as ‘Group A’ notifiable conditions in the Code of Practice. </w:t>
      </w:r>
    </w:p>
    <w:p w14:paraId="29613995" w14:textId="77777777" w:rsidR="00615BAE" w:rsidRPr="007C25BB" w:rsidRDefault="00615BAE" w:rsidP="00B069F1">
      <w:pPr>
        <w:rPr>
          <w:lang w:val="en-GB"/>
        </w:rPr>
      </w:pPr>
    </w:p>
    <w:p w14:paraId="77728465" w14:textId="5296A9E9" w:rsidR="00BD7813" w:rsidRPr="007C25BB" w:rsidRDefault="00BD7813" w:rsidP="00B069F1">
      <w:pPr>
        <w:rPr>
          <w:lang w:val="en-GB"/>
        </w:rPr>
      </w:pPr>
      <w:r w:rsidRPr="007C25BB">
        <w:rPr>
          <w:lang w:val="en-GB"/>
        </w:rPr>
        <w:t xml:space="preserve">The determination is a disallowable instrument for the purposes of the </w:t>
      </w:r>
      <w:r w:rsidRPr="007C25BB">
        <w:rPr>
          <w:i/>
          <w:iCs/>
          <w:lang w:val="en-GB"/>
        </w:rPr>
        <w:t>Legislation Act 2001</w:t>
      </w:r>
      <w:r w:rsidRPr="007C25BB">
        <w:rPr>
          <w:lang w:val="en-GB"/>
        </w:rPr>
        <w:t xml:space="preserve">. </w:t>
      </w:r>
      <w:r w:rsidR="005F66CD">
        <w:rPr>
          <w:lang w:val="en-GB"/>
        </w:rPr>
        <w:t>An</w:t>
      </w:r>
      <w:r w:rsidRPr="007C25BB">
        <w:rPr>
          <w:lang w:val="en-GB"/>
        </w:rPr>
        <w:t xml:space="preserve"> expiration period o</w:t>
      </w:r>
      <w:r w:rsidR="005F66CD">
        <w:rPr>
          <w:lang w:val="en-GB"/>
        </w:rPr>
        <w:t xml:space="preserve">f 1 November 2022 has been set, which is a date not longer than 6 months from commencement </w:t>
      </w:r>
      <w:r w:rsidRPr="007C25BB">
        <w:rPr>
          <w:lang w:val="en-GB"/>
        </w:rPr>
        <w:t>its notification date</w:t>
      </w:r>
      <w:r w:rsidR="005F66CD">
        <w:rPr>
          <w:lang w:val="en-GB"/>
        </w:rPr>
        <w:t xml:space="preserve"> as is required under </w:t>
      </w:r>
      <w:r w:rsidR="005F66CD" w:rsidRPr="007C25BB">
        <w:rPr>
          <w:lang w:val="en-GB"/>
        </w:rPr>
        <w:t>section 101(3)(b)(</w:t>
      </w:r>
      <w:proofErr w:type="spellStart"/>
      <w:r w:rsidR="005F66CD" w:rsidRPr="007C25BB">
        <w:rPr>
          <w:lang w:val="en-GB"/>
        </w:rPr>
        <w:t>i</w:t>
      </w:r>
      <w:proofErr w:type="spellEnd"/>
      <w:r w:rsidR="005F66CD" w:rsidRPr="007C25BB">
        <w:rPr>
          <w:lang w:val="en-GB"/>
        </w:rPr>
        <w:t>) of the Act</w:t>
      </w:r>
      <w:r w:rsidRPr="007C25BB">
        <w:rPr>
          <w:lang w:val="en-GB"/>
        </w:rPr>
        <w:t>.</w:t>
      </w:r>
    </w:p>
    <w:p w14:paraId="7F4E19AA" w14:textId="77777777" w:rsidR="00BD7813" w:rsidRPr="007C25BB" w:rsidRDefault="00BD7813" w:rsidP="00B069F1">
      <w:pPr>
        <w:rPr>
          <w:lang w:val="en-GB"/>
        </w:rPr>
      </w:pPr>
    </w:p>
    <w:p w14:paraId="723B7C13" w14:textId="77777777" w:rsidR="00615BAE" w:rsidRPr="007C25BB" w:rsidRDefault="00615BAE" w:rsidP="00B069F1">
      <w:pPr>
        <w:rPr>
          <w:lang w:val="en-GB"/>
        </w:rPr>
      </w:pPr>
    </w:p>
    <w:sectPr w:rsidR="00615BAE" w:rsidRPr="007C25BB" w:rsidSect="008D4ABF">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ABCA" w14:textId="77777777" w:rsidR="0026178B" w:rsidRDefault="0026178B">
      <w:r>
        <w:separator/>
      </w:r>
    </w:p>
  </w:endnote>
  <w:endnote w:type="continuationSeparator" w:id="0">
    <w:p w14:paraId="619E7364" w14:textId="77777777" w:rsidR="0026178B" w:rsidRDefault="002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D686" w14:textId="77777777" w:rsidR="00C460D5" w:rsidRDefault="00C46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3DDE" w14:textId="7AAB493C" w:rsidR="001C6D9B" w:rsidRDefault="001C6D9B">
    <w:pPr>
      <w:pStyle w:val="Footer"/>
      <w:jc w:val="right"/>
      <w:rPr>
        <w:b/>
      </w:rPr>
    </w:pPr>
    <w:r>
      <w:t xml:space="preserve">Page </w:t>
    </w:r>
    <w:r>
      <w:rPr>
        <w:b/>
      </w:rPr>
      <w:fldChar w:fldCharType="begin"/>
    </w:r>
    <w:r>
      <w:rPr>
        <w:b/>
      </w:rPr>
      <w:instrText xml:space="preserve"> PAGE </w:instrText>
    </w:r>
    <w:r>
      <w:rPr>
        <w:b/>
      </w:rPr>
      <w:fldChar w:fldCharType="separate"/>
    </w:r>
    <w:r w:rsidR="00AB4A2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B4A2B">
      <w:rPr>
        <w:b/>
        <w:noProof/>
      </w:rPr>
      <w:t>1</w:t>
    </w:r>
    <w:r>
      <w:rPr>
        <w:b/>
      </w:rPr>
      <w:fldChar w:fldCharType="end"/>
    </w:r>
  </w:p>
  <w:p w14:paraId="1825755D" w14:textId="19CD4398" w:rsidR="00041CD4" w:rsidRPr="00C460D5" w:rsidRDefault="00C460D5" w:rsidP="00C460D5">
    <w:pPr>
      <w:pStyle w:val="Footer"/>
      <w:spacing w:before="240"/>
      <w:jc w:val="center"/>
      <w:rPr>
        <w:rFonts w:ascii="Arial" w:hAnsi="Arial" w:cs="Arial"/>
        <w:b/>
        <w:sz w:val="14"/>
        <w:szCs w:val="14"/>
      </w:rPr>
    </w:pPr>
    <w:r w:rsidRPr="00C460D5">
      <w:rPr>
        <w:rFonts w:ascii="Arial" w:hAnsi="Arial" w:cs="Arial"/>
        <w:b/>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7938" w14:textId="77777777" w:rsidR="00C460D5" w:rsidRDefault="00C4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E5B4" w14:textId="77777777" w:rsidR="0026178B" w:rsidRDefault="0026178B">
      <w:r>
        <w:separator/>
      </w:r>
    </w:p>
  </w:footnote>
  <w:footnote w:type="continuationSeparator" w:id="0">
    <w:p w14:paraId="24F38D25" w14:textId="77777777" w:rsidR="0026178B" w:rsidRDefault="0026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E165" w14:textId="77777777" w:rsidR="00C460D5" w:rsidRDefault="00C46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5565" w14:textId="77777777" w:rsidR="00C460D5" w:rsidRDefault="00C46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054" w14:textId="77777777" w:rsidR="00C460D5" w:rsidRDefault="00C4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6D8C"/>
    <w:multiLevelType w:val="hybridMultilevel"/>
    <w:tmpl w:val="D3D64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7F7876"/>
    <w:multiLevelType w:val="hybridMultilevel"/>
    <w:tmpl w:val="1E6C7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84D6F"/>
    <w:multiLevelType w:val="hybridMultilevel"/>
    <w:tmpl w:val="D28A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96211"/>
    <w:multiLevelType w:val="hybridMultilevel"/>
    <w:tmpl w:val="E0EE9B72"/>
    <w:lvl w:ilvl="0" w:tplc="7646F670">
      <w:start w:val="1"/>
      <w:numFmt w:val="lowerLetter"/>
      <w:lvlText w:val="(%1)"/>
      <w:lvlJc w:val="left"/>
      <w:pPr>
        <w:tabs>
          <w:tab w:val="num" w:pos="1404"/>
        </w:tabs>
        <w:ind w:left="1404" w:hanging="360"/>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4" w15:restartNumberingAfterBreak="0">
    <w:nsid w:val="5D6D6B2E"/>
    <w:multiLevelType w:val="hybridMultilevel"/>
    <w:tmpl w:val="32E27F9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hint="default"/>
      </w:rPr>
    </w:lvl>
    <w:lvl w:ilvl="2" w:tplc="0C090005">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15:restartNumberingAfterBreak="0">
    <w:nsid w:val="754950FD"/>
    <w:multiLevelType w:val="hybridMultilevel"/>
    <w:tmpl w:val="93F8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documentProtection w:edit="trackedChanges" w:enforcement="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21"/>
    <w:rsid w:val="000057E5"/>
    <w:rsid w:val="00041CD4"/>
    <w:rsid w:val="00041DE4"/>
    <w:rsid w:val="00076484"/>
    <w:rsid w:val="00077CA7"/>
    <w:rsid w:val="0008006D"/>
    <w:rsid w:val="00081A4F"/>
    <w:rsid w:val="000A64E2"/>
    <w:rsid w:val="000B0F78"/>
    <w:rsid w:val="000D4D1F"/>
    <w:rsid w:val="00147BAF"/>
    <w:rsid w:val="00157DF7"/>
    <w:rsid w:val="001729BC"/>
    <w:rsid w:val="001951F9"/>
    <w:rsid w:val="001A1670"/>
    <w:rsid w:val="001A7D3B"/>
    <w:rsid w:val="001C081E"/>
    <w:rsid w:val="001C6D9B"/>
    <w:rsid w:val="002064E7"/>
    <w:rsid w:val="00222E84"/>
    <w:rsid w:val="002253A6"/>
    <w:rsid w:val="00240D93"/>
    <w:rsid w:val="0026178B"/>
    <w:rsid w:val="002A167F"/>
    <w:rsid w:val="002A56ED"/>
    <w:rsid w:val="002B238A"/>
    <w:rsid w:val="003166AB"/>
    <w:rsid w:val="00324057"/>
    <w:rsid w:val="00337343"/>
    <w:rsid w:val="003A6082"/>
    <w:rsid w:val="003B184C"/>
    <w:rsid w:val="003E3A8C"/>
    <w:rsid w:val="00406283"/>
    <w:rsid w:val="00430148"/>
    <w:rsid w:val="0047644B"/>
    <w:rsid w:val="0047761D"/>
    <w:rsid w:val="004F1CA6"/>
    <w:rsid w:val="00587AC2"/>
    <w:rsid w:val="00592E75"/>
    <w:rsid w:val="005B3EA4"/>
    <w:rsid w:val="005E4101"/>
    <w:rsid w:val="005F66CD"/>
    <w:rsid w:val="00612B31"/>
    <w:rsid w:val="00614941"/>
    <w:rsid w:val="00615BAE"/>
    <w:rsid w:val="0065583A"/>
    <w:rsid w:val="00675D9E"/>
    <w:rsid w:val="006A179C"/>
    <w:rsid w:val="006B3265"/>
    <w:rsid w:val="006C0462"/>
    <w:rsid w:val="006D1DFA"/>
    <w:rsid w:val="006F0952"/>
    <w:rsid w:val="006F0D66"/>
    <w:rsid w:val="006F4F41"/>
    <w:rsid w:val="00704CB5"/>
    <w:rsid w:val="00710EB9"/>
    <w:rsid w:val="00717302"/>
    <w:rsid w:val="00744D40"/>
    <w:rsid w:val="0075116B"/>
    <w:rsid w:val="0076130D"/>
    <w:rsid w:val="00770121"/>
    <w:rsid w:val="00785724"/>
    <w:rsid w:val="0079054C"/>
    <w:rsid w:val="007A3BC7"/>
    <w:rsid w:val="007C25BB"/>
    <w:rsid w:val="007C5F2D"/>
    <w:rsid w:val="007E1701"/>
    <w:rsid w:val="007F650A"/>
    <w:rsid w:val="00831A53"/>
    <w:rsid w:val="008659D8"/>
    <w:rsid w:val="008816D4"/>
    <w:rsid w:val="008D4ABF"/>
    <w:rsid w:val="008F6175"/>
    <w:rsid w:val="0090506B"/>
    <w:rsid w:val="00911AD1"/>
    <w:rsid w:val="00981AD8"/>
    <w:rsid w:val="00992DE1"/>
    <w:rsid w:val="00994D82"/>
    <w:rsid w:val="009A0DF6"/>
    <w:rsid w:val="009B4F03"/>
    <w:rsid w:val="00A07FEA"/>
    <w:rsid w:val="00A12AFC"/>
    <w:rsid w:val="00A55DE3"/>
    <w:rsid w:val="00A57061"/>
    <w:rsid w:val="00A66DA3"/>
    <w:rsid w:val="00A76FED"/>
    <w:rsid w:val="00A91B6D"/>
    <w:rsid w:val="00A9481E"/>
    <w:rsid w:val="00AB4A2B"/>
    <w:rsid w:val="00AC00EF"/>
    <w:rsid w:val="00AF22C4"/>
    <w:rsid w:val="00AF5839"/>
    <w:rsid w:val="00B069F1"/>
    <w:rsid w:val="00B278D8"/>
    <w:rsid w:val="00B5328A"/>
    <w:rsid w:val="00BA00CD"/>
    <w:rsid w:val="00BB0B92"/>
    <w:rsid w:val="00BB31F2"/>
    <w:rsid w:val="00BD7813"/>
    <w:rsid w:val="00C377F3"/>
    <w:rsid w:val="00C460D5"/>
    <w:rsid w:val="00C50350"/>
    <w:rsid w:val="00C548CC"/>
    <w:rsid w:val="00C82EE1"/>
    <w:rsid w:val="00CE057C"/>
    <w:rsid w:val="00D11511"/>
    <w:rsid w:val="00D471E0"/>
    <w:rsid w:val="00DA7A58"/>
    <w:rsid w:val="00DC39B6"/>
    <w:rsid w:val="00DD7FAB"/>
    <w:rsid w:val="00DE7936"/>
    <w:rsid w:val="00E04DB5"/>
    <w:rsid w:val="00E24EF3"/>
    <w:rsid w:val="00E27860"/>
    <w:rsid w:val="00E67BCB"/>
    <w:rsid w:val="00E85D6C"/>
    <w:rsid w:val="00E93589"/>
    <w:rsid w:val="00EC61A9"/>
    <w:rsid w:val="00EF092F"/>
    <w:rsid w:val="00F536AD"/>
    <w:rsid w:val="00F563D0"/>
    <w:rsid w:val="00F56642"/>
    <w:rsid w:val="00FC43DE"/>
    <w:rsid w:val="00FC4F6E"/>
    <w:rsid w:val="00FD7890"/>
    <w:rsid w:val="00FE3DA5"/>
    <w:rsid w:val="00FF0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6BD18"/>
  <w14:defaultImageDpi w14:val="0"/>
  <w15:docId w15:val="{5B59BA0C-114D-446F-B134-054270E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BF"/>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8D4ABF"/>
    <w:pPr>
      <w:keepNext/>
      <w:outlineLvl w:val="0"/>
    </w:pPr>
    <w:rPr>
      <w:b/>
      <w:bCs/>
      <w:sz w:val="26"/>
      <w:szCs w:val="26"/>
    </w:rPr>
  </w:style>
  <w:style w:type="paragraph" w:styleId="Heading2">
    <w:name w:val="heading 2"/>
    <w:basedOn w:val="Normal"/>
    <w:next w:val="Normal"/>
    <w:link w:val="Heading2Char"/>
    <w:uiPriority w:val="99"/>
    <w:qFormat/>
    <w:rsid w:val="008D4ABF"/>
    <w:pPr>
      <w:keepNext/>
      <w:outlineLvl w:val="1"/>
    </w:pPr>
    <w:rPr>
      <w:rFonts w:ascii="Arial" w:hAnsi="Arial" w:cs="Arial"/>
      <w:b/>
      <w:bCs/>
    </w:rPr>
  </w:style>
  <w:style w:type="paragraph" w:styleId="Heading3">
    <w:name w:val="heading 3"/>
    <w:basedOn w:val="Normal"/>
    <w:next w:val="Normal"/>
    <w:link w:val="Heading3Char"/>
    <w:uiPriority w:val="99"/>
    <w:qFormat/>
    <w:rsid w:val="008D4ABF"/>
    <w:pPr>
      <w:keepNext/>
      <w:jc w:val="center"/>
      <w:outlineLvl w:val="2"/>
    </w:pPr>
    <w:rPr>
      <w:b/>
      <w:bCs/>
      <w:sz w:val="26"/>
      <w:szCs w:val="26"/>
    </w:rPr>
  </w:style>
  <w:style w:type="paragraph" w:styleId="Heading4">
    <w:name w:val="heading 4"/>
    <w:basedOn w:val="Normal"/>
    <w:next w:val="Normal"/>
    <w:link w:val="Heading4Char"/>
    <w:uiPriority w:val="99"/>
    <w:qFormat/>
    <w:rsid w:val="008D4A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ABF"/>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D4ABF"/>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D4ABF"/>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D4ABF"/>
    <w:rPr>
      <w:rFonts w:cs="Times New Roman"/>
      <w:b/>
      <w:bCs/>
      <w:sz w:val="28"/>
      <w:szCs w:val="28"/>
      <w:lang w:val="x-none" w:eastAsia="en-US"/>
    </w:rPr>
  </w:style>
  <w:style w:type="paragraph" w:styleId="BodyText">
    <w:name w:val="Body Text"/>
    <w:basedOn w:val="Normal"/>
    <w:link w:val="BodyTextChar"/>
    <w:uiPriority w:val="99"/>
    <w:rsid w:val="008D4ABF"/>
  </w:style>
  <w:style w:type="character" w:customStyle="1" w:styleId="BodyTextChar">
    <w:name w:val="Body Text Char"/>
    <w:basedOn w:val="DefaultParagraphFont"/>
    <w:link w:val="BodyText"/>
    <w:uiPriority w:val="99"/>
    <w:semiHidden/>
    <w:locked/>
    <w:rsid w:val="008D4ABF"/>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8D4ABF"/>
    <w:rPr>
      <w:rFonts w:ascii="Arial" w:hAnsi="Arial" w:cs="Arial"/>
      <w:sz w:val="40"/>
      <w:szCs w:val="40"/>
    </w:rPr>
  </w:style>
  <w:style w:type="character" w:customStyle="1" w:styleId="BodyText2Char">
    <w:name w:val="Body Text 2 Char"/>
    <w:basedOn w:val="DefaultParagraphFont"/>
    <w:link w:val="BodyText2"/>
    <w:uiPriority w:val="99"/>
    <w:semiHidden/>
    <w:locked/>
    <w:rsid w:val="008D4ABF"/>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rsid w:val="008D4ABF"/>
    <w:pPr>
      <w:ind w:left="720" w:hanging="294"/>
    </w:pPr>
    <w:rPr>
      <w:rFonts w:ascii="Arial" w:hAnsi="Arial" w:cs="Arial"/>
    </w:rPr>
  </w:style>
  <w:style w:type="character" w:customStyle="1" w:styleId="BodyTextIndent2Char">
    <w:name w:val="Body Text Indent 2 Char"/>
    <w:basedOn w:val="DefaultParagraphFont"/>
    <w:link w:val="BodyTextIndent2"/>
    <w:uiPriority w:val="99"/>
    <w:semiHidden/>
    <w:locked/>
    <w:rsid w:val="008D4ABF"/>
    <w:rPr>
      <w:rFonts w:ascii="Times New Roman" w:hAnsi="Times New Roman" w:cs="Times New Roman"/>
      <w:sz w:val="24"/>
      <w:szCs w:val="24"/>
      <w:lang w:val="x-none" w:eastAsia="en-US"/>
    </w:rPr>
  </w:style>
  <w:style w:type="paragraph" w:styleId="Header">
    <w:name w:val="header"/>
    <w:basedOn w:val="Normal"/>
    <w:link w:val="HeaderChar"/>
    <w:uiPriority w:val="99"/>
    <w:rsid w:val="008D4ABF"/>
    <w:pPr>
      <w:tabs>
        <w:tab w:val="center" w:pos="4153"/>
        <w:tab w:val="right" w:pos="8306"/>
      </w:tabs>
    </w:pPr>
  </w:style>
  <w:style w:type="character" w:customStyle="1" w:styleId="HeaderChar">
    <w:name w:val="Header Char"/>
    <w:basedOn w:val="DefaultParagraphFont"/>
    <w:link w:val="Header"/>
    <w:uiPriority w:val="99"/>
    <w:semiHidden/>
    <w:locked/>
    <w:rsid w:val="008D4ABF"/>
    <w:rPr>
      <w:rFonts w:ascii="Times New Roman" w:hAnsi="Times New Roman" w:cs="Times New Roman"/>
      <w:sz w:val="24"/>
      <w:szCs w:val="24"/>
      <w:lang w:val="x-none" w:eastAsia="en-US"/>
    </w:rPr>
  </w:style>
  <w:style w:type="paragraph" w:customStyle="1" w:styleId="Billname">
    <w:name w:val="Billname"/>
    <w:basedOn w:val="Normal"/>
    <w:rsid w:val="008D4ABF"/>
    <w:pPr>
      <w:tabs>
        <w:tab w:val="left" w:pos="2400"/>
        <w:tab w:val="left" w:pos="2880"/>
      </w:tabs>
      <w:autoSpaceDE w:val="0"/>
      <w:autoSpaceDN w:val="0"/>
      <w:spacing w:before="1220" w:after="100"/>
    </w:pPr>
    <w:rPr>
      <w:rFonts w:ascii="Arial" w:hAnsi="Arial" w:cs="Arial"/>
      <w:b/>
      <w:bCs/>
      <w:sz w:val="40"/>
      <w:szCs w:val="40"/>
    </w:rPr>
  </w:style>
  <w:style w:type="paragraph" w:customStyle="1" w:styleId="madeunder">
    <w:name w:val="made under"/>
    <w:basedOn w:val="Normal"/>
    <w:rsid w:val="008D4ABF"/>
    <w:pPr>
      <w:autoSpaceDE w:val="0"/>
      <w:autoSpaceDN w:val="0"/>
      <w:spacing w:before="180" w:after="60"/>
      <w:jc w:val="both"/>
    </w:pPr>
    <w:rPr>
      <w:sz w:val="20"/>
      <w:szCs w:val="20"/>
    </w:rPr>
  </w:style>
  <w:style w:type="paragraph" w:customStyle="1" w:styleId="CoverActName">
    <w:name w:val="CoverActName"/>
    <w:basedOn w:val="Normal"/>
    <w:rsid w:val="008D4ABF"/>
    <w:pPr>
      <w:tabs>
        <w:tab w:val="left" w:pos="2600"/>
      </w:tabs>
      <w:autoSpaceDE w:val="0"/>
      <w:autoSpaceDN w:val="0"/>
      <w:spacing w:before="200" w:after="60"/>
      <w:jc w:val="both"/>
    </w:pPr>
    <w:rPr>
      <w:rFonts w:ascii="Arial" w:hAnsi="Arial" w:cs="Arial"/>
      <w:b/>
      <w:bCs/>
      <w:sz w:val="20"/>
      <w:szCs w:val="20"/>
    </w:rPr>
  </w:style>
  <w:style w:type="paragraph" w:styleId="Footer">
    <w:name w:val="footer"/>
    <w:basedOn w:val="Normal"/>
    <w:link w:val="FooterChar"/>
    <w:uiPriority w:val="99"/>
    <w:rsid w:val="008D4ABF"/>
    <w:pPr>
      <w:tabs>
        <w:tab w:val="center" w:pos="4153"/>
        <w:tab w:val="right" w:pos="8306"/>
      </w:tabs>
    </w:pPr>
  </w:style>
  <w:style w:type="character" w:customStyle="1" w:styleId="FooterChar">
    <w:name w:val="Footer Char"/>
    <w:basedOn w:val="DefaultParagraphFont"/>
    <w:link w:val="Footer"/>
    <w:uiPriority w:val="99"/>
    <w:locked/>
    <w:rsid w:val="008D4ABF"/>
    <w:rPr>
      <w:rFonts w:ascii="Times New Roman" w:hAnsi="Times New Roman" w:cs="Times New Roman"/>
      <w:sz w:val="24"/>
      <w:szCs w:val="24"/>
      <w:lang w:val="x-none" w:eastAsia="en-US"/>
    </w:rPr>
  </w:style>
  <w:style w:type="paragraph" w:styleId="NormalWeb">
    <w:name w:val="Normal (Web)"/>
    <w:basedOn w:val="Normal"/>
    <w:uiPriority w:val="99"/>
    <w:unhideWhenUsed/>
    <w:rsid w:val="00AF5839"/>
    <w:pPr>
      <w:spacing w:before="100" w:beforeAutospacing="1" w:after="100" w:afterAutospacing="1"/>
    </w:pPr>
    <w:rPr>
      <w:lang w:eastAsia="en-AU"/>
    </w:rPr>
  </w:style>
  <w:style w:type="character" w:styleId="Hyperlink">
    <w:name w:val="Hyperlink"/>
    <w:basedOn w:val="DefaultParagraphFont"/>
    <w:uiPriority w:val="99"/>
    <w:unhideWhenUsed/>
    <w:rsid w:val="00AF5839"/>
    <w:rPr>
      <w:rFonts w:cs="Times New Roman"/>
      <w:color w:val="0000FF"/>
      <w:u w:val="single"/>
    </w:rPr>
  </w:style>
  <w:style w:type="character" w:styleId="CommentReference">
    <w:name w:val="annotation reference"/>
    <w:basedOn w:val="DefaultParagraphFont"/>
    <w:uiPriority w:val="99"/>
    <w:rsid w:val="00E04DB5"/>
    <w:rPr>
      <w:rFonts w:cs="Times New Roman"/>
      <w:sz w:val="16"/>
      <w:szCs w:val="16"/>
    </w:rPr>
  </w:style>
  <w:style w:type="paragraph" w:styleId="CommentText">
    <w:name w:val="annotation text"/>
    <w:basedOn w:val="Normal"/>
    <w:link w:val="CommentTextChar"/>
    <w:uiPriority w:val="99"/>
    <w:rsid w:val="00E04DB5"/>
    <w:rPr>
      <w:sz w:val="20"/>
      <w:szCs w:val="20"/>
    </w:rPr>
  </w:style>
  <w:style w:type="character" w:customStyle="1" w:styleId="CommentTextChar">
    <w:name w:val="Comment Text Char"/>
    <w:basedOn w:val="DefaultParagraphFont"/>
    <w:link w:val="CommentText"/>
    <w:uiPriority w:val="99"/>
    <w:locked/>
    <w:rsid w:val="00E04DB5"/>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rsid w:val="00E04DB5"/>
    <w:rPr>
      <w:b/>
      <w:bCs/>
    </w:rPr>
  </w:style>
  <w:style w:type="character" w:customStyle="1" w:styleId="CommentSubjectChar">
    <w:name w:val="Comment Subject Char"/>
    <w:basedOn w:val="CommentTextChar"/>
    <w:link w:val="CommentSubject"/>
    <w:uiPriority w:val="99"/>
    <w:locked/>
    <w:rsid w:val="00E04DB5"/>
    <w:rPr>
      <w:rFonts w:ascii="Times New Roman" w:hAnsi="Times New Roman" w:cs="Times New Roman"/>
      <w:b/>
      <w:bCs/>
      <w:sz w:val="20"/>
      <w:szCs w:val="20"/>
      <w:lang w:val="x-none" w:eastAsia="en-US"/>
    </w:rPr>
  </w:style>
  <w:style w:type="paragraph" w:styleId="BalloonText">
    <w:name w:val="Balloon Text"/>
    <w:basedOn w:val="Normal"/>
    <w:link w:val="BalloonTextChar"/>
    <w:uiPriority w:val="99"/>
    <w:semiHidden/>
    <w:unhideWhenUsed/>
    <w:rsid w:val="00E04DB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4DB5"/>
    <w:rPr>
      <w:rFonts w:ascii="Segoe UI" w:hAnsi="Segoe UI" w:cs="Segoe UI"/>
      <w:sz w:val="18"/>
      <w:szCs w:val="18"/>
      <w:lang w:val="x-none" w:eastAsia="en-US"/>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
    <w:basedOn w:val="Normal"/>
    <w:link w:val="ListParagraphChar"/>
    <w:uiPriority w:val="34"/>
    <w:qFormat/>
    <w:rsid w:val="00E04DB5"/>
    <w:pPr>
      <w:ind w:left="720"/>
      <w:contextualSpacing/>
    </w:pPr>
    <w:rPr>
      <w:rFonts w:ascii="Arial Narrow" w:hAnsi="Arial Narrow"/>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locked/>
    <w:rsid w:val="00E04DB5"/>
    <w:rPr>
      <w:rFonts w:ascii="Arial Narrow" w:hAnsi="Arial Narrow" w:cs="Times New Roman"/>
      <w:sz w:val="20"/>
      <w:szCs w:val="20"/>
      <w:lang w:val="x-none" w:eastAsia="en-US"/>
    </w:rPr>
  </w:style>
  <w:style w:type="paragraph" w:customStyle="1" w:styleId="N-line3">
    <w:name w:val="N-line3"/>
    <w:basedOn w:val="Normal"/>
    <w:next w:val="Normal"/>
    <w:rsid w:val="006A179C"/>
    <w:pPr>
      <w:pBdr>
        <w:bottom w:val="single" w:sz="12" w:space="1" w:color="auto"/>
      </w:pBd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22322">
      <w:marLeft w:val="0"/>
      <w:marRight w:val="0"/>
      <w:marTop w:val="0"/>
      <w:marBottom w:val="0"/>
      <w:divBdr>
        <w:top w:val="none" w:sz="0" w:space="0" w:color="auto"/>
        <w:left w:val="none" w:sz="0" w:space="0" w:color="auto"/>
        <w:bottom w:val="none" w:sz="0" w:space="0" w:color="auto"/>
        <w:right w:val="none" w:sz="0" w:space="0" w:color="auto"/>
      </w:divBdr>
    </w:div>
    <w:div w:id="1810122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214D-E7CC-40CC-B436-43D2BDCB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4772</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Public Health Act 1997 ES</vt:lpstr>
    </vt:vector>
  </TitlesOfParts>
  <Company>ACT Government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 ES</dc:title>
  <dc:subject/>
  <dc:creator>ACT Government</dc:creator>
  <cp:keywords>2</cp:keywords>
  <dc:description/>
  <cp:lastModifiedBy>Moxon, KarenL</cp:lastModifiedBy>
  <cp:revision>4</cp:revision>
  <cp:lastPrinted>2020-01-23T02:57:00Z</cp:lastPrinted>
  <dcterms:created xsi:type="dcterms:W3CDTF">2022-05-27T04:20:00Z</dcterms:created>
  <dcterms:modified xsi:type="dcterms:W3CDTF">2022-05-27T04:20:00Z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9422238</vt:lpwstr>
  </property>
  <property fmtid="{D5CDD505-2E9C-101B-9397-08002B2CF9AE}" pid="4" name="JMSREQUIREDCHECKIN">
    <vt:lpwstr/>
  </property>
  <property fmtid="{D5CDD505-2E9C-101B-9397-08002B2CF9AE}" pid="5" name="Objective-Id">
    <vt:lpwstr>A34341635</vt:lpwstr>
  </property>
  <property fmtid="{D5CDD505-2E9C-101B-9397-08002B2CF9AE}" pid="6" name="Objective-Title">
    <vt:lpwstr>Attachment B to CHO Minute - ES for temp notifiable condition - Monkeypox</vt:lpwstr>
  </property>
  <property fmtid="{D5CDD505-2E9C-101B-9397-08002B2CF9AE}" pid="7" name="Objective-Comment">
    <vt:lpwstr/>
  </property>
  <property fmtid="{D5CDD505-2E9C-101B-9397-08002B2CF9AE}" pid="8" name="Objective-CreationStamp">
    <vt:filetime>2022-05-25T07:39:39Z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2022-05-27T02:03:35Z</vt:filetime>
  </property>
  <property fmtid="{D5CDD505-2E9C-101B-9397-08002B2CF9AE}" pid="12" name="Objective-ModificationStamp">
    <vt:filetime>2022-05-27T02:03:35Z</vt:filetime>
  </property>
  <property fmtid="{D5CDD505-2E9C-101B-9397-08002B2CF9AE}" pid="13" name="Objective-Owner">
    <vt:lpwstr>Judith Colquhoun</vt:lpwstr>
  </property>
  <property fmtid="{D5CDD505-2E9C-101B-9397-08002B2CF9AE}" pid="14" name="Objective-Path">
    <vt:lpwstr>Whole of ACT Government:ACTHD - ACT Health:GROUP: Population Health GROUP (PH):01. Office of the Chief Health Officer:01. Chief Health Officer:1. Clearance Items:5. Cleared Items:CHO minute - Making Monkeypox notifiable in the ACT:</vt:lpwstr>
  </property>
  <property fmtid="{D5CDD505-2E9C-101B-9397-08002B2CF9AE}" pid="15" name="Objective-Parent">
    <vt:lpwstr>CHO minute - Making Monkeypox notifiable in the ACT</vt:lpwstr>
  </property>
  <property fmtid="{D5CDD505-2E9C-101B-9397-08002B2CF9AE}" pid="16" name="Objective-State">
    <vt:lpwstr>Published</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Unclassified (beige file cover)</vt:lpwstr>
  </property>
  <property fmtid="{D5CDD505-2E9C-101B-9397-08002B2CF9AE}" pid="22" name="Objective-Caveats">
    <vt:lpwstr/>
  </property>
  <property fmtid="{D5CDD505-2E9C-101B-9397-08002B2CF9AE}" pid="23" name="Objective-Owner Agency">
    <vt:lpwstr>ACTHD - ACT Health Directorate</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ies>
</file>