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E36E6" w14:textId="77777777" w:rsidR="005D70F1" w:rsidRDefault="005D70F1">
      <w:pPr>
        <w:spacing w:before="120"/>
        <w:rPr>
          <w:rFonts w:ascii="Arial" w:hAnsi="Arial" w:cs="Arial"/>
        </w:rPr>
      </w:pPr>
      <w:bookmarkStart w:id="0" w:name="_Toc44738651"/>
      <w:r>
        <w:rPr>
          <w:rFonts w:ascii="Arial" w:hAnsi="Arial" w:cs="Arial"/>
        </w:rPr>
        <w:t>Australian Capital Territory</w:t>
      </w:r>
    </w:p>
    <w:p w14:paraId="01AD0042" w14:textId="77777777" w:rsidR="005D70F1" w:rsidRPr="002F1A2A" w:rsidRDefault="0047632C" w:rsidP="002F1A2A">
      <w:pPr>
        <w:pStyle w:val="Heading1"/>
      </w:pPr>
      <w:r>
        <w:t>City Renewal Authority and Suburban Land Agency</w:t>
      </w:r>
      <w:r w:rsidRPr="002F1A2A">
        <w:t xml:space="preserve"> </w:t>
      </w:r>
      <w:r w:rsidR="005D70F1" w:rsidRPr="002F1A2A">
        <w:t>(</w:t>
      </w:r>
      <w:r w:rsidR="00300CBF">
        <w:t>Agency</w:t>
      </w:r>
      <w:r w:rsidR="00EB3784">
        <w:t xml:space="preserve"> </w:t>
      </w:r>
      <w:r w:rsidR="002226DE">
        <w:t xml:space="preserve">Board </w:t>
      </w:r>
      <w:r w:rsidR="00F30638">
        <w:t>Member</w:t>
      </w:r>
      <w:r w:rsidR="005D70F1" w:rsidRPr="002F1A2A">
        <w:t xml:space="preserve">) </w:t>
      </w:r>
      <w:r w:rsidR="00EB3784">
        <w:t>Appointment 20</w:t>
      </w:r>
      <w:r w:rsidR="005E7592">
        <w:t>22</w:t>
      </w:r>
      <w:r w:rsidR="00F30638">
        <w:t xml:space="preserve"> (No </w:t>
      </w:r>
      <w:r w:rsidR="005E7592">
        <w:t>1</w:t>
      </w:r>
      <w:r w:rsidR="00F30638">
        <w:t>)</w:t>
      </w:r>
    </w:p>
    <w:p w14:paraId="64EF8A43" w14:textId="77777777" w:rsidR="005D70F1" w:rsidRPr="002F1A2A" w:rsidRDefault="005D70F1" w:rsidP="00CB30B2">
      <w:pPr>
        <w:pStyle w:val="Heading2"/>
        <w:spacing w:before="340" w:after="0"/>
      </w:pPr>
      <w:r w:rsidRPr="002F1A2A">
        <w:t>Disallowable instrument DI</w:t>
      </w:r>
      <w:r w:rsidR="00EB3784">
        <w:t>20</w:t>
      </w:r>
      <w:r w:rsidR="005E7592">
        <w:t>22</w:t>
      </w:r>
      <w:r w:rsidRPr="002F1A2A">
        <w:t>–</w:t>
      </w:r>
      <w:r w:rsidR="00A97382">
        <w:t>72</w:t>
      </w:r>
    </w:p>
    <w:p w14:paraId="54982593" w14:textId="77777777" w:rsidR="005D70F1" w:rsidRDefault="005D70F1" w:rsidP="00CB30B2">
      <w:pPr>
        <w:pStyle w:val="madeunder"/>
        <w:spacing w:before="300" w:after="0"/>
      </w:pPr>
      <w:r>
        <w:t xml:space="preserve">made under the  </w:t>
      </w:r>
    </w:p>
    <w:p w14:paraId="6BE66532" w14:textId="77777777" w:rsidR="0047632C" w:rsidRPr="005F6FB4" w:rsidRDefault="0047632C" w:rsidP="00CB30B2">
      <w:pPr>
        <w:pStyle w:val="CoverActName"/>
        <w:spacing w:before="320" w:after="0"/>
        <w:jc w:val="left"/>
      </w:pPr>
      <w:r>
        <w:rPr>
          <w:rFonts w:cs="Arial"/>
          <w:sz w:val="20"/>
        </w:rPr>
        <w:t>City Renewal Authority and Suburban Land Agency Act 2017, s</w:t>
      </w:r>
      <w:r w:rsidR="00CB30B2">
        <w:rPr>
          <w:rFonts w:cs="Arial"/>
          <w:sz w:val="20"/>
        </w:rPr>
        <w:t xml:space="preserve"> </w:t>
      </w:r>
      <w:r>
        <w:rPr>
          <w:rFonts w:cs="Arial"/>
          <w:sz w:val="20"/>
        </w:rPr>
        <w:t>45 (Establishment of governing board for agency)</w:t>
      </w:r>
    </w:p>
    <w:p w14:paraId="00C5257B" w14:textId="77777777" w:rsidR="005D70F1" w:rsidRPr="002F1A2A" w:rsidRDefault="005D70F1" w:rsidP="00CB30B2">
      <w:pPr>
        <w:pStyle w:val="Heading3"/>
        <w:ind w:right="567"/>
      </w:pPr>
      <w:r w:rsidRPr="002F1A2A">
        <w:t>EXPLANATORY STATEMENT</w:t>
      </w:r>
    </w:p>
    <w:p w14:paraId="263B8BF8" w14:textId="77777777" w:rsidR="005D70F1" w:rsidRDefault="005D70F1">
      <w:pPr>
        <w:pStyle w:val="N-line3"/>
        <w:pBdr>
          <w:bottom w:val="none" w:sz="0" w:space="0" w:color="auto"/>
        </w:pBdr>
      </w:pPr>
    </w:p>
    <w:p w14:paraId="557569FB" w14:textId="77777777" w:rsidR="005D70F1" w:rsidRDefault="005D70F1">
      <w:pPr>
        <w:pStyle w:val="N-line3"/>
        <w:pBdr>
          <w:top w:val="single" w:sz="12" w:space="1" w:color="auto"/>
          <w:bottom w:val="none" w:sz="0" w:space="0" w:color="auto"/>
        </w:pBdr>
      </w:pPr>
    </w:p>
    <w:bookmarkEnd w:id="0"/>
    <w:p w14:paraId="146FB311" w14:textId="77777777" w:rsidR="0047632C" w:rsidRDefault="0047632C" w:rsidP="0047632C">
      <w:r>
        <w:t xml:space="preserve">This explanatory statement relates to the </w:t>
      </w:r>
      <w:r>
        <w:rPr>
          <w:i/>
        </w:rPr>
        <w:t xml:space="preserve">City Renewal Authority and Suburban Land Agency (Agency </w:t>
      </w:r>
      <w:r w:rsidR="002226DE">
        <w:rPr>
          <w:i/>
        </w:rPr>
        <w:t xml:space="preserve">Board </w:t>
      </w:r>
      <w:r>
        <w:rPr>
          <w:i/>
        </w:rPr>
        <w:t>Member) Appointment 20</w:t>
      </w:r>
      <w:r w:rsidR="005E7592">
        <w:rPr>
          <w:i/>
        </w:rPr>
        <w:t>22</w:t>
      </w:r>
      <w:r>
        <w:rPr>
          <w:i/>
        </w:rPr>
        <w:t xml:space="preserve"> (No </w:t>
      </w:r>
      <w:r w:rsidR="005E7592">
        <w:rPr>
          <w:i/>
        </w:rPr>
        <w:t>1</w:t>
      </w:r>
      <w:r>
        <w:rPr>
          <w:i/>
        </w:rPr>
        <w:t xml:space="preserve">) </w:t>
      </w:r>
      <w:r>
        <w:t>as made by t</w:t>
      </w:r>
      <w:r w:rsidR="00CB30B2">
        <w:t xml:space="preserve">he </w:t>
      </w:r>
      <w:r>
        <w:t>Minister</w:t>
      </w:r>
      <w:r w:rsidR="00CB30B2">
        <w:t xml:space="preserve"> for Housing and Suburban Development</w:t>
      </w:r>
      <w:r>
        <w:t xml:space="preserve"> and presented to the Legislative Assembly. It has been prepared in order to assist the reader of the instrument and to help inform debate on it. It does not form part of the instrument and has not been endorsed by the Legislative Assembly.</w:t>
      </w:r>
    </w:p>
    <w:p w14:paraId="1C354C20" w14:textId="77777777" w:rsidR="0047632C" w:rsidRDefault="0047632C" w:rsidP="0047632C">
      <w:pPr>
        <w:jc w:val="center"/>
      </w:pPr>
    </w:p>
    <w:p w14:paraId="43B61CE6" w14:textId="77777777" w:rsidR="0047632C" w:rsidRDefault="0047632C" w:rsidP="0047632C">
      <w:pPr>
        <w:rPr>
          <w:b/>
        </w:rPr>
      </w:pPr>
      <w:bookmarkStart w:id="1" w:name="_Hlk99463977"/>
      <w:r>
        <w:rPr>
          <w:b/>
        </w:rPr>
        <w:t>Overview</w:t>
      </w:r>
    </w:p>
    <w:bookmarkEnd w:id="1"/>
    <w:p w14:paraId="3C7F8304" w14:textId="77777777" w:rsidR="0047632C" w:rsidRDefault="0047632C" w:rsidP="0047632C"/>
    <w:p w14:paraId="02D1F3AB" w14:textId="77777777" w:rsidR="0047632C" w:rsidRDefault="00A23983" w:rsidP="0047632C">
      <w:bookmarkStart w:id="2" w:name="_Hlk99470389"/>
      <w:r w:rsidRPr="00A23983">
        <w:t xml:space="preserve">Section 37 of the </w:t>
      </w:r>
      <w:r w:rsidRPr="00CB30B2">
        <w:rPr>
          <w:i/>
          <w:iCs/>
        </w:rPr>
        <w:t>City Renewal Authority and Suburban Land Agency Act 2017</w:t>
      </w:r>
      <w:r w:rsidRPr="00A23983">
        <w:t xml:space="preserve"> (the </w:t>
      </w:r>
      <w:r w:rsidRPr="00CB30B2">
        <w:rPr>
          <w:b/>
          <w:bCs/>
          <w:i/>
          <w:iCs/>
        </w:rPr>
        <w:t>Act</w:t>
      </w:r>
      <w:r w:rsidRPr="00A23983">
        <w:t xml:space="preserve">) establishes the Suburban Land Agency (the </w:t>
      </w:r>
      <w:r w:rsidRPr="00CB30B2">
        <w:rPr>
          <w:b/>
          <w:bCs/>
          <w:i/>
          <w:iCs/>
        </w:rPr>
        <w:t>agency</w:t>
      </w:r>
      <w:r w:rsidRPr="00A23983">
        <w:t xml:space="preserve">). Section 45 of the Act establishes the governing board for the agency (the </w:t>
      </w:r>
      <w:r w:rsidRPr="00CB30B2">
        <w:rPr>
          <w:b/>
          <w:bCs/>
          <w:i/>
          <w:iCs/>
        </w:rPr>
        <w:t>board</w:t>
      </w:r>
      <w:r w:rsidRPr="00A23983">
        <w:t xml:space="preserve">). For the purposes of the </w:t>
      </w:r>
      <w:r w:rsidRPr="00CB30B2">
        <w:rPr>
          <w:i/>
          <w:iCs/>
        </w:rPr>
        <w:t>Financial Management Act 1996</w:t>
      </w:r>
      <w:r w:rsidRPr="00A23983">
        <w:t xml:space="preserve"> (the </w:t>
      </w:r>
      <w:r w:rsidRPr="00CB30B2">
        <w:rPr>
          <w:b/>
          <w:bCs/>
          <w:i/>
          <w:iCs/>
        </w:rPr>
        <w:t>FMA</w:t>
      </w:r>
      <w:r w:rsidRPr="00A23983">
        <w:t>) the agency is a territory authority, and therefore parts 8 and 9 of the FMA apply. Section 78</w:t>
      </w:r>
      <w:r w:rsidR="00CB30B2">
        <w:t xml:space="preserve"> </w:t>
      </w:r>
      <w:r w:rsidRPr="00A23983">
        <w:t>(7)</w:t>
      </w:r>
      <w:r w:rsidR="00CB30B2">
        <w:t xml:space="preserve"> </w:t>
      </w:r>
      <w:r w:rsidRPr="00A23983">
        <w:t>(b) of the FMA provides that an appointment of a member to a board of a territory authority is an appointment made under the provision of the establishing Act that establishes the governing board. In this case, section 45 of the Act is the relevant provision of the establishing Act</w:t>
      </w:r>
      <w:r>
        <w:t>.</w:t>
      </w:r>
    </w:p>
    <w:p w14:paraId="4B7D97F9" w14:textId="77777777" w:rsidR="00A23983" w:rsidRDefault="00A23983" w:rsidP="0047632C"/>
    <w:p w14:paraId="2C3C15C9" w14:textId="77777777" w:rsidR="00A23983" w:rsidRDefault="00A23983" w:rsidP="00A23983">
      <w:r>
        <w:t>Section 78 of the FMA provides for the appointment of governing boards generally. The Minister with responsibility for a territory authority may appoint members of the authority. The Minister must apply the criteria in section 78 of the FMA and must, as far as practicable, ensure that each discipline and area of expertise mentioned in section 48</w:t>
      </w:r>
      <w:r w:rsidR="00CB30B2">
        <w:t xml:space="preserve"> </w:t>
      </w:r>
      <w:r>
        <w:t>(2) of the Act is represented among the appointed members. A member must have knowledge of and experience in at least one of the disciplines and area of expertise prescribed in section 48</w:t>
      </w:r>
      <w:r w:rsidR="00CB30B2">
        <w:t xml:space="preserve"> </w:t>
      </w:r>
      <w:r>
        <w:t>(2) of the Act.</w:t>
      </w:r>
    </w:p>
    <w:bookmarkEnd w:id="2"/>
    <w:p w14:paraId="181C80D6" w14:textId="77777777" w:rsidR="0047632C" w:rsidRDefault="0047632C" w:rsidP="0047632C"/>
    <w:p w14:paraId="188749CB" w14:textId="77777777" w:rsidR="00697C96" w:rsidRDefault="0047632C" w:rsidP="00A23983">
      <w:r>
        <w:t xml:space="preserve">This instrument appoints </w:t>
      </w:r>
      <w:r w:rsidR="00CB30B2">
        <w:t xml:space="preserve">Ms </w:t>
      </w:r>
      <w:r w:rsidR="00C17081">
        <w:t>Julie Garland McLellan</w:t>
      </w:r>
      <w:r>
        <w:t xml:space="preserve"> as a</w:t>
      </w:r>
      <w:r w:rsidR="00697C96">
        <w:t xml:space="preserve">n expert </w:t>
      </w:r>
      <w:r>
        <w:t>member of the</w:t>
      </w:r>
      <w:r w:rsidR="00CB30B2">
        <w:t xml:space="preserve"> b</w:t>
      </w:r>
      <w:r w:rsidR="00E03ECD">
        <w:t xml:space="preserve">oard </w:t>
      </w:r>
      <w:r>
        <w:t xml:space="preserve">for </w:t>
      </w:r>
      <w:r w:rsidR="00697C96">
        <w:t xml:space="preserve">the </w:t>
      </w:r>
      <w:r w:rsidR="00BC7A23">
        <w:t xml:space="preserve">period </w:t>
      </w:r>
      <w:r w:rsidR="00697C96">
        <w:t>23 June 2022 to 22 June 2023</w:t>
      </w:r>
      <w:r>
        <w:t xml:space="preserve">. </w:t>
      </w:r>
    </w:p>
    <w:p w14:paraId="19269F21" w14:textId="77777777" w:rsidR="00A23983" w:rsidRDefault="00A23983" w:rsidP="00A23983"/>
    <w:p w14:paraId="79B3792B" w14:textId="77777777" w:rsidR="00944CC3" w:rsidRPr="00A23983" w:rsidRDefault="00944CC3" w:rsidP="00CB30B2">
      <w:pPr>
        <w:spacing w:after="240"/>
      </w:pPr>
      <w:r w:rsidRPr="00A23983">
        <w:lastRenderedPageBreak/>
        <w:t>Ms Garland McLellan is a professional director with experience on a range of boards in the not-for-profit, government and commercial sectors.</w:t>
      </w:r>
    </w:p>
    <w:p w14:paraId="753C720F" w14:textId="77777777" w:rsidR="00944CC3" w:rsidRPr="00944CC3" w:rsidRDefault="00944CC3" w:rsidP="00A23983">
      <w:pPr>
        <w:rPr>
          <w:rFonts w:cs="Arial"/>
          <w:szCs w:val="24"/>
        </w:rPr>
      </w:pPr>
      <w:r w:rsidRPr="00944CC3">
        <w:rPr>
          <w:rFonts w:cs="Arial"/>
          <w:szCs w:val="24"/>
        </w:rPr>
        <w:t>She has served on the boards of the Melbourne Water Corporation, Victorian Energy Networks Corporation, City West Water, Victorian Minerals and Energy Council, the University of Melbourne’s Engineering Foundation, Kimbriki Environmental Enterprises, Oldfields Holdings, Hats Holdings, Professional Speakers Association, Kyoto Energy, Wind Hydrogen, Bounty Mining, Melbourne Chamber of Mines, Fitness Australia and Hassall &amp; Associates.</w:t>
      </w:r>
    </w:p>
    <w:p w14:paraId="2AF0AB00" w14:textId="77777777" w:rsidR="00A23983" w:rsidRDefault="00A23983" w:rsidP="00A23983">
      <w:pPr>
        <w:rPr>
          <w:rFonts w:cs="Arial"/>
          <w:szCs w:val="24"/>
        </w:rPr>
      </w:pPr>
    </w:p>
    <w:p w14:paraId="6DDCFB16" w14:textId="77777777" w:rsidR="00944CC3" w:rsidRDefault="00944CC3" w:rsidP="00A23983">
      <w:pPr>
        <w:rPr>
          <w:rFonts w:cs="Arial"/>
          <w:szCs w:val="24"/>
        </w:rPr>
      </w:pPr>
      <w:r>
        <w:rPr>
          <w:rFonts w:cs="Arial"/>
          <w:szCs w:val="24"/>
        </w:rPr>
        <w:t xml:space="preserve">Ms </w:t>
      </w:r>
      <w:r w:rsidRPr="00944CC3">
        <w:rPr>
          <w:rFonts w:cs="Arial"/>
          <w:szCs w:val="24"/>
        </w:rPr>
        <w:t>Garland McLellan has held senior management, strategic planning and executive leadership roles with major and international corporations including Thames Water, Tillyard, BHP, KPMG and Gamesa Energy Australia.</w:t>
      </w:r>
    </w:p>
    <w:p w14:paraId="51995DE6" w14:textId="77777777" w:rsidR="00A23983" w:rsidRPr="00944CC3" w:rsidRDefault="00A23983" w:rsidP="00A23983">
      <w:pPr>
        <w:rPr>
          <w:rFonts w:cs="Arial"/>
          <w:szCs w:val="24"/>
        </w:rPr>
      </w:pPr>
    </w:p>
    <w:p w14:paraId="03B41168" w14:textId="77777777" w:rsidR="00944CC3" w:rsidRDefault="00944CC3" w:rsidP="00A23983">
      <w:pPr>
        <w:rPr>
          <w:rFonts w:cs="Arial"/>
          <w:szCs w:val="24"/>
        </w:rPr>
      </w:pPr>
      <w:r w:rsidRPr="00944CC3">
        <w:rPr>
          <w:rFonts w:cs="Arial"/>
          <w:szCs w:val="24"/>
        </w:rPr>
        <w:t>She holds a Bachelor degree in Civil Engineering with Hono</w:t>
      </w:r>
      <w:r w:rsidR="00CB30B2">
        <w:rPr>
          <w:rFonts w:cs="Arial"/>
          <w:szCs w:val="24"/>
        </w:rPr>
        <w:t>u</w:t>
      </w:r>
      <w:r w:rsidRPr="00944CC3">
        <w:rPr>
          <w:rFonts w:cs="Arial"/>
          <w:szCs w:val="24"/>
        </w:rPr>
        <w:t>rs from City University, London. She has an Executive MBA from the Instituto de Empresa Madrid, a Graduate Diploma in Applied Finance and Investment from Securities Institute (now FINSIA), and an Advanced Diploma in Company Directorship from the A</w:t>
      </w:r>
      <w:r w:rsidR="00CB30B2">
        <w:rPr>
          <w:rFonts w:cs="Arial"/>
          <w:szCs w:val="24"/>
        </w:rPr>
        <w:t xml:space="preserve">ustralian </w:t>
      </w:r>
      <w:r w:rsidRPr="00944CC3">
        <w:rPr>
          <w:rFonts w:cs="Arial"/>
          <w:szCs w:val="24"/>
        </w:rPr>
        <w:t>I</w:t>
      </w:r>
      <w:r w:rsidR="00CB30B2">
        <w:rPr>
          <w:rFonts w:cs="Arial"/>
          <w:szCs w:val="24"/>
        </w:rPr>
        <w:t xml:space="preserve">nstitute of </w:t>
      </w:r>
      <w:r w:rsidRPr="00944CC3">
        <w:rPr>
          <w:rFonts w:cs="Arial"/>
          <w:szCs w:val="24"/>
        </w:rPr>
        <w:t>C</w:t>
      </w:r>
      <w:r w:rsidR="00CB30B2">
        <w:rPr>
          <w:rFonts w:cs="Arial"/>
          <w:szCs w:val="24"/>
        </w:rPr>
        <w:t xml:space="preserve">ompany </w:t>
      </w:r>
      <w:r w:rsidRPr="00944CC3">
        <w:rPr>
          <w:rFonts w:cs="Arial"/>
          <w:szCs w:val="24"/>
        </w:rPr>
        <w:t>D</w:t>
      </w:r>
      <w:r w:rsidR="00CB30B2">
        <w:rPr>
          <w:rFonts w:cs="Arial"/>
          <w:szCs w:val="24"/>
        </w:rPr>
        <w:t>irectors</w:t>
      </w:r>
      <w:r w:rsidR="00BA2746">
        <w:rPr>
          <w:rFonts w:cs="Arial"/>
          <w:szCs w:val="24"/>
        </w:rPr>
        <w:t xml:space="preserve"> (</w:t>
      </w:r>
      <w:r w:rsidR="00BA2746" w:rsidRPr="00BA2746">
        <w:rPr>
          <w:rFonts w:cs="Arial"/>
          <w:b/>
          <w:bCs/>
          <w:i/>
          <w:iCs/>
          <w:szCs w:val="24"/>
        </w:rPr>
        <w:t>AICD</w:t>
      </w:r>
      <w:r w:rsidR="00BA2746">
        <w:rPr>
          <w:rFonts w:cs="Arial"/>
          <w:szCs w:val="24"/>
        </w:rPr>
        <w:t>)</w:t>
      </w:r>
      <w:r w:rsidRPr="00944CC3">
        <w:rPr>
          <w:rFonts w:cs="Arial"/>
          <w:szCs w:val="24"/>
        </w:rPr>
        <w:t>.</w:t>
      </w:r>
    </w:p>
    <w:p w14:paraId="2E0C75E2" w14:textId="77777777" w:rsidR="00A23983" w:rsidRPr="00944CC3" w:rsidRDefault="00A23983" w:rsidP="00A23983">
      <w:pPr>
        <w:rPr>
          <w:rFonts w:cs="Arial"/>
          <w:szCs w:val="24"/>
        </w:rPr>
      </w:pPr>
    </w:p>
    <w:p w14:paraId="2F13344C" w14:textId="77777777" w:rsidR="00AB1DC2" w:rsidRDefault="00944CC3" w:rsidP="00A23983">
      <w:pPr>
        <w:rPr>
          <w:rFonts w:cs="Arial"/>
          <w:szCs w:val="24"/>
        </w:rPr>
      </w:pPr>
      <w:r w:rsidRPr="00944CC3">
        <w:rPr>
          <w:rFonts w:cs="Arial"/>
          <w:szCs w:val="24"/>
        </w:rPr>
        <w:t xml:space="preserve">She is an AICD Fellow and an accredited Certified Speaking Professional through Professional Speakers Australia. </w:t>
      </w:r>
      <w:r>
        <w:rPr>
          <w:rFonts w:cs="Arial"/>
          <w:szCs w:val="24"/>
        </w:rPr>
        <w:t xml:space="preserve">Ms </w:t>
      </w:r>
      <w:r w:rsidRPr="00944CC3">
        <w:rPr>
          <w:rFonts w:cs="Arial"/>
          <w:szCs w:val="24"/>
        </w:rPr>
        <w:t xml:space="preserve">Garland McLellan has </w:t>
      </w:r>
      <w:r w:rsidR="00BA2746">
        <w:rPr>
          <w:rFonts w:cs="Arial"/>
          <w:szCs w:val="24"/>
        </w:rPr>
        <w:t>authored</w:t>
      </w:r>
      <w:r w:rsidRPr="00944CC3">
        <w:rPr>
          <w:rFonts w:cs="Arial"/>
          <w:szCs w:val="24"/>
        </w:rPr>
        <w:t xml:space="preserve"> textbooks on company directorship for the commercial, government and not-for-profit sectors</w:t>
      </w:r>
      <w:r w:rsidR="00AB1DC2">
        <w:rPr>
          <w:rFonts w:cs="Arial"/>
          <w:szCs w:val="24"/>
        </w:rPr>
        <w:t>.</w:t>
      </w:r>
      <w:r w:rsidRPr="00944CC3">
        <w:rPr>
          <w:rFonts w:cs="Arial"/>
          <w:szCs w:val="24"/>
        </w:rPr>
        <w:t xml:space="preserve"> </w:t>
      </w:r>
    </w:p>
    <w:p w14:paraId="0ECA0F3F" w14:textId="77777777" w:rsidR="00BC7A23" w:rsidRPr="00BC7A23" w:rsidRDefault="00BC7A23" w:rsidP="00350CF0">
      <w:pPr>
        <w:spacing w:before="240"/>
        <w:rPr>
          <w:szCs w:val="24"/>
        </w:rPr>
      </w:pPr>
      <w:r w:rsidRPr="00BC7A23">
        <w:rPr>
          <w:szCs w:val="24"/>
        </w:rPr>
        <w:t>Considered against the terms of the Act, Ms Garland McLellan has knowledge or experience across the following disciplines:</w:t>
      </w:r>
    </w:p>
    <w:p w14:paraId="78B789DF" w14:textId="77777777" w:rsidR="00BC7A23" w:rsidRPr="00BC7A23" w:rsidRDefault="00BC7A23" w:rsidP="00BA2746">
      <w:pPr>
        <w:pStyle w:val="ListParagraph"/>
        <w:numPr>
          <w:ilvl w:val="0"/>
          <w:numId w:val="11"/>
        </w:numPr>
        <w:spacing w:after="0" w:line="240" w:lineRule="auto"/>
        <w:ind w:left="714" w:hanging="357"/>
        <w:contextualSpacing w:val="0"/>
        <w:rPr>
          <w:rFonts w:ascii="Times New Roman" w:hAnsi="Times New Roman"/>
          <w:sz w:val="24"/>
          <w:szCs w:val="24"/>
        </w:rPr>
      </w:pPr>
      <w:r w:rsidRPr="00BC7A23">
        <w:rPr>
          <w:rFonts w:ascii="Times New Roman" w:hAnsi="Times New Roman"/>
          <w:sz w:val="24"/>
          <w:szCs w:val="24"/>
        </w:rPr>
        <w:t>Civil engineering</w:t>
      </w:r>
    </w:p>
    <w:p w14:paraId="343133BD" w14:textId="77777777" w:rsidR="00BC7A23" w:rsidRPr="00BC7A23" w:rsidRDefault="00BC7A23" w:rsidP="00BA2746">
      <w:pPr>
        <w:pStyle w:val="ListParagraph"/>
        <w:numPr>
          <w:ilvl w:val="0"/>
          <w:numId w:val="11"/>
        </w:numPr>
        <w:spacing w:after="0" w:line="240" w:lineRule="auto"/>
        <w:ind w:left="714" w:hanging="357"/>
        <w:contextualSpacing w:val="0"/>
        <w:rPr>
          <w:rFonts w:ascii="Times New Roman" w:hAnsi="Times New Roman"/>
          <w:sz w:val="24"/>
          <w:szCs w:val="24"/>
        </w:rPr>
      </w:pPr>
      <w:r w:rsidRPr="00BC7A23">
        <w:rPr>
          <w:rFonts w:ascii="Times New Roman" w:hAnsi="Times New Roman"/>
          <w:sz w:val="24"/>
          <w:szCs w:val="24"/>
        </w:rPr>
        <w:t>Environmentally sustainable development</w:t>
      </w:r>
    </w:p>
    <w:p w14:paraId="5E9A99B9" w14:textId="77777777" w:rsidR="00BC7A23" w:rsidRPr="00BC7A23" w:rsidRDefault="00BC7A23" w:rsidP="00BA2746">
      <w:pPr>
        <w:pStyle w:val="ListParagraph"/>
        <w:numPr>
          <w:ilvl w:val="0"/>
          <w:numId w:val="11"/>
        </w:numPr>
        <w:spacing w:after="0" w:line="240" w:lineRule="auto"/>
        <w:ind w:left="714" w:hanging="357"/>
        <w:contextualSpacing w:val="0"/>
        <w:rPr>
          <w:rFonts w:ascii="Times New Roman" w:hAnsi="Times New Roman"/>
          <w:sz w:val="24"/>
          <w:szCs w:val="24"/>
        </w:rPr>
      </w:pPr>
      <w:r w:rsidRPr="00BC7A23">
        <w:rPr>
          <w:rFonts w:ascii="Times New Roman" w:hAnsi="Times New Roman"/>
          <w:sz w:val="24"/>
          <w:szCs w:val="24"/>
        </w:rPr>
        <w:t>Law, public administration and governance.</w:t>
      </w:r>
    </w:p>
    <w:p w14:paraId="6C0833A8" w14:textId="77777777" w:rsidR="008B76DA" w:rsidRPr="008B76DA" w:rsidRDefault="008B76DA" w:rsidP="00BC7A23">
      <w:pPr>
        <w:pStyle w:val="Default"/>
      </w:pPr>
    </w:p>
    <w:p w14:paraId="11B2B1FD" w14:textId="77777777" w:rsidR="00A23983" w:rsidRDefault="00A23983" w:rsidP="00A23983">
      <w:bookmarkStart w:id="3" w:name="_Hlk99470417"/>
      <w:r>
        <w:t>Section 48</w:t>
      </w:r>
      <w:r w:rsidR="00BA2746">
        <w:t xml:space="preserve"> </w:t>
      </w:r>
      <w:r>
        <w:t>(4) of the Act provides that a member of the board must not be a public servant. Ms Garland McLellan is not a public servant.</w:t>
      </w:r>
    </w:p>
    <w:p w14:paraId="0F62F76D" w14:textId="77777777" w:rsidR="00A23983" w:rsidRDefault="00A23983" w:rsidP="00A23983"/>
    <w:p w14:paraId="62BAD322" w14:textId="77777777" w:rsidR="00A23983" w:rsidRDefault="00A23983" w:rsidP="00A23983">
      <w:r>
        <w:t xml:space="preserve">Division 19.3.3 of the </w:t>
      </w:r>
      <w:r>
        <w:rPr>
          <w:i/>
          <w:iCs/>
        </w:rPr>
        <w:t xml:space="preserve">Legislation Act 2001 </w:t>
      </w:r>
      <w:r>
        <w:t xml:space="preserve">applies as Ms Garland McLellan is not a public servant, is appointed for longer than 6 months and will have functions beyond advising the Minister. In accordance with section 228 of the Legislation Act, the </w:t>
      </w:r>
      <w:r w:rsidRPr="00F46D12">
        <w:t>Standing Committee on Planning, Transport and City Services</w:t>
      </w:r>
      <w:r w:rsidRPr="00906D8B">
        <w:rPr>
          <w:color w:val="FF0000"/>
        </w:rPr>
        <w:t xml:space="preserve"> </w:t>
      </w:r>
      <w:r>
        <w:t>has been consulted and noted the appointment. The appointment is a disallowable instrument by operation of section 229 of the Legislation Act.</w:t>
      </w:r>
    </w:p>
    <w:p w14:paraId="3442A495" w14:textId="77777777" w:rsidR="00A23983" w:rsidRDefault="00A23983" w:rsidP="00A23983"/>
    <w:p w14:paraId="7BB0AAD0" w14:textId="77777777" w:rsidR="00A23983" w:rsidRPr="00F46D12" w:rsidRDefault="00A23983" w:rsidP="00A23983">
      <w:r w:rsidRPr="00F46D12">
        <w:t xml:space="preserve">The instrument is not likely to impose appreciable costs on the community, or part of the community and therefore a regulatory impact statement (a </w:t>
      </w:r>
      <w:r w:rsidRPr="00F46D12">
        <w:rPr>
          <w:b/>
          <w:bCs/>
          <w:i/>
          <w:iCs/>
        </w:rPr>
        <w:t>RIS</w:t>
      </w:r>
      <w:r w:rsidRPr="00F46D12">
        <w:t>) is not required under section 34 of the Legislation Act. Further, a RIS is unnecessary, in accordance with section 36</w:t>
      </w:r>
      <w:r w:rsidR="00BA2746">
        <w:t xml:space="preserve"> </w:t>
      </w:r>
      <w:r w:rsidRPr="00F46D12">
        <w:t>(1)</w:t>
      </w:r>
      <w:r w:rsidR="00BA2746">
        <w:t xml:space="preserve"> </w:t>
      </w:r>
      <w:r w:rsidRPr="00F46D12">
        <w:t>(b) of the Legislation Act, as the disallowable instrument does not operate to the disadvantage of anyone by adversely affecting the person’s rights, or imposing liabilities on the person.</w:t>
      </w:r>
    </w:p>
    <w:p w14:paraId="4395E0BA" w14:textId="77777777" w:rsidR="00A23983" w:rsidRDefault="00A23983" w:rsidP="00A23983"/>
    <w:p w14:paraId="67DB2073" w14:textId="77777777" w:rsidR="00A23983" w:rsidRPr="00906D8B" w:rsidRDefault="00A23983" w:rsidP="00A23983">
      <w:r w:rsidRPr="00906D8B">
        <w:t>Remuneration for the board is set by the ACT Remuneration Tribunal under Determination 13 of 2021 (Part-time Public Office Holders) and is met by the agency budget.</w:t>
      </w:r>
    </w:p>
    <w:bookmarkEnd w:id="3"/>
    <w:p w14:paraId="5C78D6A9" w14:textId="77777777" w:rsidR="00CB1FE4" w:rsidRPr="00492A9A" w:rsidRDefault="00CB1FE4" w:rsidP="00CB1FE4">
      <w:pPr>
        <w:rPr>
          <w:szCs w:val="24"/>
        </w:rPr>
      </w:pPr>
      <w:r w:rsidRPr="0081787C">
        <w:lastRenderedPageBreak/>
        <w:t xml:space="preserve">The instrument is consistent </w:t>
      </w:r>
      <w:r w:rsidRPr="00492A9A">
        <w:rPr>
          <w:szCs w:val="24"/>
        </w:rPr>
        <w:t>with the Legislative Assembly’s Scrutiny of Bills Committee Terms of Reference. In particular, the instrument:</w:t>
      </w:r>
    </w:p>
    <w:p w14:paraId="22CFE70A" w14:textId="77777777" w:rsidR="00CB1FE4" w:rsidRPr="00492A9A" w:rsidRDefault="00CB1FE4" w:rsidP="00CB1FE4">
      <w:pPr>
        <w:pStyle w:val="ListParagraph"/>
        <w:numPr>
          <w:ilvl w:val="0"/>
          <w:numId w:val="12"/>
        </w:numPr>
        <w:rPr>
          <w:rFonts w:ascii="Times New Roman" w:hAnsi="Times New Roman"/>
          <w:sz w:val="24"/>
          <w:szCs w:val="24"/>
        </w:rPr>
      </w:pPr>
      <w:r w:rsidRPr="00492A9A">
        <w:rPr>
          <w:rFonts w:ascii="Times New Roman" w:hAnsi="Times New Roman"/>
          <w:sz w:val="24"/>
          <w:szCs w:val="24"/>
        </w:rPr>
        <w:t>Is made under a ministerial power found in the Act</w:t>
      </w:r>
      <w:r w:rsidR="005E7592">
        <w:rPr>
          <w:rFonts w:ascii="Times New Roman" w:hAnsi="Times New Roman"/>
          <w:sz w:val="24"/>
          <w:szCs w:val="24"/>
        </w:rPr>
        <w:t xml:space="preserve"> (see section </w:t>
      </w:r>
      <w:r w:rsidRPr="00492A9A">
        <w:rPr>
          <w:rFonts w:ascii="Times New Roman" w:hAnsi="Times New Roman"/>
          <w:sz w:val="24"/>
          <w:szCs w:val="24"/>
        </w:rPr>
        <w:t xml:space="preserve">45 of the Act and </w:t>
      </w:r>
      <w:r w:rsidR="00697C96" w:rsidRPr="00944CC3">
        <w:rPr>
          <w:rFonts w:ascii="Times New Roman" w:hAnsi="Times New Roman"/>
          <w:sz w:val="24"/>
          <w:szCs w:val="24"/>
        </w:rPr>
        <w:t>section</w:t>
      </w:r>
      <w:r w:rsidRPr="00944CC3">
        <w:rPr>
          <w:rFonts w:ascii="Times New Roman" w:hAnsi="Times New Roman"/>
          <w:sz w:val="24"/>
          <w:szCs w:val="24"/>
        </w:rPr>
        <w:t xml:space="preserve"> 78 of the FMA.</w:t>
      </w:r>
      <w:r w:rsidR="0060745E">
        <w:rPr>
          <w:rFonts w:ascii="Times New Roman" w:hAnsi="Times New Roman"/>
          <w:sz w:val="24"/>
          <w:szCs w:val="24"/>
        </w:rPr>
        <w:t xml:space="preserve"> </w:t>
      </w:r>
    </w:p>
    <w:p w14:paraId="1CDF35B7" w14:textId="77777777" w:rsidR="00CB1FE4" w:rsidRPr="00492A9A" w:rsidRDefault="00CB1FE4" w:rsidP="00CB1FE4">
      <w:pPr>
        <w:pStyle w:val="ListParagraph"/>
        <w:numPr>
          <w:ilvl w:val="0"/>
          <w:numId w:val="12"/>
        </w:numPr>
        <w:rPr>
          <w:rFonts w:ascii="Times New Roman" w:hAnsi="Times New Roman"/>
          <w:sz w:val="24"/>
          <w:szCs w:val="24"/>
        </w:rPr>
      </w:pPr>
      <w:r w:rsidRPr="00492A9A">
        <w:rPr>
          <w:rFonts w:ascii="Times New Roman" w:hAnsi="Times New Roman"/>
          <w:sz w:val="24"/>
          <w:szCs w:val="24"/>
        </w:rPr>
        <w:t>Is in accord</w:t>
      </w:r>
      <w:r>
        <w:rPr>
          <w:rFonts w:ascii="Times New Roman" w:hAnsi="Times New Roman"/>
          <w:sz w:val="24"/>
          <w:szCs w:val="24"/>
        </w:rPr>
        <w:t>ance</w:t>
      </w:r>
      <w:r w:rsidRPr="00492A9A">
        <w:rPr>
          <w:rFonts w:ascii="Times New Roman" w:hAnsi="Times New Roman"/>
          <w:sz w:val="24"/>
          <w:szCs w:val="24"/>
        </w:rPr>
        <w:t xml:space="preserve"> with the general objects of the Act under which it is made. The </w:t>
      </w:r>
      <w:r>
        <w:rPr>
          <w:rFonts w:ascii="Times New Roman" w:hAnsi="Times New Roman"/>
          <w:sz w:val="24"/>
          <w:szCs w:val="24"/>
        </w:rPr>
        <w:t xml:space="preserve">appointment of members to the </w:t>
      </w:r>
      <w:r w:rsidR="00BA2746">
        <w:rPr>
          <w:rFonts w:ascii="Times New Roman" w:hAnsi="Times New Roman"/>
          <w:sz w:val="24"/>
          <w:szCs w:val="24"/>
        </w:rPr>
        <w:t>b</w:t>
      </w:r>
      <w:r w:rsidRPr="00492A9A">
        <w:rPr>
          <w:rFonts w:ascii="Times New Roman" w:hAnsi="Times New Roman"/>
          <w:sz w:val="24"/>
          <w:szCs w:val="24"/>
        </w:rPr>
        <w:t xml:space="preserve">oard is integral to </w:t>
      </w:r>
      <w:r>
        <w:rPr>
          <w:rFonts w:ascii="Times New Roman" w:hAnsi="Times New Roman"/>
          <w:sz w:val="24"/>
          <w:szCs w:val="24"/>
        </w:rPr>
        <w:t xml:space="preserve">its </w:t>
      </w:r>
      <w:r w:rsidRPr="00492A9A">
        <w:rPr>
          <w:rFonts w:ascii="Times New Roman" w:hAnsi="Times New Roman"/>
          <w:sz w:val="24"/>
          <w:szCs w:val="24"/>
        </w:rPr>
        <w:t>operation and achieving the objects of the Act.</w:t>
      </w:r>
    </w:p>
    <w:p w14:paraId="3A1C611B" w14:textId="77777777" w:rsidR="00CB1FE4" w:rsidRPr="00492A9A" w:rsidRDefault="00CB1FE4" w:rsidP="00CB1FE4">
      <w:pPr>
        <w:pStyle w:val="ListParagraph"/>
        <w:numPr>
          <w:ilvl w:val="0"/>
          <w:numId w:val="12"/>
        </w:numPr>
        <w:rPr>
          <w:rFonts w:ascii="Times New Roman" w:hAnsi="Times New Roman"/>
          <w:sz w:val="24"/>
          <w:szCs w:val="24"/>
        </w:rPr>
      </w:pPr>
      <w:r w:rsidRPr="00492A9A">
        <w:rPr>
          <w:rFonts w:ascii="Times New Roman" w:hAnsi="Times New Roman"/>
          <w:sz w:val="24"/>
          <w:szCs w:val="24"/>
        </w:rPr>
        <w:t>Does not unduly trespass on rights previously established by law.</w:t>
      </w:r>
    </w:p>
    <w:p w14:paraId="6DC6286A" w14:textId="77777777" w:rsidR="00A23983" w:rsidRDefault="00CB1FE4" w:rsidP="000F6B86">
      <w:pPr>
        <w:pStyle w:val="ListParagraph"/>
        <w:numPr>
          <w:ilvl w:val="0"/>
          <w:numId w:val="12"/>
        </w:numPr>
        <w:rPr>
          <w:rFonts w:ascii="Times New Roman" w:hAnsi="Times New Roman"/>
          <w:sz w:val="24"/>
          <w:szCs w:val="24"/>
          <w:lang w:eastAsia="en-AU"/>
        </w:rPr>
      </w:pPr>
      <w:r w:rsidRPr="005E7592">
        <w:rPr>
          <w:rFonts w:ascii="Times New Roman" w:hAnsi="Times New Roman"/>
          <w:sz w:val="24"/>
          <w:szCs w:val="24"/>
        </w:rPr>
        <w:t>Does not make rights, liberties and/or obligations unduly depended upon non</w:t>
      </w:r>
      <w:r w:rsidRPr="005E7592">
        <w:rPr>
          <w:rFonts w:ascii="Times New Roman" w:hAnsi="Times New Roman"/>
          <w:sz w:val="24"/>
          <w:szCs w:val="24"/>
        </w:rPr>
        <w:noBreakHyphen/>
        <w:t xml:space="preserve">reviewable decisions. The </w:t>
      </w:r>
      <w:r w:rsidR="00DF7A11" w:rsidRPr="005E7592">
        <w:rPr>
          <w:rFonts w:ascii="Times New Roman" w:hAnsi="Times New Roman"/>
          <w:sz w:val="24"/>
          <w:szCs w:val="24"/>
        </w:rPr>
        <w:t xml:space="preserve">instrument enables formal appointment of a member to the </w:t>
      </w:r>
      <w:r w:rsidR="00BA2746">
        <w:rPr>
          <w:rFonts w:ascii="Times New Roman" w:hAnsi="Times New Roman"/>
          <w:sz w:val="24"/>
          <w:szCs w:val="24"/>
        </w:rPr>
        <w:t>b</w:t>
      </w:r>
      <w:r w:rsidR="00DF7A11" w:rsidRPr="005E7592">
        <w:rPr>
          <w:rFonts w:ascii="Times New Roman" w:hAnsi="Times New Roman"/>
          <w:sz w:val="24"/>
          <w:szCs w:val="24"/>
        </w:rPr>
        <w:t>oard.</w:t>
      </w:r>
    </w:p>
    <w:p w14:paraId="66096204" w14:textId="77777777" w:rsidR="00A23983" w:rsidRDefault="00A23983" w:rsidP="00A23983">
      <w:pPr>
        <w:rPr>
          <w:szCs w:val="24"/>
          <w:lang w:eastAsia="en-AU"/>
        </w:rPr>
      </w:pPr>
    </w:p>
    <w:p w14:paraId="110228DE" w14:textId="77777777" w:rsidR="00A23983" w:rsidRDefault="00A23983" w:rsidP="00A23983">
      <w:pPr>
        <w:rPr>
          <w:szCs w:val="24"/>
          <w:lang w:eastAsia="en-AU"/>
        </w:rPr>
      </w:pPr>
    </w:p>
    <w:sectPr w:rsidR="00A23983" w:rsidSect="004C4A40">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F8515" w14:textId="77777777" w:rsidR="004F53C7" w:rsidRDefault="004F53C7">
      <w:r>
        <w:separator/>
      </w:r>
    </w:p>
  </w:endnote>
  <w:endnote w:type="continuationSeparator" w:id="0">
    <w:p w14:paraId="5E846726" w14:textId="77777777" w:rsidR="004F53C7" w:rsidRDefault="004F5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C30F8" w14:textId="77777777" w:rsidR="008A3846" w:rsidRDefault="008A38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FC4C4" w14:textId="77777777" w:rsidR="001E61DB" w:rsidRDefault="001E61DB">
    <w:pPr>
      <w:pStyle w:val="Footer"/>
      <w:jc w:val="center"/>
    </w:pPr>
    <w:r>
      <w:fldChar w:fldCharType="begin"/>
    </w:r>
    <w:r>
      <w:instrText xml:space="preserve"> PAGE   \* MERGEFORMAT </w:instrText>
    </w:r>
    <w:r>
      <w:fldChar w:fldCharType="separate"/>
    </w:r>
    <w:r w:rsidR="009D7961">
      <w:rPr>
        <w:noProof/>
      </w:rPr>
      <w:t>1</w:t>
    </w:r>
    <w:r>
      <w:fldChar w:fldCharType="end"/>
    </w:r>
  </w:p>
  <w:p w14:paraId="445C7F79" w14:textId="77777777" w:rsidR="008A3846" w:rsidRPr="008A3846" w:rsidRDefault="008A3846" w:rsidP="008A3846">
    <w:pPr>
      <w:pStyle w:val="Footer"/>
      <w:jc w:val="center"/>
      <w:rPr>
        <w:rFonts w:cs="Arial"/>
        <w:sz w:val="14"/>
      </w:rPr>
    </w:pPr>
    <w:r w:rsidRPr="008A3846">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406A8" w14:textId="77777777" w:rsidR="008A3846" w:rsidRDefault="008A3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69854" w14:textId="77777777" w:rsidR="004F53C7" w:rsidRDefault="004F53C7">
      <w:r>
        <w:separator/>
      </w:r>
    </w:p>
  </w:footnote>
  <w:footnote w:type="continuationSeparator" w:id="0">
    <w:p w14:paraId="7C1E60AE" w14:textId="77777777" w:rsidR="004F53C7" w:rsidRDefault="004F5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3209F" w14:textId="77777777" w:rsidR="008A3846" w:rsidRDefault="008A38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A451A" w14:textId="77777777" w:rsidR="008A3846" w:rsidRDefault="008A38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8EA7C" w14:textId="77777777" w:rsidR="008A3846" w:rsidRDefault="008A38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Restart w:val="0"/>
      <w:pStyle w:val="AH5Sec"/>
      <w:lvlText w:val="%5"/>
      <w:lvlJc w:val="left"/>
      <w:pPr>
        <w:tabs>
          <w:tab w:val="num" w:pos="700"/>
        </w:tabs>
        <w:ind w:left="700" w:hanging="700"/>
      </w:pPr>
      <w:rPr>
        <w:rFonts w:cs="Times New Roman"/>
        <w:b/>
        <w:i w:val="0"/>
      </w:rPr>
    </w:lvl>
    <w:lvl w:ilvl="5">
      <w:start w:val="1"/>
      <w:numFmt w:val="decimal"/>
      <w:lvlText w:val="(%6)"/>
      <w:lvlJc w:val="right"/>
      <w:pPr>
        <w:tabs>
          <w:tab w:val="num" w:pos="700"/>
        </w:tabs>
        <w:ind w:left="700" w:hanging="200"/>
      </w:pPr>
      <w:rPr>
        <w:rFonts w:cs="Times New Roman"/>
        <w:b w:val="0"/>
      </w:rPr>
    </w:lvl>
    <w:lvl w:ilvl="6">
      <w:start w:val="1"/>
      <w:numFmt w:val="lowerLetter"/>
      <w:lvlText w:val="(%7)"/>
      <w:lvlJc w:val="right"/>
      <w:pPr>
        <w:tabs>
          <w:tab w:val="num" w:pos="1200"/>
        </w:tabs>
        <w:ind w:left="1200" w:hanging="200"/>
      </w:pPr>
      <w:rPr>
        <w:rFonts w:cs="Times New Roman"/>
        <w:b w:val="0"/>
        <w:i w:val="0"/>
      </w:rPr>
    </w:lvl>
    <w:lvl w:ilvl="7">
      <w:start w:val="1"/>
      <w:numFmt w:val="lowerRoman"/>
      <w:lvlText w:val="(%8)"/>
      <w:lvlJc w:val="right"/>
      <w:pPr>
        <w:tabs>
          <w:tab w:val="num" w:pos="1740"/>
        </w:tabs>
        <w:ind w:left="1740" w:hanging="200"/>
      </w:pPr>
      <w:rPr>
        <w:rFonts w:cs="Times New Roman"/>
        <w:b w:val="0"/>
        <w:i w:val="0"/>
      </w:rPr>
    </w:lvl>
    <w:lvl w:ilvl="8">
      <w:start w:val="1"/>
      <w:numFmt w:val="upperLetter"/>
      <w:lvlText w:val="(%9)"/>
      <w:lvlJc w:val="right"/>
      <w:pPr>
        <w:tabs>
          <w:tab w:val="num" w:pos="2260"/>
        </w:tabs>
        <w:ind w:left="2260" w:hanging="200"/>
      </w:pPr>
      <w:rPr>
        <w:rFonts w:cs="Times New Roman"/>
        <w:b w:val="0"/>
        <w:i w:val="0"/>
      </w:rPr>
    </w:lvl>
  </w:abstractNum>
  <w:abstractNum w:abstractNumId="3" w15:restartNumberingAfterBreak="0">
    <w:nsid w:val="0B07352A"/>
    <w:multiLevelType w:val="hybridMultilevel"/>
    <w:tmpl w:val="806E64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21126CF"/>
    <w:multiLevelType w:val="hybridMultilevel"/>
    <w:tmpl w:val="353CD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7"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cs="Times New Roman" w:hint="default"/>
      </w:rPr>
    </w:lvl>
    <w:lvl w:ilvl="1" w:tplc="04090019">
      <w:start w:val="1"/>
      <w:numFmt w:val="lowerLetter"/>
      <w:lvlText w:val="%2."/>
      <w:lvlJc w:val="left"/>
      <w:pPr>
        <w:tabs>
          <w:tab w:val="num" w:pos="1114"/>
        </w:tabs>
        <w:ind w:left="1114" w:hanging="360"/>
      </w:pPr>
      <w:rPr>
        <w:rFonts w:cs="Times New Roman"/>
      </w:rPr>
    </w:lvl>
    <w:lvl w:ilvl="2" w:tplc="0409001B">
      <w:start w:val="1"/>
      <w:numFmt w:val="lowerRoman"/>
      <w:lvlText w:val="%3."/>
      <w:lvlJc w:val="right"/>
      <w:pPr>
        <w:tabs>
          <w:tab w:val="num" w:pos="1834"/>
        </w:tabs>
        <w:ind w:left="1834" w:hanging="180"/>
      </w:pPr>
      <w:rPr>
        <w:rFonts w:cs="Times New Roman"/>
      </w:rPr>
    </w:lvl>
    <w:lvl w:ilvl="3" w:tplc="0409000F">
      <w:start w:val="1"/>
      <w:numFmt w:val="decimal"/>
      <w:lvlText w:val="%4."/>
      <w:lvlJc w:val="left"/>
      <w:pPr>
        <w:tabs>
          <w:tab w:val="num" w:pos="2554"/>
        </w:tabs>
        <w:ind w:left="2554" w:hanging="360"/>
      </w:pPr>
      <w:rPr>
        <w:rFonts w:cs="Times New Roman"/>
      </w:rPr>
    </w:lvl>
    <w:lvl w:ilvl="4" w:tplc="04090019">
      <w:start w:val="1"/>
      <w:numFmt w:val="lowerLetter"/>
      <w:lvlText w:val="%5."/>
      <w:lvlJc w:val="left"/>
      <w:pPr>
        <w:tabs>
          <w:tab w:val="num" w:pos="3274"/>
        </w:tabs>
        <w:ind w:left="3274" w:hanging="360"/>
      </w:pPr>
      <w:rPr>
        <w:rFonts w:cs="Times New Roman"/>
      </w:rPr>
    </w:lvl>
    <w:lvl w:ilvl="5" w:tplc="0409001B">
      <w:start w:val="1"/>
      <w:numFmt w:val="lowerRoman"/>
      <w:lvlText w:val="%6."/>
      <w:lvlJc w:val="right"/>
      <w:pPr>
        <w:tabs>
          <w:tab w:val="num" w:pos="3994"/>
        </w:tabs>
        <w:ind w:left="3994" w:hanging="180"/>
      </w:pPr>
      <w:rPr>
        <w:rFonts w:cs="Times New Roman"/>
      </w:rPr>
    </w:lvl>
    <w:lvl w:ilvl="6" w:tplc="0409000F">
      <w:start w:val="1"/>
      <w:numFmt w:val="decimal"/>
      <w:lvlText w:val="%7."/>
      <w:lvlJc w:val="left"/>
      <w:pPr>
        <w:tabs>
          <w:tab w:val="num" w:pos="4714"/>
        </w:tabs>
        <w:ind w:left="4714" w:hanging="360"/>
      </w:pPr>
      <w:rPr>
        <w:rFonts w:cs="Times New Roman"/>
      </w:rPr>
    </w:lvl>
    <w:lvl w:ilvl="7" w:tplc="04090019">
      <w:start w:val="1"/>
      <w:numFmt w:val="lowerLetter"/>
      <w:lvlText w:val="%8."/>
      <w:lvlJc w:val="left"/>
      <w:pPr>
        <w:tabs>
          <w:tab w:val="num" w:pos="5434"/>
        </w:tabs>
        <w:ind w:left="5434" w:hanging="360"/>
      </w:pPr>
      <w:rPr>
        <w:rFonts w:cs="Times New Roman"/>
      </w:rPr>
    </w:lvl>
    <w:lvl w:ilvl="8" w:tplc="0409001B">
      <w:start w:val="1"/>
      <w:numFmt w:val="lowerRoman"/>
      <w:lvlText w:val="%9."/>
      <w:lvlJc w:val="right"/>
      <w:pPr>
        <w:tabs>
          <w:tab w:val="num" w:pos="6154"/>
        </w:tabs>
        <w:ind w:left="6154" w:hanging="180"/>
      </w:pPr>
      <w:rPr>
        <w:rFonts w:cs="Times New Roman"/>
      </w:rPr>
    </w:lvl>
  </w:abstractNum>
  <w:abstractNum w:abstractNumId="8"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9" w15:restartNumberingAfterBreak="0">
    <w:nsid w:val="60BD0BC6"/>
    <w:multiLevelType w:val="hybridMultilevel"/>
    <w:tmpl w:val="DBFE57B4"/>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 w15:restartNumberingAfterBreak="0">
    <w:nsid w:val="69454A76"/>
    <w:multiLevelType w:val="multilevel"/>
    <w:tmpl w:val="97DEB10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pStyle w:val="Apara"/>
      <w:lvlText w:val="%7."/>
      <w:lvlJc w:val="left"/>
      <w:pPr>
        <w:tabs>
          <w:tab w:val="num" w:pos="5040"/>
        </w:tabs>
        <w:ind w:left="5040" w:hanging="720"/>
      </w:pPr>
      <w:rPr>
        <w:rFonts w:cs="Times New Roman"/>
      </w:rPr>
    </w:lvl>
    <w:lvl w:ilvl="7">
      <w:start w:val="1"/>
      <w:numFmt w:val="decimal"/>
      <w:pStyle w:val="Asubpara"/>
      <w:lvlText w:val="%8."/>
      <w:lvlJc w:val="left"/>
      <w:pPr>
        <w:tabs>
          <w:tab w:val="num" w:pos="5760"/>
        </w:tabs>
        <w:ind w:left="5760" w:hanging="720"/>
      </w:pPr>
      <w:rPr>
        <w:rFonts w:cs="Times New Roman"/>
      </w:rPr>
    </w:lvl>
    <w:lvl w:ilvl="8">
      <w:start w:val="1"/>
      <w:numFmt w:val="decimal"/>
      <w:pStyle w:val="Asubsubpara"/>
      <w:lvlText w:val="%9."/>
      <w:lvlJc w:val="left"/>
      <w:pPr>
        <w:tabs>
          <w:tab w:val="num" w:pos="6480"/>
        </w:tabs>
        <w:ind w:left="6480" w:hanging="720"/>
      </w:pPr>
      <w:rPr>
        <w:rFonts w:cs="Times New Roman"/>
      </w:rPr>
    </w:lvl>
  </w:abstractNum>
  <w:abstractNum w:abstractNumId="11"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num w:numId="1">
    <w:abstractNumId w:val="2"/>
  </w:num>
  <w:num w:numId="2">
    <w:abstractNumId w:val="0"/>
  </w:num>
  <w:num w:numId="3">
    <w:abstractNumId w:val="4"/>
  </w:num>
  <w:num w:numId="4">
    <w:abstractNumId w:val="8"/>
  </w:num>
  <w:num w:numId="5">
    <w:abstractNumId w:val="11"/>
  </w:num>
  <w:num w:numId="6">
    <w:abstractNumId w:val="1"/>
  </w:num>
  <w:num w:numId="7">
    <w:abstractNumId w:val="6"/>
  </w:num>
  <w:num w:numId="8">
    <w:abstractNumId w:val="7"/>
  </w:num>
  <w:num w:numId="9">
    <w:abstractNumId w:val="10"/>
  </w:num>
  <w:num w:numId="10">
    <w:abstractNumId w:val="5"/>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C4252F"/>
    <w:rsid w:val="00040530"/>
    <w:rsid w:val="000509BA"/>
    <w:rsid w:val="0005578A"/>
    <w:rsid w:val="00063CFA"/>
    <w:rsid w:val="00081CA7"/>
    <w:rsid w:val="000B1BA3"/>
    <w:rsid w:val="000D6119"/>
    <w:rsid w:val="000E0B47"/>
    <w:rsid w:val="000F6B86"/>
    <w:rsid w:val="00187312"/>
    <w:rsid w:val="001A1A74"/>
    <w:rsid w:val="001E61DB"/>
    <w:rsid w:val="002058FE"/>
    <w:rsid w:val="002226DE"/>
    <w:rsid w:val="00254B91"/>
    <w:rsid w:val="002E684F"/>
    <w:rsid w:val="002F1A2A"/>
    <w:rsid w:val="002F524C"/>
    <w:rsid w:val="00300CBF"/>
    <w:rsid w:val="00316653"/>
    <w:rsid w:val="00334356"/>
    <w:rsid w:val="00350CF0"/>
    <w:rsid w:val="003818F7"/>
    <w:rsid w:val="003C7023"/>
    <w:rsid w:val="003E50C5"/>
    <w:rsid w:val="003F381E"/>
    <w:rsid w:val="004114ED"/>
    <w:rsid w:val="00471C05"/>
    <w:rsid w:val="0047632C"/>
    <w:rsid w:val="00492A9A"/>
    <w:rsid w:val="004B36C2"/>
    <w:rsid w:val="004C103A"/>
    <w:rsid w:val="004C4A40"/>
    <w:rsid w:val="004F46D4"/>
    <w:rsid w:val="004F53C7"/>
    <w:rsid w:val="00504466"/>
    <w:rsid w:val="00510D80"/>
    <w:rsid w:val="005348DF"/>
    <w:rsid w:val="00550787"/>
    <w:rsid w:val="00565DC0"/>
    <w:rsid w:val="005D70F1"/>
    <w:rsid w:val="005D7301"/>
    <w:rsid w:val="005E7592"/>
    <w:rsid w:val="005F6FB4"/>
    <w:rsid w:val="0060745E"/>
    <w:rsid w:val="006117D9"/>
    <w:rsid w:val="00644112"/>
    <w:rsid w:val="00697C96"/>
    <w:rsid w:val="006B5089"/>
    <w:rsid w:val="006C450F"/>
    <w:rsid w:val="006E1D9F"/>
    <w:rsid w:val="006F663C"/>
    <w:rsid w:val="00724A2A"/>
    <w:rsid w:val="00730D25"/>
    <w:rsid w:val="00750487"/>
    <w:rsid w:val="007E5872"/>
    <w:rsid w:val="007E684F"/>
    <w:rsid w:val="0081787C"/>
    <w:rsid w:val="0088745D"/>
    <w:rsid w:val="008A3846"/>
    <w:rsid w:val="008B76DA"/>
    <w:rsid w:val="008D4A1B"/>
    <w:rsid w:val="00906D8B"/>
    <w:rsid w:val="00944CC3"/>
    <w:rsid w:val="00974B6F"/>
    <w:rsid w:val="00982105"/>
    <w:rsid w:val="00997877"/>
    <w:rsid w:val="009D7961"/>
    <w:rsid w:val="009E6E97"/>
    <w:rsid w:val="00A23983"/>
    <w:rsid w:val="00A30396"/>
    <w:rsid w:val="00A36E1A"/>
    <w:rsid w:val="00A6302A"/>
    <w:rsid w:val="00A97382"/>
    <w:rsid w:val="00AA4BEF"/>
    <w:rsid w:val="00AB1DC2"/>
    <w:rsid w:val="00AD4076"/>
    <w:rsid w:val="00B54842"/>
    <w:rsid w:val="00B96FCB"/>
    <w:rsid w:val="00BA2746"/>
    <w:rsid w:val="00BB6F67"/>
    <w:rsid w:val="00BC7A23"/>
    <w:rsid w:val="00C17081"/>
    <w:rsid w:val="00C33085"/>
    <w:rsid w:val="00C4252F"/>
    <w:rsid w:val="00CB1FE4"/>
    <w:rsid w:val="00CB30B2"/>
    <w:rsid w:val="00CB7E57"/>
    <w:rsid w:val="00D033E5"/>
    <w:rsid w:val="00DD6956"/>
    <w:rsid w:val="00DF7A11"/>
    <w:rsid w:val="00E03ECD"/>
    <w:rsid w:val="00E301AA"/>
    <w:rsid w:val="00E77305"/>
    <w:rsid w:val="00EA403B"/>
    <w:rsid w:val="00EB0EEF"/>
    <w:rsid w:val="00EB3784"/>
    <w:rsid w:val="00EE7534"/>
    <w:rsid w:val="00EF1498"/>
    <w:rsid w:val="00F07663"/>
    <w:rsid w:val="00F11E20"/>
    <w:rsid w:val="00F30638"/>
    <w:rsid w:val="00F37D3E"/>
    <w:rsid w:val="00F46D12"/>
    <w:rsid w:val="00F801B4"/>
    <w:rsid w:val="00F81F2C"/>
    <w:rsid w:val="00F82B25"/>
    <w:rsid w:val="00F832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541F88"/>
  <w14:defaultImageDpi w14:val="0"/>
  <w15:docId w15:val="{599A4F86-AC9E-4E3E-867E-249C70E0C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7305"/>
    <w:rPr>
      <w:sz w:val="24"/>
      <w:lang w:eastAsia="en-US"/>
    </w:rPr>
  </w:style>
  <w:style w:type="paragraph" w:styleId="Heading1">
    <w:name w:val="heading 1"/>
    <w:basedOn w:val="Billname"/>
    <w:next w:val="Normal"/>
    <w:link w:val="Heading1Char"/>
    <w:uiPriority w:val="9"/>
    <w:qFormat/>
    <w:rsid w:val="002F1A2A"/>
    <w:pPr>
      <w:spacing w:before="700"/>
      <w:outlineLvl w:val="0"/>
    </w:pPr>
  </w:style>
  <w:style w:type="paragraph" w:styleId="Heading2">
    <w:name w:val="heading 2"/>
    <w:basedOn w:val="Normal"/>
    <w:next w:val="Normal"/>
    <w:link w:val="Heading2Char"/>
    <w:uiPriority w:val="9"/>
    <w:qFormat/>
    <w:rsid w:val="002F1A2A"/>
    <w:pPr>
      <w:spacing w:before="240" w:after="60"/>
      <w:outlineLvl w:val="1"/>
    </w:pPr>
    <w:rPr>
      <w:rFonts w:ascii="Arial" w:hAnsi="Arial" w:cs="Arial"/>
      <w:b/>
      <w:bCs/>
    </w:rPr>
  </w:style>
  <w:style w:type="paragraph" w:styleId="Heading3">
    <w:name w:val="heading 3"/>
    <w:basedOn w:val="Normal"/>
    <w:next w:val="Normal"/>
    <w:link w:val="Heading3Char"/>
    <w:uiPriority w:val="9"/>
    <w:qFormat/>
    <w:rsid w:val="002F1A2A"/>
    <w:pPr>
      <w:spacing w:before="360"/>
      <w:ind w:right="565"/>
      <w:outlineLvl w:val="2"/>
    </w:pPr>
    <w:rPr>
      <w:rFonts w:ascii="Arial" w:hAnsi="Arial" w:cs="Arial"/>
      <w:b/>
      <w:bCs/>
      <w:sz w:val="28"/>
      <w:szCs w:val="28"/>
    </w:rPr>
  </w:style>
  <w:style w:type="paragraph" w:styleId="Heading4">
    <w:name w:val="heading 4"/>
    <w:basedOn w:val="Normal"/>
    <w:next w:val="Normal"/>
    <w:link w:val="Heading4Char"/>
    <w:uiPriority w:val="9"/>
    <w:qFormat/>
    <w:rsid w:val="00E77305"/>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paragraph" w:styleId="Title">
    <w:name w:val="Title"/>
    <w:basedOn w:val="Normal"/>
    <w:link w:val="TitleChar"/>
    <w:uiPriority w:val="10"/>
    <w:qFormat/>
    <w:rsid w:val="00E77305"/>
    <w:pPr>
      <w:pBdr>
        <w:top w:val="single" w:sz="4" w:space="1" w:color="auto"/>
        <w:bottom w:val="single" w:sz="4" w:space="1" w:color="auto"/>
      </w:pBdr>
      <w:spacing w:before="240" w:after="240"/>
    </w:pPr>
    <w:rPr>
      <w:rFonts w:ascii="Arial" w:hAnsi="Arial"/>
      <w:b/>
      <w:kern w:val="28"/>
      <w:sz w:val="40"/>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Footer">
    <w:name w:val="footer"/>
    <w:basedOn w:val="Normal"/>
    <w:link w:val="FooterChar"/>
    <w:uiPriority w:val="99"/>
    <w:rsid w:val="00E77305"/>
    <w:pPr>
      <w:tabs>
        <w:tab w:val="left" w:pos="2880"/>
      </w:tabs>
      <w:spacing w:before="120" w:after="60" w:line="240" w:lineRule="exact"/>
    </w:pPr>
    <w:rPr>
      <w:rFonts w:ascii="Arial" w:hAnsi="Arial"/>
      <w:sz w:val="18"/>
    </w:rPr>
  </w:style>
  <w:style w:type="character" w:customStyle="1" w:styleId="FooterChar">
    <w:name w:val="Footer Char"/>
    <w:basedOn w:val="DefaultParagraphFont"/>
    <w:link w:val="Footer"/>
    <w:uiPriority w:val="99"/>
    <w:locked/>
    <w:rsid w:val="008B76DA"/>
    <w:rPr>
      <w:rFonts w:ascii="Arial" w:hAnsi="Arial" w:cs="Times New Roman"/>
      <w:sz w:val="18"/>
      <w:lang w:val="x-none" w:eastAsia="en-US"/>
    </w:rPr>
  </w:style>
  <w:style w:type="paragraph" w:customStyle="1" w:styleId="Billname">
    <w:name w:val="Billname"/>
    <w:basedOn w:val="Normal"/>
    <w:rsid w:val="00E77305"/>
    <w:pPr>
      <w:tabs>
        <w:tab w:val="left" w:pos="2400"/>
        <w:tab w:val="left" w:pos="2880"/>
      </w:tabs>
      <w:spacing w:before="1220" w:after="100"/>
    </w:pPr>
    <w:rPr>
      <w:rFonts w:ascii="Arial" w:hAnsi="Arial"/>
      <w:b/>
      <w:sz w:val="40"/>
    </w:rPr>
  </w:style>
  <w:style w:type="paragraph" w:customStyle="1" w:styleId="Amain">
    <w:name w:val="A main"/>
    <w:basedOn w:val="Normal"/>
    <w:rsid w:val="00E77305"/>
    <w:pPr>
      <w:tabs>
        <w:tab w:val="right" w:pos="500"/>
        <w:tab w:val="left" w:pos="700"/>
      </w:tabs>
      <w:spacing w:before="80" w:after="60"/>
      <w:ind w:left="700" w:hanging="700"/>
      <w:jc w:val="both"/>
      <w:outlineLvl w:val="5"/>
    </w:pPr>
  </w:style>
  <w:style w:type="paragraph" w:customStyle="1" w:styleId="N-line3">
    <w:name w:val="N-line3"/>
    <w:basedOn w:val="Normal"/>
    <w:next w:val="Normal"/>
    <w:rsid w:val="00E77305"/>
    <w:pPr>
      <w:pBdr>
        <w:bottom w:val="single" w:sz="12" w:space="1" w:color="auto"/>
      </w:pBdr>
      <w:jc w:val="both"/>
    </w:pPr>
  </w:style>
  <w:style w:type="paragraph" w:customStyle="1" w:styleId="madeunder">
    <w:name w:val="made under"/>
    <w:basedOn w:val="Normal"/>
    <w:rsid w:val="00E77305"/>
    <w:pPr>
      <w:spacing w:before="180" w:after="60"/>
      <w:jc w:val="both"/>
    </w:pPr>
  </w:style>
  <w:style w:type="paragraph" w:customStyle="1" w:styleId="CoverActName">
    <w:name w:val="CoverActName"/>
    <w:basedOn w:val="Normal"/>
    <w:rsid w:val="00E77305"/>
    <w:pPr>
      <w:tabs>
        <w:tab w:val="left" w:pos="2600"/>
      </w:tabs>
      <w:spacing w:before="200" w:after="60"/>
      <w:jc w:val="both"/>
    </w:pPr>
    <w:rPr>
      <w:rFonts w:ascii="Arial" w:hAnsi="Arial"/>
      <w:b/>
    </w:rPr>
  </w:style>
  <w:style w:type="paragraph" w:customStyle="1" w:styleId="06Copyright">
    <w:name w:val="06Copyright"/>
    <w:basedOn w:val="Normal"/>
    <w:rsid w:val="00E77305"/>
    <w:pPr>
      <w:tabs>
        <w:tab w:val="left" w:pos="2880"/>
      </w:tabs>
    </w:pPr>
  </w:style>
  <w:style w:type="paragraph" w:customStyle="1" w:styleId="Apara">
    <w:name w:val="A para"/>
    <w:basedOn w:val="Normal"/>
    <w:rsid w:val="00E77305"/>
    <w:pPr>
      <w:numPr>
        <w:ilvl w:val="6"/>
        <w:numId w:val="9"/>
      </w:numPr>
      <w:spacing w:before="80" w:after="60"/>
      <w:jc w:val="both"/>
      <w:outlineLvl w:val="6"/>
    </w:pPr>
  </w:style>
  <w:style w:type="paragraph" w:customStyle="1" w:styleId="Asubpara">
    <w:name w:val="A subpara"/>
    <w:basedOn w:val="Normal"/>
    <w:rsid w:val="00E77305"/>
    <w:pPr>
      <w:numPr>
        <w:ilvl w:val="7"/>
        <w:numId w:val="9"/>
      </w:numPr>
      <w:spacing w:before="80" w:after="60"/>
      <w:jc w:val="both"/>
      <w:outlineLvl w:val="7"/>
    </w:pPr>
  </w:style>
  <w:style w:type="paragraph" w:customStyle="1" w:styleId="Asubsubpara">
    <w:name w:val="A subsubpara"/>
    <w:basedOn w:val="Normal"/>
    <w:rsid w:val="00E77305"/>
    <w:pPr>
      <w:numPr>
        <w:ilvl w:val="8"/>
        <w:numId w:val="9"/>
      </w:numPr>
      <w:spacing w:before="80" w:after="60"/>
      <w:jc w:val="both"/>
      <w:outlineLvl w:val="8"/>
    </w:pPr>
  </w:style>
  <w:style w:type="paragraph" w:customStyle="1" w:styleId="AH5Sec">
    <w:name w:val="A H5 Sec"/>
    <w:basedOn w:val="Normal"/>
    <w:next w:val="Amain"/>
    <w:rsid w:val="00E77305"/>
    <w:pPr>
      <w:keepNext/>
      <w:numPr>
        <w:ilvl w:val="4"/>
        <w:numId w:val="1"/>
      </w:numPr>
      <w:spacing w:before="180" w:after="60"/>
      <w:outlineLvl w:val="4"/>
    </w:pPr>
    <w:rPr>
      <w:rFonts w:ascii="Arial" w:hAnsi="Arial"/>
      <w:b/>
    </w:rPr>
  </w:style>
  <w:style w:type="paragraph" w:styleId="Header">
    <w:name w:val="header"/>
    <w:basedOn w:val="Normal"/>
    <w:link w:val="HeaderChar"/>
    <w:uiPriority w:val="99"/>
    <w:rsid w:val="00E77305"/>
    <w:pPr>
      <w:tabs>
        <w:tab w:val="left" w:pos="2880"/>
        <w:tab w:val="center" w:pos="4153"/>
        <w:tab w:val="right" w:pos="8306"/>
      </w:tabs>
    </w:pPr>
  </w:style>
  <w:style w:type="character" w:customStyle="1" w:styleId="HeaderChar">
    <w:name w:val="Header Char"/>
    <w:basedOn w:val="DefaultParagraphFont"/>
    <w:link w:val="Header"/>
    <w:uiPriority w:val="99"/>
    <w:semiHidden/>
    <w:locked/>
    <w:rPr>
      <w:rFonts w:cs="Times New Roman"/>
      <w:sz w:val="24"/>
      <w:lang w:val="x-none" w:eastAsia="en-US"/>
    </w:rPr>
  </w:style>
  <w:style w:type="paragraph" w:customStyle="1" w:styleId="ref">
    <w:name w:val="ref"/>
    <w:basedOn w:val="Normal"/>
    <w:next w:val="Normal"/>
    <w:rsid w:val="00E77305"/>
    <w:pPr>
      <w:spacing w:after="60"/>
      <w:jc w:val="both"/>
    </w:pPr>
    <w:rPr>
      <w:sz w:val="18"/>
    </w:rPr>
  </w:style>
  <w:style w:type="character" w:customStyle="1" w:styleId="CharDivText">
    <w:name w:val="CharDivText"/>
    <w:basedOn w:val="DefaultParagraphFont"/>
    <w:rsid w:val="00E77305"/>
    <w:rPr>
      <w:rFonts w:cs="Times New Roman"/>
    </w:rPr>
  </w:style>
  <w:style w:type="paragraph" w:customStyle="1" w:styleId="CoverInForce">
    <w:name w:val="CoverInForce"/>
    <w:basedOn w:val="Normal"/>
    <w:rsid w:val="00E77305"/>
    <w:pPr>
      <w:tabs>
        <w:tab w:val="left" w:pos="2600"/>
      </w:tabs>
      <w:spacing w:before="200" w:after="60"/>
      <w:jc w:val="both"/>
    </w:pPr>
    <w:rPr>
      <w:rFonts w:ascii="Arial" w:hAnsi="Arial"/>
    </w:rPr>
  </w:style>
  <w:style w:type="paragraph" w:customStyle="1" w:styleId="AFHdg">
    <w:name w:val="AFHdg"/>
    <w:basedOn w:val="Normal"/>
    <w:rsid w:val="00E77305"/>
    <w:pPr>
      <w:tabs>
        <w:tab w:val="left" w:pos="2600"/>
      </w:tabs>
      <w:spacing w:before="80" w:after="60"/>
      <w:jc w:val="both"/>
    </w:pPr>
    <w:rPr>
      <w:rFonts w:ascii="Arial" w:hAnsi="Arial"/>
      <w:b/>
      <w:sz w:val="32"/>
    </w:rPr>
  </w:style>
  <w:style w:type="paragraph" w:customStyle="1" w:styleId="ApprFormHd">
    <w:name w:val="ApprFormHd"/>
    <w:basedOn w:val="Normal"/>
    <w:rsid w:val="00E77305"/>
    <w:pPr>
      <w:keepNext/>
      <w:tabs>
        <w:tab w:val="left" w:pos="2600"/>
      </w:tabs>
      <w:spacing w:before="320" w:after="60"/>
      <w:outlineLvl w:val="0"/>
    </w:pPr>
    <w:rPr>
      <w:rFonts w:ascii="Arial" w:hAnsi="Arial"/>
      <w:b/>
      <w:sz w:val="34"/>
    </w:rPr>
  </w:style>
  <w:style w:type="character" w:styleId="PageNumber">
    <w:name w:val="page number"/>
    <w:basedOn w:val="DefaultParagraphFont"/>
    <w:uiPriority w:val="99"/>
    <w:rsid w:val="00E77305"/>
    <w:rPr>
      <w:rFonts w:cs="Times New Roman"/>
    </w:rPr>
  </w:style>
  <w:style w:type="paragraph" w:customStyle="1" w:styleId="Aparabullet">
    <w:name w:val="A para bullet"/>
    <w:basedOn w:val="Normal"/>
    <w:rsid w:val="00E77305"/>
    <w:pPr>
      <w:numPr>
        <w:numId w:val="4"/>
      </w:numPr>
    </w:pPr>
  </w:style>
  <w:style w:type="paragraph" w:styleId="TOC1">
    <w:name w:val="toc 1"/>
    <w:basedOn w:val="Normal"/>
    <w:next w:val="Normal"/>
    <w:autoRedefine/>
    <w:uiPriority w:val="39"/>
    <w:semiHidden/>
    <w:rsid w:val="00E77305"/>
  </w:style>
  <w:style w:type="paragraph" w:styleId="TOC2">
    <w:name w:val="toc 2"/>
    <w:basedOn w:val="Normal"/>
    <w:next w:val="Normal"/>
    <w:autoRedefine/>
    <w:uiPriority w:val="39"/>
    <w:semiHidden/>
    <w:rsid w:val="00E77305"/>
    <w:pPr>
      <w:ind w:left="240"/>
    </w:pPr>
  </w:style>
  <w:style w:type="paragraph" w:styleId="TOC3">
    <w:name w:val="toc 3"/>
    <w:basedOn w:val="Normal"/>
    <w:next w:val="Normal"/>
    <w:autoRedefine/>
    <w:uiPriority w:val="39"/>
    <w:semiHidden/>
    <w:rsid w:val="00E77305"/>
    <w:pPr>
      <w:ind w:left="480"/>
    </w:pPr>
  </w:style>
  <w:style w:type="paragraph" w:styleId="TOC4">
    <w:name w:val="toc 4"/>
    <w:basedOn w:val="Normal"/>
    <w:next w:val="Normal"/>
    <w:autoRedefine/>
    <w:uiPriority w:val="39"/>
    <w:semiHidden/>
    <w:rsid w:val="00E77305"/>
    <w:pPr>
      <w:ind w:left="720"/>
    </w:pPr>
  </w:style>
  <w:style w:type="paragraph" w:styleId="TOC5">
    <w:name w:val="toc 5"/>
    <w:basedOn w:val="Normal"/>
    <w:next w:val="Normal"/>
    <w:autoRedefine/>
    <w:uiPriority w:val="39"/>
    <w:semiHidden/>
    <w:rsid w:val="00E77305"/>
    <w:pPr>
      <w:ind w:left="960"/>
    </w:pPr>
  </w:style>
  <w:style w:type="paragraph" w:styleId="TOC6">
    <w:name w:val="toc 6"/>
    <w:basedOn w:val="Normal"/>
    <w:next w:val="Normal"/>
    <w:autoRedefine/>
    <w:uiPriority w:val="39"/>
    <w:semiHidden/>
    <w:rsid w:val="00E77305"/>
    <w:pPr>
      <w:ind w:left="1200"/>
    </w:pPr>
  </w:style>
  <w:style w:type="paragraph" w:styleId="TOC7">
    <w:name w:val="toc 7"/>
    <w:basedOn w:val="Normal"/>
    <w:next w:val="Normal"/>
    <w:autoRedefine/>
    <w:uiPriority w:val="39"/>
    <w:semiHidden/>
    <w:rsid w:val="00E77305"/>
    <w:pPr>
      <w:ind w:left="1440"/>
    </w:pPr>
  </w:style>
  <w:style w:type="paragraph" w:styleId="TOC8">
    <w:name w:val="toc 8"/>
    <w:basedOn w:val="Normal"/>
    <w:next w:val="Normal"/>
    <w:autoRedefine/>
    <w:uiPriority w:val="39"/>
    <w:semiHidden/>
    <w:rsid w:val="00E77305"/>
    <w:pPr>
      <w:ind w:left="1680"/>
    </w:pPr>
  </w:style>
  <w:style w:type="paragraph" w:styleId="TOC9">
    <w:name w:val="toc 9"/>
    <w:basedOn w:val="Normal"/>
    <w:next w:val="Normal"/>
    <w:autoRedefine/>
    <w:uiPriority w:val="39"/>
    <w:semiHidden/>
    <w:rsid w:val="00E77305"/>
    <w:pPr>
      <w:ind w:left="1920"/>
    </w:pPr>
  </w:style>
  <w:style w:type="character" w:styleId="Hyperlink">
    <w:name w:val="Hyperlink"/>
    <w:basedOn w:val="DefaultParagraphFont"/>
    <w:uiPriority w:val="99"/>
    <w:rsid w:val="00E77305"/>
    <w:rPr>
      <w:rFonts w:cs="Times New Roman"/>
      <w:color w:val="0000FF"/>
      <w:u w:val="single"/>
    </w:rPr>
  </w:style>
  <w:style w:type="paragraph" w:styleId="BodyTextIndent">
    <w:name w:val="Body Text Indent"/>
    <w:basedOn w:val="Normal"/>
    <w:link w:val="BodyTextIndentChar"/>
    <w:uiPriority w:val="99"/>
    <w:rsid w:val="00E77305"/>
    <w:pPr>
      <w:spacing w:before="120" w:after="60"/>
      <w:ind w:left="709"/>
    </w:pPr>
  </w:style>
  <w:style w:type="character" w:customStyle="1" w:styleId="BodyTextIndentChar">
    <w:name w:val="Body Text Indent Char"/>
    <w:basedOn w:val="DefaultParagraphFont"/>
    <w:link w:val="BodyTextIndent"/>
    <w:uiPriority w:val="99"/>
    <w:semiHidden/>
    <w:locked/>
    <w:rPr>
      <w:rFonts w:cs="Times New Roman"/>
      <w:sz w:val="24"/>
      <w:lang w:val="x-none" w:eastAsia="en-US"/>
    </w:rPr>
  </w:style>
  <w:style w:type="paragraph" w:customStyle="1" w:styleId="Minister">
    <w:name w:val="Minister"/>
    <w:basedOn w:val="Normal"/>
    <w:rsid w:val="00E77305"/>
    <w:pPr>
      <w:spacing w:before="880" w:after="60"/>
      <w:jc w:val="right"/>
    </w:pPr>
    <w:rPr>
      <w:caps/>
      <w:szCs w:val="24"/>
    </w:rPr>
  </w:style>
  <w:style w:type="paragraph" w:customStyle="1" w:styleId="DateLine">
    <w:name w:val="DateLine"/>
    <w:basedOn w:val="Normal"/>
    <w:rsid w:val="00E77305"/>
    <w:pPr>
      <w:tabs>
        <w:tab w:val="left" w:pos="4320"/>
      </w:tabs>
      <w:spacing w:before="80" w:after="60"/>
      <w:jc w:val="both"/>
    </w:pPr>
    <w:rPr>
      <w:szCs w:val="24"/>
    </w:rPr>
  </w:style>
  <w:style w:type="paragraph" w:customStyle="1" w:styleId="MinisterWord">
    <w:name w:val="MinisterWord"/>
    <w:basedOn w:val="Normal"/>
    <w:rsid w:val="00E77305"/>
    <w:pPr>
      <w:tabs>
        <w:tab w:val="left" w:pos="2880"/>
      </w:tabs>
      <w:jc w:val="right"/>
    </w:pPr>
    <w:rPr>
      <w:szCs w:val="24"/>
    </w:rPr>
  </w:style>
  <w:style w:type="character" w:styleId="FollowedHyperlink">
    <w:name w:val="FollowedHyperlink"/>
    <w:basedOn w:val="DefaultParagraphFont"/>
    <w:uiPriority w:val="99"/>
    <w:rsid w:val="00E77305"/>
    <w:rPr>
      <w:rFonts w:cs="Times New Roman"/>
      <w:color w:val="800080"/>
      <w:u w:val="single"/>
    </w:rPr>
  </w:style>
  <w:style w:type="character" w:styleId="FootnoteReference">
    <w:name w:val="footnote reference"/>
    <w:basedOn w:val="DefaultParagraphFont"/>
    <w:uiPriority w:val="99"/>
    <w:semiHidden/>
    <w:rsid w:val="00E77305"/>
    <w:rPr>
      <w:rFonts w:ascii="Times New Roman" w:hAnsi="Times New Roman" w:cs="Times New Roman"/>
      <w:sz w:val="24"/>
      <w:szCs w:val="24"/>
      <w:vertAlign w:val="superscript"/>
    </w:rPr>
  </w:style>
  <w:style w:type="paragraph" w:styleId="FootnoteText">
    <w:name w:val="footnote text"/>
    <w:basedOn w:val="Normal"/>
    <w:link w:val="FootnoteTextChar"/>
    <w:uiPriority w:val="99"/>
    <w:semiHidden/>
    <w:rsid w:val="00E77305"/>
    <w:pPr>
      <w:spacing w:before="80" w:after="60"/>
      <w:jc w:val="both"/>
    </w:pPr>
    <w:rPr>
      <w:szCs w:val="24"/>
    </w:rPr>
  </w:style>
  <w:style w:type="character" w:customStyle="1" w:styleId="FootnoteTextChar">
    <w:name w:val="Footnote Text Char"/>
    <w:basedOn w:val="DefaultParagraphFont"/>
    <w:link w:val="FootnoteText"/>
    <w:uiPriority w:val="99"/>
    <w:semiHidden/>
    <w:locked/>
    <w:rPr>
      <w:rFonts w:cs="Times New Roman"/>
      <w:lang w:val="x-none" w:eastAsia="en-US"/>
    </w:rPr>
  </w:style>
  <w:style w:type="paragraph" w:customStyle="1" w:styleId="ShadedSchClause">
    <w:name w:val="Shaded Sch Clause"/>
    <w:basedOn w:val="Normal"/>
    <w:next w:val="Normal"/>
    <w:rsid w:val="00E77305"/>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E77305"/>
    <w:rPr>
      <w:rFonts w:cs="Times New Roman"/>
    </w:rPr>
  </w:style>
  <w:style w:type="paragraph" w:styleId="ListParagraph">
    <w:name w:val="List Paragraph"/>
    <w:basedOn w:val="Normal"/>
    <w:uiPriority w:val="34"/>
    <w:qFormat/>
    <w:rsid w:val="008B76DA"/>
    <w:pPr>
      <w:spacing w:after="160" w:line="259" w:lineRule="auto"/>
      <w:ind w:left="720"/>
      <w:contextualSpacing/>
    </w:pPr>
    <w:rPr>
      <w:rFonts w:asciiTheme="minorHAnsi" w:hAnsiTheme="minorHAnsi"/>
      <w:sz w:val="22"/>
      <w:szCs w:val="22"/>
    </w:rPr>
  </w:style>
  <w:style w:type="paragraph" w:customStyle="1" w:styleId="Default">
    <w:name w:val="Default"/>
    <w:rsid w:val="008B76D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0456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881</Words>
  <Characters>4723</Characters>
  <Application>Microsoft Office Word</Application>
  <DocSecurity>0</DocSecurity>
  <Lines>100</Lines>
  <Paragraphs>34</Paragraphs>
  <ScaleCrop>false</ScaleCrop>
  <Company>InTACT</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Disallowable instrument explanatory statement</dc:title>
  <dc:subject/>
  <dc:creator>ACT Government</dc:creator>
  <cp:keywords/>
  <dc:description/>
  <cp:lastModifiedBy>Moxon, KarenL</cp:lastModifiedBy>
  <cp:revision>2</cp:revision>
  <cp:lastPrinted>2006-03-31T04:28:00Z</cp:lastPrinted>
  <dcterms:created xsi:type="dcterms:W3CDTF">2022-06-06T05:37:00Z</dcterms:created>
  <dcterms:modified xsi:type="dcterms:W3CDTF">2022-06-06T05:37:00Z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A13493993</vt:lpwstr>
  </property>
  <property fmtid="{D5CDD505-2E9C-101B-9397-08002B2CF9AE}" pid="4" name="Objective-Title">
    <vt:lpwstr>SLA - Member Appointment (No 3) - ES</vt:lpwstr>
  </property>
  <property fmtid="{D5CDD505-2E9C-101B-9397-08002B2CF9AE}" pid="5" name="Objective-Comment">
    <vt:lpwstr/>
  </property>
  <property fmtid="{D5CDD505-2E9C-101B-9397-08002B2CF9AE}" pid="6" name="Objective-CreationStamp">
    <vt:filetime>2017-04-09T14:00:00Z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2017-06-10T14:00:00Z</vt:filetime>
  </property>
  <property fmtid="{D5CDD505-2E9C-101B-9397-08002B2CF9AE}" pid="10" name="Objective-ModificationStamp">
    <vt:filetime>2017-06-10T14:00:00Z</vt:filetime>
  </property>
  <property fmtid="{D5CDD505-2E9C-101B-9397-08002B2CF9AE}" pid="11" name="Objective-Owner">
    <vt:lpwstr>Clinton Dengate</vt:lpwstr>
  </property>
  <property fmtid="{D5CDD505-2E9C-101B-9397-08002B2CF9AE}" pid="12" name="Objective-Path">
    <vt:lpwstr>Whole of ACT Government:CMTEDD - Asbestos Task Force:Land Development Governance Project:12. Implementation:Appointment Instruments and Cabinet Documents:</vt:lpwstr>
  </property>
  <property fmtid="{D5CDD505-2E9C-101B-9397-08002B2CF9AE}" pid="13" name="Objective-Parent">
    <vt:lpwstr>Appointment Instruments and Cabinet Documents</vt:lpwstr>
  </property>
  <property fmtid="{D5CDD505-2E9C-101B-9397-08002B2CF9AE}" pid="14" name="Objective-State">
    <vt:lpwstr>Published</vt:lpwstr>
  </property>
  <property fmtid="{D5CDD505-2E9C-101B-9397-08002B2CF9AE}" pid="15" name="Objective-Version">
    <vt:lpwstr>18.0</vt:lpwstr>
  </property>
  <property fmtid="{D5CDD505-2E9C-101B-9397-08002B2CF9AE}" pid="16" name="Objective-VersionNumber">
    <vt:r8>18</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CMTEDD - ART</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ies>
</file>